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header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footer33.xml" ContentType="application/vnd.openxmlformats-officedocument.wordprocessingml.footer+xml"/>
  <Override PartName="/word/header9.xml" ContentType="application/vnd.openxmlformats-officedocument.wordprocessingml.header+xml"/>
  <Override PartName="/word/footer34.xml" ContentType="application/vnd.openxmlformats-officedocument.wordprocessingml.footer+xml"/>
  <Override PartName="/word/header10.xml" ContentType="application/vnd.openxmlformats-officedocument.wordprocessingml.header+xml"/>
  <Override PartName="/word/footer35.xml" ContentType="application/vnd.openxmlformats-officedocument.wordprocessingml.footer+xml"/>
  <Override PartName="/word/header11.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2.xml" ContentType="application/vnd.openxmlformats-officedocument.wordprocessingml.header+xml"/>
  <Override PartName="/word/footer43.xml" ContentType="application/vnd.openxmlformats-officedocument.wordprocessingml.footer+xml"/>
  <Override PartName="/word/header13.xml" ContentType="application/vnd.openxmlformats-officedocument.wordprocessingml.header+xml"/>
  <Override PartName="/word/footer44.xml" ContentType="application/vnd.openxmlformats-officedocument.wordprocessingml.footer+xml"/>
  <Override PartName="/word/header1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28"/>
          <w:szCs w:val="28"/>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sz w:val="21"/>
          <w:szCs w:val="21"/>
        </w:rPr>
        <w:t>公司代码：</w:t>
      </w:r>
      <w:r>
        <w:rPr>
          <w:rFonts w:ascii="Calibri" w:hAnsi="Calibri" w:cs="Calibri" w:eastAsia="Calibri" w:hint="default"/>
          <w:sz w:val="21"/>
          <w:szCs w:val="21"/>
        </w:rPr>
        <w:t>600410 </w:t>
      </w:r>
      <w:r>
        <w:rPr>
          <w:rFonts w:ascii="宋体" w:hAnsi="宋体" w:cs="宋体" w:eastAsia="宋体" w:hint="default"/>
          <w:sz w:val="21"/>
          <w:szCs w:val="21"/>
        </w:rPr>
        <w:t>公司简称：华胜天成</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spacing w:line="572" w:lineRule="exact" w:before="0"/>
        <w:ind w:left="1597" w:right="16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北京华胜天成科技股份有限公司</w:t>
      </w:r>
      <w:r>
        <w:rPr>
          <w:rFonts w:ascii="黑体" w:hAnsi="黑体" w:cs="黑体" w:eastAsia="黑体" w:hint="default"/>
          <w:b/>
          <w:bCs/>
          <w:color w:val="FF0000"/>
          <w:spacing w:val="85"/>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1597" w:right="1694"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8"/>
        <w:rPr>
          <w:rFonts w:ascii="黑体" w:hAnsi="黑体" w:cs="黑体" w:eastAsia="黑体" w:hint="default"/>
          <w:b/>
          <w:bCs/>
          <w:sz w:val="21"/>
          <w:szCs w:val="21"/>
        </w:rPr>
      </w:pPr>
    </w:p>
    <w:p>
      <w:pPr>
        <w:pStyle w:val="Heading2"/>
        <w:spacing w:line="357" w:lineRule="auto" w:before="0"/>
        <w:ind w:left="558" w:right="119" w:hanging="420"/>
        <w:jc w:val="left"/>
        <w:rPr>
          <w:b w:val="0"/>
          <w:bCs w:val="0"/>
        </w:rPr>
      </w:pPr>
      <w:r>
        <w:rPr>
          <w:spacing w:val="2"/>
          <w:sz w:val="21"/>
          <w:szCs w:val="21"/>
        </w:rPr>
        <w:t>一、</w:t>
      </w:r>
      <w:r>
        <w:rPr>
          <w:spacing w:val="2"/>
        </w:rPr>
        <w:t>本公司董事会、监事会及董事、监事、高级管理人员保证年度报告内容的真实、</w:t>
      </w:r>
      <w:r>
        <w:rPr>
          <w:spacing w:val="-117"/>
        </w:rPr>
        <w:t> </w:t>
      </w:r>
      <w:r>
        <w:rPr>
          <w:spacing w:val="-117"/>
        </w:rPr>
      </w:r>
      <w:r>
        <w:rPr/>
        <w:t>准确、完整，不存在虚假记载、误导性陈述或重大遗漏，并承担个别和连带的法</w:t>
      </w:r>
      <w:r>
        <w:rPr>
          <w:w w:val="99"/>
        </w:rPr>
        <w:t> </w:t>
      </w:r>
      <w:r>
        <w:rPr/>
        <w:t>律责任。</w:t>
      </w:r>
      <w:r>
        <w:rPr>
          <w:b w:val="0"/>
          <w:bCs w:val="0"/>
        </w:rPr>
      </w:r>
    </w:p>
    <w:p>
      <w:pPr>
        <w:spacing w:line="240" w:lineRule="auto" w:before="8"/>
        <w:rPr>
          <w:rFonts w:ascii="宋体" w:hAnsi="宋体" w:cs="宋体" w:eastAsia="宋体" w:hint="default"/>
          <w:b/>
          <w:bCs/>
          <w:sz w:val="26"/>
          <w:szCs w:val="26"/>
        </w:rPr>
      </w:pPr>
    </w:p>
    <w:p>
      <w:pPr>
        <w:pStyle w:val="Heading2"/>
        <w:spacing w:line="240" w:lineRule="auto" w:before="0"/>
        <w:ind w:left="138" w:right="119"/>
        <w:jc w:val="left"/>
        <w:rPr>
          <w:b w:val="0"/>
          <w:bCs w:val="0"/>
        </w:rPr>
      </w:pPr>
      <w:r>
        <w:rPr>
          <w:sz w:val="21"/>
          <w:szCs w:val="21"/>
        </w:rPr>
        <w:t>二、</w:t>
      </w:r>
      <w:r>
        <w:rPr>
          <w:spacing w:val="-80"/>
          <w:sz w:val="21"/>
          <w:szCs w:val="21"/>
        </w:rPr>
        <w:t> </w:t>
      </w:r>
      <w:r>
        <w:rPr/>
        <w:t>公司全体董事出席董事会会议。</w:t>
      </w:r>
      <w:r>
        <w:rPr>
          <w:b w:val="0"/>
          <w:bCs w:val="0"/>
        </w:rPr>
      </w:r>
    </w:p>
    <w:p>
      <w:pPr>
        <w:spacing w:line="240" w:lineRule="auto" w:before="6"/>
        <w:rPr>
          <w:rFonts w:ascii="宋体" w:hAnsi="宋体" w:cs="宋体" w:eastAsia="宋体" w:hint="default"/>
          <w:b/>
          <w:bCs/>
          <w:sz w:val="35"/>
          <w:szCs w:val="35"/>
        </w:rPr>
      </w:pPr>
    </w:p>
    <w:p>
      <w:pPr>
        <w:pStyle w:val="Heading2"/>
        <w:spacing w:line="240" w:lineRule="auto" w:before="0"/>
        <w:ind w:left="138" w:right="0"/>
        <w:jc w:val="left"/>
        <w:rPr>
          <w:b w:val="0"/>
          <w:bCs w:val="0"/>
        </w:rPr>
      </w:pPr>
      <w:r>
        <w:rPr>
          <w:w w:val="100"/>
          <w:sz w:val="21"/>
          <w:szCs w:val="21"/>
        </w:rPr>
        <w:t>三、</w:t>
      </w:r>
      <w:r>
        <w:rPr>
          <w:spacing w:val="-10"/>
          <w:sz w:val="21"/>
          <w:szCs w:val="21"/>
        </w:rPr>
        <w:t> </w:t>
      </w:r>
      <w:r>
        <w:rPr>
          <w:spacing w:val="2"/>
          <w:w w:val="99"/>
        </w:rPr>
        <w:t>致</w:t>
      </w:r>
      <w:r>
        <w:rPr>
          <w:w w:val="99"/>
        </w:rPr>
        <w:t>同</w:t>
      </w:r>
      <w:r>
        <w:rPr>
          <w:spacing w:val="2"/>
          <w:w w:val="99"/>
        </w:rPr>
        <w:t>会</w:t>
      </w:r>
      <w:r>
        <w:rPr>
          <w:w w:val="99"/>
        </w:rPr>
        <w:t>计师</w:t>
      </w:r>
      <w:r>
        <w:rPr>
          <w:spacing w:val="2"/>
          <w:w w:val="99"/>
        </w:rPr>
        <w:t>事</w:t>
      </w:r>
      <w:r>
        <w:rPr>
          <w:w w:val="99"/>
        </w:rPr>
        <w:t>务</w:t>
      </w:r>
      <w:r>
        <w:rPr>
          <w:spacing w:val="-117"/>
          <w:w w:val="99"/>
        </w:rPr>
        <w:t>所</w:t>
      </w:r>
      <w:r>
        <w:rPr>
          <w:w w:val="99"/>
        </w:rPr>
        <w:t>（特</w:t>
      </w:r>
      <w:r>
        <w:rPr>
          <w:spacing w:val="2"/>
          <w:w w:val="99"/>
        </w:rPr>
        <w:t>殊</w:t>
      </w:r>
      <w:r>
        <w:rPr>
          <w:w w:val="99"/>
        </w:rPr>
        <w:t>普</w:t>
      </w:r>
      <w:r>
        <w:rPr>
          <w:spacing w:val="2"/>
          <w:w w:val="99"/>
        </w:rPr>
        <w:t>通</w:t>
      </w:r>
      <w:r>
        <w:rPr>
          <w:w w:val="99"/>
        </w:rPr>
        <w:t>合</w:t>
      </w:r>
      <w:r>
        <w:rPr>
          <w:spacing w:val="2"/>
          <w:w w:val="99"/>
        </w:rPr>
        <w:t>伙</w:t>
      </w:r>
      <w:r>
        <w:rPr>
          <w:spacing w:val="-120"/>
          <w:w w:val="99"/>
        </w:rPr>
        <w:t>）</w:t>
      </w:r>
      <w:r>
        <w:rPr>
          <w:spacing w:val="2"/>
          <w:w w:val="99"/>
        </w:rPr>
        <w:t>为</w:t>
      </w:r>
      <w:r>
        <w:rPr>
          <w:w w:val="99"/>
        </w:rPr>
        <w:t>本公司</w:t>
      </w:r>
      <w:r>
        <w:rPr>
          <w:spacing w:val="2"/>
          <w:w w:val="99"/>
        </w:rPr>
        <w:t>出</w:t>
      </w:r>
      <w:r>
        <w:rPr>
          <w:w w:val="99"/>
        </w:rPr>
        <w:t>具</w:t>
      </w:r>
      <w:r>
        <w:rPr>
          <w:spacing w:val="3"/>
          <w:w w:val="99"/>
        </w:rPr>
        <w:t>了</w:t>
      </w:r>
      <w:r>
        <w:rPr>
          <w:w w:val="99"/>
        </w:rPr>
        <w:t>标准</w:t>
      </w:r>
      <w:r>
        <w:rPr>
          <w:spacing w:val="2"/>
          <w:w w:val="99"/>
        </w:rPr>
        <w:t>无</w:t>
      </w:r>
      <w:r>
        <w:rPr>
          <w:w w:val="99"/>
        </w:rPr>
        <w:t>保</w:t>
      </w:r>
      <w:r>
        <w:rPr>
          <w:spacing w:val="2"/>
          <w:w w:val="99"/>
        </w:rPr>
        <w:t>留</w:t>
      </w:r>
      <w:r>
        <w:rPr>
          <w:w w:val="99"/>
        </w:rPr>
        <w:t>意</w:t>
      </w:r>
      <w:r>
        <w:rPr>
          <w:spacing w:val="1"/>
          <w:w w:val="99"/>
        </w:rPr>
        <w:t>见</w:t>
      </w:r>
      <w:r>
        <w:rPr>
          <w:spacing w:val="2"/>
          <w:w w:val="99"/>
        </w:rPr>
        <w:t>的</w:t>
      </w:r>
      <w:r>
        <w:rPr>
          <w:w w:val="99"/>
        </w:rPr>
        <w:t>审</w:t>
      </w:r>
      <w:r>
        <w:rPr>
          <w:spacing w:val="2"/>
          <w:w w:val="99"/>
        </w:rPr>
        <w:t>计</w:t>
      </w:r>
      <w:r>
        <w:rPr>
          <w:w w:val="99"/>
        </w:rPr>
        <w:t>报告。</w:t>
      </w:r>
      <w:r>
        <w:rPr>
          <w:b w:val="0"/>
          <w:bCs w:val="0"/>
        </w:rPr>
      </w:r>
    </w:p>
    <w:p>
      <w:pPr>
        <w:spacing w:line="240" w:lineRule="auto" w:before="6"/>
        <w:rPr>
          <w:rFonts w:ascii="宋体" w:hAnsi="宋体" w:cs="宋体" w:eastAsia="宋体" w:hint="default"/>
          <w:b/>
          <w:bCs/>
          <w:sz w:val="35"/>
          <w:szCs w:val="35"/>
        </w:rPr>
      </w:pPr>
    </w:p>
    <w:p>
      <w:pPr>
        <w:pStyle w:val="Heading2"/>
        <w:spacing w:line="357" w:lineRule="auto" w:before="0"/>
        <w:ind w:left="558" w:right="119" w:hanging="420"/>
        <w:jc w:val="left"/>
        <w:rPr>
          <w:b w:val="0"/>
          <w:bCs w:val="0"/>
        </w:rPr>
      </w:pPr>
      <w:r>
        <w:rPr>
          <w:w w:val="95"/>
          <w:sz w:val="21"/>
          <w:szCs w:val="21"/>
        </w:rPr>
        <w:t>四、</w:t>
      </w:r>
      <w:r>
        <w:rPr>
          <w:w w:val="95"/>
        </w:rPr>
        <w:t>公司负责人王维航、主管会计工作负责人任学英及会计机构负责人（会计主管人</w:t>
      </w:r>
      <w:r>
        <w:rPr>
          <w:spacing w:val="72"/>
          <w:w w:val="95"/>
        </w:rPr>
        <w:t> </w:t>
      </w:r>
      <w:r>
        <w:rPr>
          <w:spacing w:val="72"/>
          <w:w w:val="95"/>
        </w:rPr>
      </w:r>
      <w:r>
        <w:rPr/>
        <w:t>员）李晖声明：保证年度报告中财务报告的真实、准确、完整。</w:t>
      </w:r>
      <w:r>
        <w:rPr>
          <w:b w:val="0"/>
          <w:bCs w:val="0"/>
        </w:rPr>
      </w:r>
    </w:p>
    <w:p>
      <w:pPr>
        <w:spacing w:line="580" w:lineRule="atLeast" w:before="80"/>
        <w:ind w:left="618" w:right="217" w:hanging="48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6"/>
          <w:sz w:val="24"/>
          <w:szCs w:val="24"/>
        </w:rPr>
        <w:t>经致同会计师事务所审计，公司</w:t>
      </w:r>
      <w:r>
        <w:rPr>
          <w:rFonts w:ascii="宋体" w:hAnsi="宋体" w:cs="宋体" w:eastAsia="宋体" w:hint="default"/>
          <w:spacing w:val="-55"/>
          <w:sz w:val="24"/>
          <w:szCs w:val="24"/>
        </w:rPr>
        <w:t> </w:t>
      </w:r>
      <w:r>
        <w:rPr>
          <w:rFonts w:ascii="宋体" w:hAnsi="宋体" w:cs="宋体" w:eastAsia="宋体" w:hint="default"/>
          <w:sz w:val="24"/>
          <w:szCs w:val="24"/>
        </w:rPr>
        <w:t>2015</w:t>
      </w:r>
      <w:r>
        <w:rPr>
          <w:rFonts w:ascii="宋体" w:hAnsi="宋体" w:cs="宋体" w:eastAsia="宋体" w:hint="default"/>
          <w:spacing w:val="-55"/>
          <w:sz w:val="24"/>
          <w:szCs w:val="24"/>
        </w:rPr>
        <w:t> </w:t>
      </w:r>
      <w:r>
        <w:rPr>
          <w:rFonts w:ascii="宋体" w:hAnsi="宋体" w:cs="宋体" w:eastAsia="宋体" w:hint="default"/>
          <w:spacing w:val="-5"/>
          <w:sz w:val="24"/>
          <w:szCs w:val="24"/>
        </w:rPr>
        <w:t>年度实现归属于上市公司股东的净利润（合</w:t>
      </w:r>
    </w:p>
    <w:p>
      <w:pPr>
        <w:pStyle w:val="BodyText"/>
        <w:spacing w:line="237" w:lineRule="auto"/>
        <w:ind w:left="138" w:right="230"/>
        <w:jc w:val="both"/>
      </w:pPr>
      <w:r>
        <w:rPr/>
        <w:t>并）</w:t>
      </w:r>
      <w:r>
        <w:rPr>
          <w:rFonts w:ascii="宋体" w:hAnsi="宋体" w:cs="宋体" w:eastAsia="宋体" w:hint="default"/>
        </w:rPr>
        <w:t>5177.0171</w:t>
      </w:r>
      <w:r>
        <w:rPr>
          <w:rFonts w:ascii="宋体" w:hAnsi="宋体" w:cs="宋体" w:eastAsia="宋体" w:hint="default"/>
          <w:spacing w:val="-57"/>
        </w:rPr>
        <w:t> </w:t>
      </w:r>
      <w:r>
        <w:rPr/>
        <w:t>万元，</w:t>
      </w:r>
      <w:r>
        <w:rPr>
          <w:rFonts w:ascii="宋体" w:hAnsi="宋体" w:cs="宋体" w:eastAsia="宋体" w:hint="default"/>
        </w:rPr>
        <w:t>2015</w:t>
      </w:r>
      <w:r>
        <w:rPr>
          <w:rFonts w:ascii="宋体" w:hAnsi="宋体" w:cs="宋体" w:eastAsia="宋体" w:hint="default"/>
          <w:spacing w:val="-57"/>
        </w:rPr>
        <w:t> </w:t>
      </w:r>
      <w:r>
        <w:rPr/>
        <w:t>年期末未分配的利润（合并）</w:t>
      </w:r>
      <w:r>
        <w:rPr>
          <w:rFonts w:ascii="宋体" w:hAnsi="宋体" w:cs="宋体" w:eastAsia="宋体" w:hint="default"/>
        </w:rPr>
        <w:t>94,351.4815</w:t>
      </w:r>
      <w:r>
        <w:rPr>
          <w:rFonts w:ascii="宋体" w:hAnsi="宋体" w:cs="宋体" w:eastAsia="宋体" w:hint="default"/>
          <w:spacing w:val="-56"/>
        </w:rPr>
        <w:t> </w:t>
      </w:r>
      <w:r>
        <w:rPr/>
        <w:t>万元，母公司 未分配利润为</w:t>
      </w:r>
      <w:r>
        <w:rPr>
          <w:spacing w:val="-67"/>
        </w:rPr>
        <w:t> </w:t>
      </w:r>
      <w:r>
        <w:rPr>
          <w:rFonts w:ascii="宋体" w:hAnsi="宋体" w:cs="宋体" w:eastAsia="宋体" w:hint="default"/>
        </w:rPr>
        <w:t>41,568.8735</w:t>
      </w:r>
      <w:r>
        <w:rPr>
          <w:rFonts w:ascii="宋体" w:hAnsi="宋体" w:cs="宋体" w:eastAsia="宋体" w:hint="default"/>
          <w:spacing w:val="-67"/>
        </w:rPr>
        <w:t> </w:t>
      </w:r>
      <w:r>
        <w:rPr>
          <w:spacing w:val="-3"/>
        </w:rPr>
        <w:t>万元。</w:t>
      </w:r>
      <w:r>
        <w:rPr>
          <w:rFonts w:ascii="宋体" w:hAnsi="宋体" w:cs="宋体" w:eastAsia="宋体" w:hint="default"/>
          <w:spacing w:val="-3"/>
        </w:rPr>
        <w:t>2015</w:t>
      </w:r>
      <w:r>
        <w:rPr>
          <w:rFonts w:ascii="宋体" w:hAnsi="宋体" w:cs="宋体" w:eastAsia="宋体" w:hint="default"/>
          <w:spacing w:val="-67"/>
        </w:rPr>
        <w:t> </w:t>
      </w:r>
      <w:r>
        <w:rPr/>
        <w:t>年期末资本公积余额（合并）</w:t>
      </w:r>
      <w:r>
        <w:rPr>
          <w:rFonts w:ascii="宋体" w:hAnsi="宋体" w:cs="宋体" w:eastAsia="宋体" w:hint="default"/>
        </w:rPr>
        <w:t>68,303.9475</w:t>
      </w:r>
      <w:r>
        <w:rPr>
          <w:rFonts w:ascii="宋体" w:hAnsi="宋体" w:cs="宋体" w:eastAsia="宋体" w:hint="default"/>
          <w:spacing w:val="-69"/>
        </w:rPr>
        <w:t> </w:t>
      </w:r>
      <w:r>
        <w:rPr/>
        <w:t>万 元，母公司资本公积余额为</w:t>
      </w:r>
      <w:r>
        <w:rPr>
          <w:spacing w:val="-60"/>
        </w:rPr>
        <w:t> </w:t>
      </w:r>
      <w:r>
        <w:rPr>
          <w:rFonts w:ascii="宋体" w:hAnsi="宋体" w:cs="宋体" w:eastAsia="宋体" w:hint="default"/>
        </w:rPr>
        <w:t>67,796.1382</w:t>
      </w:r>
      <w:r>
        <w:rPr>
          <w:rFonts w:ascii="宋体" w:hAnsi="宋体" w:cs="宋体" w:eastAsia="宋体" w:hint="default"/>
          <w:spacing w:val="-60"/>
        </w:rPr>
        <w:t> </w:t>
      </w:r>
      <w:r>
        <w:rPr/>
        <w:t>万元。</w:t>
      </w:r>
    </w:p>
    <w:p>
      <w:pPr>
        <w:pStyle w:val="BodyText"/>
        <w:spacing w:line="313" w:lineRule="exact" w:before="118"/>
        <w:ind w:left="618" w:right="119"/>
        <w:jc w:val="left"/>
      </w:pPr>
      <w:r>
        <w:rPr/>
        <w:t>根据上述经营情况，公司拟实施的利润分配预案为：拟以总股本</w:t>
      </w:r>
      <w:r>
        <w:rPr>
          <w:spacing w:val="-84"/>
        </w:rPr>
        <w:t> </w:t>
      </w:r>
      <w:r>
        <w:rPr>
          <w:rFonts w:ascii="宋体" w:hAnsi="宋体" w:cs="宋体" w:eastAsia="宋体" w:hint="default"/>
        </w:rPr>
        <w:t>641,825,496</w:t>
      </w:r>
      <w:r>
        <w:rPr>
          <w:rFonts w:ascii="宋体" w:hAnsi="宋体" w:cs="宋体" w:eastAsia="宋体" w:hint="default"/>
          <w:spacing w:val="-84"/>
        </w:rPr>
        <w:t> </w:t>
      </w:r>
      <w:r>
        <w:rPr/>
        <w:t>股</w:t>
      </w:r>
    </w:p>
    <w:p>
      <w:pPr>
        <w:pStyle w:val="BodyText"/>
        <w:spacing w:line="312" w:lineRule="exact"/>
        <w:ind w:left="138" w:right="119"/>
        <w:jc w:val="left"/>
      </w:pPr>
      <w:r>
        <w:rPr/>
        <w:t>为基准，向全体股东每</w:t>
      </w:r>
      <w:r>
        <w:rPr>
          <w:spacing w:val="-63"/>
        </w:rPr>
        <w:t> </w:t>
      </w:r>
      <w:r>
        <w:rPr>
          <w:rFonts w:ascii="宋体" w:hAnsi="宋体" w:cs="宋体" w:eastAsia="宋体" w:hint="default"/>
        </w:rPr>
        <w:t>10</w:t>
      </w:r>
      <w:r>
        <w:rPr>
          <w:rFonts w:ascii="宋体" w:hAnsi="宋体" w:cs="宋体" w:eastAsia="宋体" w:hint="default"/>
          <w:spacing w:val="-63"/>
        </w:rPr>
        <w:t> </w:t>
      </w:r>
      <w:r>
        <w:rPr/>
        <w:t>股派发现金红利人民币</w:t>
      </w:r>
      <w:r>
        <w:rPr>
          <w:spacing w:val="-63"/>
        </w:rPr>
        <w:t> </w:t>
      </w:r>
      <w:r>
        <w:rPr>
          <w:rFonts w:ascii="宋体" w:hAnsi="宋体" w:cs="宋体" w:eastAsia="宋体" w:hint="default"/>
        </w:rPr>
        <w:t>0.50</w:t>
      </w:r>
      <w:r>
        <w:rPr>
          <w:rFonts w:ascii="宋体" w:hAnsi="宋体" w:cs="宋体" w:eastAsia="宋体" w:hint="default"/>
          <w:spacing w:val="-63"/>
        </w:rPr>
        <w:t> </w:t>
      </w:r>
      <w:r>
        <w:rPr>
          <w:spacing w:val="-3"/>
        </w:rPr>
        <w:t>元（含税），共计派发现金红</w:t>
      </w:r>
    </w:p>
    <w:p>
      <w:pPr>
        <w:pStyle w:val="BodyText"/>
        <w:spacing w:line="311" w:lineRule="exact"/>
        <w:ind w:left="138" w:right="119"/>
        <w:jc w:val="left"/>
        <w:rPr>
          <w:rFonts w:ascii="宋体" w:hAnsi="宋体" w:cs="宋体" w:eastAsia="宋体" w:hint="default"/>
        </w:rPr>
      </w:pPr>
      <w:r>
        <w:rPr/>
        <w:t>利</w:t>
      </w:r>
      <w:r>
        <w:rPr>
          <w:spacing w:val="-34"/>
        </w:rPr>
        <w:t> </w:t>
      </w:r>
      <w:r>
        <w:rPr>
          <w:rFonts w:ascii="宋体" w:hAnsi="宋体" w:cs="宋体" w:eastAsia="宋体" w:hint="default"/>
        </w:rPr>
        <w:t>32,091,274.80</w:t>
      </w:r>
      <w:r>
        <w:rPr>
          <w:rFonts w:ascii="宋体" w:hAnsi="宋体" w:cs="宋体" w:eastAsia="宋体" w:hint="default"/>
          <w:spacing w:val="-34"/>
        </w:rPr>
        <w:t> </w:t>
      </w:r>
      <w:r>
        <w:rPr/>
        <w:t>元；同时，拟以资本公积金向全体股东转增股本，每</w:t>
      </w:r>
      <w:r>
        <w:rPr>
          <w:spacing w:val="-32"/>
        </w:rPr>
        <w:t> </w:t>
      </w:r>
      <w:r>
        <w:rPr>
          <w:rFonts w:ascii="宋体" w:hAnsi="宋体" w:cs="宋体" w:eastAsia="宋体" w:hint="default"/>
        </w:rPr>
        <w:t>10</w:t>
      </w:r>
      <w:r>
        <w:rPr>
          <w:rFonts w:ascii="宋体" w:hAnsi="宋体" w:cs="宋体" w:eastAsia="宋体" w:hint="default"/>
          <w:spacing w:val="-34"/>
        </w:rPr>
        <w:t> </w:t>
      </w:r>
      <w:r>
        <w:rPr/>
        <w:t>股转增</w:t>
      </w:r>
      <w:r>
        <w:rPr>
          <w:spacing w:val="-34"/>
        </w:rPr>
        <w:t> </w:t>
      </w:r>
      <w:r>
        <w:rPr>
          <w:rFonts w:ascii="宋体" w:hAnsi="宋体" w:cs="宋体" w:eastAsia="宋体" w:hint="default"/>
        </w:rPr>
        <w:t>4</w:t>
      </w:r>
    </w:p>
    <w:p>
      <w:pPr>
        <w:pStyle w:val="BodyText"/>
        <w:spacing w:line="312" w:lineRule="exact"/>
        <w:ind w:left="138" w:right="119"/>
        <w:jc w:val="left"/>
      </w:pPr>
      <w:r>
        <w:rPr/>
        <w:t>股，共计转增</w:t>
      </w:r>
      <w:r>
        <w:rPr>
          <w:spacing w:val="-61"/>
        </w:rPr>
        <w:t> </w:t>
      </w:r>
      <w:r>
        <w:rPr>
          <w:rFonts w:ascii="宋体" w:hAnsi="宋体" w:cs="宋体" w:eastAsia="宋体" w:hint="default"/>
        </w:rPr>
        <w:t>256,730,198</w:t>
      </w:r>
      <w:r>
        <w:rPr>
          <w:rFonts w:ascii="宋体" w:hAnsi="宋体" w:cs="宋体" w:eastAsia="宋体" w:hint="default"/>
          <w:spacing w:val="-60"/>
        </w:rPr>
        <w:t> </w:t>
      </w:r>
      <w:r>
        <w:rPr/>
        <w:t>股。</w:t>
      </w:r>
    </w:p>
    <w:p>
      <w:pPr>
        <w:spacing w:line="240" w:lineRule="auto" w:before="7"/>
        <w:rPr>
          <w:rFonts w:ascii="宋体" w:hAnsi="宋体" w:cs="宋体" w:eastAsia="宋体" w:hint="default"/>
          <w:sz w:val="21"/>
          <w:szCs w:val="21"/>
        </w:rPr>
      </w:pPr>
    </w:p>
    <w:p>
      <w:pPr>
        <w:spacing w:line="510" w:lineRule="atLeast" w:before="0"/>
        <w:ind w:left="618" w:right="119" w:hanging="48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4"/>
          <w:szCs w:val="24"/>
        </w:rPr>
        <w:t>前瞻性陈述的风险声明</w:t>
      </w:r>
      <w:r>
        <w:rPr>
          <w:rFonts w:ascii="宋体" w:hAnsi="宋体" w:cs="宋体" w:eastAsia="宋体" w:hint="default"/>
          <w:b/>
          <w:bCs/>
          <w:w w:val="99"/>
          <w:sz w:val="24"/>
          <w:szCs w:val="24"/>
        </w:rPr>
        <w:t> </w:t>
      </w:r>
      <w:r>
        <w:rPr>
          <w:rFonts w:ascii="宋体" w:hAnsi="宋体" w:cs="宋体" w:eastAsia="宋体" w:hint="default"/>
          <w:spacing w:val="-2"/>
          <w:sz w:val="24"/>
          <w:szCs w:val="24"/>
        </w:rPr>
        <w:t>本公司</w:t>
      </w:r>
      <w:r>
        <w:rPr>
          <w:rFonts w:ascii="宋体" w:hAnsi="宋体" w:cs="宋体" w:eastAsia="宋体" w:hint="default"/>
          <w:spacing w:val="-2"/>
          <w:sz w:val="24"/>
          <w:szCs w:val="24"/>
        </w:rPr>
        <w:t>2015</w:t>
      </w:r>
      <w:r>
        <w:rPr>
          <w:rFonts w:ascii="宋体" w:hAnsi="宋体" w:cs="宋体" w:eastAsia="宋体" w:hint="default"/>
          <w:spacing w:val="-2"/>
          <w:sz w:val="24"/>
          <w:szCs w:val="24"/>
        </w:rPr>
        <w:t>年度报告涉及的未来计划等陈述，该计划不构成公司对投资者的实质</w:t>
      </w:r>
    </w:p>
    <w:p>
      <w:pPr>
        <w:pStyle w:val="BodyText"/>
        <w:spacing w:line="240" w:lineRule="auto" w:before="46"/>
        <w:ind w:left="138" w:right="119"/>
        <w:jc w:val="left"/>
      </w:pPr>
      <w:r>
        <w:rPr/>
        <w:t>承诺，请投资者注意投资风险。</w:t>
      </w:r>
    </w:p>
    <w:p>
      <w:pPr>
        <w:spacing w:line="240" w:lineRule="auto" w:before="5"/>
        <w:rPr>
          <w:rFonts w:ascii="宋体" w:hAnsi="宋体" w:cs="宋体" w:eastAsia="宋体" w:hint="default"/>
          <w:sz w:val="27"/>
          <w:szCs w:val="27"/>
        </w:rPr>
      </w:pPr>
    </w:p>
    <w:p>
      <w:pPr>
        <w:pStyle w:val="Heading2"/>
        <w:spacing w:line="393" w:lineRule="auto" w:before="0"/>
        <w:ind w:left="138" w:right="2844"/>
        <w:jc w:val="left"/>
        <w:rPr>
          <w:rFonts w:ascii="宋体" w:hAnsi="宋体" w:cs="宋体" w:eastAsia="宋体" w:hint="default"/>
          <w:b w:val="0"/>
          <w:bCs w:val="0"/>
        </w:rPr>
      </w:pPr>
      <w:r>
        <w:rPr>
          <w:sz w:val="21"/>
          <w:szCs w:val="21"/>
        </w:rPr>
        <w:t>七、</w:t>
      </w:r>
      <w:r>
        <w:rPr/>
        <w:t>是否存在被控股股东及其关联方非经营性占用资金情况</w:t>
      </w:r>
      <w:r>
        <w:rPr>
          <w:spacing w:val="-112"/>
        </w:rPr>
        <w:t> </w:t>
      </w:r>
      <w:r>
        <w:rPr>
          <w:spacing w:val="-112"/>
        </w:rPr>
      </w:r>
      <w:r>
        <w:rPr>
          <w:rFonts w:ascii="宋体" w:hAnsi="宋体" w:cs="宋体" w:eastAsia="宋体" w:hint="default"/>
          <w:b w:val="0"/>
          <w:bCs w:val="0"/>
        </w:rPr>
        <w:t>否</w:t>
      </w:r>
    </w:p>
    <w:p>
      <w:pPr>
        <w:spacing w:after="0" w:line="393"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0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81" w:val="left" w:leader="none"/>
        </w:tabs>
        <w:spacing w:line="357" w:lineRule="auto" w:before="197"/>
        <w:ind w:left="138" w:right="3123"/>
        <w:jc w:val="left"/>
        <w:rPr>
          <w:rFonts w:ascii="宋体" w:hAnsi="宋体" w:cs="宋体" w:eastAsia="宋体" w:hint="default"/>
          <w:b w:val="0"/>
          <w:bCs w:val="0"/>
        </w:rPr>
      </w:pPr>
      <w:r>
        <w:rPr>
          <w:sz w:val="21"/>
          <w:szCs w:val="21"/>
        </w:rPr>
        <w:t>八、</w:t>
        <w:tab/>
      </w:r>
      <w:r>
        <w:rPr/>
        <w:t>是否存在违反规定决策程序对外提供担保的情况？</w:t>
      </w:r>
      <w:r>
        <w:rPr>
          <w:w w:val="99"/>
        </w:rPr>
        <w:t> </w:t>
      </w:r>
      <w:r>
        <w:rPr>
          <w:rFonts w:ascii="宋体" w:hAnsi="宋体" w:cs="宋体" w:eastAsia="宋体" w:hint="default"/>
          <w:b w:val="0"/>
          <w:bCs w:val="0"/>
        </w:rPr>
        <w:t>否</w:t>
      </w:r>
    </w:p>
    <w:p>
      <w:pPr>
        <w:tabs>
          <w:tab w:pos="781" w:val="left" w:leader="none"/>
        </w:tabs>
        <w:spacing w:before="19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九、</w:t>
        <w:tab/>
      </w:r>
      <w:r>
        <w:rPr>
          <w:rFonts w:ascii="宋体" w:hAnsi="宋体" w:cs="宋体" w:eastAsia="宋体" w:hint="default"/>
          <w:b/>
          <w:bCs/>
          <w:sz w:val="24"/>
          <w:szCs w:val="24"/>
        </w:rPr>
        <w:t>重大风险提示</w:t>
      </w:r>
      <w:r>
        <w:rPr>
          <w:rFonts w:ascii="宋体" w:hAnsi="宋体" w:cs="宋体" w:eastAsia="宋体" w:hint="default"/>
          <w:sz w:val="24"/>
          <w:szCs w:val="24"/>
        </w:rPr>
      </w:r>
    </w:p>
    <w:p>
      <w:pPr>
        <w:pStyle w:val="BodyText"/>
        <w:spacing w:line="312" w:lineRule="exact" w:before="184"/>
        <w:ind w:left="138" w:right="119" w:firstLine="479"/>
        <w:jc w:val="left"/>
      </w:pPr>
      <w:r>
        <w:rPr/>
        <w:t>公司在本报告第四节“管理层分析与讨论”中的“公司未来发展的讨论与分析” 部分，详细描述了公司经营中可能存在的风险，敬请投资者关注相关内容。</w:t>
      </w:r>
    </w:p>
    <w:p>
      <w:pPr>
        <w:spacing w:line="240" w:lineRule="auto" w:before="4"/>
        <w:rPr>
          <w:rFonts w:ascii="宋体" w:hAnsi="宋体" w:cs="宋体" w:eastAsia="宋体" w:hint="default"/>
          <w:sz w:val="21"/>
          <w:szCs w:val="21"/>
        </w:rPr>
      </w:pPr>
    </w:p>
    <w:p>
      <w:pPr>
        <w:spacing w:line="355" w:lineRule="auto" w:before="0"/>
        <w:ind w:left="138" w:right="7978"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b/>
          <w:bCs/>
          <w:spacing w:val="2"/>
          <w:w w:val="99"/>
          <w:sz w:val="24"/>
          <w:szCs w:val="24"/>
        </w:rPr>
        <w:t> </w:t>
      </w:r>
      <w:r>
        <w:rPr>
          <w:rFonts w:ascii="宋体" w:hAnsi="宋体" w:cs="宋体" w:eastAsia="宋体" w:hint="default"/>
          <w:sz w:val="24"/>
          <w:szCs w:val="24"/>
        </w:rPr>
        <w:t>无</w:t>
      </w:r>
    </w:p>
    <w:p>
      <w:pPr>
        <w:spacing w:after="0" w:line="355" w:lineRule="auto"/>
        <w:jc w:val="left"/>
        <w:rPr>
          <w:rFonts w:ascii="宋体" w:hAnsi="宋体" w:cs="宋体" w:eastAsia="宋体" w:hint="default"/>
          <w:sz w:val="24"/>
          <w:szCs w:val="24"/>
        </w:rPr>
        <w:sectPr>
          <w:pgSz w:w="11910" w:h="16840"/>
          <w:pgMar w:header="880" w:footer="1195" w:top="1120" w:bottom="1380" w:left="1660" w:right="1040"/>
        </w:sectPr>
      </w:pPr>
    </w:p>
    <w:p>
      <w:pPr>
        <w:spacing w:line="240" w:lineRule="auto" w:before="12"/>
        <w:rPr>
          <w:rFonts w:ascii="宋体" w:hAnsi="宋体" w:cs="宋体" w:eastAsia="宋体" w:hint="default"/>
          <w:sz w:val="26"/>
          <w:szCs w:val="26"/>
        </w:rPr>
      </w:pPr>
    </w:p>
    <w:p>
      <w:pPr>
        <w:spacing w:line="460" w:lineRule="exact" w:before="0"/>
        <w:ind w:left="4172" w:right="41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397" w:val="left" w:leader="none"/>
              <w:tab w:pos="8963" w:val="right" w:leader="dot"/>
            </w:tabs>
            <w:spacing w:line="240" w:lineRule="auto" w:before="71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3" w:val="right" w:leader="dot"/>
            </w:tabs>
            <w:spacing w:line="240" w:lineRule="auto" w:before="217"/>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before="217"/>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8964" w:val="right" w:leader="dot"/>
            </w:tabs>
            <w:spacing w:line="240" w:lineRule="auto" w:before="217"/>
            <w:ind w:right="0"/>
            <w:jc w:val="left"/>
            <w:rPr>
              <w:rFonts w:ascii="Times New Roman" w:hAnsi="Times New Roman" w:cs="Times New Roman" w:eastAsia="Times New Roman" w:hint="default"/>
              <w:b w:val="0"/>
              <w:bCs w:val="0"/>
            </w:rPr>
          </w:pPr>
          <w:hyperlink w:history="true" w:anchor="_TOC_250001">
            <w:r>
              <w:rPr/>
              <w:t>第十一节</w:t>
            </w:r>
            <w:r>
              <w:rPr>
                <w:spacing w:val="-7"/>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7"/>
              </w:rPr>
              <w:t> </w:t>
            </w:r>
            <w:r>
              <w:rPr/>
              <w:t>备查文件目录</w:t>
            </w:r>
            <w:r>
              <w:rPr>
                <w:rFonts w:ascii="Times New Roman" w:hAnsi="Times New Roman" w:cs="Times New Roman" w:eastAsia="Times New Roman" w:hint="default"/>
              </w:rPr>
              <w:tab/>
              <w:t>201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60"/>
        </w:sectPr>
      </w:pPr>
    </w:p>
    <w:p>
      <w:pPr>
        <w:pStyle w:val="Heading1"/>
        <w:tabs>
          <w:tab w:pos="1259" w:val="left" w:leader="none"/>
        </w:tabs>
        <w:spacing w:line="240" w:lineRule="auto" w:before="640"/>
        <w:ind w:right="19"/>
        <w:jc w:val="center"/>
        <w:rPr>
          <w:b w:val="0"/>
          <w:bCs w:val="0"/>
        </w:rPr>
      </w:pPr>
      <w:bookmarkStart w:name="_TOC_250011" w:id="1"/>
      <w:r>
        <w:rPr>
          <w:w w:val="95"/>
        </w:rPr>
        <w:t>第一节</w:t>
        <w:tab/>
      </w:r>
      <w:r>
        <w:rPr/>
        <w:t>释义</w:t>
      </w:r>
      <w:bookmarkEnd w:id="1"/>
      <w:r>
        <w:rPr>
          <w:b w:val="0"/>
          <w:bCs w:val="0"/>
        </w:rPr>
      </w:r>
    </w:p>
    <w:p>
      <w:pPr>
        <w:pStyle w:val="BodyText"/>
        <w:spacing w:line="283" w:lineRule="auto" w:before="246"/>
        <w:ind w:left="217" w:right="2569"/>
        <w:jc w:val="left"/>
      </w:pP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rPr>
        <w:t>释义</w:t>
      </w:r>
      <w:r>
        <w:rPr>
          <w:rFonts w:ascii="宋体" w:hAnsi="宋体" w:cs="宋体" w:eastAsia="宋体" w:hint="default"/>
          <w:b/>
          <w:bCs/>
          <w:spacing w:val="-119"/>
        </w:rPr>
        <w:t> </w:t>
      </w:r>
      <w:r>
        <w:rPr>
          <w:rFonts w:ascii="宋体" w:hAnsi="宋体" w:cs="宋体" w:eastAsia="宋体" w:hint="default"/>
          <w:b/>
          <w:bCs/>
          <w:spacing w:val="-119"/>
        </w:rPr>
      </w:r>
      <w:r>
        <w:rPr/>
        <w:t>在本报告书中，除非文义另有所指，下列词语具有如下含义：</w:t>
      </w:r>
    </w:p>
    <w:tbl>
      <w:tblPr>
        <w:tblW w:w="0" w:type="auto"/>
        <w:jc w:val="left"/>
        <w:tblInd w:w="103" w:type="dxa"/>
        <w:tblLayout w:type="fixed"/>
        <w:tblCellMar>
          <w:top w:w="0" w:type="dxa"/>
          <w:left w:w="0" w:type="dxa"/>
          <w:bottom w:w="0" w:type="dxa"/>
          <w:right w:w="0" w:type="dxa"/>
        </w:tblCellMar>
        <w:tblLook w:val="01E0"/>
      </w:tblPr>
      <w:tblGrid>
        <w:gridCol w:w="1527"/>
        <w:gridCol w:w="1133"/>
        <w:gridCol w:w="6390"/>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本公司、本集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团、华胜天成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北京华胜天成软件技术有限公司，公司控股子公司</w:t>
            </w: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Teamax Data</w:t>
            </w:r>
            <w:r>
              <w:rPr>
                <w:rFonts w:ascii="宋体" w:hAnsi="宋体" w:cs="宋体" w:eastAsia="宋体" w:hint="default"/>
                <w:spacing w:val="71"/>
                <w:sz w:val="21"/>
                <w:szCs w:val="21"/>
              </w:rPr>
              <w:t> </w:t>
            </w:r>
            <w:r>
              <w:rPr>
                <w:rFonts w:ascii="宋体" w:hAnsi="宋体" w:cs="宋体" w:eastAsia="宋体" w:hint="default"/>
                <w:sz w:val="21"/>
                <w:szCs w:val="21"/>
              </w:rPr>
              <w:t>Systems,Inc.</w:t>
            </w:r>
            <w:r>
              <w:rPr>
                <w:rFonts w:ascii="宋体" w:hAnsi="宋体" w:cs="宋体" w:eastAsia="宋体" w:hint="default"/>
                <w:sz w:val="21"/>
                <w:szCs w:val="21"/>
              </w:rPr>
              <w:t>华胜天成科技股份有限公司在美国注册</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的子公司即华胜天成科技（美国）有限公司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华胜天成科技（香港）有限公司，公司控股子公司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成都华胜天成信息技术有限公司，公司控股子公司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飞杰公司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北京飞杰信息技术有限公司，公司控股子公司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交大思源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北京交大思源科技有限公司，公司控股子公司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深圳华胜天成信息技术有限公司，公司间接控股子公司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浙江兰德纵横网络技术股份有限公司，公司控股子公司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新云东方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北京新云东方系统科技有限责任公司，公司控股子公司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正明科技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石家庄华胜正明科技有限公司，公司间接控股子公司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Calibri" w:hAnsi="Calibri" w:cs="Calibri" w:eastAsia="Calibri" w:hint="default"/>
                <w:sz w:val="21"/>
                <w:szCs w:val="21"/>
              </w:rPr>
              <w:t>I-sprint</w:t>
            </w:r>
            <w:r>
              <w:rPr>
                <w:rFonts w:ascii="Calibri" w:hAnsi="Calibri" w:cs="Calibri" w:eastAsia="Calibri" w:hint="default"/>
                <w:spacing w:val="2"/>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i-Sprint innovations Pte</w:t>
            </w:r>
            <w:r>
              <w:rPr>
                <w:rFonts w:ascii="宋体" w:hAnsi="宋体" w:cs="宋体" w:eastAsia="宋体" w:hint="default"/>
                <w:spacing w:val="-6"/>
                <w:sz w:val="21"/>
                <w:szCs w:val="21"/>
              </w:rPr>
              <w:t> </w:t>
            </w:r>
            <w:r>
              <w:rPr>
                <w:rFonts w:ascii="宋体" w:hAnsi="宋体" w:cs="宋体" w:eastAsia="宋体" w:hint="default"/>
                <w:sz w:val="21"/>
                <w:szCs w:val="21"/>
              </w:rPr>
              <w:t>Ltd.</w:t>
            </w:r>
            <w:r>
              <w:rPr>
                <w:rFonts w:ascii="宋体" w:hAnsi="宋体" w:cs="宋体" w:eastAsia="宋体" w:hint="default"/>
                <w:sz w:val="21"/>
                <w:szCs w:val="21"/>
              </w:rPr>
              <w:t>，公司参股公司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沃趣科技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杭州沃趣网络科技有限公司，公司间接控股子公司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广州石竹计算机软件有限公司，公司控股子公司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南京华胜天成信息技术有限公司，公司控股子公司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摩卡软件（天津）有限公司，公司间接控股子公司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Calibri" w:hAnsi="Calibri" w:cs="Calibri" w:eastAsia="Calibri" w:hint="default"/>
                <w:sz w:val="21"/>
                <w:szCs w:val="21"/>
              </w:rPr>
            </w:pPr>
            <w:r>
              <w:rPr>
                <w:rFonts w:ascii="Calibri"/>
                <w:sz w:val="21"/>
              </w:rPr>
              <w:t>ASL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Automated System Holdings</w:t>
            </w:r>
            <w:r>
              <w:rPr>
                <w:rFonts w:ascii="宋体" w:hAnsi="宋体" w:cs="宋体" w:eastAsia="宋体" w:hint="default"/>
                <w:spacing w:val="-5"/>
                <w:sz w:val="21"/>
                <w:szCs w:val="21"/>
              </w:rPr>
              <w:t> </w:t>
            </w:r>
            <w:r>
              <w:rPr>
                <w:rFonts w:ascii="宋体" w:hAnsi="宋体" w:cs="宋体" w:eastAsia="宋体" w:hint="default"/>
                <w:sz w:val="21"/>
                <w:szCs w:val="21"/>
              </w:rPr>
              <w:t>Limited</w:t>
            </w:r>
            <w:r>
              <w:rPr>
                <w:rFonts w:ascii="宋体" w:hAnsi="宋体" w:cs="宋体" w:eastAsia="宋体" w:hint="default"/>
                <w:sz w:val="21"/>
                <w:szCs w:val="21"/>
              </w:rPr>
              <w:t>，公司间接控股子公司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长天科技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长天科技有限公司，公司间接控股子公司</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华胜租赁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华胜天成（中国）融资租赁有限公司</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Calibri" w:hAnsi="Calibri" w:cs="Calibri" w:eastAsia="Calibri" w:hint="default"/>
                <w:sz w:val="21"/>
                <w:szCs w:val="21"/>
              </w:rPr>
              <w:t>Oracle</w:t>
            </w:r>
            <w:r>
              <w:rPr>
                <w:rFonts w:ascii="Calibri" w:hAnsi="Calibri" w:cs="Calibri" w:eastAsia="Calibri" w:hint="default"/>
                <w:spacing w:val="3"/>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甲骨文软件系统有限公司，国际知名的数据库系统提供商</w:t>
            </w:r>
          </w:p>
        </w:tc>
      </w:tr>
      <w:tr>
        <w:trPr>
          <w:trHeight w:val="9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Calibri" w:hAnsi="Calibri" w:cs="Calibri" w:eastAsia="Calibri" w:hint="default"/>
                <w:sz w:val="21"/>
                <w:szCs w:val="21"/>
              </w:rPr>
              <w:t>HP</w:t>
            </w:r>
            <w:r>
              <w:rPr>
                <w:rFonts w:ascii="Calibri" w:hAnsi="Calibri" w:cs="Calibri" w:eastAsia="Calibri" w:hint="default"/>
                <w:spacing w:val="7"/>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Hewlett-Packard Development</w:t>
            </w:r>
            <w:r>
              <w:rPr>
                <w:rFonts w:ascii="宋体" w:hAnsi="宋体" w:cs="宋体" w:eastAsia="宋体" w:hint="default"/>
                <w:spacing w:val="68"/>
                <w:sz w:val="21"/>
                <w:szCs w:val="21"/>
              </w:rPr>
              <w:t> </w:t>
            </w:r>
            <w:r>
              <w:rPr>
                <w:rFonts w:ascii="宋体" w:hAnsi="宋体" w:cs="宋体" w:eastAsia="宋体" w:hint="default"/>
                <w:sz w:val="21"/>
                <w:szCs w:val="21"/>
              </w:rPr>
              <w:t>Company,L.P.</w:t>
            </w:r>
            <w:r>
              <w:rPr>
                <w:rFonts w:ascii="宋体" w:hAnsi="宋体" w:cs="宋体" w:eastAsia="宋体" w:hint="default"/>
                <w:sz w:val="21"/>
                <w:szCs w:val="21"/>
              </w:rPr>
              <w:t>，是一家美国的资讯</w:t>
            </w:r>
          </w:p>
          <w:p>
            <w:pPr>
              <w:pStyle w:val="TableParagraph"/>
              <w:spacing w:line="272" w:lineRule="exact" w:before="27"/>
              <w:ind w:left="103" w:right="105"/>
              <w:jc w:val="left"/>
              <w:rPr>
                <w:rFonts w:ascii="宋体" w:hAnsi="宋体" w:cs="宋体" w:eastAsia="宋体" w:hint="default"/>
                <w:sz w:val="21"/>
                <w:szCs w:val="21"/>
              </w:rPr>
            </w:pPr>
            <w:r>
              <w:rPr>
                <w:rFonts w:ascii="宋体" w:hAnsi="宋体" w:cs="宋体" w:eastAsia="宋体" w:hint="default"/>
                <w:sz w:val="21"/>
                <w:szCs w:val="21"/>
              </w:rPr>
              <w:t>科技公司，主要专注于生产打印机、数码影像、软件、计算机与资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讯服务等业务</w:t>
            </w:r>
          </w:p>
        </w:tc>
      </w:tr>
      <w:tr>
        <w:trPr>
          <w:trHeight w:val="829"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Calibri" w:hAnsi="Calibri" w:cs="Calibri" w:eastAsia="Calibri" w:hint="default"/>
                <w:sz w:val="21"/>
                <w:szCs w:val="21"/>
              </w:rPr>
              <w:t>CISCO</w:t>
            </w:r>
            <w:r>
              <w:rPr>
                <w:rFonts w:ascii="Calibri" w:hAnsi="Calibri" w:cs="Calibri" w:eastAsia="Calibri" w:hint="default"/>
                <w:spacing w:val="4"/>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思科系统公司（</w:t>
            </w:r>
            <w:r>
              <w:rPr>
                <w:rFonts w:ascii="宋体" w:hAnsi="宋体" w:cs="宋体" w:eastAsia="宋体" w:hint="default"/>
                <w:sz w:val="21"/>
                <w:szCs w:val="21"/>
              </w:rPr>
              <w:t>Cisco Systems,</w:t>
            </w:r>
            <w:r>
              <w:rPr>
                <w:rFonts w:ascii="宋体" w:hAnsi="宋体" w:cs="宋体" w:eastAsia="宋体" w:hint="default"/>
                <w:spacing w:val="-26"/>
                <w:sz w:val="21"/>
                <w:szCs w:val="21"/>
              </w:rPr>
              <w:t> </w:t>
            </w:r>
            <w:r>
              <w:rPr>
                <w:rFonts w:ascii="宋体" w:hAnsi="宋体" w:cs="宋体" w:eastAsia="宋体" w:hint="default"/>
                <w:sz w:val="21"/>
                <w:szCs w:val="21"/>
              </w:rPr>
              <w:t>Inc.</w:t>
            </w:r>
            <w:r>
              <w:rPr>
                <w:rFonts w:ascii="宋体" w:hAnsi="宋体" w:cs="宋体" w:eastAsia="宋体" w:hint="default"/>
                <w:sz w:val="21"/>
                <w:szCs w:val="21"/>
              </w:rPr>
              <w:t>），是一家美国互联网解决方</w:t>
            </w:r>
          </w:p>
          <w:p>
            <w:pPr>
              <w:pStyle w:val="TableParagraph"/>
              <w:spacing w:line="272" w:lineRule="exact" w:before="27"/>
              <w:ind w:left="103" w:right="105"/>
              <w:jc w:val="left"/>
              <w:rPr>
                <w:rFonts w:ascii="宋体" w:hAnsi="宋体" w:cs="宋体" w:eastAsia="宋体" w:hint="default"/>
                <w:sz w:val="21"/>
                <w:szCs w:val="21"/>
              </w:rPr>
            </w:pPr>
            <w:r>
              <w:rPr>
                <w:rFonts w:ascii="宋体" w:hAnsi="宋体" w:cs="宋体" w:eastAsia="宋体" w:hint="default"/>
                <w:sz w:val="21"/>
                <w:szCs w:val="21"/>
              </w:rPr>
              <w:t>案的领先提供者，主要专注于网络建设的各个部分，如路由器、交</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换机等。</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Calibri" w:hAnsi="Calibri" w:cs="Calibri" w:eastAsia="Calibri" w:hint="default"/>
                <w:sz w:val="21"/>
                <w:szCs w:val="21"/>
              </w:rPr>
              <w:t>IBM</w:t>
            </w:r>
            <w:r>
              <w:rPr>
                <w:rFonts w:ascii="Calibri" w:hAnsi="Calibri" w:cs="Calibri" w:eastAsia="Calibri" w:hint="default"/>
                <w:spacing w:val="8"/>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International</w:t>
            </w:r>
            <w:r>
              <w:rPr>
                <w:rFonts w:ascii="宋体" w:hAnsi="宋体" w:cs="宋体" w:eastAsia="宋体" w:hint="default"/>
                <w:spacing w:val="-1"/>
                <w:sz w:val="21"/>
                <w:szCs w:val="21"/>
              </w:rPr>
              <w:t> </w:t>
            </w:r>
            <w:r>
              <w:rPr>
                <w:rFonts w:ascii="宋体" w:hAnsi="宋体" w:cs="宋体" w:eastAsia="宋体" w:hint="default"/>
                <w:sz w:val="21"/>
                <w:szCs w:val="21"/>
              </w:rPr>
              <w:t>Business</w:t>
            </w:r>
            <w:r>
              <w:rPr>
                <w:rFonts w:ascii="宋体" w:hAnsi="宋体" w:cs="宋体" w:eastAsia="宋体" w:hint="default"/>
                <w:spacing w:val="-41"/>
                <w:sz w:val="21"/>
                <w:szCs w:val="21"/>
              </w:rPr>
              <w:t> </w:t>
            </w:r>
            <w:r>
              <w:rPr>
                <w:rFonts w:ascii="宋体" w:hAnsi="宋体" w:cs="宋体" w:eastAsia="宋体" w:hint="default"/>
                <w:sz w:val="21"/>
                <w:szCs w:val="21"/>
              </w:rPr>
              <w:t>Machines</w:t>
            </w:r>
            <w:r>
              <w:rPr>
                <w:rFonts w:ascii="宋体" w:hAnsi="宋体" w:cs="宋体" w:eastAsia="宋体" w:hint="default"/>
                <w:spacing w:val="-38"/>
                <w:sz w:val="21"/>
                <w:szCs w:val="21"/>
              </w:rPr>
              <w:t> </w:t>
            </w:r>
            <w:r>
              <w:rPr>
                <w:rFonts w:ascii="宋体" w:hAnsi="宋体" w:cs="宋体" w:eastAsia="宋体" w:hint="default"/>
                <w:sz w:val="21"/>
                <w:szCs w:val="21"/>
              </w:rPr>
              <w:t>Corporation</w:t>
            </w:r>
            <w:r>
              <w:rPr>
                <w:rFonts w:ascii="宋体" w:hAnsi="宋体" w:cs="宋体" w:eastAsia="宋体" w:hint="default"/>
                <w:spacing w:val="-53"/>
                <w:sz w:val="21"/>
                <w:szCs w:val="21"/>
              </w:rPr>
              <w:t> </w:t>
            </w:r>
            <w:r>
              <w:rPr>
                <w:rFonts w:ascii="宋体" w:hAnsi="宋体" w:cs="宋体" w:eastAsia="宋体" w:hint="default"/>
                <w:sz w:val="21"/>
                <w:szCs w:val="21"/>
              </w:rPr>
              <w:t>即国际商业机器公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司，或万国商业机器公司的简称</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Calibri" w:hAnsi="Calibri" w:cs="Calibri" w:eastAsia="Calibri" w:hint="default"/>
                <w:sz w:val="21"/>
                <w:szCs w:val="21"/>
              </w:rPr>
            </w:pPr>
            <w:r>
              <w:rPr>
                <w:rFonts w:ascii="Calibri"/>
                <w:sz w:val="21"/>
              </w:rPr>
              <w:t>IaaS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基础设施即服务消费者通过</w:t>
            </w:r>
            <w:r>
              <w:rPr>
                <w:rFonts w:ascii="宋体" w:hAnsi="宋体" w:cs="宋体" w:eastAsia="宋体" w:hint="default"/>
                <w:spacing w:val="-66"/>
                <w:sz w:val="21"/>
                <w:szCs w:val="21"/>
              </w:rPr>
              <w:t> </w:t>
            </w:r>
            <w:r>
              <w:rPr>
                <w:rFonts w:ascii="宋体" w:hAnsi="宋体" w:cs="宋体" w:eastAsia="宋体" w:hint="default"/>
                <w:sz w:val="21"/>
                <w:szCs w:val="21"/>
              </w:rPr>
              <w:t>Internet</w:t>
            </w:r>
            <w:r>
              <w:rPr>
                <w:rFonts w:ascii="宋体" w:hAnsi="宋体" w:cs="宋体" w:eastAsia="宋体" w:hint="default"/>
                <w:spacing w:val="-66"/>
                <w:sz w:val="21"/>
                <w:szCs w:val="21"/>
              </w:rPr>
              <w:t> </w:t>
            </w:r>
            <w:r>
              <w:rPr>
                <w:rFonts w:ascii="宋体" w:hAnsi="宋体" w:cs="宋体" w:eastAsia="宋体" w:hint="default"/>
                <w:sz w:val="21"/>
                <w:szCs w:val="21"/>
              </w:rPr>
              <w:t>可以从完善的计算机基础设施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获得服务</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Calibri" w:hAnsi="Calibri" w:cs="Calibri" w:eastAsia="Calibri" w:hint="default"/>
                <w:sz w:val="21"/>
                <w:szCs w:val="21"/>
              </w:rPr>
            </w:pPr>
            <w:r>
              <w:rPr>
                <w:rFonts w:ascii="Calibri"/>
                <w:sz w:val="21"/>
              </w:rPr>
              <w:t>PaaS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Platform as a Service</w:t>
            </w:r>
            <w:r>
              <w:rPr>
                <w:rFonts w:ascii="宋体" w:hAnsi="宋体" w:cs="宋体" w:eastAsia="宋体" w:hint="default"/>
                <w:spacing w:val="-54"/>
                <w:sz w:val="21"/>
                <w:szCs w:val="21"/>
              </w:rPr>
              <w:t> </w:t>
            </w:r>
            <w:r>
              <w:rPr>
                <w:rFonts w:ascii="宋体" w:hAnsi="宋体" w:cs="宋体" w:eastAsia="宋体" w:hint="default"/>
                <w:sz w:val="21"/>
                <w:szCs w:val="21"/>
              </w:rPr>
              <w:t>将软件研发的平台作为一种服务</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Calibri" w:hAnsi="Calibri" w:cs="Calibri" w:eastAsia="Calibri" w:hint="default"/>
                <w:sz w:val="21"/>
                <w:szCs w:val="21"/>
              </w:rPr>
            </w:pPr>
            <w:r>
              <w:rPr>
                <w:rFonts w:ascii="Calibri"/>
                <w:sz w:val="21"/>
              </w:rPr>
              <w:t>SaaS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5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Software</w:t>
            </w:r>
            <w:r>
              <w:rPr>
                <w:rFonts w:ascii="宋体" w:hAnsi="宋体" w:cs="宋体" w:eastAsia="宋体" w:hint="default"/>
                <w:spacing w:val="-25"/>
                <w:sz w:val="21"/>
                <w:szCs w:val="21"/>
              </w:rPr>
              <w:t> </w:t>
            </w:r>
            <w:r>
              <w:rPr>
                <w:rFonts w:ascii="宋体" w:hAnsi="宋体" w:cs="宋体" w:eastAsia="宋体" w:hint="default"/>
                <w:sz w:val="21"/>
                <w:szCs w:val="21"/>
              </w:rPr>
              <w:t>as</w:t>
            </w:r>
            <w:r>
              <w:rPr>
                <w:rFonts w:ascii="宋体" w:hAnsi="宋体" w:cs="宋体" w:eastAsia="宋体" w:hint="default"/>
                <w:spacing w:val="-25"/>
                <w:sz w:val="21"/>
                <w:szCs w:val="21"/>
              </w:rPr>
              <w:t> </w:t>
            </w:r>
            <w:r>
              <w:rPr>
                <w:rFonts w:ascii="宋体" w:hAnsi="宋体" w:cs="宋体" w:eastAsia="宋体" w:hint="default"/>
                <w:sz w:val="21"/>
                <w:szCs w:val="21"/>
              </w:rPr>
              <w:t>a</w:t>
            </w:r>
            <w:r>
              <w:rPr>
                <w:rFonts w:ascii="宋体" w:hAnsi="宋体" w:cs="宋体" w:eastAsia="宋体" w:hint="default"/>
                <w:spacing w:val="-25"/>
                <w:sz w:val="21"/>
                <w:szCs w:val="21"/>
              </w:rPr>
              <w:t> </w:t>
            </w:r>
            <w:r>
              <w:rPr>
                <w:rFonts w:ascii="宋体" w:hAnsi="宋体" w:cs="宋体" w:eastAsia="宋体" w:hint="default"/>
                <w:sz w:val="21"/>
                <w:szCs w:val="21"/>
              </w:rPr>
              <w:t>service</w:t>
            </w:r>
            <w:r>
              <w:rPr>
                <w:rFonts w:ascii="宋体" w:hAnsi="宋体" w:cs="宋体" w:eastAsia="宋体" w:hint="default"/>
                <w:spacing w:val="-55"/>
                <w:sz w:val="21"/>
                <w:szCs w:val="21"/>
              </w:rPr>
              <w:t> </w:t>
            </w:r>
            <w:r>
              <w:rPr>
                <w:rFonts w:ascii="宋体" w:hAnsi="宋体" w:cs="宋体" w:eastAsia="宋体" w:hint="default"/>
                <w:sz w:val="21"/>
                <w:szCs w:val="21"/>
              </w:rPr>
              <w:t>的意思是软件即服务，是基于互联网提供软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件服务的软件应用模式</w:t>
            </w:r>
          </w:p>
        </w:tc>
      </w:tr>
    </w:tbl>
    <w:p>
      <w:pPr>
        <w:spacing w:after="0" w:line="273" w:lineRule="exact"/>
        <w:jc w:val="left"/>
        <w:rPr>
          <w:rFonts w:ascii="宋体" w:hAnsi="宋体" w:cs="宋体" w:eastAsia="宋体" w:hint="default"/>
          <w:sz w:val="21"/>
          <w:szCs w:val="21"/>
        </w:rPr>
        <w:sectPr>
          <w:headerReference w:type="default" r:id="rId7"/>
          <w:footerReference w:type="default" r:id="rId8"/>
          <w:pgSz w:w="11910" w:h="16840"/>
          <w:pgMar w:header="880" w:footer="1195" w:top="1120" w:bottom="1380" w:left="1060" w:right="1560"/>
          <w:pgNumType w:start="4"/>
        </w:sectPr>
      </w:pPr>
    </w:p>
    <w:p>
      <w:pPr>
        <w:spacing w:line="240" w:lineRule="auto" w:before="6"/>
        <w:rPr>
          <w:rFonts w:ascii="宋体" w:hAnsi="宋体" w:cs="宋体" w:eastAsia="宋体" w:hint="default"/>
          <w:sz w:val="19"/>
          <w:szCs w:val="19"/>
        </w:rPr>
      </w:pPr>
    </w:p>
    <w:p>
      <w:pPr>
        <w:pStyle w:val="Heading1"/>
        <w:tabs>
          <w:tab w:pos="3636" w:val="left" w:leader="none"/>
        </w:tabs>
        <w:spacing w:line="240" w:lineRule="auto"/>
        <w:ind w:left="2376" w:right="144"/>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1"/>
        <w:rPr>
          <w:rFonts w:ascii="黑体" w:hAnsi="黑体" w:cs="黑体" w:eastAsia="黑体" w:hint="default"/>
          <w:b/>
          <w:bCs/>
          <w:sz w:val="16"/>
          <w:szCs w:val="16"/>
        </w:rPr>
      </w:pPr>
    </w:p>
    <w:p>
      <w:pPr>
        <w:pStyle w:val="Heading2"/>
        <w:spacing w:line="240" w:lineRule="auto"/>
        <w:ind w:left="137" w:right="144"/>
        <w:jc w:val="left"/>
        <w:rPr>
          <w:b w:val="0"/>
          <w:bCs w:val="0"/>
        </w:rPr>
      </w:pPr>
      <w:r>
        <w:rPr/>
        <w:t>一、</w:t>
      </w:r>
      <w:r>
        <w:rPr>
          <w:spacing w:val="-37"/>
        </w:rPr>
        <w:t> </w:t>
      </w:r>
      <w:r>
        <w:rPr/>
        <w:t>公司信息</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716"/>
        <w:gridCol w:w="5180"/>
      </w:tblGrid>
      <w:tr>
        <w:trPr>
          <w:trHeight w:val="319"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w:t>
            </w:r>
          </w:p>
        </w:tc>
      </w:tr>
      <w:tr>
        <w:trPr>
          <w:trHeight w:val="322"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华胜天成</w:t>
            </w:r>
          </w:p>
        </w:tc>
      </w:tr>
      <w:tr>
        <w:trPr>
          <w:trHeight w:val="322"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sz w:val="24"/>
              </w:rPr>
              <w:t>BEIJINGTEAMSUN TECHNOLOGY CO., LTD.</w:t>
            </w:r>
          </w:p>
        </w:tc>
      </w:tr>
      <w:tr>
        <w:trPr>
          <w:trHeight w:val="322"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Teamsun</w:t>
            </w:r>
          </w:p>
        </w:tc>
      </w:tr>
      <w:tr>
        <w:trPr>
          <w:trHeight w:val="322"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王维航</w:t>
            </w:r>
          </w:p>
        </w:tc>
      </w:tr>
      <w:tr>
        <w:trPr>
          <w:trHeight w:val="322" w:hRule="exact"/>
        </w:trPr>
        <w:tc>
          <w:tcPr>
            <w:tcW w:w="3716" w:type="dxa"/>
            <w:tcBorders>
              <w:top w:val="single" w:sz="4" w:space="0" w:color="000000"/>
              <w:left w:val="single" w:sz="4" w:space="0" w:color="000000"/>
              <w:bottom w:val="single" w:sz="4" w:space="0" w:color="000000"/>
              <w:right w:val="single" w:sz="4" w:space="0" w:color="000000"/>
            </w:tcBorders>
          </w:tcPr>
          <w:p>
            <w:pPr/>
          </w:p>
        </w:tc>
        <w:tc>
          <w:tcPr>
            <w:tcW w:w="51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16" w:type="dxa"/>
            <w:tcBorders>
              <w:top w:val="single" w:sz="4" w:space="0" w:color="000000"/>
              <w:left w:val="single" w:sz="4" w:space="0" w:color="000000"/>
              <w:bottom w:val="single" w:sz="4" w:space="0" w:color="000000"/>
              <w:right w:val="single" w:sz="4" w:space="0" w:color="000000"/>
            </w:tcBorders>
          </w:tcPr>
          <w:p>
            <w:pPr/>
          </w:p>
        </w:tc>
        <w:tc>
          <w:tcPr>
            <w:tcW w:w="5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3"/>
          <w:szCs w:val="23"/>
        </w:rPr>
      </w:pPr>
    </w:p>
    <w:p>
      <w:pPr>
        <w:pStyle w:val="Heading2"/>
        <w:spacing w:line="240" w:lineRule="auto"/>
        <w:ind w:left="137" w:right="144"/>
        <w:jc w:val="left"/>
        <w:rPr>
          <w:b w:val="0"/>
          <w:bCs w:val="0"/>
        </w:rPr>
      </w:pPr>
      <w:r>
        <w:rPr/>
        <w:t>二、</w:t>
      </w:r>
      <w:r>
        <w:rPr>
          <w:spacing w:val="-39"/>
        </w:rPr>
        <w:t> </w:t>
      </w:r>
      <w:r>
        <w:rPr/>
        <w:t>联系人和联系方式</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1712"/>
        <w:gridCol w:w="3289"/>
        <w:gridCol w:w="3896"/>
      </w:tblGrid>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7"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1"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代双珠</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张月英</w:t>
            </w:r>
          </w:p>
        </w:tc>
      </w:tr>
      <w:tr>
        <w:trPr>
          <w:trHeight w:val="63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z w:val="24"/>
                <w:szCs w:val="24"/>
              </w:rPr>
              <w:t>8</w:t>
            </w:r>
            <w:r>
              <w:rPr>
                <w:rFonts w:ascii="宋体" w:hAnsi="宋体" w:cs="宋体" w:eastAsia="宋体" w:hint="default"/>
                <w:sz w:val="24"/>
                <w:szCs w:val="24"/>
              </w:rPr>
              <w:t>号科技</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财富中心</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10-11</w:t>
            </w:r>
            <w:r>
              <w:rPr>
                <w:rFonts w:ascii="宋体" w:hAnsi="宋体" w:cs="宋体" w:eastAsia="宋体" w:hint="default"/>
                <w:sz w:val="24"/>
                <w:szCs w:val="24"/>
              </w:rPr>
              <w:t>层</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北京市海淀区学东北旺西路软件园</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二期华胜天成科研大楼</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010-80986666</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010-80986666</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010-80986020</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010-80986020</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9">
              <w:r>
                <w:rPr>
                  <w:rFonts w:ascii="宋体"/>
                  <w:sz w:val="24"/>
                </w:rPr>
                <w:t>securities@teamsun.com.cn</w:t>
              </w:r>
            </w:hyperlink>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9">
              <w:r>
                <w:rPr>
                  <w:rFonts w:ascii="宋体"/>
                  <w:sz w:val="24"/>
                </w:rPr>
                <w:t>securities@teamsun.com.cn</w:t>
              </w:r>
            </w:hyperlink>
          </w:p>
        </w:tc>
      </w:tr>
    </w:tbl>
    <w:p>
      <w:pPr>
        <w:spacing w:line="240" w:lineRule="auto" w:before="5"/>
        <w:rPr>
          <w:rFonts w:ascii="宋体" w:hAnsi="宋体" w:cs="宋体" w:eastAsia="宋体" w:hint="default"/>
          <w:b/>
          <w:bCs/>
          <w:sz w:val="23"/>
          <w:szCs w:val="23"/>
        </w:rPr>
      </w:pPr>
    </w:p>
    <w:p>
      <w:pPr>
        <w:pStyle w:val="Heading2"/>
        <w:spacing w:line="240" w:lineRule="auto"/>
        <w:ind w:left="137" w:right="144"/>
        <w:jc w:val="left"/>
        <w:rPr>
          <w:b w:val="0"/>
          <w:bCs w:val="0"/>
        </w:rPr>
      </w:pPr>
      <w:r>
        <w:rPr/>
        <w:t>三、</w:t>
      </w:r>
      <w:r>
        <w:rPr>
          <w:spacing w:val="-39"/>
        </w:rPr>
        <w:t> </w:t>
      </w:r>
      <w:r>
        <w:rPr/>
        <w:t>基本情况简介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570"/>
        <w:gridCol w:w="5327"/>
      </w:tblGrid>
      <w:tr>
        <w:trPr>
          <w:trHeight w:val="319"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z w:val="24"/>
                <w:szCs w:val="24"/>
              </w:rPr>
              <w:t>8</w:t>
            </w:r>
            <w:r>
              <w:rPr>
                <w:rFonts w:ascii="宋体" w:hAnsi="宋体" w:cs="宋体" w:eastAsia="宋体" w:hint="default"/>
                <w:sz w:val="24"/>
                <w:szCs w:val="24"/>
              </w:rPr>
              <w:t>号科技财富中心</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10-11</w:t>
            </w:r>
            <w:r>
              <w:rPr>
                <w:rFonts w:ascii="宋体" w:hAnsi="宋体" w:cs="宋体" w:eastAsia="宋体" w:hint="default"/>
                <w:sz w:val="24"/>
                <w:szCs w:val="24"/>
              </w:rPr>
              <w:t>层</w:t>
            </w:r>
          </w:p>
        </w:tc>
      </w:tr>
      <w:tr>
        <w:trPr>
          <w:trHeight w:val="32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sz w:val="24"/>
              </w:rPr>
              <w:t>100192</w:t>
            </w:r>
          </w:p>
        </w:tc>
      </w:tr>
      <w:tr>
        <w:trPr>
          <w:trHeight w:val="63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北京市海淀区学东北旺西路软件园二期华胜天成</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科研大楼</w:t>
            </w:r>
          </w:p>
        </w:tc>
      </w:tr>
      <w:tr>
        <w:trPr>
          <w:trHeight w:val="32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100193</w:t>
            </w:r>
          </w:p>
        </w:tc>
      </w:tr>
      <w:tr>
        <w:trPr>
          <w:trHeight w:val="319"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10">
              <w:r>
                <w:rPr>
                  <w:rFonts w:ascii="宋体"/>
                  <w:sz w:val="24"/>
                </w:rPr>
                <w:t>http://www.teamsun.com.cn</w:t>
              </w:r>
            </w:hyperlink>
          </w:p>
        </w:tc>
      </w:tr>
      <w:tr>
        <w:trPr>
          <w:trHeight w:val="32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hyperlink r:id="rId9">
              <w:r>
                <w:rPr>
                  <w:rFonts w:ascii="宋体"/>
                  <w:sz w:val="24"/>
                </w:rPr>
                <w:t>securities@teamsun.com.cn</w:t>
              </w:r>
            </w:hyperlink>
          </w:p>
        </w:tc>
      </w:tr>
    </w:tbl>
    <w:p>
      <w:pPr>
        <w:spacing w:line="240" w:lineRule="auto" w:before="5"/>
        <w:rPr>
          <w:rFonts w:ascii="宋体" w:hAnsi="宋体" w:cs="宋体" w:eastAsia="宋体" w:hint="default"/>
          <w:b/>
          <w:bCs/>
          <w:sz w:val="23"/>
          <w:szCs w:val="23"/>
        </w:rPr>
      </w:pPr>
    </w:p>
    <w:p>
      <w:pPr>
        <w:pStyle w:val="Heading2"/>
        <w:spacing w:line="240" w:lineRule="auto"/>
        <w:ind w:left="137" w:right="144"/>
        <w:jc w:val="left"/>
        <w:rPr>
          <w:b w:val="0"/>
          <w:bCs w:val="0"/>
        </w:rPr>
      </w:pPr>
      <w:r>
        <w:rPr/>
        <w:t>四、</w:t>
      </w:r>
      <w:r>
        <w:rPr>
          <w:spacing w:val="-38"/>
        </w:rPr>
        <w:t> </w:t>
      </w:r>
      <w:r>
        <w:rPr/>
        <w:t>信息披露及备置地点</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4143"/>
        <w:gridCol w:w="4753"/>
      </w:tblGrid>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《中国证券报》和《上海证券报》</w:t>
            </w:r>
          </w:p>
        </w:tc>
      </w:tr>
      <w:tr>
        <w:trPr>
          <w:trHeight w:val="63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11">
              <w:r>
                <w:rPr>
                  <w:rFonts w:ascii="宋体"/>
                  <w:sz w:val="24"/>
                </w:rPr>
                <w:t>www.sse.com.cn</w:t>
              </w:r>
            </w:hyperlink>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北京华胜天成科技股份有限公司证券部</w:t>
            </w:r>
          </w:p>
        </w:tc>
      </w:tr>
    </w:tbl>
    <w:p>
      <w:pPr>
        <w:spacing w:line="240" w:lineRule="auto" w:before="5"/>
        <w:rPr>
          <w:rFonts w:ascii="宋体" w:hAnsi="宋体" w:cs="宋体" w:eastAsia="宋体" w:hint="default"/>
          <w:b/>
          <w:bCs/>
          <w:sz w:val="23"/>
          <w:szCs w:val="23"/>
        </w:rPr>
      </w:pPr>
    </w:p>
    <w:p>
      <w:pPr>
        <w:pStyle w:val="Heading2"/>
        <w:spacing w:line="240" w:lineRule="auto"/>
        <w:ind w:left="137" w:right="144"/>
        <w:jc w:val="left"/>
        <w:rPr>
          <w:b w:val="0"/>
          <w:bCs w:val="0"/>
        </w:rPr>
      </w:pPr>
      <w:r>
        <w:rPr/>
        <w:t>五、</w:t>
      </w:r>
      <w:r>
        <w:rPr>
          <w:spacing w:val="-39"/>
        </w:rPr>
        <w:t> </w:t>
      </w:r>
      <w:r>
        <w:rPr/>
        <w:t>公司股票简况</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2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31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6" w:right="0"/>
              <w:jc w:val="left"/>
              <w:rPr>
                <w:rFonts w:ascii="宋体" w:hAnsi="宋体" w:cs="宋体" w:eastAsia="宋体" w:hint="default"/>
                <w:sz w:val="24"/>
                <w:szCs w:val="24"/>
              </w:rPr>
            </w:pPr>
            <w:r>
              <w:rPr>
                <w:rFonts w:ascii="宋体" w:hAnsi="宋体" w:cs="宋体" w:eastAsia="宋体" w:hint="default"/>
                <w:sz w:val="24"/>
                <w:szCs w:val="24"/>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hAnsi="宋体" w:cs="宋体" w:eastAsia="宋体" w:hint="default"/>
                <w:sz w:val="24"/>
                <w:szCs w:val="24"/>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3"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5"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华胜天成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sz w:val="24"/>
              </w:rPr>
              <w:t>600410</w:t>
            </w:r>
          </w:p>
        </w:tc>
        <w:tc>
          <w:tcPr>
            <w:tcW w:w="17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79"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40" w:right="1640"/>
        </w:sectPr>
      </w:pPr>
    </w:p>
    <w:p>
      <w:pPr>
        <w:spacing w:line="240" w:lineRule="auto" w:before="2"/>
        <w:rPr>
          <w:rFonts w:ascii="宋体" w:hAnsi="宋体" w:cs="宋体" w:eastAsia="宋体" w:hint="default"/>
          <w:b/>
          <w:bCs/>
          <w:sz w:val="19"/>
          <w:szCs w:val="19"/>
        </w:rPr>
      </w:pPr>
    </w:p>
    <w:p>
      <w:pPr>
        <w:pStyle w:val="Heading2"/>
        <w:spacing w:line="240" w:lineRule="auto"/>
        <w:ind w:left="657" w:right="0"/>
        <w:jc w:val="left"/>
        <w:rPr>
          <w:b w:val="0"/>
          <w:bCs w:val="0"/>
        </w:rPr>
      </w:pPr>
      <w:r>
        <w:rPr/>
        <w:t>六、</w:t>
      </w:r>
      <w:r>
        <w:rPr>
          <w:spacing w:val="-40"/>
        </w:rPr>
        <w:t> </w:t>
      </w:r>
      <w:r>
        <w:rPr/>
        <w:t>其他相关资料</w:t>
      </w:r>
      <w:r>
        <w:rPr>
          <w:b w:val="0"/>
          <w:bCs w:val="0"/>
        </w:rPr>
      </w:r>
    </w:p>
    <w:p>
      <w:pPr>
        <w:spacing w:line="240" w:lineRule="auto" w:before="7"/>
        <w:rPr>
          <w:rFonts w:ascii="宋体" w:hAnsi="宋体" w:cs="宋体" w:eastAsia="宋体" w:hint="default"/>
          <w:b/>
          <w:bCs/>
          <w:sz w:val="7"/>
          <w:szCs w:val="7"/>
        </w:rPr>
      </w:pPr>
    </w:p>
    <w:tbl>
      <w:tblPr>
        <w:tblW w:w="0" w:type="auto"/>
        <w:jc w:val="left"/>
        <w:tblInd w:w="544" w:type="dxa"/>
        <w:tblLayout w:type="fixed"/>
        <w:tblCellMar>
          <w:top w:w="0" w:type="dxa"/>
          <w:left w:w="0" w:type="dxa"/>
          <w:bottom w:w="0" w:type="dxa"/>
          <w:right w:w="0" w:type="dxa"/>
        </w:tblCellMar>
        <w:tblLook w:val="01E0"/>
      </w:tblPr>
      <w:tblGrid>
        <w:gridCol w:w="2994"/>
        <w:gridCol w:w="1795"/>
        <w:gridCol w:w="4261"/>
      </w:tblGrid>
      <w:tr>
        <w:trPr>
          <w:trHeight w:val="322"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33"/>
                <w:szCs w:val="33"/>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pacing w:val="11"/>
                <w:sz w:val="24"/>
                <w:szCs w:val="24"/>
              </w:rPr>
              <w:t>公司聘请的会计师事务所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致同会计师事务所（特殊普通合伙）</w:t>
            </w:r>
          </w:p>
        </w:tc>
      </w:tr>
      <w:tr>
        <w:trPr>
          <w:trHeight w:val="63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北京市朝阳区建国门外大街 </w:t>
            </w:r>
            <w:r>
              <w:rPr>
                <w:rFonts w:ascii="宋体" w:hAnsi="宋体" w:cs="宋体" w:eastAsia="宋体" w:hint="default"/>
                <w:sz w:val="24"/>
                <w:szCs w:val="24"/>
              </w:rPr>
              <w:t>22</w:t>
            </w:r>
            <w:r>
              <w:rPr>
                <w:rFonts w:ascii="宋体" w:hAnsi="宋体" w:cs="宋体" w:eastAsia="宋体" w:hint="default"/>
                <w:spacing w:val="-33"/>
                <w:sz w:val="24"/>
                <w:szCs w:val="24"/>
              </w:rPr>
              <w:t> </w:t>
            </w:r>
            <w:r>
              <w:rPr>
                <w:rFonts w:ascii="宋体" w:hAnsi="宋体" w:cs="宋体" w:eastAsia="宋体" w:hint="default"/>
                <w:sz w:val="24"/>
                <w:szCs w:val="24"/>
              </w:rPr>
              <w:t>号赛特</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广场</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634"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签字会计师姓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tabs>
                <w:tab w:pos="1181" w:val="left" w:leader="none"/>
              </w:tabs>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郑建彪</w:t>
              <w:tab/>
              <w:t>王娟</w:t>
            </w:r>
          </w:p>
        </w:tc>
      </w:tr>
    </w:tbl>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620" w:right="1560"/>
        </w:sectPr>
      </w:pPr>
    </w:p>
    <w:p>
      <w:pPr>
        <w:pStyle w:val="Heading2"/>
        <w:spacing w:line="240" w:lineRule="auto"/>
        <w:ind w:left="657" w:right="-17"/>
        <w:jc w:val="left"/>
        <w:rPr>
          <w:b w:val="0"/>
          <w:bCs w:val="0"/>
        </w:rPr>
      </w:pPr>
      <w:r>
        <w:rPr/>
        <w:t>七、</w:t>
      </w:r>
      <w:r>
        <w:rPr>
          <w:spacing w:val="-37"/>
        </w:rPr>
        <w:t> </w:t>
      </w:r>
      <w:r>
        <w:rPr/>
        <w:t>近三年主要会计数据和财务指标</w:t>
      </w:r>
      <w:r>
        <w:rPr>
          <w:b w:val="0"/>
          <w:bCs w:val="0"/>
        </w:rPr>
      </w:r>
    </w:p>
    <w:p>
      <w:pPr>
        <w:pStyle w:val="Heading2"/>
        <w:spacing w:line="240" w:lineRule="auto" w:before="58"/>
        <w:ind w:left="657"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857" w:val="left" w:leader="none"/>
        </w:tabs>
        <w:spacing w:line="240" w:lineRule="auto"/>
        <w:ind w:left="657" w:right="0"/>
        <w:jc w:val="left"/>
      </w:pPr>
      <w:r>
        <w:rPr/>
        <w:t>单位：元</w:t>
        <w:tab/>
        <w:t>币种：人民币</w:t>
      </w:r>
    </w:p>
    <w:p>
      <w:pPr>
        <w:spacing w:after="0" w:line="240" w:lineRule="auto"/>
        <w:jc w:val="left"/>
        <w:sectPr>
          <w:type w:val="continuous"/>
          <w:pgSz w:w="11910" w:h="16840"/>
          <w:pgMar w:top="1120" w:bottom="1380" w:left="620" w:right="1560"/>
          <w:cols w:num="2" w:equalWidth="0">
            <w:col w:w="4600" w:space="1593"/>
            <w:col w:w="3537"/>
          </w:cols>
        </w:sectPr>
      </w:pPr>
    </w:p>
    <w:p>
      <w:pPr>
        <w:spacing w:line="240" w:lineRule="auto" w:before="8"/>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143"/>
        <w:gridCol w:w="1452"/>
        <w:gridCol w:w="1453"/>
        <w:gridCol w:w="1452"/>
        <w:gridCol w:w="896"/>
        <w:gridCol w:w="1454"/>
        <w:gridCol w:w="1453"/>
      </w:tblGrid>
      <w:tr>
        <w:trPr>
          <w:trHeight w:val="420"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主要会计数据</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z w:val="15"/>
                <w:szCs w:val="15"/>
              </w:rPr>
              <w:t>年</w:t>
            </w:r>
          </w:p>
        </w:tc>
        <w:tc>
          <w:tcPr>
            <w:tcW w:w="2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z w:val="15"/>
                <w:szCs w:val="15"/>
              </w:rPr>
              <w:t>年</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36"/>
              <w:ind w:left="141" w:right="139"/>
              <w:jc w:val="center"/>
              <w:rPr>
                <w:rFonts w:ascii="宋体" w:hAnsi="宋体" w:cs="宋体" w:eastAsia="宋体" w:hint="default"/>
                <w:sz w:val="15"/>
                <w:szCs w:val="15"/>
              </w:rPr>
            </w:pPr>
            <w:r>
              <w:rPr>
                <w:rFonts w:ascii="宋体" w:hAnsi="宋体" w:cs="宋体" w:eastAsia="宋体" w:hint="default"/>
                <w:sz w:val="15"/>
                <w:szCs w:val="15"/>
              </w:rPr>
              <w:t>本期比上</w:t>
            </w:r>
            <w:r>
              <w:rPr>
                <w:rFonts w:ascii="宋体" w:hAnsi="宋体" w:cs="宋体" w:eastAsia="宋体" w:hint="default"/>
                <w:w w:val="100"/>
                <w:sz w:val="15"/>
                <w:szCs w:val="15"/>
              </w:rPr>
              <w:t> </w:t>
            </w:r>
            <w:r>
              <w:rPr>
                <w:rFonts w:ascii="宋体" w:hAnsi="宋体" w:cs="宋体" w:eastAsia="宋体" w:hint="default"/>
                <w:sz w:val="15"/>
                <w:szCs w:val="15"/>
              </w:rPr>
              <w:t>年同期增</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sz w:val="15"/>
                <w:szCs w:val="15"/>
              </w:rPr>
              <w:t>(%)</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z w:val="15"/>
                <w:szCs w:val="15"/>
              </w:rPr>
              <w:t>年</w:t>
            </w:r>
          </w:p>
        </w:tc>
      </w:tr>
      <w:tr>
        <w:trPr>
          <w:trHeight w:val="295" w:hRule="exact"/>
        </w:trPr>
        <w:tc>
          <w:tcPr>
            <w:tcW w:w="1143"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调整前</w:t>
            </w:r>
          </w:p>
        </w:tc>
        <w:tc>
          <w:tcPr>
            <w:tcW w:w="896"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调整前</w:t>
            </w:r>
          </w:p>
        </w:tc>
      </w:tr>
      <w:tr>
        <w:trPr>
          <w:trHeight w:val="29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4,792,983,046.38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4,278,544,505.57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4,278,544,505.57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12.02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4,816,016,513.55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4,816,016,513.55</w:t>
            </w:r>
          </w:p>
        </w:tc>
      </w:tr>
      <w:tr>
        <w:trPr>
          <w:trHeight w:val="59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归属于上市公</w:t>
            </w:r>
          </w:p>
          <w:p>
            <w:pPr>
              <w:pStyle w:val="TableParagraph"/>
              <w:spacing w:line="240" w:lineRule="auto"/>
              <w:ind w:left="103" w:right="102"/>
              <w:jc w:val="left"/>
              <w:rPr>
                <w:rFonts w:ascii="宋体" w:hAnsi="宋体" w:cs="宋体" w:eastAsia="宋体" w:hint="default"/>
                <w:sz w:val="15"/>
                <w:szCs w:val="15"/>
              </w:rPr>
            </w:pPr>
            <w:r>
              <w:rPr>
                <w:rFonts w:ascii="宋体" w:hAnsi="宋体" w:cs="宋体" w:eastAsia="宋体" w:hint="default"/>
                <w:sz w:val="15"/>
                <w:szCs w:val="15"/>
              </w:rPr>
              <w:t>司股东的净利</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51,770,171.12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95,133,561.09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95,133,561.09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5"/>
              <w:jc w:val="right"/>
              <w:rPr>
                <w:rFonts w:ascii="宋体" w:hAnsi="宋体" w:cs="宋体" w:eastAsia="宋体" w:hint="default"/>
                <w:sz w:val="15"/>
                <w:szCs w:val="15"/>
              </w:rPr>
            </w:pPr>
            <w:r>
              <w:rPr>
                <w:rFonts w:ascii="宋体"/>
                <w:spacing w:val="-1"/>
                <w:sz w:val="15"/>
              </w:rPr>
              <w:t>-45.58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41,384,775.02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41,384,775.02</w:t>
            </w:r>
          </w:p>
        </w:tc>
      </w:tr>
      <w:tr>
        <w:trPr>
          <w:trHeight w:val="787"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归属于上市公</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z w:val="15"/>
                <w:szCs w:val="15"/>
              </w:rPr>
              <w:t>司股东的扣除</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非经常性损益</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的净利润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28,827,250.61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46,686,090.05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46,686,090.05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1" w:right="0"/>
              <w:jc w:val="left"/>
              <w:rPr>
                <w:rFonts w:ascii="宋体" w:hAnsi="宋体" w:cs="宋体" w:eastAsia="宋体" w:hint="default"/>
                <w:sz w:val="15"/>
                <w:szCs w:val="15"/>
              </w:rPr>
            </w:pPr>
            <w:r>
              <w:rPr>
                <w:rFonts w:ascii="宋体"/>
                <w:sz w:val="15"/>
              </w:rPr>
              <w:t>-38.25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23,510,604.79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23,510,604.79</w:t>
            </w:r>
          </w:p>
        </w:tc>
      </w:tr>
      <w:tr>
        <w:trPr>
          <w:trHeight w:val="59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经营活动产生</w:t>
            </w:r>
          </w:p>
          <w:p>
            <w:pPr>
              <w:pStyle w:val="TableParagraph"/>
              <w:spacing w:line="240" w:lineRule="auto"/>
              <w:ind w:left="103" w:right="102"/>
              <w:jc w:val="left"/>
              <w:rPr>
                <w:rFonts w:ascii="宋体" w:hAnsi="宋体" w:cs="宋体" w:eastAsia="宋体" w:hint="default"/>
                <w:sz w:val="15"/>
                <w:szCs w:val="15"/>
              </w:rPr>
            </w:pPr>
            <w:r>
              <w:rPr>
                <w:rFonts w:ascii="宋体" w:hAnsi="宋体" w:cs="宋体" w:eastAsia="宋体" w:hint="default"/>
                <w:sz w:val="15"/>
                <w:szCs w:val="15"/>
              </w:rPr>
              <w:t>的现金流量净</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331,723,701.58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276,488,016.32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276,488,016.32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19.98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323,936,080.37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323,936,080.37</w:t>
            </w:r>
          </w:p>
        </w:tc>
      </w:tr>
      <w:tr>
        <w:trPr>
          <w:trHeight w:val="490" w:hRule="exact"/>
        </w:trPr>
        <w:tc>
          <w:tcPr>
            <w:tcW w:w="1143" w:type="dxa"/>
            <w:vMerge w:val="restart"/>
            <w:tcBorders>
              <w:top w:val="single" w:sz="4" w:space="0" w:color="000000"/>
              <w:left w:val="single" w:sz="4" w:space="0" w:color="000000"/>
              <w:right w:val="single" w:sz="4" w:space="0" w:color="000000"/>
            </w:tcBorders>
          </w:tcPr>
          <w:p>
            <w:pP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419"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z w:val="15"/>
                <w:szCs w:val="15"/>
              </w:rPr>
              <w:t>年末</w:t>
            </w:r>
          </w:p>
        </w:tc>
        <w:tc>
          <w:tcPr>
            <w:tcW w:w="2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z w:val="15"/>
                <w:szCs w:val="15"/>
              </w:rPr>
              <w:t>年末</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left="105" w:right="102" w:firstLine="36"/>
              <w:jc w:val="both"/>
              <w:rPr>
                <w:rFonts w:ascii="宋体" w:hAnsi="宋体" w:cs="宋体" w:eastAsia="宋体" w:hint="default"/>
                <w:sz w:val="15"/>
                <w:szCs w:val="15"/>
              </w:rPr>
            </w:pPr>
            <w:r>
              <w:rPr>
                <w:rFonts w:ascii="宋体" w:hAnsi="宋体" w:cs="宋体" w:eastAsia="宋体" w:hint="default"/>
                <w:sz w:val="15"/>
                <w:szCs w:val="15"/>
              </w:rPr>
              <w:t>本期末比</w:t>
            </w:r>
            <w:r>
              <w:rPr>
                <w:rFonts w:ascii="宋体" w:hAnsi="宋体" w:cs="宋体" w:eastAsia="宋体" w:hint="default"/>
                <w:w w:val="100"/>
                <w:sz w:val="15"/>
                <w:szCs w:val="15"/>
              </w:rPr>
              <w:t> </w:t>
            </w:r>
            <w:r>
              <w:rPr>
                <w:rFonts w:ascii="宋体" w:hAnsi="宋体" w:cs="宋体" w:eastAsia="宋体" w:hint="default"/>
                <w:sz w:val="15"/>
                <w:szCs w:val="15"/>
              </w:rPr>
              <w:t>上年同期</w:t>
            </w:r>
            <w:r>
              <w:rPr>
                <w:rFonts w:ascii="宋体" w:hAnsi="宋体" w:cs="宋体" w:eastAsia="宋体" w:hint="default"/>
                <w:w w:val="100"/>
                <w:sz w:val="15"/>
                <w:szCs w:val="15"/>
              </w:rPr>
              <w:t> </w:t>
            </w:r>
            <w:r>
              <w:rPr>
                <w:rFonts w:ascii="宋体" w:hAnsi="宋体" w:cs="宋体" w:eastAsia="宋体" w:hint="default"/>
                <w:sz w:val="15"/>
                <w:szCs w:val="15"/>
              </w:rPr>
              <w:t>末增减（</w:t>
            </w:r>
            <w:r>
              <w:rPr>
                <w:rFonts w:ascii="宋体" w:hAnsi="宋体" w:cs="宋体" w:eastAsia="宋体" w:hint="default"/>
                <w:sz w:val="15"/>
                <w:szCs w:val="15"/>
              </w:rPr>
              <w:t>%</w:t>
            </w:r>
          </w:p>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z w:val="15"/>
                <w:szCs w:val="15"/>
              </w:rPr>
              <w:t>年末</w:t>
            </w:r>
          </w:p>
        </w:tc>
      </w:tr>
      <w:tr>
        <w:trPr>
          <w:trHeight w:val="348" w:hRule="exact"/>
        </w:trPr>
        <w:tc>
          <w:tcPr>
            <w:tcW w:w="1143"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调整前</w:t>
            </w:r>
          </w:p>
        </w:tc>
        <w:tc>
          <w:tcPr>
            <w:tcW w:w="896"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调整前</w:t>
            </w:r>
          </w:p>
        </w:tc>
      </w:tr>
      <w:tr>
        <w:trPr>
          <w:trHeight w:val="59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归属于上市公</w:t>
            </w:r>
          </w:p>
          <w:p>
            <w:pPr>
              <w:pStyle w:val="TableParagraph"/>
              <w:spacing w:line="240" w:lineRule="auto"/>
              <w:ind w:left="103" w:right="102"/>
              <w:jc w:val="left"/>
              <w:rPr>
                <w:rFonts w:ascii="宋体" w:hAnsi="宋体" w:cs="宋体" w:eastAsia="宋体" w:hint="default"/>
                <w:sz w:val="15"/>
                <w:szCs w:val="15"/>
              </w:rPr>
            </w:pPr>
            <w:r>
              <w:rPr>
                <w:rFonts w:ascii="宋体" w:hAnsi="宋体" w:cs="宋体" w:eastAsia="宋体" w:hint="default"/>
                <w:sz w:val="15"/>
                <w:szCs w:val="15"/>
              </w:rPr>
              <w:t>司股东的净资</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2,357,248,559.68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2,315,615,632.02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2,315,615,632.02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2,260,715,471.71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2,260,715,471.71</w:t>
            </w:r>
          </w:p>
        </w:tc>
      </w:tr>
      <w:tr>
        <w:trPr>
          <w:trHeight w:val="29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总资产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6,777,633,675.95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6,608,118,573.04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6,608,118,573.04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2.57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5,707,364,544.06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5,707,364,544.06</w:t>
            </w:r>
          </w:p>
        </w:tc>
      </w:tr>
      <w:tr>
        <w:trPr>
          <w:trHeight w:val="29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期末总股本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641,725,496.00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641,323,885.00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641,323,885.00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646,034,068.00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646,034,068.00</w:t>
            </w:r>
          </w:p>
        </w:tc>
      </w:tr>
    </w:tbl>
    <w:p>
      <w:pPr>
        <w:pStyle w:val="BodyText"/>
        <w:tabs>
          <w:tab w:pos="1497" w:val="left" w:leader="none"/>
        </w:tabs>
        <w:spacing w:line="328" w:lineRule="auto" w:before="79"/>
        <w:ind w:left="657" w:right="846"/>
        <w:jc w:val="left"/>
        <w:rPr>
          <w:rFonts w:ascii="宋体" w:hAnsi="宋体" w:cs="宋体" w:eastAsia="宋体" w:hint="default"/>
        </w:rPr>
      </w:pPr>
      <w:r>
        <w:rPr/>
        <w:t>说明：</w:t>
      </w:r>
      <w:r>
        <w:rPr>
          <w:rFonts w:ascii="宋体" w:hAnsi="宋体" w:cs="宋体" w:eastAsia="宋体" w:hint="default"/>
        </w:rPr>
        <w:t>2015</w:t>
      </w:r>
      <w:r>
        <w:rPr>
          <w:rFonts w:ascii="宋体" w:hAnsi="宋体" w:cs="宋体" w:eastAsia="宋体" w:hint="default"/>
          <w:spacing w:val="-61"/>
        </w:rPr>
        <w:t> </w:t>
      </w:r>
      <w:r>
        <w:rPr/>
        <w:t>年会计政策变更追溯调整后，不影响</w:t>
      </w:r>
      <w:r>
        <w:rPr>
          <w:spacing w:val="-59"/>
        </w:rPr>
        <w:t> </w:t>
      </w:r>
      <w:r>
        <w:rPr>
          <w:rFonts w:ascii="宋体" w:hAnsi="宋体" w:cs="宋体" w:eastAsia="宋体" w:hint="default"/>
        </w:rPr>
        <w:t>2013-2014</w:t>
      </w:r>
      <w:r>
        <w:rPr>
          <w:rFonts w:ascii="宋体" w:hAnsi="宋体" w:cs="宋体" w:eastAsia="宋体" w:hint="default"/>
          <w:spacing w:val="-60"/>
        </w:rPr>
        <w:t> </w:t>
      </w:r>
      <w:r>
        <w:rPr/>
        <w:t>年当年以上数据。 </w:t>
      </w:r>
      <w:r>
        <w:rPr>
          <w:rFonts w:ascii="宋体" w:hAnsi="宋体" w:cs="宋体" w:eastAsia="宋体" w:hint="default"/>
          <w:b/>
          <w:bCs/>
          <w:w w:val="95"/>
        </w:rPr>
        <w:t>(</w:t>
      </w:r>
      <w:r>
        <w:rPr>
          <w:rFonts w:ascii="宋体" w:hAnsi="宋体" w:cs="宋体" w:eastAsia="宋体" w:hint="default"/>
          <w:b/>
          <w:bCs/>
          <w:w w:val="95"/>
        </w:rPr>
        <w:t>二</w:t>
      </w:r>
      <w:r>
        <w:rPr>
          <w:rFonts w:ascii="宋体" w:hAnsi="宋体" w:cs="宋体" w:eastAsia="宋体" w:hint="default"/>
          <w:b/>
          <w:bCs/>
          <w:w w:val="95"/>
        </w:rPr>
        <w:t>)</w:t>
        <w:tab/>
      </w:r>
      <w:r>
        <w:rPr>
          <w:rFonts w:ascii="宋体" w:hAnsi="宋体" w:cs="宋体" w:eastAsia="宋体" w:hint="default"/>
          <w:b/>
          <w:bCs/>
        </w:rPr>
        <w:t>主要财务指标</w:t>
      </w:r>
      <w:r>
        <w:rPr>
          <w:rFonts w:ascii="宋体" w:hAnsi="宋体" w:cs="宋体" w:eastAsia="宋体" w:hint="default"/>
        </w:rPr>
      </w:r>
    </w:p>
    <w:p>
      <w:pPr>
        <w:spacing w:line="240" w:lineRule="auto" w:before="8"/>
        <w:rPr>
          <w:rFonts w:ascii="宋体" w:hAnsi="宋体" w:cs="宋体" w:eastAsia="宋体" w:hint="default"/>
          <w:b/>
          <w:bCs/>
          <w:sz w:val="24"/>
          <w:szCs w:val="24"/>
        </w:rPr>
      </w:pPr>
    </w:p>
    <w:tbl>
      <w:tblPr>
        <w:tblW w:w="0" w:type="auto"/>
        <w:jc w:val="left"/>
        <w:tblInd w:w="544" w:type="dxa"/>
        <w:tblLayout w:type="fixed"/>
        <w:tblCellMar>
          <w:top w:w="0" w:type="dxa"/>
          <w:left w:w="0" w:type="dxa"/>
          <w:bottom w:w="0" w:type="dxa"/>
          <w:right w:w="0" w:type="dxa"/>
        </w:tblCellMar>
        <w:tblLook w:val="01E0"/>
      </w:tblPr>
      <w:tblGrid>
        <w:gridCol w:w="2628"/>
        <w:gridCol w:w="1189"/>
        <w:gridCol w:w="996"/>
        <w:gridCol w:w="984"/>
        <w:gridCol w:w="1301"/>
        <w:gridCol w:w="994"/>
        <w:gridCol w:w="958"/>
      </w:tblGrid>
      <w:tr>
        <w:trPr>
          <w:trHeight w:val="456" w:hRule="exact"/>
        </w:trPr>
        <w:tc>
          <w:tcPr>
            <w:tcW w:w="2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768"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301" w:type="dxa"/>
            <w:vMerge w:val="restart"/>
            <w:tcBorders>
              <w:top w:val="single" w:sz="4" w:space="0" w:color="000000"/>
              <w:left w:val="single" w:sz="4" w:space="0" w:color="000000"/>
              <w:right w:val="single" w:sz="4" w:space="0" w:color="000000"/>
            </w:tcBorders>
          </w:tcPr>
          <w:p>
            <w:pPr>
              <w:pStyle w:val="TableParagraph"/>
              <w:spacing w:line="232" w:lineRule="exact" w:before="105"/>
              <w:ind w:left="237" w:right="107" w:hanging="135"/>
              <w:jc w:val="left"/>
              <w:rPr>
                <w:rFonts w:ascii="宋体" w:hAnsi="宋体" w:cs="宋体" w:eastAsia="宋体" w:hint="default"/>
                <w:sz w:val="18"/>
                <w:szCs w:val="18"/>
              </w:rPr>
            </w:pPr>
            <w:r>
              <w:rPr>
                <w:rFonts w:ascii="宋体" w:hAnsi="宋体" w:cs="宋体" w:eastAsia="宋体" w:hint="default"/>
                <w:sz w:val="18"/>
                <w:szCs w:val="18"/>
              </w:rPr>
              <w:t>本期比上年同 期增减</w:t>
            </w:r>
            <w:r>
              <w:rPr>
                <w:rFonts w:ascii="宋体" w:hAnsi="宋体" w:cs="宋体" w:eastAsia="宋体" w:hint="default"/>
                <w:sz w:val="18"/>
                <w:szCs w:val="18"/>
              </w:rPr>
              <w:t>(%)</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242" w:hRule="exact"/>
        </w:trPr>
        <w:tc>
          <w:tcPr>
            <w:tcW w:w="2628"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01"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0.0812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0.1492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0.1477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-45.58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0.0655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0.0639</w:t>
            </w:r>
          </w:p>
        </w:tc>
      </w:tr>
      <w:tr>
        <w:trPr>
          <w:trHeight w:val="24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0.0811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0.1492</w:t>
            </w:r>
          </w:p>
        </w:tc>
        <w:tc>
          <w:tcPr>
            <w:tcW w:w="98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-45.64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0.0655</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扣除非经常性损益后的基本每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股收益（元／股）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0.0452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0.0732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0.0725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-38.25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0.0375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0.0363</w:t>
            </w:r>
          </w:p>
        </w:tc>
      </w:tr>
      <w:tr>
        <w:trPr>
          <w:trHeight w:val="47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1.93</w:t>
            </w:r>
            <w:r>
              <w:rPr>
                <w:rFonts w:ascii="宋体" w:hAnsi="宋体" w:cs="宋体" w:eastAsia="宋体" w:hint="default"/>
                <w:sz w:val="18"/>
                <w:szCs w:val="18"/>
              </w:rPr>
              <w:t>个百</w:t>
            </w:r>
          </w:p>
          <w:p>
            <w:pPr>
              <w:pStyle w:val="TableParagraph"/>
              <w:spacing w:line="234" w:lineRule="exact"/>
              <w:ind w:left="825" w:right="0"/>
              <w:jc w:val="left"/>
              <w:rPr>
                <w:rFonts w:ascii="宋体" w:hAnsi="宋体" w:cs="宋体" w:eastAsia="宋体" w:hint="default"/>
                <w:sz w:val="18"/>
                <w:szCs w:val="18"/>
              </w:rPr>
            </w:pPr>
            <w:r>
              <w:rPr>
                <w:rFonts w:ascii="宋体" w:hAnsi="宋体" w:cs="宋体" w:eastAsia="宋体" w:hint="default"/>
                <w:sz w:val="18"/>
                <w:szCs w:val="18"/>
              </w:rPr>
              <w:t>分点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1.81</w:t>
            </w:r>
          </w:p>
        </w:tc>
      </w:tr>
      <w:tr>
        <w:trPr>
          <w:trHeight w:val="71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扣除非经常性损益后的加权平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2.04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0.80</w:t>
            </w:r>
            <w:r>
              <w:rPr>
                <w:rFonts w:ascii="宋体" w:hAnsi="宋体" w:cs="宋体" w:eastAsia="宋体" w:hint="default"/>
                <w:sz w:val="18"/>
                <w:szCs w:val="18"/>
              </w:rPr>
              <w:t>个百</w:t>
            </w:r>
          </w:p>
          <w:p>
            <w:pPr>
              <w:pStyle w:val="TableParagraph"/>
              <w:spacing w:line="234" w:lineRule="exact"/>
              <w:ind w:left="825" w:right="0"/>
              <w:jc w:val="left"/>
              <w:rPr>
                <w:rFonts w:ascii="宋体" w:hAnsi="宋体" w:cs="宋体" w:eastAsia="宋体" w:hint="default"/>
                <w:sz w:val="18"/>
                <w:szCs w:val="18"/>
              </w:rPr>
            </w:pPr>
            <w:r>
              <w:rPr>
                <w:rFonts w:ascii="宋体" w:hAnsi="宋体" w:cs="宋体" w:eastAsia="宋体" w:hint="default"/>
                <w:sz w:val="18"/>
                <w:szCs w:val="18"/>
              </w:rPr>
              <w:t>分点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1.03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1.03</w:t>
            </w:r>
          </w:p>
        </w:tc>
      </w:tr>
    </w:tbl>
    <w:p>
      <w:pPr>
        <w:spacing w:line="240" w:lineRule="auto" w:before="11"/>
        <w:rPr>
          <w:rFonts w:ascii="宋体" w:hAnsi="宋体" w:cs="宋体" w:eastAsia="宋体" w:hint="default"/>
          <w:b/>
          <w:bCs/>
          <w:sz w:val="18"/>
          <w:szCs w:val="18"/>
        </w:rPr>
      </w:pPr>
    </w:p>
    <w:p>
      <w:pPr>
        <w:pStyle w:val="BodyText"/>
        <w:spacing w:line="240" w:lineRule="auto" w:before="26"/>
        <w:ind w:left="657"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w:t>
      </w:r>
    </w:p>
    <w:p>
      <w:pPr>
        <w:pStyle w:val="BodyText"/>
        <w:spacing w:line="240" w:lineRule="auto" w:before="118"/>
        <w:ind w:left="657" w:right="0"/>
        <w:jc w:val="left"/>
      </w:pPr>
      <w:r>
        <w:rPr>
          <w:rFonts w:ascii="Calibri" w:hAnsi="Calibri" w:cs="Calibri" w:eastAsia="Calibri" w:hint="default"/>
        </w:rPr>
        <w:t>1</w:t>
      </w:r>
      <w:r>
        <w:rPr/>
        <w:t>、</w:t>
      </w:r>
      <w:r>
        <w:rPr>
          <w:spacing w:val="-65"/>
        </w:rPr>
        <w:t> </w:t>
      </w:r>
      <w:r>
        <w:rPr/>
        <w:t>上述</w:t>
      </w:r>
      <w:r>
        <w:rPr>
          <w:spacing w:val="-63"/>
        </w:rPr>
        <w:t> </w:t>
      </w:r>
      <w:r>
        <w:rPr>
          <w:rFonts w:ascii="Calibri" w:hAnsi="Calibri" w:cs="Calibri" w:eastAsia="Calibri" w:hint="default"/>
        </w:rPr>
        <w:t>2013</w:t>
      </w:r>
      <w:r>
        <w:rPr/>
        <w:t>、</w:t>
      </w:r>
      <w:r>
        <w:rPr>
          <w:rFonts w:ascii="Calibri" w:hAnsi="Calibri" w:cs="Calibri" w:eastAsia="Calibri" w:hint="default"/>
        </w:rPr>
        <w:t>2014</w:t>
      </w:r>
      <w:r>
        <w:rPr>
          <w:rFonts w:ascii="Calibri" w:hAnsi="Calibri" w:cs="Calibri" w:eastAsia="Calibri" w:hint="default"/>
          <w:spacing w:val="4"/>
        </w:rPr>
        <w:t> </w:t>
      </w:r>
      <w:r>
        <w:rPr/>
        <w:t>年数据均以根据《企业会计准则解释第</w:t>
      </w:r>
      <w:r>
        <w:rPr>
          <w:spacing w:val="-61"/>
        </w:rPr>
        <w:t> </w:t>
      </w:r>
      <w:r>
        <w:rPr>
          <w:rFonts w:ascii="Calibri" w:hAnsi="Calibri" w:cs="Calibri" w:eastAsia="Calibri" w:hint="default"/>
        </w:rPr>
        <w:t>7</w:t>
      </w:r>
      <w:r>
        <w:rPr>
          <w:rFonts w:ascii="Calibri" w:hAnsi="Calibri" w:cs="Calibri" w:eastAsia="Calibri" w:hint="default"/>
          <w:spacing w:val="4"/>
        </w:rPr>
        <w:t> </w:t>
      </w:r>
      <w:r>
        <w:rPr/>
        <w:t>号》追溯调整；</w:t>
      </w:r>
    </w:p>
    <w:p>
      <w:pPr>
        <w:spacing w:after="0" w:line="240" w:lineRule="auto"/>
        <w:jc w:val="left"/>
        <w:sectPr>
          <w:type w:val="continuous"/>
          <w:pgSz w:w="11910" w:h="16840"/>
          <w:pgMar w:top="1120" w:bottom="1380" w:left="620" w:right="1560"/>
        </w:sectPr>
      </w:pPr>
    </w:p>
    <w:p>
      <w:pPr>
        <w:spacing w:line="240" w:lineRule="auto" w:before="2"/>
        <w:rPr>
          <w:rFonts w:ascii="宋体" w:hAnsi="宋体" w:cs="宋体" w:eastAsia="宋体" w:hint="default"/>
          <w:sz w:val="19"/>
          <w:szCs w:val="19"/>
        </w:rPr>
      </w:pPr>
    </w:p>
    <w:p>
      <w:pPr>
        <w:pStyle w:val="BodyText"/>
        <w:spacing w:line="312" w:lineRule="exact" w:before="56"/>
        <w:ind w:left="517" w:right="443"/>
        <w:jc w:val="left"/>
      </w:pPr>
      <w:r>
        <w:rPr>
          <w:rFonts w:ascii="Calibri" w:hAnsi="Calibri" w:cs="Calibri" w:eastAsia="Calibri" w:hint="default"/>
        </w:rPr>
        <w:t>2</w:t>
      </w:r>
      <w:r>
        <w:rPr/>
        <w:t>、</w:t>
      </w:r>
      <w:r>
        <w:rPr>
          <w:spacing w:val="-65"/>
        </w:rPr>
        <w:t> </w:t>
      </w:r>
      <w:r>
        <w:rPr/>
        <w:t>因</w:t>
      </w:r>
      <w:r>
        <w:rPr>
          <w:spacing w:val="-40"/>
        </w:rPr>
        <w:t> </w:t>
      </w:r>
      <w:r>
        <w:rPr>
          <w:rFonts w:ascii="Calibri" w:hAnsi="Calibri" w:cs="Calibri" w:eastAsia="Calibri" w:hint="default"/>
        </w:rPr>
        <w:t>2013-2014</w:t>
      </w:r>
      <w:r>
        <w:rPr>
          <w:rFonts w:ascii="Calibri" w:hAnsi="Calibri" w:cs="Calibri" w:eastAsia="Calibri" w:hint="default"/>
          <w:spacing w:val="28"/>
        </w:rPr>
        <w:t> </w:t>
      </w:r>
      <w:r>
        <w:rPr/>
        <w:t>年不存在稀释事项，故当年未列报稀释每股收益和扣除非经常损益 后稀释每股收益。</w:t>
      </w:r>
    </w:p>
    <w:p>
      <w:pPr>
        <w:spacing w:line="240" w:lineRule="auto" w:before="1"/>
        <w:rPr>
          <w:rFonts w:ascii="宋体" w:hAnsi="宋体" w:cs="宋体" w:eastAsia="宋体" w:hint="default"/>
          <w:sz w:val="35"/>
          <w:szCs w:val="35"/>
        </w:rPr>
      </w:pPr>
    </w:p>
    <w:p>
      <w:pPr>
        <w:pStyle w:val="Heading2"/>
        <w:spacing w:line="240" w:lineRule="auto" w:before="0"/>
        <w:ind w:left="517" w:right="443"/>
        <w:jc w:val="left"/>
        <w:rPr>
          <w:b w:val="0"/>
          <w:bCs w:val="0"/>
        </w:rPr>
      </w:pPr>
      <w:r>
        <w:rPr/>
        <w:t>八、</w:t>
      </w:r>
      <w:r>
        <w:rPr>
          <w:spacing w:val="-37"/>
        </w:rPr>
        <w:t> </w:t>
      </w:r>
      <w:r>
        <w:rPr/>
        <w:t>境内外会计准则下会计数据差异</w:t>
      </w:r>
      <w:r>
        <w:rPr>
          <w:b w:val="0"/>
          <w:bCs w:val="0"/>
        </w:rPr>
      </w:r>
    </w:p>
    <w:p>
      <w:pPr>
        <w:pStyle w:val="Heading2"/>
        <w:spacing w:line="310" w:lineRule="exact" w:before="90"/>
        <w:ind w:left="937" w:right="443"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29"/>
        <w:ind w:left="517" w:right="443"/>
        <w:jc w:val="left"/>
      </w:pPr>
      <w:r>
        <w:rPr/>
        <w:t>□适用</w:t>
      </w:r>
      <w:r>
        <w:rPr>
          <w:spacing w:val="-1"/>
        </w:rPr>
        <w:t> </w:t>
      </w:r>
      <w:r>
        <w:rPr/>
        <w:t>√不适用</w:t>
      </w:r>
    </w:p>
    <w:p>
      <w:pPr>
        <w:spacing w:line="240" w:lineRule="auto" w:before="10"/>
        <w:rPr>
          <w:rFonts w:ascii="宋体" w:hAnsi="宋体" w:cs="宋体" w:eastAsia="宋体" w:hint="default"/>
          <w:sz w:val="30"/>
          <w:szCs w:val="30"/>
        </w:rPr>
      </w:pPr>
    </w:p>
    <w:p>
      <w:pPr>
        <w:pStyle w:val="Heading2"/>
        <w:spacing w:line="310" w:lineRule="exact" w:before="0"/>
        <w:ind w:left="937" w:right="443"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spacing w:val="6"/>
        </w:rPr>
        <w:t>同时按照境外会计准则与按中国会计准则披露的财务报告中净利润和属于上市</w:t>
      </w:r>
      <w:r>
        <w:rPr>
          <w:w w:val="99"/>
        </w:rPr>
        <w:t> </w:t>
      </w:r>
      <w:r>
        <w:rPr/>
        <w:t>公司股东的净资产差异情况</w:t>
      </w:r>
      <w:r>
        <w:rPr>
          <w:b w:val="0"/>
          <w:bCs w:val="0"/>
        </w:rPr>
      </w:r>
    </w:p>
    <w:p>
      <w:pPr>
        <w:pStyle w:val="BodyText"/>
        <w:spacing w:line="240" w:lineRule="auto" w:before="30"/>
        <w:ind w:left="517" w:right="44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59" w:lineRule="auto" w:before="0"/>
        <w:ind w:left="517" w:right="572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4"/>
          <w:szCs w:val="24"/>
        </w:rPr>
      </w:pPr>
    </w:p>
    <w:p>
      <w:pPr>
        <w:pStyle w:val="Heading2"/>
        <w:spacing w:line="240" w:lineRule="auto"/>
        <w:ind w:left="517" w:right="443"/>
        <w:jc w:val="left"/>
        <w:rPr>
          <w:b w:val="0"/>
          <w:bCs w:val="0"/>
        </w:rPr>
      </w:pPr>
      <w:r>
        <w:rPr/>
        <w:t>九、</w:t>
      </w:r>
      <w:r>
        <w:rPr>
          <w:spacing w:val="-40"/>
        </w:rPr>
        <w:t> </w:t>
      </w:r>
      <w:r>
        <w:rPr>
          <w:rFonts w:ascii="Arial" w:hAnsi="Arial" w:cs="Arial" w:eastAsia="Arial" w:hint="default"/>
        </w:rPr>
        <w:t>2015</w:t>
      </w:r>
      <w:r>
        <w:rPr>
          <w:rFonts w:ascii="Arial" w:hAnsi="Arial" w:cs="Arial" w:eastAsia="Arial" w:hint="default"/>
          <w:spacing w:val="-11"/>
        </w:rPr>
        <w:t> </w:t>
      </w:r>
      <w:r>
        <w:rPr/>
        <w:t>年分季度主要财务数据</w:t>
      </w:r>
      <w:r>
        <w:rPr>
          <w:b w:val="0"/>
          <w:bCs w:val="0"/>
        </w:rPr>
      </w:r>
    </w:p>
    <w:p>
      <w:pPr>
        <w:pStyle w:val="BodyText"/>
        <w:tabs>
          <w:tab w:pos="1199" w:val="left" w:leader="none"/>
        </w:tabs>
        <w:spacing w:line="240" w:lineRule="auto" w:before="41"/>
        <w:ind w:left="0" w:right="45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30"/>
        <w:gridCol w:w="1729"/>
        <w:gridCol w:w="1944"/>
        <w:gridCol w:w="1944"/>
        <w:gridCol w:w="1945"/>
      </w:tblGrid>
      <w:tr>
        <w:trPr>
          <w:trHeight w:val="554" w:hRule="exact"/>
        </w:trPr>
        <w:tc>
          <w:tcPr>
            <w:tcW w:w="193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938,820,921.18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1,137,915,486.41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1,153,869,866.02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1,562,376,772.77</w:t>
            </w:r>
          </w:p>
        </w:tc>
      </w:tr>
      <w:tr>
        <w:trPr>
          <w:trHeight w:val="557"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center"/>
              <w:rPr>
                <w:rFonts w:ascii="宋体" w:hAnsi="宋体" w:cs="宋体" w:eastAsia="宋体" w:hint="default"/>
                <w:sz w:val="21"/>
                <w:szCs w:val="21"/>
              </w:rPr>
            </w:pPr>
            <w:r>
              <w:rPr>
                <w:rFonts w:ascii="宋体"/>
                <w:sz w:val="21"/>
              </w:rPr>
              <w:t>31,686,221.81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22,975,114.89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-9,847,379.28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6,956,213.70</w:t>
            </w:r>
          </w:p>
        </w:tc>
      </w:tr>
      <w:tr>
        <w:trPr>
          <w:trHeight w:val="826"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0"/>
              <w:jc w:val="center"/>
              <w:rPr>
                <w:rFonts w:ascii="宋体" w:hAnsi="宋体" w:cs="宋体" w:eastAsia="宋体" w:hint="default"/>
                <w:sz w:val="21"/>
                <w:szCs w:val="21"/>
              </w:rPr>
            </w:pPr>
            <w:r>
              <w:rPr>
                <w:rFonts w:ascii="宋体"/>
                <w:sz w:val="21"/>
              </w:rPr>
              <w:t>25,423,470.62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22,649,750.07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-13,235,711.42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-6,010,258.66</w:t>
            </w:r>
          </w:p>
        </w:tc>
      </w:tr>
      <w:tr>
        <w:trPr>
          <w:trHeight w:val="554"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 w:right="0"/>
              <w:jc w:val="center"/>
              <w:rPr>
                <w:rFonts w:ascii="宋体" w:hAnsi="宋体" w:cs="宋体" w:eastAsia="宋体" w:hint="default"/>
                <w:sz w:val="21"/>
                <w:szCs w:val="21"/>
              </w:rPr>
            </w:pPr>
            <w:r>
              <w:rPr>
                <w:rFonts w:ascii="宋体"/>
                <w:sz w:val="21"/>
              </w:rPr>
              <w:t>-15,563,742.48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-122,526,394.51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-32,210,603.27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502,024,441.84</w:t>
            </w:r>
          </w:p>
        </w:tc>
      </w:tr>
    </w:tbl>
    <w:p>
      <w:pPr>
        <w:spacing w:line="240" w:lineRule="auto" w:before="10"/>
        <w:rPr>
          <w:rFonts w:ascii="宋体" w:hAnsi="宋体" w:cs="宋体" w:eastAsia="宋体" w:hint="default"/>
          <w:sz w:val="18"/>
          <w:szCs w:val="18"/>
        </w:rPr>
      </w:pPr>
    </w:p>
    <w:p>
      <w:pPr>
        <w:pStyle w:val="BodyText"/>
        <w:spacing w:line="313" w:lineRule="exact" w:before="26"/>
        <w:ind w:left="517" w:right="443"/>
        <w:jc w:val="left"/>
      </w:pPr>
      <w:r>
        <w:rPr/>
        <w:t>季度数据与已披露定期报告数据差异说明</w:t>
      </w:r>
    </w:p>
    <w:p>
      <w:pPr>
        <w:pStyle w:val="BodyText"/>
        <w:spacing w:line="313" w:lineRule="exact"/>
        <w:ind w:left="517" w:right="443"/>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760" w:right="1340"/>
        </w:sectPr>
      </w:pPr>
    </w:p>
    <w:p>
      <w:pPr>
        <w:pStyle w:val="Heading2"/>
        <w:spacing w:line="240" w:lineRule="auto"/>
        <w:ind w:left="517" w:right="-18"/>
        <w:jc w:val="left"/>
        <w:rPr>
          <w:b w:val="0"/>
          <w:bCs w:val="0"/>
        </w:rPr>
      </w:pPr>
      <w:r>
        <w:rPr/>
        <w:t>十、</w:t>
      </w:r>
      <w:r>
        <w:rPr>
          <w:spacing w:val="-40"/>
        </w:rPr>
        <w:t> </w:t>
      </w:r>
      <w:r>
        <w:rPr/>
        <w:t>非经常性损益项目和金额</w:t>
      </w:r>
      <w:r>
        <w:rPr>
          <w:b w:val="0"/>
          <w:bCs w:val="0"/>
        </w:rPr>
      </w:r>
    </w:p>
    <w:p>
      <w:pPr>
        <w:pStyle w:val="BodyText"/>
        <w:spacing w:line="240" w:lineRule="auto" w:before="58"/>
        <w:ind w:left="5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597" w:val="left" w:leader="none"/>
        </w:tabs>
        <w:spacing w:line="240" w:lineRule="auto"/>
        <w:ind w:left="5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760" w:right="1340"/>
          <w:cols w:num="2" w:equalWidth="0">
            <w:col w:w="3733" w:space="2700"/>
            <w:col w:w="3377"/>
          </w:cols>
        </w:sectPr>
      </w:pPr>
    </w:p>
    <w:p>
      <w:pPr>
        <w:spacing w:line="240" w:lineRule="auto" w:before="10"/>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3145"/>
        <w:gridCol w:w="1942"/>
        <w:gridCol w:w="653"/>
        <w:gridCol w:w="1913"/>
        <w:gridCol w:w="1623"/>
      </w:tblGrid>
      <w:tr>
        <w:trPr>
          <w:trHeight w:val="109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07"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37" w:lineRule="auto" w:before="2"/>
              <w:ind w:left="108" w:right="110"/>
              <w:jc w:val="center"/>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9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0"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-22,326,255.29</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35,904,392.46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-5,259,001.49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公司正常经营业务密切相关，符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合国家政策规定、按照一定标准</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27,120,486.84</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2,595,542.27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2,461,145.70</w:t>
            </w:r>
          </w:p>
        </w:tc>
      </w:tr>
    </w:tbl>
    <w:p>
      <w:pPr>
        <w:spacing w:after="0" w:line="241" w:lineRule="exact"/>
        <w:jc w:val="right"/>
        <w:rPr>
          <w:rFonts w:ascii="宋体" w:hAnsi="宋体" w:cs="宋体" w:eastAsia="宋体" w:hint="default"/>
          <w:sz w:val="21"/>
          <w:szCs w:val="21"/>
        </w:rPr>
        <w:sectPr>
          <w:type w:val="continuous"/>
          <w:pgSz w:w="11910" w:h="16840"/>
          <w:pgMar w:top="1120" w:bottom="1380" w:left="760" w:right="134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5"/>
        <w:gridCol w:w="1942"/>
        <w:gridCol w:w="653"/>
        <w:gridCol w:w="1913"/>
        <w:gridCol w:w="1623"/>
      </w:tblGrid>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定额或定量持续享受的政府补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助除外</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企业取得子公司、联营企业及合</w:t>
            </w:r>
          </w:p>
          <w:p>
            <w:pPr>
              <w:pStyle w:val="TableParagraph"/>
              <w:spacing w:line="237" w:lineRule="auto" w:before="2"/>
              <w:ind w:left="103" w:right="295"/>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14,126,693.51</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22,173,621.79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7,040,219.33</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-7,627,065.31</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-627,717.11</w:t>
            </w:r>
          </w:p>
        </w:tc>
      </w:tr>
      <w:tr>
        <w:trPr>
          <w:trHeight w:val="191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有效套期保值业务外，持有交易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性金融资产、交易性金融负债产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生的公允价值变动损益，以及处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置交易性金融资产、交易性金融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66,139,116.00</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126,977.67</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541,697.01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139,867.01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4,219,825.92</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488,881.74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6,216,410.08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非同一控制下企业合并或有对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价调整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990,066.75</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2,709,528.09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12,887,429.83</w:t>
            </w:r>
          </w:p>
        </w:tc>
      </w:tr>
      <w:tr>
        <w:trPr>
          <w:trHeight w:val="82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合并层面产生的因为通过多次</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2"/>
                <w:sz w:val="21"/>
                <w:szCs w:val="21"/>
              </w:rPr>
              <w:t>交易实现企业合并产生的投资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收益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-44,973,975.57</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-12,379,875.66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-1,928,252.07</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60" w:right="134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5"/>
        <w:gridCol w:w="1942"/>
        <w:gridCol w:w="653"/>
        <w:gridCol w:w="1913"/>
        <w:gridCol w:w="162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-14,852,950.01</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-3,586,316.66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ight="0"/>
              <w:jc w:val="center"/>
              <w:rPr>
                <w:rFonts w:ascii="宋体" w:hAnsi="宋体" w:cs="宋体" w:eastAsia="宋体" w:hint="default"/>
                <w:sz w:val="21"/>
                <w:szCs w:val="21"/>
              </w:rPr>
            </w:pPr>
            <w:r>
              <w:rPr>
                <w:rFonts w:ascii="宋体"/>
                <w:sz w:val="21"/>
              </w:rPr>
              <w:t>-3,055,931.05</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22,942,920.51</w:t>
            </w:r>
          </w:p>
        </w:tc>
        <w:tc>
          <w:tcPr>
            <w:tcW w:w="6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48,447,471.04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ight="0"/>
              <w:jc w:val="center"/>
              <w:rPr>
                <w:rFonts w:ascii="宋体" w:hAnsi="宋体" w:cs="宋体" w:eastAsia="宋体" w:hint="default"/>
                <w:sz w:val="21"/>
                <w:szCs w:val="21"/>
              </w:rPr>
            </w:pPr>
            <w:r>
              <w:rPr>
                <w:rFonts w:ascii="宋体"/>
                <w:sz w:val="21"/>
              </w:rPr>
              <w:t>17,874,170.23</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2"/>
        <w:spacing w:line="283" w:lineRule="auto"/>
        <w:ind w:right="5782"/>
        <w:jc w:val="left"/>
        <w:rPr>
          <w:rFonts w:ascii="宋体" w:hAnsi="宋体" w:cs="宋体" w:eastAsia="宋体" w:hint="default"/>
          <w:b w:val="0"/>
          <w:bCs w:val="0"/>
        </w:rPr>
      </w:pPr>
      <w:r>
        <w:rPr/>
        <w:t>十一、</w:t>
      </w:r>
      <w:r>
        <w:rPr>
          <w:spacing w:val="-7"/>
        </w:rPr>
        <w:t> </w:t>
      </w:r>
      <w:r>
        <w:rPr/>
        <w:t>采用公允价值计量的项目</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83" w:lineRule="auto" w:before="0"/>
        <w:ind w:right="7946"/>
        <w:jc w:val="left"/>
        <w:rPr>
          <w:rFonts w:ascii="宋体" w:hAnsi="宋体" w:cs="宋体" w:eastAsia="宋体" w:hint="default"/>
          <w:b w:val="0"/>
          <w:bCs w:val="0"/>
        </w:rPr>
      </w:pPr>
      <w:r>
        <w:rPr/>
        <w:t>十二、</w:t>
      </w:r>
      <w:r>
        <w:rPr>
          <w:spacing w:val="-3"/>
        </w:rPr>
        <w:t> </w:t>
      </w:r>
      <w:r>
        <w:rPr/>
        <w:t>其他</w:t>
      </w:r>
      <w:r>
        <w:rPr>
          <w:spacing w:val="2"/>
          <w:w w:val="99"/>
        </w:rPr>
        <w:t> </w:t>
      </w:r>
      <w:r>
        <w:rPr>
          <w:rFonts w:ascii="宋体" w:hAnsi="宋体" w:cs="宋体" w:eastAsia="宋体" w:hint="default"/>
          <w:b w:val="0"/>
          <w:bCs w:val="0"/>
        </w:rPr>
        <w:t>无</w:t>
      </w:r>
    </w:p>
    <w:p>
      <w:pPr>
        <w:spacing w:after="0" w:line="283" w:lineRule="auto"/>
        <w:jc w:val="left"/>
        <w:rPr>
          <w:rFonts w:ascii="宋体" w:hAnsi="宋体" w:cs="宋体" w:eastAsia="宋体" w:hint="default"/>
        </w:rPr>
        <w:sectPr>
          <w:pgSz w:w="11910" w:h="16840"/>
          <w:pgMar w:header="880" w:footer="1195" w:top="1120" w:bottom="1380" w:left="1060" w:right="13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1"/>
        <w:tabs>
          <w:tab w:pos="1259" w:val="left" w:leader="none"/>
        </w:tabs>
        <w:spacing w:line="240" w:lineRule="auto"/>
        <w:ind w:right="96"/>
        <w:jc w:val="center"/>
        <w:rPr>
          <w:b w:val="0"/>
          <w:bCs w:val="0"/>
        </w:rPr>
      </w:pPr>
      <w:bookmarkStart w:name="_TOC_250009" w:id="3"/>
      <w:r>
        <w:rPr>
          <w:w w:val="95"/>
        </w:rPr>
        <w:t>第三节</w:t>
        <w:tab/>
      </w:r>
      <w:r>
        <w:rPr/>
        <w:t>公司业务概要</w:t>
      </w:r>
      <w:bookmarkEnd w:id="3"/>
      <w:r>
        <w:rPr>
          <w:b w:val="0"/>
          <w:bCs w:val="0"/>
        </w:rPr>
      </w:r>
    </w:p>
    <w:p>
      <w:pPr>
        <w:tabs>
          <w:tab w:pos="977" w:val="left" w:leader="none"/>
        </w:tabs>
        <w:spacing w:line="328" w:lineRule="auto" w:before="246"/>
        <w:ind w:left="137" w:right="1965" w:firstLine="0"/>
        <w:jc w:val="left"/>
        <w:rPr>
          <w:rFonts w:ascii="宋体" w:hAnsi="宋体" w:cs="宋体" w:eastAsia="宋体" w:hint="default"/>
          <w:sz w:val="24"/>
          <w:szCs w:val="24"/>
        </w:rPr>
      </w:pPr>
      <w:r>
        <w:rPr>
          <w:rFonts w:ascii="宋体" w:hAnsi="宋体" w:cs="宋体" w:eastAsia="宋体" w:hint="default"/>
          <w:b/>
          <w:bCs/>
          <w:sz w:val="24"/>
          <w:szCs w:val="24"/>
        </w:rPr>
        <w:t>一、</w:t>
        <w:tab/>
        <w:t>报告期内公司所从事的主要业务、经营模式及行业情况说明</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、公司所从事的主要业务</w:t>
      </w:r>
    </w:p>
    <w:p>
      <w:pPr>
        <w:pStyle w:val="BodyText"/>
        <w:spacing w:line="237" w:lineRule="auto" w:before="32"/>
        <w:ind w:right="231" w:firstLine="480"/>
        <w:jc w:val="both"/>
      </w:pPr>
      <w:r>
        <w:rPr>
          <w:spacing w:val="-2"/>
        </w:rPr>
        <w:t>公司的业务方向涉及自主产品、云计算、大数据、移动互联网、物联网、信息安</w:t>
      </w:r>
      <w:r>
        <w:rPr/>
        <w:t> </w:t>
      </w:r>
      <w:r>
        <w:rPr>
          <w:spacing w:val="-3"/>
        </w:rPr>
        <w:t>全等领域，业务领域涵盖可信计算系统及装备、互联网金融服务、</w:t>
      </w:r>
      <w:r>
        <w:rPr>
          <w:rFonts w:ascii="宋体" w:hAnsi="宋体" w:cs="宋体" w:eastAsia="宋体" w:hint="default"/>
          <w:spacing w:val="-3"/>
        </w:rPr>
        <w:t>IT</w:t>
      </w:r>
      <w:r>
        <w:rPr>
          <w:rFonts w:ascii="宋体" w:hAnsi="宋体" w:cs="宋体" w:eastAsia="宋体" w:hint="default"/>
          <w:spacing w:val="-48"/>
        </w:rPr>
        <w:t> </w:t>
      </w:r>
      <w:r>
        <w:rPr>
          <w:spacing w:val="-4"/>
        </w:rPr>
        <w:t>产品化服务、应</w:t>
      </w:r>
      <w:r>
        <w:rPr/>
        <w:t> 用软件开发、系统集成及增值分销等多种业务。</w:t>
      </w:r>
    </w:p>
    <w:p>
      <w:pPr>
        <w:pStyle w:val="BodyText"/>
        <w:spacing w:line="240" w:lineRule="auto" w:before="118"/>
        <w:ind w:right="119"/>
        <w:jc w:val="left"/>
      </w:pPr>
      <w:r>
        <w:rPr>
          <w:rFonts w:ascii="宋体" w:hAnsi="宋体" w:cs="宋体" w:eastAsia="宋体" w:hint="default"/>
        </w:rPr>
        <w:t>2</w:t>
      </w:r>
      <w:r>
        <w:rPr/>
        <w:t>、经营模式</w:t>
      </w:r>
    </w:p>
    <w:p>
      <w:pPr>
        <w:pStyle w:val="BodyText"/>
        <w:spacing w:line="237" w:lineRule="auto" w:before="121"/>
        <w:ind w:right="231" w:firstLine="480"/>
        <w:jc w:val="both"/>
      </w:pPr>
      <w:r>
        <w:rPr>
          <w:spacing w:val="-2"/>
        </w:rPr>
        <w:t>公司的业务方向涉及自主产品、云计算、大数据、移动互联网、物联网、信息安</w:t>
      </w:r>
      <w:r>
        <w:rPr/>
        <w:t> </w:t>
      </w:r>
      <w:r>
        <w:rPr>
          <w:spacing w:val="-3"/>
        </w:rPr>
        <w:t>全等领域，业务领域涵盖可信计算系统及装备、互联网金融服务、</w:t>
      </w:r>
      <w:r>
        <w:rPr>
          <w:rFonts w:ascii="宋体" w:hAnsi="宋体" w:cs="宋体" w:eastAsia="宋体" w:hint="default"/>
          <w:spacing w:val="-3"/>
        </w:rPr>
        <w:t>IT</w:t>
      </w:r>
      <w:r>
        <w:rPr>
          <w:rFonts w:ascii="宋体" w:hAnsi="宋体" w:cs="宋体" w:eastAsia="宋体" w:hint="default"/>
          <w:spacing w:val="-48"/>
        </w:rPr>
        <w:t> </w:t>
      </w:r>
      <w:r>
        <w:rPr>
          <w:spacing w:val="-4"/>
        </w:rPr>
        <w:t>产品化服务、应</w:t>
      </w:r>
      <w:r>
        <w:rPr/>
        <w:t> </w:t>
      </w:r>
      <w:r>
        <w:rPr>
          <w:spacing w:val="-2"/>
        </w:rPr>
        <w:t>用软件开发、系统集成及增值分销等多种业务。截至目前，公司的主要业务为系统集</w:t>
      </w:r>
      <w:r>
        <w:rPr>
          <w:spacing w:val="-93"/>
        </w:rPr>
        <w:t> </w:t>
      </w:r>
      <w:r>
        <w:rPr>
          <w:spacing w:val="-93"/>
        </w:rPr>
      </w:r>
      <w:r>
        <w:rPr/>
        <w:t>成、软件及自主产品业务及专业</w:t>
      </w:r>
      <w:r>
        <w:rPr>
          <w:spacing w:val="-61"/>
        </w:rPr>
        <w:t> </w:t>
      </w:r>
      <w:r>
        <w:rPr>
          <w:rFonts w:ascii="宋体" w:hAnsi="宋体" w:cs="宋体" w:eastAsia="宋体" w:hint="default"/>
        </w:rPr>
        <w:t>IT</w:t>
      </w:r>
      <w:r>
        <w:rPr>
          <w:rFonts w:ascii="宋体" w:hAnsi="宋体" w:cs="宋体" w:eastAsia="宋体" w:hint="default"/>
          <w:spacing w:val="-61"/>
        </w:rPr>
        <w:t> </w:t>
      </w:r>
      <w:r>
        <w:rPr/>
        <w:t>服务，具体如下：</w:t>
      </w:r>
    </w:p>
    <w:p>
      <w:pPr>
        <w:pStyle w:val="BodyText"/>
        <w:spacing w:line="328" w:lineRule="auto" w:before="118"/>
        <w:ind w:left="617" w:right="119" w:hanging="480"/>
        <w:jc w:val="left"/>
      </w:pPr>
      <w:r>
        <w:rPr/>
        <w:t>（</w:t>
      </w:r>
      <w:r>
        <w:rPr>
          <w:rFonts w:ascii="宋体" w:hAnsi="宋体" w:cs="宋体" w:eastAsia="宋体" w:hint="default"/>
        </w:rPr>
        <w:t>1</w:t>
      </w:r>
      <w:r>
        <w:rPr/>
        <w:t>）系统集成业务 </w:t>
      </w:r>
      <w:r>
        <w:rPr>
          <w:spacing w:val="-2"/>
        </w:rPr>
        <w:t>公司的系统集成业务，主要由系统规划、系统设计、应用平台搭建、计算机及网</w:t>
      </w:r>
    </w:p>
    <w:p>
      <w:pPr>
        <w:pStyle w:val="BodyText"/>
        <w:spacing w:line="223" w:lineRule="exact"/>
        <w:ind w:right="119"/>
        <w:jc w:val="left"/>
      </w:pPr>
      <w:r>
        <w:rPr/>
        <w:t>络平台建设、软硬件集成、工程实施等构成，按业务类型分为两类：</w:t>
      </w:r>
    </w:p>
    <w:p>
      <w:pPr>
        <w:pStyle w:val="BodyText"/>
        <w:spacing w:line="237" w:lineRule="auto" w:before="120"/>
        <w:ind w:right="233" w:firstLine="480"/>
        <w:jc w:val="both"/>
      </w:pPr>
      <w:r>
        <w:rPr>
          <w:spacing w:val="-2"/>
        </w:rPr>
        <w:t>①平台系统集成，覆盖电信、金融、政府及其他行业的计算机及通信平台的有关</w:t>
      </w:r>
      <w:r>
        <w:rPr/>
        <w:t> </w:t>
      </w:r>
      <w:r>
        <w:rPr>
          <w:spacing w:val="-2"/>
        </w:rPr>
        <w:t>产品及技术的集成。涉及计算机服务器技术、存储技术、网络技术、通讯技术、安全</w:t>
      </w:r>
      <w:r>
        <w:rPr>
          <w:spacing w:val="-96"/>
        </w:rPr>
        <w:t> </w:t>
      </w:r>
      <w:r>
        <w:rPr>
          <w:spacing w:val="-96"/>
        </w:rPr>
      </w:r>
      <w:r>
        <w:rPr/>
        <w:t>技术、操作系统技术、业务连续性技术、系统管理技术、数据管理技术等。</w:t>
      </w:r>
    </w:p>
    <w:p>
      <w:pPr>
        <w:pStyle w:val="BodyText"/>
        <w:spacing w:line="310" w:lineRule="exact" w:before="150"/>
        <w:ind w:right="235" w:firstLine="480"/>
        <w:jc w:val="both"/>
      </w:pPr>
      <w:r>
        <w:rPr>
          <w:spacing w:val="-2"/>
        </w:rPr>
        <w:t>②应用系统集成，为电信、金融等、政府及其他行业提供软件产品的集成。涉及</w:t>
      </w:r>
      <w:r>
        <w:rPr/>
        <w:t> 数据库系统、中间件系统、安全系统、监控系统等。</w:t>
      </w:r>
    </w:p>
    <w:p>
      <w:pPr>
        <w:pStyle w:val="BodyText"/>
        <w:spacing w:line="331" w:lineRule="auto" w:before="89"/>
        <w:ind w:left="617" w:right="119" w:hanging="480"/>
        <w:jc w:val="left"/>
      </w:pPr>
      <w:r>
        <w:rPr/>
        <w:t>（</w:t>
      </w:r>
      <w:r>
        <w:rPr>
          <w:rFonts w:ascii="宋体" w:hAnsi="宋体" w:cs="宋体" w:eastAsia="宋体" w:hint="default"/>
        </w:rPr>
        <w:t>2</w:t>
      </w:r>
      <w:r>
        <w:rPr/>
        <w:t>）软件及自主产品业务 </w:t>
      </w:r>
      <w:r>
        <w:rPr>
          <w:spacing w:val="-2"/>
        </w:rPr>
        <w:t>公司的软件业务主要包括软件产品及软件解决方案两方面。公司主要软件产品包</w:t>
      </w:r>
    </w:p>
    <w:p>
      <w:pPr>
        <w:pStyle w:val="BodyText"/>
        <w:spacing w:line="217" w:lineRule="exact"/>
        <w:ind w:right="119"/>
        <w:jc w:val="left"/>
        <w:rPr>
          <w:rFonts w:ascii="宋体" w:hAnsi="宋体" w:cs="宋体" w:eastAsia="宋体" w:hint="default"/>
        </w:rPr>
      </w:pPr>
      <w:r>
        <w:rPr/>
        <w:t>括：业务运营支撑云服务平台及系列软件；供应链金融云服务平台及系列软件；</w:t>
      </w:r>
      <w:r>
        <w:rPr>
          <w:spacing w:val="67"/>
        </w:rPr>
        <w:t> </w:t>
      </w:r>
      <w:r>
        <w:rPr>
          <w:rFonts w:ascii="宋体" w:hAnsi="宋体" w:cs="宋体" w:eastAsia="宋体" w:hint="default"/>
          <w:spacing w:val="-3"/>
        </w:rPr>
        <w:t>IT</w:t>
      </w:r>
      <w:r>
        <w:rPr>
          <w:rFonts w:ascii="宋体" w:hAnsi="宋体" w:cs="宋体" w:eastAsia="宋体" w:hint="default"/>
        </w:rPr>
      </w:r>
    </w:p>
    <w:p>
      <w:pPr>
        <w:pStyle w:val="BodyText"/>
        <w:spacing w:line="237" w:lineRule="auto" w:before="1"/>
        <w:ind w:right="233"/>
        <w:jc w:val="both"/>
      </w:pPr>
      <w:r>
        <w:rPr>
          <w:spacing w:val="-2"/>
        </w:rPr>
        <w:t>运维云服务平台及系列软件；自主产品包括：①可信开放高端计算系统系列产品（可</w:t>
      </w:r>
      <w:r>
        <w:rPr>
          <w:spacing w:val="-94"/>
        </w:rPr>
        <w:t> </w:t>
      </w:r>
      <w:r>
        <w:rPr>
          <w:spacing w:val="-94"/>
        </w:rPr>
      </w:r>
      <w:r>
        <w:rPr>
          <w:spacing w:val="-2"/>
        </w:rPr>
        <w:t>信服务器、可信操作系统、可信数据库、可信中间件及工具软件）；②云计算架构系</w:t>
      </w:r>
      <w:r>
        <w:rPr>
          <w:spacing w:val="-95"/>
        </w:rPr>
        <w:t> </w:t>
      </w:r>
      <w:r>
        <w:rPr>
          <w:spacing w:val="-95"/>
        </w:rPr>
      </w:r>
      <w:r>
        <w:rPr>
          <w:spacing w:val="-2"/>
        </w:rPr>
        <w:t>列产品（云计算</w:t>
      </w:r>
      <w:r>
        <w:rPr>
          <w:rFonts w:ascii="宋体" w:hAnsi="宋体" w:cs="宋体" w:eastAsia="宋体" w:hint="default"/>
          <w:spacing w:val="-2"/>
        </w:rPr>
        <w:t>+</w:t>
      </w:r>
      <w:r>
        <w:rPr>
          <w:spacing w:val="-2"/>
        </w:rPr>
        <w:t>云存储</w:t>
      </w:r>
      <w:r>
        <w:rPr>
          <w:rFonts w:ascii="宋体" w:hAnsi="宋体" w:cs="宋体" w:eastAsia="宋体" w:hint="default"/>
          <w:spacing w:val="-2"/>
        </w:rPr>
        <w:t>+</w:t>
      </w:r>
      <w:r>
        <w:rPr>
          <w:spacing w:val="-2"/>
        </w:rPr>
        <w:t>云安全）；③大数据系列产品（大数据管理与分析共性服务</w:t>
      </w:r>
      <w:r>
        <w:rPr>
          <w:spacing w:val="-93"/>
        </w:rPr>
        <w:t> </w:t>
      </w:r>
      <w:r>
        <w:rPr>
          <w:spacing w:val="-93"/>
        </w:rPr>
      </w:r>
      <w:r>
        <w:rPr>
          <w:spacing w:val="-8"/>
        </w:rPr>
        <w:t>支撑平台平台及应用）；④云数据中心运营管理产品。软件及自主产品解决方案包括：</w:t>
      </w:r>
      <w:r>
        <w:rPr>
          <w:spacing w:val="-105"/>
        </w:rPr>
        <w:t> </w:t>
      </w:r>
      <w:r>
        <w:rPr>
          <w:spacing w:val="-105"/>
        </w:rPr>
      </w:r>
      <w:r>
        <w:rPr>
          <w:spacing w:val="-8"/>
        </w:rPr>
        <w:t>虚拟化系统、云存储备份归档容灾系统、桌面云、绿色机房监控、业务服务管理系统、</w:t>
      </w:r>
      <w:r>
        <w:rPr>
          <w:spacing w:val="-103"/>
        </w:rPr>
        <w:t> </w:t>
      </w:r>
      <w:r>
        <w:rPr>
          <w:spacing w:val="-103"/>
        </w:rPr>
      </w:r>
      <w:r>
        <w:rPr/>
        <w:t>数据中心安全等解决方案。</w:t>
      </w:r>
    </w:p>
    <w:p>
      <w:pPr>
        <w:pStyle w:val="BodyText"/>
        <w:spacing w:line="240" w:lineRule="auto" w:before="116"/>
        <w:ind w:right="119"/>
        <w:jc w:val="left"/>
      </w:pPr>
      <w:r>
        <w:rPr/>
        <w:t>（</w:t>
      </w:r>
      <w:r>
        <w:rPr>
          <w:rFonts w:ascii="宋体" w:hAnsi="宋体" w:cs="宋体" w:eastAsia="宋体" w:hint="default"/>
        </w:rPr>
        <w:t>3</w:t>
      </w:r>
      <w:r>
        <w:rPr/>
        <w:t>）专业</w:t>
      </w:r>
      <w:r>
        <w:rPr>
          <w:spacing w:val="-61"/>
        </w:rPr>
        <w:t> </w:t>
      </w:r>
      <w:r>
        <w:rPr>
          <w:rFonts w:ascii="宋体" w:hAnsi="宋体" w:cs="宋体" w:eastAsia="宋体" w:hint="default"/>
        </w:rPr>
        <w:t>IT</w:t>
      </w:r>
      <w:r>
        <w:rPr>
          <w:rFonts w:ascii="宋体" w:hAnsi="宋体" w:cs="宋体" w:eastAsia="宋体" w:hint="default"/>
          <w:spacing w:val="-60"/>
        </w:rPr>
        <w:t> </w:t>
      </w:r>
      <w:r>
        <w:rPr/>
        <w:t>服务</w:t>
      </w:r>
    </w:p>
    <w:p>
      <w:pPr>
        <w:pStyle w:val="BodyText"/>
        <w:spacing w:line="237" w:lineRule="auto" w:before="120"/>
        <w:ind w:right="233" w:firstLine="480"/>
        <w:jc w:val="both"/>
      </w:pPr>
      <w:r>
        <w:rPr/>
        <w:t>公司的</w:t>
      </w:r>
      <w:r>
        <w:rPr>
          <w:spacing w:val="-49"/>
        </w:rPr>
        <w:t> </w:t>
      </w:r>
      <w:r>
        <w:rPr>
          <w:rFonts w:ascii="宋体" w:hAnsi="宋体" w:cs="宋体" w:eastAsia="宋体" w:hint="default"/>
        </w:rPr>
        <w:t>IT</w:t>
      </w:r>
      <w:r>
        <w:rPr>
          <w:rFonts w:ascii="宋体" w:hAnsi="宋体" w:cs="宋体" w:eastAsia="宋体" w:hint="default"/>
          <w:spacing w:val="-48"/>
        </w:rPr>
        <w:t> </w:t>
      </w:r>
      <w:r>
        <w:rPr/>
        <w:t>服务，包括</w:t>
      </w:r>
      <w:r>
        <w:rPr>
          <w:spacing w:val="-48"/>
        </w:rPr>
        <w:t> </w:t>
      </w:r>
      <w:r>
        <w:rPr>
          <w:rFonts w:ascii="宋体" w:hAnsi="宋体" w:cs="宋体" w:eastAsia="宋体" w:hint="default"/>
        </w:rPr>
        <w:t>IT</w:t>
      </w:r>
      <w:r>
        <w:rPr>
          <w:rFonts w:ascii="宋体" w:hAnsi="宋体" w:cs="宋体" w:eastAsia="宋体" w:hint="default"/>
          <w:spacing w:val="-48"/>
        </w:rPr>
        <w:t> </w:t>
      </w:r>
      <w:r>
        <w:rPr/>
        <w:t>运维服务和专业服务，前者服务的内容是针对</w:t>
      </w:r>
      <w:r>
        <w:rPr>
          <w:spacing w:val="-47"/>
        </w:rPr>
        <w:t> </w:t>
      </w:r>
      <w:r>
        <w:rPr>
          <w:rFonts w:ascii="宋体" w:hAnsi="宋体" w:cs="宋体" w:eastAsia="宋体" w:hint="default"/>
        </w:rPr>
        <w:t>IT</w:t>
      </w:r>
      <w:r>
        <w:rPr>
          <w:rFonts w:ascii="宋体" w:hAnsi="宋体" w:cs="宋体" w:eastAsia="宋体" w:hint="default"/>
          <w:spacing w:val="-48"/>
        </w:rPr>
        <w:t> </w:t>
      </w:r>
      <w:r>
        <w:rPr/>
        <w:t>系统 的运行支持与维护服务，包括 </w:t>
      </w:r>
      <w:r>
        <w:rPr>
          <w:rFonts w:ascii="宋体" w:hAnsi="宋体" w:cs="宋体" w:eastAsia="宋体" w:hint="default"/>
        </w:rPr>
        <w:t>IT</w:t>
      </w:r>
      <w:r>
        <w:rPr>
          <w:rFonts w:ascii="宋体" w:hAnsi="宋体" w:cs="宋体" w:eastAsia="宋体" w:hint="default"/>
          <w:spacing w:val="-48"/>
        </w:rPr>
        <w:t> </w:t>
      </w:r>
      <w:r>
        <w:rPr/>
        <w:t>设备的维保服务，如：服务器、网络、存储、系统 软件等、设备维保的服务集成、</w:t>
      </w:r>
      <w:r>
        <w:rPr>
          <w:rFonts w:ascii="宋体" w:hAnsi="宋体" w:cs="宋体" w:eastAsia="宋体" w:hint="default"/>
        </w:rPr>
        <w:t>IT </w:t>
      </w:r>
      <w:r>
        <w:rPr/>
        <w:t>系统运营维护服务、</w:t>
      </w:r>
      <w:r>
        <w:rPr>
          <w:rFonts w:ascii="宋体" w:hAnsi="宋体" w:cs="宋体" w:eastAsia="宋体" w:hint="default"/>
        </w:rPr>
        <w:t>IT</w:t>
      </w:r>
      <w:r>
        <w:rPr>
          <w:rFonts w:ascii="宋体" w:hAnsi="宋体" w:cs="宋体" w:eastAsia="宋体" w:hint="default"/>
          <w:spacing w:val="-48"/>
        </w:rPr>
        <w:t> </w:t>
      </w:r>
      <w:r>
        <w:rPr/>
        <w:t>系统的整体运行外包服务</w:t>
      </w:r>
    </w:p>
    <w:p>
      <w:pPr>
        <w:pStyle w:val="BodyText"/>
        <w:spacing w:line="237" w:lineRule="auto" w:before="1"/>
        <w:ind w:right="119"/>
        <w:jc w:val="left"/>
      </w:pPr>
      <w:r>
        <w:rPr/>
        <w:t>等；后者服务的内容为项目型的专业服务，包括：信息安全评估、咨询及实施服务；</w:t>
      </w:r>
      <w:r>
        <w:rPr>
          <w:spacing w:val="-57"/>
        </w:rPr>
        <w:t> </w:t>
      </w:r>
      <w:r>
        <w:rPr>
          <w:spacing w:val="-57"/>
        </w:rPr>
      </w:r>
      <w:r>
        <w:rPr>
          <w:spacing w:val="-3"/>
        </w:rPr>
        <w:t>数据中心容灾咨询服务；云计算解决方案设计及咨询服务；</w:t>
      </w:r>
      <w:r>
        <w:rPr>
          <w:rFonts w:ascii="宋体" w:hAnsi="宋体" w:cs="宋体" w:eastAsia="宋体" w:hint="default"/>
          <w:spacing w:val="-3"/>
        </w:rPr>
        <w:t>IT</w:t>
      </w:r>
      <w:r>
        <w:rPr>
          <w:rFonts w:ascii="宋体" w:hAnsi="宋体" w:cs="宋体" w:eastAsia="宋体" w:hint="default"/>
          <w:spacing w:val="-55"/>
        </w:rPr>
        <w:t> </w:t>
      </w:r>
      <w:r>
        <w:rPr>
          <w:spacing w:val="-4"/>
        </w:rPr>
        <w:t>系统集成咨询服务；绿</w:t>
      </w:r>
      <w:r>
        <w:rPr>
          <w:spacing w:val="-109"/>
        </w:rPr>
        <w:t> </w:t>
      </w:r>
      <w:r>
        <w:rPr>
          <w:spacing w:val="-109"/>
        </w:rPr>
      </w:r>
      <w:r>
        <w:rPr/>
        <w:t>色智能数据中心服务；虚拟化咨询服务；通信解决方案咨询服务；重大故障专项分析</w:t>
      </w:r>
      <w:r>
        <w:rPr/>
        <w:t> 报告服务；集中存储备份建设服务。</w:t>
      </w:r>
    </w:p>
    <w:p>
      <w:pPr>
        <w:pStyle w:val="BodyText"/>
        <w:spacing w:line="240" w:lineRule="auto" w:before="118"/>
        <w:ind w:right="119"/>
        <w:jc w:val="left"/>
      </w:pPr>
      <w:r>
        <w:rPr>
          <w:rFonts w:ascii="宋体" w:hAnsi="宋体" w:cs="宋体" w:eastAsia="宋体" w:hint="default"/>
        </w:rPr>
        <w:t>3</w:t>
      </w:r>
      <w:r>
        <w:rPr/>
        <w:t>、行业情况说明</w:t>
      </w:r>
    </w:p>
    <w:p>
      <w:pPr>
        <w:spacing w:after="0" w:line="240" w:lineRule="auto"/>
        <w:jc w:val="left"/>
        <w:sectPr>
          <w:footerReference w:type="default" r:id="rId12"/>
          <w:pgSz w:w="11910" w:h="16840"/>
          <w:pgMar w:footer="1195" w:header="880" w:top="1120" w:bottom="1380" w:left="1140" w:right="1560"/>
        </w:sectPr>
      </w:pPr>
    </w:p>
    <w:p>
      <w:pPr>
        <w:spacing w:line="240" w:lineRule="auto" w:before="2"/>
        <w:rPr>
          <w:rFonts w:ascii="宋体" w:hAnsi="宋体" w:cs="宋体" w:eastAsia="宋体" w:hint="default"/>
          <w:sz w:val="19"/>
          <w:szCs w:val="19"/>
        </w:rPr>
      </w:pPr>
    </w:p>
    <w:p>
      <w:pPr>
        <w:pStyle w:val="BodyText"/>
        <w:spacing w:line="312" w:lineRule="exact" w:before="56"/>
        <w:ind w:right="115" w:firstLine="480"/>
        <w:jc w:val="both"/>
      </w:pPr>
      <w:r>
        <w:rPr>
          <w:spacing w:val="-2"/>
        </w:rPr>
        <w:t>公司主要为电信、金融、政府和邮政等行业的用户提供系统集成及专业服务，属</w:t>
      </w:r>
      <w:r>
        <w:rPr/>
        <w:t> 信息技术（</w:t>
      </w:r>
      <w:r>
        <w:rPr>
          <w:rFonts w:ascii="宋体" w:hAnsi="宋体" w:cs="宋体" w:eastAsia="宋体" w:hint="default"/>
        </w:rPr>
        <w:t>IT</w:t>
      </w:r>
      <w:r>
        <w:rPr/>
        <w:t>）应用服务业。</w:t>
      </w:r>
    </w:p>
    <w:p>
      <w:pPr>
        <w:pStyle w:val="BodyText"/>
        <w:spacing w:line="237" w:lineRule="auto" w:before="89"/>
        <w:ind w:right="112" w:firstLine="480"/>
        <w:jc w:val="both"/>
      </w:pPr>
      <w:r>
        <w:rPr>
          <w:rFonts w:ascii="宋体" w:hAnsi="宋体" w:cs="宋体" w:eastAsia="宋体" w:hint="default"/>
        </w:rPr>
        <w:t>2014</w:t>
      </w:r>
      <w:r>
        <w:rPr>
          <w:rFonts w:ascii="宋体" w:hAnsi="宋体" w:cs="宋体" w:eastAsia="宋体" w:hint="default"/>
          <w:spacing w:val="-39"/>
        </w:rPr>
        <w:t> </w:t>
      </w:r>
      <w:r>
        <w:rPr>
          <w:spacing w:val="-4"/>
        </w:rPr>
        <w:t>年，中央网络安全和信息化领导小组把网络安全和信息化作为国家战略，彰</w:t>
      </w:r>
      <w:r>
        <w:rPr/>
        <w:t> </w:t>
      </w:r>
      <w:r>
        <w:rPr>
          <w:spacing w:val="-2"/>
        </w:rPr>
        <w:t>显了国家意志在保障网络安全、维护国家利益方面的坚强决心，表明了国家对信息化</w:t>
      </w:r>
      <w:r>
        <w:rPr>
          <w:spacing w:val="-94"/>
        </w:rPr>
        <w:t> </w:t>
      </w:r>
      <w:r>
        <w:rPr>
          <w:spacing w:val="-94"/>
        </w:rPr>
      </w:r>
      <w:r>
        <w:rPr>
          <w:spacing w:val="-2"/>
        </w:rPr>
        <w:t>工作的高度重视，自主产品、信息安全、互联网已经成为信息工作的重点，网络经济</w:t>
      </w:r>
      <w:r>
        <w:rPr>
          <w:spacing w:val="-94"/>
        </w:rPr>
        <w:t> </w:t>
      </w:r>
      <w:r>
        <w:rPr>
          <w:spacing w:val="-94"/>
        </w:rPr>
      </w:r>
      <w:r>
        <w:rPr>
          <w:spacing w:val="-2"/>
        </w:rPr>
        <w:t>将成为未来十年中国的增长动力。金融、运营商、政企等行业用户均在积极转型和部</w:t>
      </w:r>
      <w:r>
        <w:rPr>
          <w:spacing w:val="-93"/>
        </w:rPr>
        <w:t> </w:t>
      </w:r>
      <w:r>
        <w:rPr>
          <w:spacing w:val="-93"/>
        </w:rPr>
      </w:r>
      <w:r>
        <w:rPr/>
        <w:t>署各类云计算和大数据应用，新一轮 </w:t>
      </w:r>
      <w:r>
        <w:rPr>
          <w:rFonts w:ascii="宋体" w:hAnsi="宋体" w:cs="宋体" w:eastAsia="宋体" w:hint="default"/>
        </w:rPr>
        <w:t>IT</w:t>
      </w:r>
      <w:r>
        <w:rPr>
          <w:rFonts w:ascii="宋体" w:hAnsi="宋体" w:cs="宋体" w:eastAsia="宋体" w:hint="default"/>
          <w:spacing w:val="-48"/>
        </w:rPr>
        <w:t> </w:t>
      </w:r>
      <w:r>
        <w:rPr/>
        <w:t>建设热点正在出现。行业内企业积极向“服 务化、网络化、安全化”转型</w:t>
      </w:r>
    </w:p>
    <w:p>
      <w:pPr>
        <w:pStyle w:val="BodyText"/>
        <w:spacing w:line="237" w:lineRule="auto" w:before="121"/>
        <w:ind w:right="109" w:firstLine="480"/>
        <w:jc w:val="both"/>
      </w:pPr>
      <w:r>
        <w:rPr/>
        <w:t>新一代 </w:t>
      </w:r>
      <w:r>
        <w:rPr>
          <w:rFonts w:ascii="宋体" w:hAnsi="宋体" w:cs="宋体" w:eastAsia="宋体" w:hint="default"/>
        </w:rPr>
        <w:t>IT</w:t>
      </w:r>
      <w:r>
        <w:rPr>
          <w:rFonts w:ascii="宋体" w:hAnsi="宋体" w:cs="宋体" w:eastAsia="宋体" w:hint="default"/>
          <w:spacing w:val="-49"/>
        </w:rPr>
        <w:t> </w:t>
      </w:r>
      <w:r>
        <w:rPr/>
        <w:t>和高科技服务产业正在加速融合发展，信息技术加快向服务化、网络 </w:t>
      </w:r>
      <w:r>
        <w:rPr>
          <w:spacing w:val="-2"/>
        </w:rPr>
        <w:t>化转变，信息技术的技术含量和附加值高，发展潜力大，辐射带动作用突出。目前国</w:t>
      </w:r>
      <w:r>
        <w:rPr>
          <w:spacing w:val="-94"/>
        </w:rPr>
        <w:t> </w:t>
      </w:r>
      <w:r>
        <w:rPr>
          <w:spacing w:val="-94"/>
        </w:rPr>
      </w:r>
      <w:r>
        <w:rPr>
          <w:spacing w:val="-2"/>
        </w:rPr>
        <w:t>内各类信息企业均在实施战略转型，软件行业正向服务化加速发展；信息集成企业积</w:t>
      </w:r>
      <w:r>
        <w:rPr>
          <w:spacing w:val="-94"/>
        </w:rPr>
        <w:t> </w:t>
      </w:r>
      <w:r>
        <w:rPr>
          <w:spacing w:val="-94"/>
        </w:rPr>
      </w:r>
      <w:r>
        <w:rPr>
          <w:spacing w:val="-2"/>
        </w:rPr>
        <w:t>极开展自主知识产权的产品研发或引进消化再创新国际企业的产品和技术；金融业和</w:t>
      </w:r>
      <w:r>
        <w:rPr>
          <w:spacing w:val="-94"/>
        </w:rPr>
        <w:t> </w:t>
      </w:r>
      <w:r>
        <w:rPr>
          <w:spacing w:val="-94"/>
        </w:rPr>
      </w:r>
      <w:r>
        <w:rPr/>
        <w:t>电信企业纷纷实施去“管道化”，步入“互联网</w:t>
      </w:r>
      <w:r>
        <w:rPr>
          <w:rFonts w:ascii="宋体" w:hAnsi="宋体" w:cs="宋体" w:eastAsia="宋体" w:hint="default"/>
        </w:rPr>
        <w:t>+</w:t>
      </w:r>
      <w:r>
        <w:rPr/>
        <w:t>”；传统工业企业正加紧实施两化</w:t>
      </w:r>
      <w:r>
        <w:rPr>
          <w:spacing w:val="-56"/>
        </w:rPr>
        <w:t> </w:t>
      </w:r>
      <w:r>
        <w:rPr>
          <w:spacing w:val="-56"/>
        </w:rPr>
      </w:r>
      <w:r>
        <w:rPr/>
        <w:t>深度融合，打造信息化的“工业</w:t>
      </w:r>
      <w:r>
        <w:rPr>
          <w:spacing w:val="-48"/>
        </w:rPr>
        <w:t> </w:t>
      </w:r>
      <w:r>
        <w:rPr>
          <w:rFonts w:ascii="宋体" w:hAnsi="宋体" w:cs="宋体" w:eastAsia="宋体" w:hint="default"/>
        </w:rPr>
        <w:t>4.0</w:t>
      </w:r>
      <w:r>
        <w:rPr/>
        <w:t>”新时代。国家对产品自主化战略的重视，让计 </w:t>
      </w:r>
      <w:r>
        <w:rPr>
          <w:spacing w:val="-8"/>
        </w:rPr>
        <w:t>算机产业迎来了新的发展空间，自主、安全、可靠的软硬件创新发展迎来历史性机遇。</w:t>
      </w:r>
    </w:p>
    <w:p>
      <w:pPr>
        <w:spacing w:line="240" w:lineRule="auto" w:before="0"/>
        <w:rPr>
          <w:rFonts w:ascii="宋体" w:hAnsi="宋体" w:cs="宋体" w:eastAsia="宋体" w:hint="default"/>
          <w:sz w:val="24"/>
          <w:szCs w:val="24"/>
        </w:rPr>
      </w:pPr>
    </w:p>
    <w:p>
      <w:pPr>
        <w:pStyle w:val="Heading2"/>
        <w:tabs>
          <w:tab w:pos="977" w:val="left" w:leader="none"/>
        </w:tabs>
        <w:spacing w:line="283" w:lineRule="auto" w:before="174"/>
        <w:ind w:left="137" w:right="3049"/>
        <w:jc w:val="left"/>
        <w:rPr>
          <w:rFonts w:ascii="宋体" w:hAnsi="宋体" w:cs="宋体" w:eastAsia="宋体" w:hint="default"/>
          <w:b w:val="0"/>
          <w:bCs w:val="0"/>
        </w:rPr>
      </w:pPr>
      <w:r>
        <w:rPr/>
        <w:t>二、</w:t>
        <w:tab/>
        <w:t>报告期内公司主要资产发生重大变化情况的说明</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40" w:lineRule="auto" w:before="0"/>
        <w:ind w:left="137" w:right="0"/>
        <w:jc w:val="both"/>
        <w:rPr>
          <w:b w:val="0"/>
          <w:bCs w:val="0"/>
        </w:rPr>
      </w:pPr>
      <w:r>
        <w:rPr/>
        <w:t>三、 </w:t>
      </w:r>
      <w:r>
        <w:rPr>
          <w:spacing w:val="112"/>
        </w:rPr>
        <w:t> </w:t>
      </w:r>
      <w:r>
        <w:rPr/>
        <w:t>报告期内核心竞争力分析</w:t>
      </w:r>
      <w:r>
        <w:rPr>
          <w:b w:val="0"/>
          <w:bCs w:val="0"/>
        </w:rPr>
      </w:r>
    </w:p>
    <w:p>
      <w:pPr>
        <w:pStyle w:val="BodyText"/>
        <w:spacing w:line="237" w:lineRule="auto" w:before="121"/>
        <w:ind w:right="115" w:firstLine="480"/>
        <w:jc w:val="both"/>
      </w:pPr>
      <w:r>
        <w:rPr/>
        <w:t>公司作为 </w:t>
      </w:r>
      <w:r>
        <w:rPr>
          <w:rFonts w:ascii="宋体" w:hAnsi="宋体" w:cs="宋体" w:eastAsia="宋体" w:hint="default"/>
        </w:rPr>
        <w:t>IT</w:t>
      </w:r>
      <w:r>
        <w:rPr>
          <w:rFonts w:ascii="宋体" w:hAnsi="宋体" w:cs="宋体" w:eastAsia="宋体" w:hint="default"/>
          <w:spacing w:val="-49"/>
        </w:rPr>
        <w:t> </w:t>
      </w:r>
      <w:r>
        <w:rPr/>
        <w:t>领域的领先企业，以服务客户为核心，持续打造公司的能力体系， </w:t>
      </w:r>
      <w:r>
        <w:rPr>
          <w:spacing w:val="-2"/>
        </w:rPr>
        <w:t>通过多年的努力，公司在体系化产品、融合化服务、技术研发、规范管理、品牌价值</w:t>
      </w:r>
      <w:r>
        <w:rPr>
          <w:spacing w:val="-96"/>
        </w:rPr>
        <w:t> </w:t>
      </w:r>
      <w:r>
        <w:rPr>
          <w:spacing w:val="-96"/>
        </w:rPr>
      </w:r>
      <w:r>
        <w:rPr/>
        <w:t>及协作化同盟等方面都具备较为突出的核心竞争优势。</w:t>
      </w:r>
    </w:p>
    <w:p>
      <w:pPr>
        <w:pStyle w:val="BodyText"/>
        <w:spacing w:line="331" w:lineRule="auto" w:before="118"/>
        <w:ind w:left="617" w:right="0" w:hanging="480"/>
        <w:jc w:val="left"/>
      </w:pPr>
      <w:r>
        <w:rPr/>
        <w:t>（</w:t>
      </w:r>
      <w:r>
        <w:rPr>
          <w:rFonts w:ascii="宋体" w:hAnsi="宋体" w:cs="宋体" w:eastAsia="宋体" w:hint="default"/>
        </w:rPr>
        <w:t>1</w:t>
      </w:r>
      <w:r>
        <w:rPr/>
        <w:t>）领先的技术优势 </w:t>
      </w:r>
      <w:r>
        <w:rPr>
          <w:spacing w:val="-2"/>
        </w:rPr>
        <w:t>在云计算基础设备、虚拟化管理，大数据挖掘，智慧城市特色应用等技术研发方</w:t>
      </w:r>
    </w:p>
    <w:p>
      <w:pPr>
        <w:pStyle w:val="BodyText"/>
        <w:spacing w:line="217" w:lineRule="exact"/>
        <w:ind w:right="0"/>
        <w:jc w:val="both"/>
      </w:pPr>
      <w:r>
        <w:rPr/>
        <w:t>面，公司已经成为国内该领域的佼佼者，连续多年被认定为国家规划布局内重点软件</w:t>
      </w:r>
    </w:p>
    <w:p>
      <w:pPr>
        <w:pStyle w:val="BodyText"/>
        <w:spacing w:line="237" w:lineRule="auto" w:before="1"/>
        <w:ind w:right="115"/>
        <w:jc w:val="both"/>
      </w:pPr>
      <w:r>
        <w:rPr>
          <w:spacing w:val="-8"/>
        </w:rPr>
        <w:t>企业。公司拥有专业的软硬件开发、运维服务及数据分析人才队伍，包括高级工程师、</w:t>
      </w:r>
      <w:r>
        <w:rPr>
          <w:spacing w:val="-104"/>
        </w:rPr>
        <w:t> </w:t>
      </w:r>
      <w:r>
        <w:rPr>
          <w:spacing w:val="-104"/>
        </w:rPr>
      </w:r>
      <w:r>
        <w:rPr>
          <w:spacing w:val="-2"/>
        </w:rPr>
        <w:t>工业和信息化部认证的高级项目经理和项目经理近百名，取得了大量的软件著作权及</w:t>
      </w:r>
      <w:r>
        <w:rPr>
          <w:spacing w:val="-94"/>
        </w:rPr>
        <w:t> </w:t>
      </w:r>
      <w:r>
        <w:rPr>
          <w:spacing w:val="-94"/>
        </w:rPr>
      </w:r>
      <w:r>
        <w:rPr/>
        <w:t>发明专利。</w:t>
      </w:r>
    </w:p>
    <w:p>
      <w:pPr>
        <w:pStyle w:val="BodyText"/>
        <w:spacing w:line="237" w:lineRule="auto" w:before="121"/>
        <w:ind w:right="113" w:firstLine="480"/>
        <w:jc w:val="both"/>
      </w:pPr>
      <w:r>
        <w:rPr/>
        <w:t>报告期内，公司与</w:t>
      </w:r>
      <w:r>
        <w:rPr>
          <w:spacing w:val="-34"/>
        </w:rPr>
        <w:t> </w:t>
      </w:r>
      <w:r>
        <w:rPr>
          <w:rFonts w:ascii="宋体" w:hAnsi="宋体" w:cs="宋体" w:eastAsia="宋体" w:hint="default"/>
        </w:rPr>
        <w:t>IBM</w:t>
      </w:r>
      <w:r>
        <w:rPr>
          <w:rFonts w:ascii="宋体" w:hAnsi="宋体" w:cs="宋体" w:eastAsia="宋体" w:hint="default"/>
          <w:spacing w:val="-33"/>
        </w:rPr>
        <w:t> </w:t>
      </w:r>
      <w:r>
        <w:rPr/>
        <w:t>基于</w:t>
      </w:r>
      <w:r>
        <w:rPr>
          <w:spacing w:val="-34"/>
        </w:rPr>
        <w:t> </w:t>
      </w:r>
      <w:r>
        <w:rPr>
          <w:rFonts w:ascii="宋体" w:hAnsi="宋体" w:cs="宋体" w:eastAsia="宋体" w:hint="default"/>
        </w:rPr>
        <w:t>POWER</w:t>
      </w:r>
      <w:r>
        <w:rPr>
          <w:rFonts w:ascii="宋体" w:hAnsi="宋体" w:cs="宋体" w:eastAsia="宋体" w:hint="default"/>
          <w:spacing w:val="-34"/>
        </w:rPr>
        <w:t> </w:t>
      </w:r>
      <w:r>
        <w:rPr/>
        <w:t>微处理器的服务器系统、</w:t>
      </w:r>
      <w:r>
        <w:rPr>
          <w:rFonts w:ascii="宋体" w:hAnsi="宋体" w:cs="宋体" w:eastAsia="宋体" w:hint="default"/>
        </w:rPr>
        <w:t>Informix</w:t>
      </w:r>
      <w:r>
        <w:rPr>
          <w:rFonts w:ascii="宋体" w:hAnsi="宋体" w:cs="宋体" w:eastAsia="宋体" w:hint="default"/>
          <w:spacing w:val="-33"/>
        </w:rPr>
        <w:t> </w:t>
      </w:r>
      <w:r>
        <w:rPr/>
        <w:t>数据库、 </w:t>
      </w:r>
      <w:r>
        <w:rPr>
          <w:rFonts w:ascii="宋体" w:hAnsi="宋体" w:cs="宋体" w:eastAsia="宋体" w:hint="default"/>
        </w:rPr>
        <w:t>WebSphere </w:t>
      </w:r>
      <w:r>
        <w:rPr/>
        <w:t>应用服务器、</w:t>
      </w:r>
      <w:r>
        <w:rPr>
          <w:rFonts w:ascii="宋体" w:hAnsi="宋体" w:cs="宋体" w:eastAsia="宋体" w:hint="default"/>
        </w:rPr>
        <w:t>MQ</w:t>
      </w:r>
      <w:r>
        <w:rPr>
          <w:rFonts w:ascii="宋体" w:hAnsi="宋体" w:cs="宋体" w:eastAsia="宋体" w:hint="default"/>
          <w:spacing w:val="-49"/>
        </w:rPr>
        <w:t> </w:t>
      </w:r>
      <w:r>
        <w:rPr/>
        <w:t>中间件等领域展开全方位合作</w:t>
      </w:r>
      <w:r>
        <w:rPr>
          <w:rFonts w:ascii="宋体" w:hAnsi="宋体" w:cs="宋体" w:eastAsia="宋体" w:hint="default"/>
        </w:rPr>
        <w:t>,</w:t>
      </w:r>
      <w:r>
        <w:rPr/>
        <w:t>通过引进、消化、吸收、 </w:t>
      </w:r>
      <w:r>
        <w:rPr>
          <w:spacing w:val="-2"/>
        </w:rPr>
        <w:t>再创新的技术路径，消化掌握国际上先进的高端计算技术，形成拥有自主知识产权的</w:t>
      </w:r>
      <w:r>
        <w:rPr>
          <w:spacing w:val="-94"/>
        </w:rPr>
        <w:t> </w:t>
      </w:r>
      <w:r>
        <w:rPr>
          <w:spacing w:val="-94"/>
        </w:rPr>
      </w:r>
      <w:r>
        <w:rPr/>
        <w:t>高端计算软硬件产品，包括但不限于服务器、数据库、中间件等。</w:t>
      </w:r>
    </w:p>
    <w:p>
      <w:pPr>
        <w:pStyle w:val="BodyText"/>
        <w:spacing w:line="240" w:lineRule="auto" w:before="118"/>
        <w:ind w:right="0"/>
        <w:jc w:val="both"/>
      </w:pPr>
      <w:r>
        <w:rPr/>
        <w:t>（</w:t>
      </w:r>
      <w:r>
        <w:rPr>
          <w:rFonts w:ascii="宋体" w:hAnsi="宋体" w:cs="宋体" w:eastAsia="宋体" w:hint="default"/>
        </w:rPr>
        <w:t>2</w:t>
      </w:r>
      <w:r>
        <w:rPr/>
        <w:t>）体系化产品优势</w:t>
      </w:r>
    </w:p>
    <w:p>
      <w:pPr>
        <w:pStyle w:val="BodyText"/>
        <w:spacing w:line="237" w:lineRule="auto" w:before="118"/>
        <w:ind w:right="111" w:firstLine="480"/>
        <w:jc w:val="both"/>
      </w:pPr>
      <w:r>
        <w:rPr>
          <w:spacing w:val="-5"/>
        </w:rPr>
        <w:t>公司已正式推出满足用户多场景应用、涵盖</w:t>
      </w:r>
      <w:r>
        <w:rPr>
          <w:spacing w:val="-52"/>
        </w:rPr>
        <w:t> </w:t>
      </w:r>
      <w:r>
        <w:rPr>
          <w:rFonts w:ascii="宋体" w:hAnsi="宋体" w:cs="宋体" w:eastAsia="宋体" w:hint="default"/>
          <w:spacing w:val="-9"/>
        </w:rPr>
        <w:t>Linux</w:t>
      </w:r>
      <w:r>
        <w:rPr>
          <w:spacing w:val="-9"/>
        </w:rPr>
        <w:t>、</w:t>
      </w:r>
      <w:r>
        <w:rPr>
          <w:rFonts w:ascii="宋体" w:hAnsi="宋体" w:cs="宋体" w:eastAsia="宋体" w:hint="default"/>
          <w:spacing w:val="-9"/>
        </w:rPr>
        <w:t>AIX</w:t>
      </w:r>
      <w:r>
        <w:rPr>
          <w:rFonts w:ascii="宋体" w:hAnsi="宋体" w:cs="宋体" w:eastAsia="宋体" w:hint="default"/>
          <w:spacing w:val="-52"/>
        </w:rPr>
        <w:t> </w:t>
      </w:r>
      <w:r>
        <w:rPr>
          <w:spacing w:val="-11"/>
        </w:rPr>
        <w:t>操作系统、涵盖</w:t>
      </w:r>
      <w:r>
        <w:rPr>
          <w:spacing w:val="-52"/>
        </w:rPr>
        <w:t> </w:t>
      </w:r>
      <w:r>
        <w:rPr>
          <w:rFonts w:ascii="宋体" w:hAnsi="宋体" w:cs="宋体" w:eastAsia="宋体" w:hint="default"/>
        </w:rPr>
        <w:t>Power7</w:t>
      </w:r>
      <w:r>
        <w:rPr/>
        <w:t>、 </w:t>
      </w:r>
      <w:r>
        <w:rPr>
          <w:rFonts w:ascii="宋体" w:hAnsi="宋体" w:cs="宋体" w:eastAsia="宋体" w:hint="default"/>
        </w:rPr>
        <w:t>Power8CPU</w:t>
      </w:r>
      <w:r>
        <w:rPr>
          <w:rFonts w:ascii="宋体" w:hAnsi="宋体" w:cs="宋体" w:eastAsia="宋体" w:hint="default"/>
          <w:spacing w:val="-61"/>
        </w:rPr>
        <w:t> </w:t>
      </w:r>
      <w:r>
        <w:rPr/>
        <w:t>的</w:t>
      </w:r>
      <w:r>
        <w:rPr>
          <w:spacing w:val="-60"/>
        </w:rPr>
        <w:t> </w:t>
      </w:r>
      <w:r>
        <w:rPr>
          <w:rFonts w:ascii="宋体" w:hAnsi="宋体" w:cs="宋体" w:eastAsia="宋体" w:hint="default"/>
        </w:rPr>
        <w:t>4</w:t>
      </w:r>
      <w:r>
        <w:rPr>
          <w:rFonts w:ascii="宋体" w:hAnsi="宋体" w:cs="宋体" w:eastAsia="宋体" w:hint="default"/>
          <w:spacing w:val="-60"/>
        </w:rPr>
        <w:t> </w:t>
      </w:r>
      <w:r>
        <w:rPr/>
        <w:t>大系列</w:t>
      </w:r>
      <w:r>
        <w:rPr>
          <w:spacing w:val="-60"/>
        </w:rPr>
        <w:t> </w:t>
      </w:r>
      <w:r>
        <w:rPr>
          <w:rFonts w:ascii="宋体" w:hAnsi="宋体" w:cs="宋体" w:eastAsia="宋体" w:hint="default"/>
        </w:rPr>
        <w:t>18</w:t>
      </w:r>
      <w:r>
        <w:rPr>
          <w:rFonts w:ascii="宋体" w:hAnsi="宋体" w:cs="宋体" w:eastAsia="宋体" w:hint="default"/>
          <w:spacing w:val="-60"/>
        </w:rPr>
        <w:t> </w:t>
      </w:r>
      <w:r>
        <w:rPr>
          <w:spacing w:val="-5"/>
        </w:rPr>
        <w:t>款“新云东方”服务器产品。同时，基于</w:t>
      </w:r>
      <w:r>
        <w:rPr>
          <w:spacing w:val="-60"/>
        </w:rPr>
        <w:t> </w:t>
      </w:r>
      <w:r>
        <w:rPr>
          <w:rFonts w:ascii="宋体" w:hAnsi="宋体" w:cs="宋体" w:eastAsia="宋体" w:hint="default"/>
        </w:rPr>
        <w:t>IBM</w:t>
      </w:r>
      <w:r>
        <w:rPr>
          <w:rFonts w:ascii="宋体" w:hAnsi="宋体" w:cs="宋体" w:eastAsia="宋体" w:hint="default"/>
          <w:spacing w:val="-60"/>
        </w:rPr>
        <w:t> </w:t>
      </w:r>
      <w:r>
        <w:rPr>
          <w:spacing w:val="-4"/>
        </w:rPr>
        <w:t>支持，新云东</w:t>
      </w:r>
      <w:r>
        <w:rPr/>
        <w:t> 方自主设计的 </w:t>
      </w:r>
      <w:r>
        <w:rPr>
          <w:rFonts w:ascii="宋体" w:hAnsi="宋体" w:cs="宋体" w:eastAsia="宋体" w:hint="default"/>
        </w:rPr>
        <w:t>NL2000</w:t>
      </w:r>
      <w:r>
        <w:rPr>
          <w:rFonts w:ascii="宋体" w:hAnsi="宋体" w:cs="宋体" w:eastAsia="宋体" w:hint="default"/>
          <w:spacing w:val="-49"/>
        </w:rPr>
        <w:t> </w:t>
      </w:r>
      <w:r>
        <w:rPr/>
        <w:t>系列服务器已实现量产并进入最终测试阶段。在软件层面，华 </w:t>
      </w:r>
      <w:r>
        <w:rPr>
          <w:spacing w:val="13"/>
        </w:rPr>
        <w:t>胜信泰数据库 </w:t>
      </w:r>
      <w:r>
        <w:rPr>
          <w:rFonts w:ascii="宋体" w:hAnsi="宋体" w:cs="宋体" w:eastAsia="宋体" w:hint="default"/>
          <w:spacing w:val="8"/>
        </w:rPr>
        <w:t>ToprowDB</w:t>
      </w:r>
      <w:r>
        <w:rPr>
          <w:spacing w:val="8"/>
        </w:rPr>
        <w:t>、华胜信泰消息中间件</w:t>
      </w:r>
      <w:r>
        <w:rPr>
          <w:spacing w:val="39"/>
        </w:rPr>
        <w:t> </w:t>
      </w:r>
      <w:r>
        <w:rPr>
          <w:rFonts w:ascii="宋体" w:hAnsi="宋体" w:cs="宋体" w:eastAsia="宋体" w:hint="default"/>
          <w:spacing w:val="8"/>
        </w:rPr>
        <w:t>ToprowMQ</w:t>
      </w:r>
      <w:r>
        <w:rPr>
          <w:spacing w:val="8"/>
        </w:rPr>
        <w:t>、华胜信泰应用中间件</w:t>
      </w:r>
      <w:r>
        <w:rPr/>
        <w:t> </w:t>
      </w:r>
      <w:r>
        <w:rPr>
          <w:rFonts w:ascii="宋体" w:hAnsi="宋体" w:cs="宋体" w:eastAsia="宋体" w:hint="default"/>
        </w:rPr>
        <w:t>ToprowAS</w:t>
      </w:r>
      <w:r>
        <w:rPr/>
        <w:t>、华胜信泰云计算整体解决方案等</w:t>
      </w:r>
      <w:r>
        <w:rPr>
          <w:rFonts w:ascii="宋体" w:hAnsi="宋体" w:cs="宋体" w:eastAsia="宋体" w:hint="default"/>
        </w:rPr>
        <w:t>,</w:t>
      </w:r>
      <w:r>
        <w:rPr>
          <w:rFonts w:ascii="宋体" w:hAnsi="宋体" w:cs="宋体" w:eastAsia="宋体" w:hint="default"/>
          <w:spacing w:val="2"/>
        </w:rPr>
        <w:t> </w:t>
      </w:r>
      <w:r>
        <w:rPr>
          <w:spacing w:val="-3"/>
        </w:rPr>
        <w:t>形成了“自主可控、安全可信、高效可</w:t>
      </w:r>
    </w:p>
    <w:p>
      <w:pPr>
        <w:spacing w:after="0" w:line="237" w:lineRule="auto"/>
        <w:jc w:val="both"/>
        <w:sectPr>
          <w:footerReference w:type="default" r:id="rId13"/>
          <w:pgSz w:w="11910" w:h="16840"/>
          <w:pgMar w:footer="1195" w:header="880" w:top="1120" w:bottom="1380" w:left="1140" w:right="1680"/>
          <w:pgNumType w:start="11"/>
        </w:sectPr>
      </w:pPr>
    </w:p>
    <w:p>
      <w:pPr>
        <w:spacing w:line="240" w:lineRule="auto" w:before="2"/>
        <w:rPr>
          <w:rFonts w:ascii="宋体" w:hAnsi="宋体" w:cs="宋体" w:eastAsia="宋体" w:hint="default"/>
          <w:sz w:val="19"/>
          <w:szCs w:val="19"/>
        </w:rPr>
      </w:pPr>
    </w:p>
    <w:p>
      <w:pPr>
        <w:pStyle w:val="BodyText"/>
        <w:spacing w:line="312" w:lineRule="exact" w:before="56"/>
        <w:ind w:right="235"/>
        <w:jc w:val="both"/>
      </w:pPr>
      <w:r>
        <w:rPr>
          <w:spacing w:val="-8"/>
        </w:rPr>
        <w:t>用”的“一站式”高端计算系统产品和解决方案，在一定程度上满足重要行业应用“可</w:t>
      </w:r>
      <w:r>
        <w:rPr>
          <w:spacing w:val="-106"/>
        </w:rPr>
        <w:t> </w:t>
      </w:r>
      <w:r>
        <w:rPr>
          <w:spacing w:val="-106"/>
        </w:rPr>
      </w:r>
      <w:r>
        <w:rPr/>
        <w:t>用、可管、可控、可信”的需求。</w:t>
      </w:r>
    </w:p>
    <w:p>
      <w:pPr>
        <w:pStyle w:val="BodyText"/>
        <w:spacing w:line="237" w:lineRule="auto" w:before="89"/>
        <w:ind w:right="232" w:firstLine="480"/>
        <w:jc w:val="both"/>
      </w:pPr>
      <w:r>
        <w:rPr/>
        <w:t>同时</w:t>
      </w:r>
      <w:r>
        <w:rPr>
          <w:rFonts w:ascii="宋体" w:hAnsi="宋体" w:cs="宋体" w:eastAsia="宋体" w:hint="default"/>
        </w:rPr>
        <w:t>,</w:t>
      </w:r>
      <w:r>
        <w:rPr/>
        <w:t>围绕国家倡导的自主信息化战略，借助自主研发，公司已研发出覆盖云计 </w:t>
      </w:r>
      <w:r>
        <w:rPr>
          <w:spacing w:val="-2"/>
        </w:rPr>
        <w:t>算、大数据分析、信息安全等的设备产品，覆盖智慧城市、金融服务、邮政物流、办</w:t>
      </w:r>
      <w:r>
        <w:rPr>
          <w:spacing w:val="-96"/>
        </w:rPr>
        <w:t> </w:t>
      </w:r>
      <w:r>
        <w:rPr>
          <w:spacing w:val="-96"/>
        </w:rPr>
      </w:r>
      <w:r>
        <w:rPr>
          <w:spacing w:val="-8"/>
        </w:rPr>
        <w:t>公自动化、</w:t>
      </w:r>
      <w:r>
        <w:rPr>
          <w:rFonts w:ascii="宋体" w:hAnsi="宋体" w:cs="宋体" w:eastAsia="宋体" w:hint="default"/>
          <w:spacing w:val="-8"/>
        </w:rPr>
        <w:t>IT</w:t>
      </w:r>
      <w:r>
        <w:rPr>
          <w:rFonts w:ascii="宋体" w:hAnsi="宋体" w:cs="宋体" w:eastAsia="宋体" w:hint="default"/>
          <w:spacing w:val="-50"/>
        </w:rPr>
        <w:t> </w:t>
      </w:r>
      <w:r>
        <w:rPr>
          <w:spacing w:val="-2"/>
        </w:rPr>
        <w:t>运维管理等的应用产品，覆盖标准化硬件设备和软件系统等运行维护的</w:t>
      </w:r>
      <w:r>
        <w:rPr/>
        <w:t> </w:t>
      </w:r>
      <w:r>
        <w:rPr>
          <w:spacing w:val="-2"/>
        </w:rPr>
        <w:t>服务产品，形成“设施、应用、服务三位一体”的体系化产品能力，能够为通信、金</w:t>
      </w:r>
      <w:r>
        <w:rPr>
          <w:spacing w:val="-102"/>
        </w:rPr>
        <w:t> </w:t>
      </w:r>
      <w:r>
        <w:rPr>
          <w:spacing w:val="-102"/>
        </w:rPr>
      </w:r>
      <w:r>
        <w:rPr>
          <w:spacing w:val="-2"/>
        </w:rPr>
        <w:t>融、制造、物流等不同行业的信息化需求提供多类产品协同或独立产品支撑的解决方</w:t>
      </w:r>
      <w:r>
        <w:rPr>
          <w:spacing w:val="-94"/>
        </w:rPr>
        <w:t> </w:t>
      </w:r>
      <w:r>
        <w:rPr>
          <w:spacing w:val="-94"/>
        </w:rPr>
      </w:r>
      <w:r>
        <w:rPr/>
        <w:t>案。</w:t>
      </w:r>
    </w:p>
    <w:p>
      <w:pPr>
        <w:pStyle w:val="BodyText"/>
        <w:spacing w:line="328" w:lineRule="auto" w:before="118"/>
        <w:ind w:left="617" w:right="119" w:hanging="480"/>
        <w:jc w:val="left"/>
      </w:pPr>
      <w:r>
        <w:rPr/>
        <w:t>（</w:t>
      </w:r>
      <w:r>
        <w:rPr>
          <w:rFonts w:ascii="宋体" w:hAnsi="宋体" w:cs="宋体" w:eastAsia="宋体" w:hint="default"/>
        </w:rPr>
        <w:t>3</w:t>
      </w:r>
      <w:r>
        <w:rPr/>
        <w:t>）融合化服务优势 </w:t>
      </w:r>
      <w:r>
        <w:rPr>
          <w:spacing w:val="-2"/>
        </w:rPr>
        <w:t>公司通过不断加大华北、华东、华中、华南和西区域资源投入，建立了覆盖全国</w:t>
      </w:r>
    </w:p>
    <w:p>
      <w:pPr>
        <w:pStyle w:val="BodyText"/>
        <w:spacing w:line="223" w:lineRule="exact"/>
        <w:ind w:right="0"/>
        <w:jc w:val="left"/>
      </w:pPr>
      <w:r>
        <w:rPr>
          <w:spacing w:val="-5"/>
        </w:rPr>
        <w:t>各大中城市的营销服务网络，建立了成熟的市场营销、客户服务和项目实施管理机制，</w:t>
      </w:r>
    </w:p>
    <w:p>
      <w:pPr>
        <w:pStyle w:val="BodyText"/>
        <w:spacing w:line="237" w:lineRule="auto" w:before="1"/>
        <w:ind w:right="233"/>
        <w:jc w:val="both"/>
      </w:pPr>
      <w:r>
        <w:rPr>
          <w:spacing w:val="-2"/>
        </w:rPr>
        <w:t>形成立足区域，资源共享，支撑全国的高效服务体系，能够为全国各地的行业用户提</w:t>
      </w:r>
      <w:r>
        <w:rPr>
          <w:spacing w:val="-94"/>
        </w:rPr>
        <w:t> </w:t>
      </w:r>
      <w:r>
        <w:rPr>
          <w:spacing w:val="-94"/>
        </w:rPr>
      </w:r>
      <w:r>
        <w:rPr>
          <w:spacing w:val="-2"/>
        </w:rPr>
        <w:t>供设备、应用、集成、运维等融合化服务。成为各主要电信运营、电信设备制造及金</w:t>
      </w:r>
      <w:r>
        <w:rPr>
          <w:spacing w:val="-96"/>
        </w:rPr>
        <w:t> </w:t>
      </w:r>
      <w:r>
        <w:rPr>
          <w:spacing w:val="-96"/>
        </w:rPr>
      </w:r>
      <w:r>
        <w:rPr/>
        <w:t>融等行业重点用户所信赖的服务伙伴，在行业客户中享有较高的信誉度。</w:t>
      </w:r>
    </w:p>
    <w:p>
      <w:pPr>
        <w:pStyle w:val="BodyText"/>
        <w:spacing w:line="328" w:lineRule="auto" w:before="118"/>
        <w:ind w:left="617" w:right="119" w:hanging="480"/>
        <w:jc w:val="left"/>
      </w:pPr>
      <w:r>
        <w:rPr/>
        <w:t>（</w:t>
      </w:r>
      <w:r>
        <w:rPr>
          <w:rFonts w:ascii="宋体" w:hAnsi="宋体" w:cs="宋体" w:eastAsia="宋体" w:hint="default"/>
        </w:rPr>
        <w:t>4</w:t>
      </w:r>
      <w:r>
        <w:rPr/>
        <w:t>）规范化管理优势 </w:t>
      </w:r>
      <w:r>
        <w:rPr>
          <w:spacing w:val="-2"/>
        </w:rPr>
        <w:t>公司持续加强内部运营规范，致力打造量化管理能力，合理利用数据决策，实现</w:t>
      </w:r>
    </w:p>
    <w:p>
      <w:pPr>
        <w:pStyle w:val="BodyText"/>
        <w:spacing w:line="223" w:lineRule="exact"/>
        <w:ind w:right="119"/>
        <w:jc w:val="left"/>
      </w:pPr>
      <w:r>
        <w:rPr/>
        <w:t>有效的管控，形成了快速适应市场变化的运营体系。</w:t>
      </w:r>
    </w:p>
    <w:p>
      <w:pPr>
        <w:pStyle w:val="BodyText"/>
        <w:spacing w:line="237" w:lineRule="auto" w:before="120"/>
        <w:ind w:right="235" w:firstLine="480"/>
        <w:jc w:val="both"/>
      </w:pPr>
      <w:r>
        <w:rPr>
          <w:spacing w:val="-2"/>
        </w:rPr>
        <w:t>公司建立了全面的流程化运营及量化指标体系，利用数据运营指导流程再造，实</w:t>
      </w:r>
      <w:r>
        <w:rPr/>
        <w:t> </w:t>
      </w:r>
      <w:r>
        <w:rPr>
          <w:spacing w:val="-2"/>
        </w:rPr>
        <w:t>施管理创新。体系化保障了产品研发与公司战略的一致，体系化实现了公司经营效率</w:t>
      </w:r>
      <w:r>
        <w:rPr>
          <w:spacing w:val="-94"/>
        </w:rPr>
        <w:t> </w:t>
      </w:r>
      <w:r>
        <w:rPr>
          <w:spacing w:val="-94"/>
        </w:rPr>
      </w:r>
      <w:r>
        <w:rPr/>
        <w:t>的提升，体系化推动了客户和公司效益共同改善。</w:t>
      </w:r>
    </w:p>
    <w:p>
      <w:pPr>
        <w:pStyle w:val="BodyText"/>
        <w:spacing w:line="237" w:lineRule="auto" w:before="121"/>
        <w:ind w:right="233" w:firstLine="480"/>
        <w:jc w:val="both"/>
      </w:pPr>
      <w:r>
        <w:rPr>
          <w:spacing w:val="5"/>
        </w:rPr>
        <w:t>公司是最早获得工信部计算机信息系统集成一级资质的企业，通过了</w:t>
      </w:r>
      <w:r>
        <w:rPr>
          <w:spacing w:val="19"/>
        </w:rPr>
        <w:t> </w:t>
      </w:r>
      <w:r>
        <w:rPr>
          <w:rFonts w:ascii="宋体" w:hAnsi="宋体" w:cs="宋体" w:eastAsia="宋体" w:hint="default"/>
        </w:rPr>
        <w:t>ISO9001 </w:t>
      </w:r>
      <w:r>
        <w:rPr/>
        <w:t>质量体系认证、</w:t>
      </w:r>
      <w:r>
        <w:rPr>
          <w:rFonts w:ascii="宋体" w:hAnsi="宋体" w:cs="宋体" w:eastAsia="宋体" w:hint="default"/>
        </w:rPr>
        <w:t>ISO20000</w:t>
      </w:r>
      <w:r>
        <w:rPr>
          <w:rFonts w:ascii="宋体" w:hAnsi="宋体" w:cs="宋体" w:eastAsia="宋体" w:hint="default"/>
          <w:spacing w:val="-71"/>
        </w:rPr>
        <w:t> </w:t>
      </w:r>
      <w:r>
        <w:rPr/>
        <w:t>服务管理体系认证、</w:t>
      </w:r>
      <w:r>
        <w:rPr>
          <w:rFonts w:ascii="宋体" w:hAnsi="宋体" w:cs="宋体" w:eastAsia="宋体" w:hint="default"/>
        </w:rPr>
        <w:t>ITSS</w:t>
      </w:r>
      <w:r>
        <w:rPr>
          <w:rFonts w:ascii="宋体" w:hAnsi="宋体" w:cs="宋体" w:eastAsia="宋体" w:hint="default"/>
          <w:spacing w:val="-71"/>
        </w:rPr>
        <w:t> </w:t>
      </w:r>
      <w:r>
        <w:rPr/>
        <w:t>运维符合性评估、</w:t>
      </w:r>
      <w:r>
        <w:rPr>
          <w:rFonts w:ascii="宋体" w:hAnsi="宋体" w:cs="宋体" w:eastAsia="宋体" w:hint="default"/>
        </w:rPr>
        <w:t>ISO27001</w:t>
      </w:r>
      <w:r>
        <w:rPr>
          <w:rFonts w:ascii="宋体" w:hAnsi="宋体" w:cs="宋体" w:eastAsia="宋体" w:hint="default"/>
          <w:spacing w:val="-22"/>
        </w:rPr>
        <w:t> </w:t>
      </w:r>
      <w:r>
        <w:rPr>
          <w:spacing w:val="-3"/>
        </w:rPr>
        <w:t>信息 </w:t>
      </w:r>
      <w:r>
        <w:rPr/>
        <w:t>安全管理体系认证、</w:t>
      </w:r>
      <w:r>
        <w:rPr>
          <w:rFonts w:ascii="宋体" w:hAnsi="宋体" w:cs="宋体" w:eastAsia="宋体" w:hint="default"/>
        </w:rPr>
        <w:t>CMMI-L3</w:t>
      </w:r>
      <w:r>
        <w:rPr>
          <w:rFonts w:ascii="宋体" w:hAnsi="宋体" w:cs="宋体" w:eastAsia="宋体" w:hint="default"/>
          <w:spacing w:val="-49"/>
        </w:rPr>
        <w:t> </w:t>
      </w:r>
      <w:r>
        <w:rPr/>
        <w:t>软件成熟度能力认证，拥有国家涉密计算机信息系统集 </w:t>
      </w:r>
      <w:r>
        <w:rPr>
          <w:spacing w:val="-2"/>
        </w:rPr>
        <w:t>成甲级、信息安全集成服务一级、安防工程企业等齐全完备的资质证书，并正在申请</w:t>
      </w:r>
      <w:r>
        <w:rPr>
          <w:spacing w:val="-97"/>
        </w:rPr>
        <w:t> </w:t>
      </w:r>
      <w:r>
        <w:rPr>
          <w:spacing w:val="-97"/>
        </w:rPr>
      </w:r>
      <w:r>
        <w:rPr/>
        <w:t>建筑内智能化等信息化企业资质，资质的取得充分说明公司具备良好的 </w:t>
      </w:r>
      <w:r>
        <w:rPr>
          <w:rFonts w:ascii="宋体" w:hAnsi="宋体" w:cs="宋体" w:eastAsia="宋体" w:hint="default"/>
        </w:rPr>
        <w:t>IT</w:t>
      </w:r>
      <w:r>
        <w:rPr>
          <w:rFonts w:ascii="宋体" w:hAnsi="宋体" w:cs="宋体" w:eastAsia="宋体" w:hint="default"/>
          <w:spacing w:val="-48"/>
        </w:rPr>
        <w:t> </w:t>
      </w:r>
      <w:r>
        <w:rPr/>
        <w:t>运营管理 能力。</w:t>
      </w:r>
    </w:p>
    <w:p>
      <w:pPr>
        <w:pStyle w:val="BodyText"/>
        <w:spacing w:line="240" w:lineRule="auto" w:before="118"/>
        <w:ind w:right="119"/>
        <w:jc w:val="left"/>
      </w:pPr>
      <w:r>
        <w:rPr/>
        <w:t>（</w:t>
      </w:r>
      <w:r>
        <w:rPr>
          <w:rFonts w:ascii="宋体" w:hAnsi="宋体" w:cs="宋体" w:eastAsia="宋体" w:hint="default"/>
        </w:rPr>
        <w:t>5</w:t>
      </w:r>
      <w:r>
        <w:rPr/>
        <w:t>）品牌优势</w:t>
      </w:r>
    </w:p>
    <w:p>
      <w:pPr>
        <w:pStyle w:val="BodyText"/>
        <w:spacing w:line="237" w:lineRule="auto" w:before="120"/>
        <w:ind w:right="231" w:firstLine="480"/>
        <w:jc w:val="both"/>
      </w:pPr>
      <w:r>
        <w:rPr/>
        <w:t>公司自</w:t>
      </w:r>
      <w:r>
        <w:rPr>
          <w:spacing w:val="-73"/>
        </w:rPr>
        <w:t> </w:t>
      </w:r>
      <w:r>
        <w:rPr>
          <w:rFonts w:ascii="宋体" w:hAnsi="宋体" w:cs="宋体" w:eastAsia="宋体" w:hint="default"/>
        </w:rPr>
        <w:t>2007</w:t>
      </w:r>
      <w:r>
        <w:rPr>
          <w:rFonts w:ascii="宋体" w:hAnsi="宋体" w:cs="宋体" w:eastAsia="宋体" w:hint="default"/>
          <w:spacing w:val="-72"/>
        </w:rPr>
        <w:t> </w:t>
      </w:r>
      <w:r>
        <w:rPr/>
        <w:t>年起树立“中国</w:t>
      </w:r>
      <w:r>
        <w:rPr>
          <w:spacing w:val="-72"/>
        </w:rPr>
        <w:t> </w:t>
      </w:r>
      <w:r>
        <w:rPr>
          <w:rFonts w:ascii="宋体" w:hAnsi="宋体" w:cs="宋体" w:eastAsia="宋体" w:hint="default"/>
        </w:rPr>
        <w:t>IT</w:t>
      </w:r>
      <w:r>
        <w:rPr>
          <w:rFonts w:ascii="宋体" w:hAnsi="宋体" w:cs="宋体" w:eastAsia="宋体" w:hint="default"/>
          <w:spacing w:val="-72"/>
        </w:rPr>
        <w:t> </w:t>
      </w:r>
      <w:r>
        <w:rPr/>
        <w:t>综合服务领导者”的企业愿景，在战略定位、综 </w:t>
      </w:r>
      <w:r>
        <w:rPr>
          <w:spacing w:val="-2"/>
        </w:rPr>
        <w:t>合服务、自主产品、社会责任等方面进行体系化建设，树立了良好的客户口碑，并在</w:t>
      </w:r>
      <w:r>
        <w:rPr>
          <w:spacing w:val="-94"/>
        </w:rPr>
        <w:t> </w:t>
      </w:r>
      <w:r>
        <w:rPr>
          <w:spacing w:val="-94"/>
        </w:rPr>
      </w:r>
      <w:r>
        <w:rPr>
          <w:spacing w:val="-2"/>
        </w:rPr>
        <w:t>由中国软件和服务外包网、首都经济贸易大学中国品牌研究中心、黄山经济开发区管</w:t>
      </w:r>
      <w:r>
        <w:rPr>
          <w:spacing w:val="-94"/>
        </w:rPr>
        <w:t> </w:t>
      </w:r>
      <w:r>
        <w:rPr>
          <w:spacing w:val="-94"/>
        </w:rPr>
      </w:r>
      <w:r>
        <w:rPr/>
        <w:t>理委员会共同主办的</w:t>
      </w:r>
      <w:r>
        <w:rPr>
          <w:spacing w:val="-56"/>
        </w:rPr>
        <w:t> </w:t>
      </w:r>
      <w:r>
        <w:rPr>
          <w:rFonts w:ascii="宋体" w:hAnsi="宋体" w:cs="宋体" w:eastAsia="宋体" w:hint="default"/>
        </w:rPr>
        <w:t>2013</w:t>
      </w:r>
      <w:r>
        <w:rPr>
          <w:rFonts w:ascii="宋体" w:hAnsi="宋体" w:cs="宋体" w:eastAsia="宋体" w:hint="default"/>
          <w:spacing w:val="-55"/>
        </w:rPr>
        <w:t> </w:t>
      </w:r>
      <w:r>
        <w:rPr/>
        <w:t>中国软件和信息技术服务业品牌大会中荣获“</w:t>
      </w:r>
      <w:r>
        <w:rPr>
          <w:rFonts w:ascii="宋体" w:hAnsi="宋体" w:cs="宋体" w:eastAsia="宋体" w:hint="default"/>
        </w:rPr>
        <w:t>2013</w:t>
      </w:r>
      <w:r>
        <w:rPr>
          <w:rFonts w:ascii="宋体" w:hAnsi="宋体" w:cs="宋体" w:eastAsia="宋体" w:hint="default"/>
          <w:spacing w:val="-55"/>
        </w:rPr>
        <w:t> </w:t>
      </w:r>
      <w:r>
        <w:rPr/>
        <w:t>中国软 件和信息技术服务业最有价值品牌”。</w:t>
      </w:r>
    </w:p>
    <w:p>
      <w:pPr>
        <w:spacing w:after="0" w:line="237" w:lineRule="auto"/>
        <w:jc w:val="both"/>
        <w:sectPr>
          <w:pgSz w:w="11910" w:h="16840"/>
          <w:pgMar w:header="880" w:footer="1195" w:top="1120" w:bottom="1380" w:left="114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1"/>
        <w:tabs>
          <w:tab w:pos="1259" w:val="left" w:leader="none"/>
        </w:tabs>
        <w:spacing w:line="240" w:lineRule="auto"/>
        <w:ind w:right="96"/>
        <w:jc w:val="center"/>
        <w:rPr>
          <w:b w:val="0"/>
          <w:bCs w:val="0"/>
        </w:rPr>
      </w:pPr>
      <w:bookmarkStart w:name="_TOC_250008" w:id="4"/>
      <w:r>
        <w:rPr>
          <w:w w:val="95"/>
        </w:rPr>
        <w:t>第四节</w:t>
        <w:tab/>
      </w:r>
      <w:r>
        <w:rPr/>
        <w:t>管理层讨论与分析</w:t>
      </w:r>
      <w:bookmarkEnd w:id="4"/>
      <w:r>
        <w:rPr>
          <w:b w:val="0"/>
          <w:bCs w:val="0"/>
        </w:rPr>
      </w:r>
    </w:p>
    <w:p>
      <w:pPr>
        <w:pStyle w:val="Heading2"/>
        <w:spacing w:line="328" w:lineRule="auto" w:before="246"/>
        <w:ind w:left="137" w:right="4832"/>
        <w:jc w:val="left"/>
        <w:rPr>
          <w:b w:val="0"/>
          <w:bCs w:val="0"/>
        </w:rPr>
      </w:pPr>
      <w:r>
        <w:rPr/>
        <w:t>一、管理层讨论与分析</w:t>
      </w:r>
      <w:r>
        <w:rPr>
          <w:w w:val="99"/>
        </w:rPr>
        <w:t> </w:t>
      </w:r>
      <w:r>
        <w:rPr>
          <w:rFonts w:ascii="宋体" w:hAnsi="宋体" w:cs="宋体" w:eastAsia="宋体" w:hint="default"/>
        </w:rPr>
        <w:t>1</w:t>
      </w:r>
      <w:r>
        <w:rPr/>
        <w:t>、报告期内具体经营情况的讨论与分析</w:t>
      </w:r>
      <w:r>
        <w:rPr>
          <w:b w:val="0"/>
          <w:bCs w:val="0"/>
        </w:rPr>
      </w:r>
    </w:p>
    <w:p>
      <w:pPr>
        <w:pStyle w:val="BodyText"/>
        <w:spacing w:line="237" w:lineRule="auto" w:before="32"/>
        <w:ind w:right="228" w:firstLine="441"/>
        <w:jc w:val="both"/>
      </w:pPr>
      <w:r>
        <w:rPr/>
        <w:t>公司董事会于</w:t>
      </w:r>
      <w:r>
        <w:rPr>
          <w:spacing w:val="-61"/>
        </w:rPr>
        <w:t> </w:t>
      </w:r>
      <w:r>
        <w:rPr>
          <w:rFonts w:ascii="宋体" w:hAnsi="宋体" w:cs="宋体" w:eastAsia="宋体" w:hint="default"/>
        </w:rPr>
        <w:t>2014</w:t>
      </w:r>
      <w:r>
        <w:rPr>
          <w:rFonts w:ascii="宋体" w:hAnsi="宋体" w:cs="宋体" w:eastAsia="宋体" w:hint="default"/>
          <w:spacing w:val="-61"/>
        </w:rPr>
        <w:t> </w:t>
      </w:r>
      <w:r>
        <w:rPr>
          <w:spacing w:val="-7"/>
        </w:rPr>
        <w:t>年确定了“产品产业化、服务实业化”的业务战略，</w:t>
      </w:r>
      <w:r>
        <w:rPr>
          <w:rFonts w:ascii="宋体" w:hAnsi="宋体" w:cs="宋体" w:eastAsia="宋体" w:hint="default"/>
          <w:spacing w:val="-7"/>
        </w:rPr>
        <w:t>2015</w:t>
      </w:r>
      <w:r>
        <w:rPr>
          <w:rFonts w:ascii="宋体" w:hAnsi="宋体" w:cs="宋体" w:eastAsia="宋体" w:hint="default"/>
          <w:spacing w:val="-61"/>
        </w:rPr>
        <w:t> </w:t>
      </w:r>
      <w:r>
        <w:rPr/>
        <w:t>年， </w:t>
      </w:r>
      <w:r>
        <w:rPr>
          <w:spacing w:val="-2"/>
        </w:rPr>
        <w:t>公司经营管理层围绕这一战略进行了积极的业务转型。在产品产业化方面，公司引入</w:t>
      </w:r>
      <w:r>
        <w:rPr>
          <w:spacing w:val="-94"/>
        </w:rPr>
        <w:t> </w:t>
      </w:r>
      <w:r>
        <w:rPr>
          <w:spacing w:val="-94"/>
        </w:rPr>
      </w:r>
      <w:r>
        <w:rPr>
          <w:rFonts w:ascii="宋体" w:hAnsi="宋体" w:cs="宋体" w:eastAsia="宋体" w:hint="default"/>
        </w:rPr>
        <w:t>IBM</w:t>
      </w:r>
      <w:r>
        <w:rPr>
          <w:rFonts w:ascii="宋体" w:hAnsi="宋体" w:cs="宋体" w:eastAsia="宋体" w:hint="default"/>
          <w:spacing w:val="-48"/>
        </w:rPr>
        <w:t> </w:t>
      </w:r>
      <w:r>
        <w:rPr/>
        <w:t>作为技术战略合作伙伴，引进其在高端计算系统软硬件产品方面的先进技术和经 验，消化吸收并快速推出了系列国产化产品；在服务实业化方面，公司积极探索</w:t>
      </w:r>
      <w:r>
        <w:rPr>
          <w:spacing w:val="60"/>
        </w:rPr>
        <w:t> </w:t>
      </w:r>
      <w:r>
        <w:rPr>
          <w:rFonts w:ascii="宋体" w:hAnsi="宋体" w:cs="宋体" w:eastAsia="宋体" w:hint="default"/>
        </w:rPr>
        <w:t>IT</w:t>
      </w:r>
      <w:r>
        <w:rPr>
          <w:rFonts w:ascii="宋体" w:hAnsi="宋体" w:cs="宋体" w:eastAsia="宋体" w:hint="default"/>
          <w:spacing w:val="-113"/>
        </w:rPr>
        <w:t> </w:t>
      </w:r>
      <w:r>
        <w:rPr/>
        <w:t>服务和实业经营相结合的可操作可落地的商业模式，并取得了实质性的进展。</w:t>
      </w:r>
    </w:p>
    <w:p>
      <w:pPr>
        <w:pStyle w:val="BodyText"/>
        <w:spacing w:line="276" w:lineRule="auto" w:before="116"/>
        <w:ind w:left="617" w:right="97"/>
        <w:jc w:val="left"/>
      </w:pPr>
      <w:r>
        <w:rPr>
          <w:spacing w:val="-10"/>
        </w:rPr>
        <w:t>报告期内，公司经营包括“自主产品、</w:t>
      </w:r>
      <w:r>
        <w:rPr>
          <w:rFonts w:ascii="宋体" w:hAnsi="宋体" w:cs="宋体" w:eastAsia="宋体" w:hint="default"/>
          <w:spacing w:val="-10"/>
        </w:rPr>
        <w:t>IT</w:t>
      </w:r>
      <w:r>
        <w:rPr>
          <w:rFonts w:ascii="宋体" w:hAnsi="宋体" w:cs="宋体" w:eastAsia="宋体" w:hint="default"/>
          <w:spacing w:val="-53"/>
        </w:rPr>
        <w:t> </w:t>
      </w:r>
      <w:r>
        <w:rPr>
          <w:spacing w:val="-10"/>
        </w:rPr>
        <w:t>服务、产业投资和金融”三大业务板块。</w:t>
      </w:r>
      <w:r>
        <w:rPr>
          <w:spacing w:val="-105"/>
        </w:rPr>
        <w:t> </w:t>
      </w:r>
      <w:r>
        <w:rPr>
          <w:spacing w:val="-105"/>
        </w:rPr>
      </w:r>
      <w:r>
        <w:rPr>
          <w:rFonts w:ascii="宋体" w:hAnsi="宋体" w:cs="宋体" w:eastAsia="宋体" w:hint="default"/>
        </w:rPr>
        <w:t>2015</w:t>
      </w:r>
      <w:r>
        <w:rPr>
          <w:rFonts w:ascii="宋体" w:hAnsi="宋体" w:cs="宋体" w:eastAsia="宋体" w:hint="default"/>
          <w:spacing w:val="-48"/>
        </w:rPr>
        <w:t> </w:t>
      </w:r>
      <w:r>
        <w:rPr/>
        <w:t>年，公司收入主要由系统产品及系统集成服务收入、软件及软件开发收入、</w:t>
      </w:r>
    </w:p>
    <w:p>
      <w:pPr>
        <w:pStyle w:val="BodyText"/>
        <w:spacing w:line="274" w:lineRule="exact"/>
        <w:ind w:right="0"/>
        <w:jc w:val="both"/>
      </w:pPr>
      <w:r>
        <w:rPr/>
        <w:t>专业服务收入、金融服务类收入构成。报告期内</w:t>
      </w:r>
      <w:r>
        <w:rPr>
          <w:rFonts w:ascii="宋体" w:hAnsi="宋体" w:cs="宋体" w:eastAsia="宋体" w:hint="default"/>
        </w:rPr>
        <w:t>,</w:t>
      </w:r>
      <w:r>
        <w:rPr/>
        <w:t>公司布局的高端计算系统软硬件产</w:t>
      </w:r>
    </w:p>
    <w:p>
      <w:pPr>
        <w:pStyle w:val="BodyText"/>
        <w:spacing w:line="312" w:lineRule="exact" w:before="28"/>
        <w:ind w:right="231"/>
        <w:jc w:val="both"/>
      </w:pPr>
      <w:r>
        <w:rPr/>
        <w:t>品尤其是</w:t>
      </w:r>
      <w:r>
        <w:rPr>
          <w:spacing w:val="-83"/>
        </w:rPr>
        <w:t> </w:t>
      </w:r>
      <w:r>
        <w:rPr>
          <w:rFonts w:ascii="宋体" w:hAnsi="宋体" w:cs="宋体" w:eastAsia="宋体" w:hint="default"/>
        </w:rPr>
        <w:t>Power</w:t>
      </w:r>
      <w:r>
        <w:rPr>
          <w:rFonts w:ascii="宋体" w:hAnsi="宋体" w:cs="宋体" w:eastAsia="宋体" w:hint="default"/>
          <w:spacing w:val="-83"/>
        </w:rPr>
        <w:t> </w:t>
      </w:r>
      <w:r>
        <w:rPr/>
        <w:t>服务器已经逐步在政府和金融等关键领域进行销售，形成一定比例收 入</w:t>
      </w:r>
      <w:r>
        <w:rPr>
          <w:rFonts w:ascii="宋体" w:hAnsi="宋体" w:cs="宋体" w:eastAsia="宋体" w:hint="default"/>
        </w:rPr>
        <w:t>,</w:t>
      </w:r>
      <w:r>
        <w:rPr/>
        <w:t>以及金融服务业务的快速增长</w:t>
      </w:r>
      <w:r>
        <w:rPr>
          <w:rFonts w:ascii="宋体" w:hAnsi="宋体" w:cs="宋体" w:eastAsia="宋体" w:hint="default"/>
        </w:rPr>
        <w:t>,</w:t>
      </w:r>
      <w:r>
        <w:rPr/>
        <w:t>实现了</w:t>
      </w:r>
      <w:r>
        <w:rPr>
          <w:spacing w:val="-56"/>
        </w:rPr>
        <w:t> </w:t>
      </w:r>
      <w:r>
        <w:rPr>
          <w:rFonts w:ascii="宋体" w:hAnsi="宋体" w:cs="宋体" w:eastAsia="宋体" w:hint="default"/>
        </w:rPr>
        <w:t>2015</w:t>
      </w:r>
      <w:r>
        <w:rPr>
          <w:rFonts w:ascii="宋体" w:hAnsi="宋体" w:cs="宋体" w:eastAsia="宋体" w:hint="default"/>
          <w:spacing w:val="-56"/>
        </w:rPr>
        <w:t> </w:t>
      </w:r>
      <w:r>
        <w:rPr/>
        <w:t>年收入的稳步提升。</w:t>
      </w:r>
      <w:r>
        <w:rPr>
          <w:rFonts w:ascii="宋体" w:hAnsi="宋体" w:cs="宋体" w:eastAsia="宋体" w:hint="default"/>
        </w:rPr>
        <w:t>2015</w:t>
      </w:r>
      <w:r>
        <w:rPr>
          <w:rFonts w:ascii="宋体" w:hAnsi="宋体" w:cs="宋体" w:eastAsia="宋体" w:hint="default"/>
          <w:spacing w:val="-55"/>
        </w:rPr>
        <w:t> </w:t>
      </w:r>
      <w:r>
        <w:rPr/>
        <w:t>年公司实现 营业收入</w:t>
      </w:r>
      <w:r>
        <w:rPr>
          <w:spacing w:val="-61"/>
        </w:rPr>
        <w:t> </w:t>
      </w:r>
      <w:r>
        <w:rPr>
          <w:rFonts w:ascii="宋体" w:hAnsi="宋体" w:cs="宋体" w:eastAsia="宋体" w:hint="default"/>
        </w:rPr>
        <w:t>479,298.30</w:t>
      </w:r>
      <w:r>
        <w:rPr>
          <w:rFonts w:ascii="宋体" w:hAnsi="宋体" w:cs="宋体" w:eastAsia="宋体" w:hint="default"/>
          <w:spacing w:val="-60"/>
        </w:rPr>
        <w:t> </w:t>
      </w:r>
      <w:r>
        <w:rPr/>
        <w:t>万元，同比增长</w:t>
      </w:r>
      <w:r>
        <w:rPr>
          <w:spacing w:val="-60"/>
        </w:rPr>
        <w:t> </w:t>
      </w:r>
      <w:r>
        <w:rPr>
          <w:rFonts w:ascii="宋体" w:hAnsi="宋体" w:cs="宋体" w:eastAsia="宋体" w:hint="default"/>
        </w:rPr>
        <w:t>12.02%</w:t>
      </w:r>
      <w:r>
        <w:rPr/>
        <w:t>。</w:t>
      </w:r>
    </w:p>
    <w:p>
      <w:pPr>
        <w:pStyle w:val="BodyText"/>
        <w:spacing w:line="237" w:lineRule="auto" w:before="89"/>
        <w:ind w:right="96" w:firstLine="480"/>
        <w:jc w:val="left"/>
      </w:pPr>
      <w:r>
        <w:rPr>
          <w:rFonts w:ascii="宋体" w:hAnsi="宋体" w:cs="宋体" w:eastAsia="宋体" w:hint="default"/>
        </w:rPr>
        <w:t>2015</w:t>
      </w:r>
      <w:r>
        <w:rPr>
          <w:rFonts w:ascii="宋体" w:hAnsi="宋体" w:cs="宋体" w:eastAsia="宋体" w:hint="default"/>
          <w:spacing w:val="-42"/>
        </w:rPr>
        <w:t> </w:t>
      </w:r>
      <w:r>
        <w:rPr/>
        <w:t>年，实现归属于母公司所有者的净利润</w:t>
      </w:r>
      <w:r>
        <w:rPr>
          <w:spacing w:val="-41"/>
        </w:rPr>
        <w:t> </w:t>
      </w:r>
      <w:r>
        <w:rPr>
          <w:rFonts w:ascii="宋体" w:hAnsi="宋体" w:cs="宋体" w:eastAsia="宋体" w:hint="default"/>
        </w:rPr>
        <w:t>5,177.02</w:t>
      </w:r>
      <w:r>
        <w:rPr>
          <w:rFonts w:ascii="宋体" w:hAnsi="宋体" w:cs="宋体" w:eastAsia="宋体" w:hint="default"/>
          <w:spacing w:val="-42"/>
        </w:rPr>
        <w:t> </w:t>
      </w:r>
      <w:r>
        <w:rPr/>
        <w:t>万元，同比下降</w:t>
      </w:r>
      <w:r>
        <w:rPr>
          <w:spacing w:val="-42"/>
        </w:rPr>
        <w:t> </w:t>
      </w:r>
      <w:r>
        <w:rPr>
          <w:rFonts w:ascii="宋体" w:hAnsi="宋体" w:cs="宋体" w:eastAsia="宋体" w:hint="default"/>
        </w:rPr>
        <w:t>45.58%</w:t>
      </w:r>
      <w:r>
        <w:rPr/>
        <w:t>， 归属于母公司净利润大幅下降的主要原因是资产减值计提增加、非经常性损益减少、</w:t>
      </w:r>
      <w:r>
        <w:rPr>
          <w:spacing w:val="-55"/>
        </w:rPr>
        <w:t> </w:t>
      </w:r>
      <w:r>
        <w:rPr>
          <w:spacing w:val="-55"/>
        </w:rPr>
      </w:r>
      <w:r>
        <w:rPr/>
        <w:t>加大自主产品投入导致期间费用增加。报告期内，公司一方面进行组织结构和业务结</w:t>
      </w:r>
      <w:r>
        <w:rPr/>
        <w:t> 构的优化；另一方面，公司加大了新业务投入，尤其配合“高端计算系统技术”的引 进、消化、吸收，进行了资产采购、团队建设、市场拓展、实验室环境搭建等方面的 投入。</w:t>
      </w:r>
    </w:p>
    <w:p>
      <w:pPr>
        <w:pStyle w:val="BodyText"/>
        <w:spacing w:line="240" w:lineRule="auto" w:before="118"/>
        <w:ind w:left="617" w:right="119"/>
        <w:jc w:val="left"/>
        <w:rPr>
          <w:rFonts w:ascii="宋体" w:hAnsi="宋体" w:cs="宋体" w:eastAsia="宋体" w:hint="default"/>
        </w:rPr>
      </w:pPr>
      <w:r>
        <w:rPr/>
        <w:t>以下具体分析每个业务板块在</w:t>
      </w:r>
      <w:r>
        <w:rPr>
          <w:spacing w:val="-60"/>
        </w:rPr>
        <w:t> </w:t>
      </w:r>
      <w:r>
        <w:rPr>
          <w:rFonts w:ascii="宋体" w:hAnsi="宋体" w:cs="宋体" w:eastAsia="宋体" w:hint="default"/>
        </w:rPr>
        <w:t>2015</w:t>
      </w:r>
      <w:r>
        <w:rPr>
          <w:rFonts w:ascii="宋体" w:hAnsi="宋体" w:cs="宋体" w:eastAsia="宋体" w:hint="default"/>
          <w:spacing w:val="-60"/>
        </w:rPr>
        <w:t> </w:t>
      </w:r>
      <w:r>
        <w:rPr/>
        <w:t>年度的经营进展</w:t>
      </w:r>
      <w:r>
        <w:rPr>
          <w:rFonts w:ascii="宋体" w:hAnsi="宋体" w:cs="宋体" w:eastAsia="宋体" w:hint="default"/>
        </w:rPr>
        <w:t>:</w:t>
      </w:r>
    </w:p>
    <w:p>
      <w:pPr>
        <w:pStyle w:val="BodyText"/>
        <w:spacing w:line="240" w:lineRule="auto" w:before="115"/>
        <w:ind w:right="0"/>
        <w:jc w:val="both"/>
      </w:pPr>
      <w:r>
        <w:rPr/>
        <w:t>（</w:t>
      </w:r>
      <w:r>
        <w:rPr>
          <w:rFonts w:ascii="宋体" w:hAnsi="宋体" w:cs="宋体" w:eastAsia="宋体" w:hint="default"/>
        </w:rPr>
        <w:t>1</w:t>
      </w:r>
      <w:r>
        <w:rPr/>
        <w:t>）高端计算系统软硬件产品业务</w:t>
      </w:r>
    </w:p>
    <w:p>
      <w:pPr>
        <w:pStyle w:val="BodyText"/>
        <w:spacing w:line="237" w:lineRule="auto" w:before="120"/>
        <w:ind w:right="98" w:firstLine="480"/>
        <w:jc w:val="left"/>
      </w:pPr>
      <w:r>
        <w:rPr>
          <w:rFonts w:ascii="宋体" w:hAnsi="宋体" w:cs="宋体" w:eastAsia="宋体" w:hint="default"/>
        </w:rPr>
        <w:t>2015</w:t>
      </w:r>
      <w:r>
        <w:rPr>
          <w:rFonts w:ascii="宋体" w:hAnsi="宋体" w:cs="宋体" w:eastAsia="宋体" w:hint="default"/>
          <w:spacing w:val="-49"/>
        </w:rPr>
        <w:t> </w:t>
      </w:r>
      <w:r>
        <w:rPr/>
        <w:t>年为公司“可信开放高端计算系统产业化”项目执行的第一年。报告期内， </w:t>
      </w:r>
      <w:r>
        <w:rPr>
          <w:spacing w:val="-3"/>
        </w:rPr>
        <w:t>公司主要致力于组织建设、人才引进，</w:t>
      </w:r>
      <w:r>
        <w:rPr>
          <w:rFonts w:ascii="宋体" w:hAnsi="宋体" w:cs="宋体" w:eastAsia="宋体" w:hint="default"/>
          <w:spacing w:val="-3"/>
        </w:rPr>
        <w:t>IBM</w:t>
      </w:r>
      <w:r>
        <w:rPr>
          <w:rFonts w:ascii="宋体" w:hAnsi="宋体" w:cs="宋体" w:eastAsia="宋体" w:hint="default"/>
          <w:spacing w:val="-59"/>
        </w:rPr>
        <w:t> </w:t>
      </w:r>
      <w:r>
        <w:rPr>
          <w:spacing w:val="-4"/>
        </w:rPr>
        <w:t>技术引进、消化、吸收以及产品</w:t>
      </w:r>
      <w:r>
        <w:rPr>
          <w:spacing w:val="-58"/>
        </w:rPr>
        <w:t> </w:t>
      </w:r>
      <w:r>
        <w:rPr>
          <w:rFonts w:ascii="宋体" w:hAnsi="宋体" w:cs="宋体" w:eastAsia="宋体" w:hint="default"/>
        </w:rPr>
        <w:t>V1.0</w:t>
      </w:r>
      <w:r>
        <w:rPr>
          <w:rFonts w:ascii="宋体" w:hAnsi="宋体" w:cs="宋体" w:eastAsia="宋体" w:hint="default"/>
          <w:spacing w:val="-59"/>
        </w:rPr>
        <w:t> </w:t>
      </w:r>
      <w:r>
        <w:rPr/>
        <w:t>的发</w:t>
      </w:r>
      <w:r>
        <w:rPr>
          <w:spacing w:val="-117"/>
        </w:rPr>
        <w:t> </w:t>
      </w:r>
      <w:r>
        <w:rPr/>
        <w:t>布，广泛的产品测试和产品入围工作，建立产品销售渠道和网络。</w:t>
      </w:r>
    </w:p>
    <w:p>
      <w:pPr>
        <w:pStyle w:val="BodyText"/>
        <w:spacing w:line="237" w:lineRule="auto" w:before="121"/>
        <w:ind w:right="233" w:firstLine="420"/>
        <w:jc w:val="both"/>
      </w:pPr>
      <w:r>
        <w:rPr/>
        <w:t>报告期内，公司在全球范围大力引入高端计算领域内资深技术专家，整合公司原 </w:t>
      </w:r>
      <w:r>
        <w:rPr>
          <w:spacing w:val="-3"/>
        </w:rPr>
        <w:t>有技术资源，高端计算系列产品研发取得了里程碑性进展。</w:t>
      </w:r>
      <w:r>
        <w:rPr>
          <w:rFonts w:ascii="宋体" w:hAnsi="宋体" w:cs="宋体" w:eastAsia="宋体" w:hint="default"/>
          <w:spacing w:val="-3"/>
        </w:rPr>
        <w:t>2015</w:t>
      </w:r>
      <w:r>
        <w:rPr>
          <w:rFonts w:ascii="宋体" w:hAnsi="宋体" w:cs="宋体" w:eastAsia="宋体" w:hint="default"/>
          <w:spacing w:val="-46"/>
        </w:rPr>
        <w:t> </w:t>
      </w:r>
      <w:r>
        <w:rPr>
          <w:spacing w:val="-4"/>
        </w:rPr>
        <w:t>年，公司陆续共发布</w:t>
      </w:r>
      <w:r>
        <w:rPr>
          <w:spacing w:val="-118"/>
        </w:rPr>
        <w:t> </w:t>
      </w:r>
      <w:r>
        <w:rPr>
          <w:spacing w:val="-118"/>
        </w:rPr>
      </w:r>
      <w:r>
        <w:rPr>
          <w:spacing w:val="-2"/>
        </w:rPr>
        <w:t>了服务器，数据库，中间件产品以及相应的数十种行业解决方案。尤其是自主研发设</w:t>
      </w:r>
      <w:r>
        <w:rPr>
          <w:spacing w:val="-93"/>
        </w:rPr>
        <w:t> </w:t>
      </w:r>
      <w:r>
        <w:rPr>
          <w:spacing w:val="-93"/>
        </w:rPr>
      </w:r>
      <w:r>
        <w:rPr/>
        <w:t>计主板的</w:t>
      </w:r>
      <w:r>
        <w:rPr>
          <w:spacing w:val="-61"/>
        </w:rPr>
        <w:t> </w:t>
      </w:r>
      <w:r>
        <w:rPr>
          <w:rFonts w:ascii="宋体" w:hAnsi="宋体" w:cs="宋体" w:eastAsia="宋体" w:hint="default"/>
        </w:rPr>
        <w:t>Power</w:t>
      </w:r>
      <w:r>
        <w:rPr>
          <w:rFonts w:ascii="宋体" w:hAnsi="宋体" w:cs="宋体" w:eastAsia="宋体" w:hint="default"/>
          <w:spacing w:val="-48"/>
        </w:rPr>
        <w:t> </w:t>
      </w:r>
      <w:r>
        <w:rPr>
          <w:rFonts w:ascii="宋体" w:hAnsi="宋体" w:cs="宋体" w:eastAsia="宋体" w:hint="default"/>
        </w:rPr>
        <w:t>Linux</w:t>
      </w:r>
      <w:r>
        <w:rPr>
          <w:rFonts w:ascii="宋体" w:hAnsi="宋体" w:cs="宋体" w:eastAsia="宋体" w:hint="default"/>
          <w:spacing w:val="-60"/>
        </w:rPr>
        <w:t> </w:t>
      </w:r>
      <w:r>
        <w:rPr/>
        <w:t>服务器达到量产状态，是公司对</w:t>
      </w:r>
      <w:r>
        <w:rPr>
          <w:spacing w:val="-59"/>
        </w:rPr>
        <w:t> </w:t>
      </w:r>
      <w:r>
        <w:rPr>
          <w:rFonts w:ascii="宋体" w:hAnsi="宋体" w:cs="宋体" w:eastAsia="宋体" w:hint="default"/>
        </w:rPr>
        <w:t>Power</w:t>
      </w:r>
      <w:r>
        <w:rPr>
          <w:rFonts w:ascii="宋体" w:hAnsi="宋体" w:cs="宋体" w:eastAsia="宋体" w:hint="default"/>
          <w:spacing w:val="-60"/>
        </w:rPr>
        <w:t> </w:t>
      </w:r>
      <w:r>
        <w:rPr/>
        <w:t>高性能服务器产品继本 地生产、本地芯片激活、本地软件灌装、本地测试和本地</w:t>
      </w:r>
      <w:r>
        <w:rPr>
          <w:spacing w:val="-83"/>
        </w:rPr>
        <w:t> </w:t>
      </w:r>
      <w:r>
        <w:rPr>
          <w:rFonts w:ascii="宋体" w:hAnsi="宋体" w:cs="宋体" w:eastAsia="宋体" w:hint="default"/>
        </w:rPr>
        <w:t>CCC</w:t>
      </w:r>
      <w:r>
        <w:rPr>
          <w:rFonts w:ascii="宋体" w:hAnsi="宋体" w:cs="宋体" w:eastAsia="宋体" w:hint="default"/>
          <w:spacing w:val="-83"/>
        </w:rPr>
        <w:t> </w:t>
      </w:r>
      <w:r>
        <w:rPr/>
        <w:t>认证之后，进一步实现 了本地研发设计</w:t>
      </w:r>
      <w:r>
        <w:rPr>
          <w:rFonts w:ascii="宋体" w:hAnsi="宋体" w:cs="宋体" w:eastAsia="宋体" w:hint="default"/>
        </w:rPr>
        <w:t>, </w:t>
      </w:r>
      <w:r>
        <w:rPr/>
        <w:t>标志着公司在高端计算产品国产化水平上的一个突破。</w:t>
      </w:r>
    </w:p>
    <w:p>
      <w:pPr>
        <w:pStyle w:val="BodyText"/>
        <w:spacing w:line="237" w:lineRule="auto" w:before="121"/>
        <w:ind w:right="231" w:firstLine="420"/>
        <w:jc w:val="both"/>
      </w:pPr>
      <w:r>
        <w:rPr>
          <w:spacing w:val="-3"/>
        </w:rPr>
        <w:t>在高端计算系统产品市场销售方面，因数据库和中间件产品 </w:t>
      </w:r>
      <w:r>
        <w:rPr>
          <w:rFonts w:ascii="宋体" w:hAnsi="宋体" w:cs="宋体" w:eastAsia="宋体" w:hint="default"/>
        </w:rPr>
        <w:t>2015</w:t>
      </w:r>
      <w:r>
        <w:rPr>
          <w:rFonts w:ascii="宋体" w:hAnsi="宋体" w:cs="宋体" w:eastAsia="宋体" w:hint="default"/>
          <w:spacing w:val="-91"/>
        </w:rPr>
        <w:t> </w:t>
      </w:r>
      <w:r>
        <w:rPr>
          <w:spacing w:val="-8"/>
        </w:rPr>
        <w:t>年底推出，仍主</w:t>
      </w:r>
      <w:r>
        <w:rPr/>
        <w:t> 要为</w:t>
      </w:r>
      <w:r>
        <w:rPr>
          <w:spacing w:val="-83"/>
        </w:rPr>
        <w:t> </w:t>
      </w:r>
      <w:r>
        <w:rPr>
          <w:rFonts w:ascii="宋体" w:hAnsi="宋体" w:cs="宋体" w:eastAsia="宋体" w:hint="default"/>
        </w:rPr>
        <w:t>power</w:t>
      </w:r>
      <w:r>
        <w:rPr>
          <w:rFonts w:ascii="宋体" w:hAnsi="宋体" w:cs="宋体" w:eastAsia="宋体" w:hint="default"/>
          <w:spacing w:val="-83"/>
        </w:rPr>
        <w:t> </w:t>
      </w:r>
      <w:r>
        <w:rPr/>
        <w:t>服务器产品销售。经过严格测试，公司新云服务器先后入围中央政府采购 </w:t>
      </w:r>
      <w:r>
        <w:rPr>
          <w:spacing w:val="-2"/>
        </w:rPr>
        <w:t>招投标、北京市政府采购招投标、中关村管委会重点项目产品政府采购统计目录、北</w:t>
      </w:r>
      <w:r>
        <w:rPr>
          <w:spacing w:val="-96"/>
        </w:rPr>
        <w:t> </w:t>
      </w:r>
      <w:r>
        <w:rPr>
          <w:spacing w:val="-96"/>
        </w:rPr>
      </w:r>
      <w:r>
        <w:rPr>
          <w:spacing w:val="-8"/>
        </w:rPr>
        <w:t>京市信息化项目评审中心产品推荐库等，并获得来自全国范围内的公安、税务、气象、</w:t>
      </w:r>
      <w:r>
        <w:rPr>
          <w:spacing w:val="-104"/>
        </w:rPr>
        <w:t> </w:t>
      </w:r>
      <w:r>
        <w:rPr>
          <w:spacing w:val="-104"/>
        </w:rPr>
      </w:r>
      <w:r>
        <w:rPr>
          <w:spacing w:val="-2"/>
        </w:rPr>
        <w:t>环保、银行、保险、证券、以及大型企事业单位的客户订单，预计新云服务器产品销</w:t>
      </w:r>
      <w:r>
        <w:rPr>
          <w:spacing w:val="-96"/>
        </w:rPr>
        <w:t> </w:t>
      </w:r>
      <w:r>
        <w:rPr>
          <w:spacing w:val="-96"/>
        </w:rPr>
      </w:r>
      <w:r>
        <w:rPr/>
        <w:t>量将于</w:t>
      </w:r>
      <w:r>
        <w:rPr>
          <w:spacing w:val="-61"/>
        </w:rPr>
        <w:t> </w:t>
      </w:r>
      <w:r>
        <w:rPr>
          <w:rFonts w:ascii="宋体" w:hAnsi="宋体" w:cs="宋体" w:eastAsia="宋体" w:hint="default"/>
        </w:rPr>
        <w:t>2016-2017</w:t>
      </w:r>
      <w:r>
        <w:rPr>
          <w:rFonts w:ascii="宋体" w:hAnsi="宋体" w:cs="宋体" w:eastAsia="宋体" w:hint="default"/>
          <w:spacing w:val="-60"/>
        </w:rPr>
        <w:t> </w:t>
      </w:r>
      <w:r>
        <w:rPr/>
        <w:t>年进入快速增长期。</w:t>
      </w:r>
    </w:p>
    <w:p>
      <w:pPr>
        <w:spacing w:after="0" w:line="237" w:lineRule="auto"/>
        <w:jc w:val="both"/>
        <w:sectPr>
          <w:pgSz w:w="11910" w:h="16840"/>
          <w:pgMar w:header="880" w:footer="1195" w:top="1120" w:bottom="1380" w:left="1140" w:right="1560"/>
        </w:sectPr>
      </w:pPr>
    </w:p>
    <w:p>
      <w:pPr>
        <w:spacing w:line="240" w:lineRule="auto" w:before="2"/>
        <w:rPr>
          <w:rFonts w:ascii="宋体" w:hAnsi="宋体" w:cs="宋体" w:eastAsia="宋体" w:hint="default"/>
          <w:sz w:val="19"/>
          <w:szCs w:val="19"/>
        </w:rPr>
      </w:pPr>
    </w:p>
    <w:p>
      <w:pPr>
        <w:pStyle w:val="BodyText"/>
        <w:spacing w:line="237" w:lineRule="auto" w:before="28"/>
        <w:ind w:right="97" w:firstLine="420"/>
        <w:jc w:val="left"/>
      </w:pPr>
      <w:r>
        <w:rPr>
          <w:rFonts w:ascii="宋体" w:hAnsi="宋体" w:cs="宋体" w:eastAsia="宋体" w:hint="default"/>
        </w:rPr>
        <w:t>2015</w:t>
      </w:r>
      <w:r>
        <w:rPr>
          <w:rFonts w:ascii="宋体" w:hAnsi="宋体" w:cs="宋体" w:eastAsia="宋体" w:hint="default"/>
          <w:spacing w:val="-77"/>
        </w:rPr>
        <w:t> </w:t>
      </w:r>
      <w:r>
        <w:rPr/>
        <w:t>年，公司旗下沃趣科技敏锐地洞悉当下许多用户在数据库系统方面所面临的 诸多痛点，通过强大的技术能力以及互联网先进的运维理念，分别推出了基于</w:t>
      </w:r>
      <w:r>
        <w:rPr>
          <w:spacing w:val="-72"/>
        </w:rPr>
        <w:t> </w:t>
      </w:r>
      <w:r>
        <w:rPr>
          <w:rFonts w:ascii="宋体" w:hAnsi="宋体" w:cs="宋体" w:eastAsia="宋体" w:hint="default"/>
        </w:rPr>
        <w:t>x86</w:t>
      </w:r>
      <w:r>
        <w:rPr>
          <w:rFonts w:ascii="宋体" w:hAnsi="宋体" w:cs="宋体" w:eastAsia="宋体" w:hint="default"/>
          <w:spacing w:val="-72"/>
        </w:rPr>
        <w:t> </w:t>
      </w:r>
      <w:r>
        <w:rPr/>
        <w:t>分 布式平台的</w:t>
      </w:r>
      <w:r>
        <w:rPr>
          <w:spacing w:val="-61"/>
        </w:rPr>
        <w:t> </w:t>
      </w:r>
      <w:hyperlink r:id="rId14">
        <w:r>
          <w:rPr>
            <w:rFonts w:ascii="宋体" w:hAnsi="宋体" w:cs="宋体" w:eastAsia="宋体" w:hint="default"/>
          </w:rPr>
          <w:t>QData</w:t>
        </w:r>
        <w:r>
          <w:rPr>
            <w:rFonts w:ascii="宋体" w:hAnsi="宋体" w:cs="宋体" w:eastAsia="宋体" w:hint="default"/>
            <w:spacing w:val="-12"/>
          </w:rPr>
          <w:t> </w:t>
        </w:r>
        <w:r>
          <w:rPr>
            <w:rFonts w:ascii="宋体" w:hAnsi="宋体" w:cs="宋体" w:eastAsia="宋体" w:hint="default"/>
          </w:rPr>
          <w:t>For</w:t>
        </w:r>
        <w:r>
          <w:rPr>
            <w:rFonts w:ascii="宋体" w:hAnsi="宋体" w:cs="宋体" w:eastAsia="宋体" w:hint="default"/>
            <w:spacing w:val="-12"/>
          </w:rPr>
          <w:t> </w:t>
        </w:r>
        <w:r>
          <w:rPr>
            <w:rFonts w:ascii="宋体" w:hAnsi="宋体" w:cs="宋体" w:eastAsia="宋体" w:hint="default"/>
          </w:rPr>
          <w:t>Oracle</w:t>
        </w:r>
      </w:hyperlink>
      <w:r>
        <w:rPr/>
        <w:t>、</w:t>
      </w:r>
      <w:hyperlink r:id="rId15">
        <w:r>
          <w:rPr>
            <w:rFonts w:ascii="宋体" w:hAnsi="宋体" w:cs="宋体" w:eastAsia="宋体" w:hint="default"/>
          </w:rPr>
          <w:t>QData</w:t>
        </w:r>
        <w:r>
          <w:rPr>
            <w:rFonts w:ascii="宋体" w:hAnsi="宋体" w:cs="宋体" w:eastAsia="宋体" w:hint="default"/>
            <w:spacing w:val="-12"/>
          </w:rPr>
          <w:t> </w:t>
        </w:r>
        <w:r>
          <w:rPr>
            <w:rFonts w:ascii="宋体" w:hAnsi="宋体" w:cs="宋体" w:eastAsia="宋体" w:hint="default"/>
          </w:rPr>
          <w:t>For</w:t>
        </w:r>
        <w:r>
          <w:rPr>
            <w:rFonts w:ascii="宋体" w:hAnsi="宋体" w:cs="宋体" w:eastAsia="宋体" w:hint="default"/>
            <w:spacing w:val="-12"/>
          </w:rPr>
          <w:t> </w:t>
        </w:r>
        <w:r>
          <w:rPr>
            <w:rFonts w:ascii="宋体" w:hAnsi="宋体" w:cs="宋体" w:eastAsia="宋体" w:hint="default"/>
          </w:rPr>
          <w:t>MySQL</w:t>
        </w:r>
      </w:hyperlink>
      <w:r>
        <w:rPr>
          <w:rFonts w:ascii="宋体" w:hAnsi="宋体" w:cs="宋体" w:eastAsia="宋体" w:hint="default"/>
          <w:spacing w:val="-60"/>
        </w:rPr>
        <w:t> </w:t>
      </w:r>
      <w:r>
        <w:rPr/>
        <w:t>两款数据库私有云产品，以及可以 深度监控多种数据库系统的专业监控平台</w:t>
      </w:r>
      <w:r>
        <w:rPr>
          <w:spacing w:val="-48"/>
        </w:rPr>
        <w:t> </w:t>
      </w:r>
      <w:hyperlink r:id="rId16">
        <w:r>
          <w:rPr>
            <w:rFonts w:ascii="宋体" w:hAnsi="宋体" w:cs="宋体" w:eastAsia="宋体" w:hint="default"/>
          </w:rPr>
          <w:t>QMonitor</w:t>
        </w:r>
      </w:hyperlink>
      <w:r>
        <w:rPr/>
        <w:t>，在金融（证券、保险、银行）、 运营商、广电、能源等领域获得良好的市场反应。</w:t>
      </w:r>
    </w:p>
    <w:p>
      <w:pPr>
        <w:pStyle w:val="BodyText"/>
        <w:spacing w:line="331" w:lineRule="auto" w:before="116"/>
        <w:ind w:left="617" w:right="217" w:hanging="480"/>
        <w:jc w:val="left"/>
      </w:pPr>
      <w:r>
        <w:rPr/>
        <w:t>（</w:t>
      </w:r>
      <w:r>
        <w:rPr>
          <w:rFonts w:ascii="宋体" w:hAnsi="宋体" w:cs="宋体" w:eastAsia="宋体" w:hint="default"/>
        </w:rPr>
        <w:t>2</w:t>
      </w:r>
      <w:r>
        <w:rPr/>
        <w:t>） </w:t>
      </w:r>
      <w:r>
        <w:rPr>
          <w:rFonts w:ascii="宋体" w:hAnsi="宋体" w:cs="宋体" w:eastAsia="宋体" w:hint="default"/>
        </w:rPr>
        <w:t>IT</w:t>
      </w:r>
      <w:r>
        <w:rPr>
          <w:rFonts w:ascii="宋体" w:hAnsi="宋体" w:cs="宋体" w:eastAsia="宋体" w:hint="default"/>
          <w:spacing w:val="-61"/>
        </w:rPr>
        <w:t> </w:t>
      </w:r>
      <w:r>
        <w:rPr/>
        <w:t>服务业务 报告期内，调整经济结构造成了部分行业也经受较大调整，对公司 </w:t>
      </w:r>
      <w:r>
        <w:rPr>
          <w:rFonts w:ascii="宋体" w:hAnsi="宋体" w:cs="宋体" w:eastAsia="宋体" w:hint="default"/>
        </w:rPr>
        <w:t>IT</w:t>
      </w:r>
      <w:r>
        <w:rPr>
          <w:rFonts w:ascii="宋体" w:hAnsi="宋体" w:cs="宋体" w:eastAsia="宋体" w:hint="default"/>
          <w:spacing w:val="-48"/>
        </w:rPr>
        <w:t> </w:t>
      </w:r>
      <w:r>
        <w:rPr/>
        <w:t>服务业务</w:t>
      </w:r>
    </w:p>
    <w:p>
      <w:pPr>
        <w:pStyle w:val="BodyText"/>
        <w:spacing w:line="220" w:lineRule="exact"/>
        <w:ind w:right="0"/>
        <w:jc w:val="both"/>
      </w:pPr>
      <w:r>
        <w:rPr/>
        <w:t>带来一定影响；同时，绿色、可持续发展等以互联网</w:t>
      </w:r>
      <w:r>
        <w:rPr>
          <w:rFonts w:ascii="宋体" w:hAnsi="宋体" w:cs="宋体" w:eastAsia="宋体" w:hint="default"/>
        </w:rPr>
        <w:t>+</w:t>
      </w:r>
      <w:r>
        <w:rPr/>
        <w:t>为代表的创新经济也创造出大</w:t>
      </w:r>
    </w:p>
    <w:p>
      <w:pPr>
        <w:pStyle w:val="BodyText"/>
        <w:spacing w:line="237" w:lineRule="auto" w:before="1"/>
        <w:ind w:right="231"/>
        <w:jc w:val="both"/>
      </w:pPr>
      <w:r>
        <w:rPr>
          <w:spacing w:val="-8"/>
        </w:rPr>
        <w:t>量的发展机遇。在公司经营层面，一方面，公司继续努力维持在运营商、政府、金融、</w:t>
      </w:r>
      <w:r>
        <w:rPr>
          <w:spacing w:val="-106"/>
        </w:rPr>
        <w:t> </w:t>
      </w:r>
      <w:r>
        <w:rPr>
          <w:spacing w:val="-106"/>
        </w:rPr>
      </w:r>
      <w:r>
        <w:rPr/>
        <w:t>能源等行业的竞争优势，另一方面，积极拓展新行业和新用户。华胜天成的 </w:t>
      </w:r>
      <w:r>
        <w:rPr>
          <w:rFonts w:ascii="宋体" w:hAnsi="宋体" w:cs="宋体" w:eastAsia="宋体" w:hint="default"/>
        </w:rPr>
        <w:t>IT</w:t>
      </w:r>
      <w:r>
        <w:rPr>
          <w:rFonts w:ascii="宋体" w:hAnsi="宋体" w:cs="宋体" w:eastAsia="宋体" w:hint="default"/>
          <w:spacing w:val="-47"/>
        </w:rPr>
        <w:t> </w:t>
      </w:r>
      <w:r>
        <w:rPr/>
        <w:t>服务 </w:t>
      </w:r>
      <w:r>
        <w:rPr>
          <w:spacing w:val="-2"/>
        </w:rPr>
        <w:t>进入互联网、电子商务、大型制造业等行业，先后同京东、美团、美的等行业龙头企</w:t>
      </w:r>
      <w:r>
        <w:rPr>
          <w:spacing w:val="-96"/>
        </w:rPr>
        <w:t> </w:t>
      </w:r>
      <w:r>
        <w:rPr>
          <w:spacing w:val="-96"/>
        </w:rPr>
      </w:r>
      <w:r>
        <w:rPr/>
        <w:t>业签署了</w:t>
      </w:r>
      <w:r>
        <w:rPr>
          <w:spacing w:val="-83"/>
        </w:rPr>
        <w:t> </w:t>
      </w:r>
      <w:r>
        <w:rPr>
          <w:rFonts w:ascii="宋体" w:hAnsi="宋体" w:cs="宋体" w:eastAsia="宋体" w:hint="default"/>
        </w:rPr>
        <w:t>IT</w:t>
      </w:r>
      <w:r>
        <w:rPr>
          <w:rFonts w:ascii="宋体" w:hAnsi="宋体" w:cs="宋体" w:eastAsia="宋体" w:hint="default"/>
          <w:spacing w:val="-83"/>
        </w:rPr>
        <w:t> </w:t>
      </w:r>
      <w:r>
        <w:rPr/>
        <w:t>服务订单。同时，公司继续专注于“大数据互联网</w:t>
      </w:r>
      <w:r>
        <w:rPr>
          <w:rFonts w:ascii="宋体" w:hAnsi="宋体" w:cs="宋体" w:eastAsia="宋体" w:hint="default"/>
        </w:rPr>
        <w:t>+</w:t>
      </w:r>
      <w:r>
        <w:rPr/>
        <w:t>”技术和行业应用的 </w:t>
      </w:r>
      <w:r>
        <w:rPr>
          <w:spacing w:val="-2"/>
        </w:rPr>
        <w:t>研发，在旅游、环保等行业寻找新的业绩增长点，尤其是旅游行业形成了一定的规模</w:t>
      </w:r>
      <w:r>
        <w:rPr>
          <w:spacing w:val="-91"/>
        </w:rPr>
        <w:t> </w:t>
      </w:r>
      <w:r>
        <w:rPr>
          <w:spacing w:val="-91"/>
        </w:rPr>
      </w:r>
      <w:r>
        <w:rPr/>
        <w:t>和竞争力。</w:t>
      </w:r>
    </w:p>
    <w:p>
      <w:pPr>
        <w:pStyle w:val="BodyText"/>
        <w:spacing w:line="237" w:lineRule="auto" w:before="121"/>
        <w:ind w:right="231" w:firstLine="480"/>
        <w:jc w:val="both"/>
      </w:pPr>
      <w:r>
        <w:rPr>
          <w:spacing w:val="-2"/>
        </w:rPr>
        <w:t>基于位置服务的线下线上互动平台——智慧夫子庙平台上线，为夫子庙景区打造</w:t>
      </w:r>
      <w:r>
        <w:rPr/>
        <w:t> </w:t>
      </w:r>
      <w:r>
        <w:rPr>
          <w:spacing w:val="-2"/>
        </w:rPr>
        <w:t>出“服务、运营、管理”三位一体的智慧化景区运营新模式，智慧夫子庙成为公司智</w:t>
      </w:r>
      <w:r>
        <w:rPr>
          <w:spacing w:val="-95"/>
        </w:rPr>
        <w:t> </w:t>
      </w:r>
      <w:r>
        <w:rPr>
          <w:spacing w:val="-95"/>
        </w:rPr>
      </w:r>
      <w:r>
        <w:rPr/>
        <w:t>慧旅游的一张新名片。报告期内，公司在“大数据互联网</w:t>
      </w:r>
      <w:r>
        <w:rPr>
          <w:rFonts w:ascii="宋体" w:hAnsi="宋体" w:cs="宋体" w:eastAsia="宋体" w:hint="default"/>
        </w:rPr>
        <w:t>+</w:t>
      </w:r>
      <w:r>
        <w:rPr/>
        <w:t>”旅游方面取得了开拓性</w:t>
      </w:r>
      <w:r>
        <w:rPr>
          <w:spacing w:val="-55"/>
        </w:rPr>
        <w:t> </w:t>
      </w:r>
      <w:r>
        <w:rPr>
          <w:spacing w:val="-55"/>
        </w:rPr>
      </w:r>
      <w:r>
        <w:rPr>
          <w:spacing w:val="-2"/>
        </w:rPr>
        <w:t>进展。在北京市旅游委调度中心项目基础上，公司实施团队相继完成了数据共享交换</w:t>
      </w:r>
      <w:r>
        <w:rPr>
          <w:spacing w:val="-94"/>
        </w:rPr>
        <w:t> </w:t>
      </w:r>
      <w:r>
        <w:rPr>
          <w:spacing w:val="-94"/>
        </w:rPr>
      </w:r>
      <w:r>
        <w:rPr>
          <w:spacing w:val="-8"/>
        </w:rPr>
        <w:t>平台、旅游应急单兵系统、景区人流量分析系统、旅游厕所管理系统等项目优质交付，</w:t>
      </w:r>
      <w:r>
        <w:rPr>
          <w:spacing w:val="-104"/>
        </w:rPr>
        <w:t> </w:t>
      </w:r>
      <w:r>
        <w:rPr>
          <w:spacing w:val="-104"/>
        </w:rPr>
      </w:r>
      <w:r>
        <w:rPr/>
        <w:t>拓展了业主方服务功能，云数据分析平台项目已经被北京旅游委列入 </w:t>
      </w:r>
      <w:r>
        <w:rPr>
          <w:rFonts w:ascii="宋体" w:hAnsi="宋体" w:cs="宋体" w:eastAsia="宋体" w:hint="default"/>
        </w:rPr>
        <w:t>2016</w:t>
      </w:r>
      <w:r>
        <w:rPr>
          <w:rFonts w:ascii="宋体" w:hAnsi="宋体" w:cs="宋体" w:eastAsia="宋体" w:hint="default"/>
          <w:spacing w:val="-48"/>
        </w:rPr>
        <w:t> </w:t>
      </w:r>
      <w:r>
        <w:rPr/>
        <w:t>年重点建 </w:t>
      </w:r>
      <w:r>
        <w:rPr>
          <w:spacing w:val="-2"/>
        </w:rPr>
        <w:t>设项目。公司继完成国家旅游局、北京旅游局大数据项目后，又先后同宁夏回族自治</w:t>
      </w:r>
      <w:r>
        <w:rPr>
          <w:spacing w:val="-94"/>
        </w:rPr>
        <w:t> </w:t>
      </w:r>
      <w:r>
        <w:rPr>
          <w:spacing w:val="-94"/>
        </w:rPr>
      </w:r>
      <w:r>
        <w:rPr>
          <w:spacing w:val="-2"/>
        </w:rPr>
        <w:t>区旅游局、阿坝州九寨沟县旅游发展局、湖北省旅游局、广东省旅游局等旅游行业客</w:t>
      </w:r>
      <w:r>
        <w:rPr>
          <w:spacing w:val="-94"/>
        </w:rPr>
        <w:t> </w:t>
      </w:r>
      <w:r>
        <w:rPr>
          <w:spacing w:val="-94"/>
        </w:rPr>
      </w:r>
      <w:r>
        <w:rPr/>
        <w:t>户签订了旅游数据检测、分析项目。</w:t>
      </w:r>
    </w:p>
    <w:p>
      <w:pPr>
        <w:pStyle w:val="BodyText"/>
        <w:spacing w:line="237" w:lineRule="auto" w:before="121"/>
        <w:ind w:right="232" w:firstLine="480"/>
        <w:jc w:val="both"/>
      </w:pPr>
      <w:r>
        <w:rPr/>
        <w:t>报告期内，公司通过参股形式同和润股份在“大数据互联网</w:t>
      </w:r>
      <w:r>
        <w:rPr>
          <w:rFonts w:ascii="宋体" w:hAnsi="宋体" w:cs="宋体" w:eastAsia="宋体" w:hint="default"/>
        </w:rPr>
        <w:t>+</w:t>
      </w:r>
      <w:r>
        <w:rPr/>
        <w:t>环保领域”展开合 </w:t>
      </w:r>
      <w:r>
        <w:rPr>
          <w:spacing w:val="-2"/>
        </w:rPr>
        <w:t>作，整合公司在大数据平台设计方面的技术优势，以及和润股份在检测终端、行业客</w:t>
      </w:r>
      <w:r>
        <w:rPr>
          <w:spacing w:val="-97"/>
        </w:rPr>
        <w:t> </w:t>
      </w:r>
      <w:r>
        <w:rPr>
          <w:spacing w:val="-97"/>
        </w:rPr>
      </w:r>
      <w:r>
        <w:rPr>
          <w:spacing w:val="-2"/>
        </w:rPr>
        <w:t>户积累方面的优势，共同致力于在安全生产、公共卫生和环境保护等领域构建集数据</w:t>
      </w:r>
      <w:r>
        <w:rPr>
          <w:spacing w:val="-94"/>
        </w:rPr>
        <w:t> </w:t>
      </w:r>
      <w:r>
        <w:rPr>
          <w:spacing w:val="-94"/>
        </w:rPr>
      </w:r>
      <w:r>
        <w:rPr>
          <w:spacing w:val="-2"/>
        </w:rPr>
        <w:t>采集、数据传输、数据管理、数据分析、数据应用于一体的监测、预警、指挥“云平</w:t>
      </w:r>
      <w:r>
        <w:rPr>
          <w:spacing w:val="-102"/>
        </w:rPr>
        <w:t> </w:t>
      </w:r>
      <w:r>
        <w:rPr>
          <w:spacing w:val="-102"/>
        </w:rPr>
      </w:r>
      <w:r>
        <w:rPr>
          <w:spacing w:val="-2"/>
        </w:rPr>
        <w:t>台”管理系统。目前双方已经向发改委联合申报了《基于云计算和大数据技术的生活</w:t>
      </w:r>
      <w:r>
        <w:rPr>
          <w:spacing w:val="-92"/>
        </w:rPr>
        <w:t> </w:t>
      </w:r>
      <w:r>
        <w:rPr>
          <w:spacing w:val="-92"/>
        </w:rPr>
      </w:r>
      <w:r>
        <w:rPr/>
        <w:t>饮用水水质监测分析预警平台》。</w:t>
      </w:r>
    </w:p>
    <w:p>
      <w:pPr>
        <w:pStyle w:val="BodyText"/>
        <w:spacing w:line="240" w:lineRule="auto" w:before="118"/>
        <w:ind w:right="0"/>
        <w:jc w:val="both"/>
      </w:pPr>
      <w:r>
        <w:rPr/>
        <w:t>（</w:t>
      </w:r>
      <w:r>
        <w:rPr>
          <w:rFonts w:ascii="宋体" w:hAnsi="宋体" w:cs="宋体" w:eastAsia="宋体" w:hint="default"/>
        </w:rPr>
        <w:t>3</w:t>
      </w:r>
      <w:r>
        <w:rPr/>
        <w:t>） 产业投资和金融业务</w:t>
      </w:r>
    </w:p>
    <w:p>
      <w:pPr>
        <w:pStyle w:val="BodyText"/>
        <w:spacing w:line="312" w:lineRule="exact" w:before="147"/>
        <w:ind w:right="232" w:firstLine="420"/>
        <w:jc w:val="both"/>
      </w:pPr>
      <w:r>
        <w:rPr>
          <w:rFonts w:ascii="宋体" w:hAnsi="宋体" w:cs="宋体" w:eastAsia="宋体" w:hint="default"/>
        </w:rPr>
        <w:t>2015</w:t>
      </w:r>
      <w:r>
        <w:rPr>
          <w:rFonts w:ascii="宋体" w:hAnsi="宋体" w:cs="宋体" w:eastAsia="宋体" w:hint="default"/>
          <w:spacing w:val="-45"/>
        </w:rPr>
        <w:t> </w:t>
      </w:r>
      <w:r>
        <w:rPr>
          <w:spacing w:val="-2"/>
        </w:rPr>
        <w:t>年，公司利用自有资金从事保本理财产品、股权等投资业务，明确了产业经</w:t>
      </w:r>
      <w:r>
        <w:rPr/>
        <w:t> </w:t>
      </w:r>
      <w:r>
        <w:rPr>
          <w:spacing w:val="-2"/>
        </w:rPr>
        <w:t>营与资本运营协同发展的双主业经营发展方向。华胜天成产业投资和金融业务不仅对</w:t>
      </w:r>
      <w:r>
        <w:rPr>
          <w:spacing w:val="-94"/>
        </w:rPr>
        <w:t> </w:t>
      </w:r>
      <w:r>
        <w:rPr>
          <w:spacing w:val="-94"/>
        </w:rPr>
      </w:r>
      <w:r>
        <w:rPr/>
        <w:t>上市公司提供了非常重要的业绩贡献，同时，对公司的 </w:t>
      </w:r>
      <w:r>
        <w:rPr>
          <w:rFonts w:ascii="宋体" w:hAnsi="宋体" w:cs="宋体" w:eastAsia="宋体" w:hint="default"/>
        </w:rPr>
        <w:t>IT</w:t>
      </w:r>
      <w:r>
        <w:rPr>
          <w:rFonts w:ascii="宋体" w:hAnsi="宋体" w:cs="宋体" w:eastAsia="宋体" w:hint="default"/>
          <w:spacing w:val="-48"/>
        </w:rPr>
        <w:t> </w:t>
      </w:r>
      <w:r>
        <w:rPr/>
        <w:t>业务也起到很大的拉动作 用。</w:t>
      </w:r>
    </w:p>
    <w:p>
      <w:pPr>
        <w:pStyle w:val="BodyText"/>
        <w:spacing w:line="331" w:lineRule="auto" w:before="87"/>
        <w:ind w:left="557" w:right="220" w:firstLine="60"/>
        <w:jc w:val="left"/>
      </w:pPr>
      <w:r>
        <w:rPr/>
        <w:t>报告期内，公司发起或参与数个创业型企业、产业基金，其中： 低碳环保产业基金在低碳、环保领域完成投资项目</w:t>
      </w:r>
      <w:r>
        <w:rPr>
          <w:spacing w:val="-58"/>
        </w:rPr>
        <w:t> </w:t>
      </w:r>
      <w:r>
        <w:rPr>
          <w:rFonts w:ascii="宋体" w:hAnsi="宋体" w:cs="宋体" w:eastAsia="宋体" w:hint="default"/>
        </w:rPr>
        <w:t>4</w:t>
      </w:r>
      <w:r>
        <w:rPr>
          <w:rFonts w:ascii="宋体" w:hAnsi="宋体" w:cs="宋体" w:eastAsia="宋体" w:hint="default"/>
          <w:spacing w:val="-58"/>
        </w:rPr>
        <w:t> </w:t>
      </w:r>
      <w:r>
        <w:rPr/>
        <w:t>个，累计投资金额近</w:t>
      </w:r>
      <w:r>
        <w:rPr>
          <w:spacing w:val="-57"/>
        </w:rPr>
        <w:t> </w:t>
      </w:r>
      <w:r>
        <w:rPr>
          <w:rFonts w:ascii="宋体" w:hAnsi="宋体" w:cs="宋体" w:eastAsia="宋体" w:hint="default"/>
        </w:rPr>
        <w:t>1.3</w:t>
      </w:r>
      <w:r>
        <w:rPr>
          <w:rFonts w:ascii="宋体" w:hAnsi="宋体" w:cs="宋体" w:eastAsia="宋体" w:hint="default"/>
          <w:spacing w:val="-58"/>
        </w:rPr>
        <w:t> </w:t>
      </w:r>
      <w:r>
        <w:rPr/>
        <w:t>亿</w:t>
      </w:r>
    </w:p>
    <w:p>
      <w:pPr>
        <w:pStyle w:val="BodyText"/>
        <w:spacing w:line="219" w:lineRule="exact"/>
        <w:ind w:right="0"/>
        <w:jc w:val="both"/>
        <w:rPr>
          <w:rFonts w:ascii="宋体" w:hAnsi="宋体" w:cs="宋体" w:eastAsia="宋体" w:hint="default"/>
        </w:rPr>
      </w:pPr>
      <w:r>
        <w:rPr>
          <w:spacing w:val="-7"/>
        </w:rPr>
        <w:t>元，占基金规模的</w:t>
      </w:r>
      <w:r>
        <w:rPr>
          <w:spacing w:val="-57"/>
        </w:rPr>
        <w:t> </w:t>
      </w:r>
      <w:r>
        <w:rPr>
          <w:rFonts w:ascii="宋体" w:hAnsi="宋体" w:cs="宋体" w:eastAsia="宋体" w:hint="default"/>
          <w:spacing w:val="-4"/>
        </w:rPr>
        <w:t>45.30%</w:t>
      </w:r>
      <w:r>
        <w:rPr>
          <w:spacing w:val="-4"/>
        </w:rPr>
        <w:t>，部分项目已完成退出，实现归属于上市公司净利润约</w:t>
      </w:r>
      <w:r>
        <w:rPr>
          <w:spacing w:val="-56"/>
        </w:rPr>
        <w:t> </w:t>
      </w:r>
      <w:r>
        <w:rPr>
          <w:rFonts w:ascii="宋体" w:hAnsi="宋体" w:cs="宋体" w:eastAsia="宋体" w:hint="default"/>
        </w:rPr>
        <w:t>1200</w:t>
      </w:r>
    </w:p>
    <w:p>
      <w:pPr>
        <w:pStyle w:val="BodyText"/>
        <w:spacing w:line="312" w:lineRule="exact"/>
        <w:ind w:right="0"/>
        <w:jc w:val="both"/>
      </w:pPr>
      <w:r>
        <w:rPr/>
        <w:t>万元。</w:t>
      </w:r>
    </w:p>
    <w:p>
      <w:pPr>
        <w:pStyle w:val="BodyText"/>
        <w:spacing w:line="237" w:lineRule="auto" w:before="120"/>
        <w:ind w:right="99" w:firstLine="480"/>
        <w:jc w:val="left"/>
      </w:pPr>
      <w:r>
        <w:rPr>
          <w:rFonts w:ascii="宋体" w:hAnsi="宋体" w:cs="宋体" w:eastAsia="宋体" w:hint="default"/>
        </w:rPr>
        <w:t>2015</w:t>
      </w:r>
      <w:r>
        <w:rPr>
          <w:rFonts w:ascii="宋体" w:hAnsi="宋体" w:cs="宋体" w:eastAsia="宋体" w:hint="default"/>
          <w:spacing w:val="-66"/>
        </w:rPr>
        <w:t> </w:t>
      </w:r>
      <w:r>
        <w:rPr>
          <w:spacing w:val="-4"/>
        </w:rPr>
        <w:t>年度，公司参股</w:t>
      </w:r>
      <w:r>
        <w:rPr>
          <w:spacing w:val="-65"/>
        </w:rPr>
        <w:t> </w:t>
      </w:r>
      <w:r>
        <w:rPr>
          <w:rFonts w:ascii="宋体" w:hAnsi="宋体" w:cs="宋体" w:eastAsia="宋体" w:hint="default"/>
        </w:rPr>
        <w:t>49%</w:t>
      </w:r>
      <w:r>
        <w:rPr/>
        <w:t>的国研天成投资公司进行了卓有成效的产业布局。国研 </w:t>
      </w:r>
      <w:r>
        <w:rPr>
          <w:spacing w:val="-8"/>
        </w:rPr>
        <w:t>天成参与认购紫光股份（股票代码</w:t>
      </w:r>
      <w:r>
        <w:rPr>
          <w:spacing w:val="-54"/>
        </w:rPr>
        <w:t> </w:t>
      </w:r>
      <w:r>
        <w:rPr>
          <w:rFonts w:ascii="宋体" w:hAnsi="宋体" w:cs="宋体" w:eastAsia="宋体" w:hint="default"/>
          <w:spacing w:val="-8"/>
        </w:rPr>
        <w:t>000938</w:t>
      </w:r>
      <w:r>
        <w:rPr>
          <w:spacing w:val="-8"/>
        </w:rPr>
        <w:t>）非公开发行的额度为</w:t>
      </w:r>
      <w:r>
        <w:rPr>
          <w:spacing w:val="-54"/>
        </w:rPr>
        <w:t> </w:t>
      </w:r>
      <w:r>
        <w:rPr>
          <w:rFonts w:ascii="宋体" w:hAnsi="宋体" w:cs="宋体" w:eastAsia="宋体" w:hint="default"/>
        </w:rPr>
        <w:t>9.5</w:t>
      </w:r>
      <w:r>
        <w:rPr>
          <w:rFonts w:ascii="宋体" w:hAnsi="宋体" w:cs="宋体" w:eastAsia="宋体" w:hint="default"/>
          <w:spacing w:val="-54"/>
        </w:rPr>
        <w:t> </w:t>
      </w:r>
      <w:r>
        <w:rPr/>
        <w:t>亿人民币的股份； 并出资 </w:t>
      </w:r>
      <w:r>
        <w:rPr>
          <w:rFonts w:ascii="宋体" w:hAnsi="宋体" w:cs="宋体" w:eastAsia="宋体" w:hint="default"/>
        </w:rPr>
        <w:t>6.1</w:t>
      </w:r>
      <w:r>
        <w:rPr>
          <w:rFonts w:ascii="宋体" w:hAnsi="宋体" w:cs="宋体" w:eastAsia="宋体" w:hint="default"/>
          <w:spacing w:val="-49"/>
        </w:rPr>
        <w:t> </w:t>
      </w:r>
      <w:r>
        <w:rPr/>
        <w:t>亿元人民币收购国能电动汽车瑞典有限公司</w:t>
      </w:r>
      <w:r>
        <w:rPr>
          <w:rFonts w:ascii="宋体" w:hAnsi="宋体" w:cs="宋体" w:eastAsia="宋体" w:hint="default"/>
        </w:rPr>
        <w:t>(</w:t>
      </w:r>
      <w:r>
        <w:rPr/>
        <w:t>简称“</w:t>
      </w:r>
      <w:r>
        <w:rPr>
          <w:rFonts w:ascii="宋体" w:hAnsi="宋体" w:cs="宋体" w:eastAsia="宋体" w:hint="default"/>
        </w:rPr>
        <w:t>NEVS</w:t>
      </w:r>
      <w:r>
        <w:rPr/>
        <w:t>”</w:t>
      </w:r>
      <w:r>
        <w:rPr>
          <w:rFonts w:ascii="宋体" w:hAnsi="宋体" w:cs="宋体" w:eastAsia="宋体" w:hint="default"/>
        </w:rPr>
        <w:t>)22%</w:t>
      </w:r>
      <w:r>
        <w:rPr/>
        <w:t>的股权。</w:t>
      </w:r>
    </w:p>
    <w:p>
      <w:pPr>
        <w:spacing w:after="0" w:line="237" w:lineRule="auto"/>
        <w:jc w:val="left"/>
        <w:sectPr>
          <w:pgSz w:w="11910" w:h="16840"/>
          <w:pgMar w:header="880" w:footer="1195" w:top="1120" w:bottom="1380" w:left="1140" w:right="1560"/>
        </w:sectPr>
      </w:pPr>
    </w:p>
    <w:p>
      <w:pPr>
        <w:spacing w:line="240" w:lineRule="auto" w:before="2"/>
        <w:rPr>
          <w:rFonts w:ascii="宋体" w:hAnsi="宋体" w:cs="宋体" w:eastAsia="宋体" w:hint="default"/>
          <w:sz w:val="19"/>
          <w:szCs w:val="19"/>
        </w:rPr>
      </w:pPr>
    </w:p>
    <w:p>
      <w:pPr>
        <w:pStyle w:val="BodyText"/>
        <w:spacing w:line="237" w:lineRule="auto" w:before="28"/>
        <w:ind w:left="217" w:right="354"/>
        <w:jc w:val="both"/>
      </w:pPr>
      <w:r>
        <w:rPr>
          <w:spacing w:val="-13"/>
        </w:rPr>
        <w:t>报告期内，</w:t>
      </w:r>
      <w:r>
        <w:rPr>
          <w:rFonts w:ascii="宋体" w:hAnsi="宋体" w:cs="宋体" w:eastAsia="宋体" w:hint="default"/>
          <w:spacing w:val="-13"/>
        </w:rPr>
        <w:t>NEVS</w:t>
      </w:r>
      <w:r>
        <w:rPr>
          <w:rFonts w:ascii="宋体" w:hAnsi="宋体" w:cs="宋体" w:eastAsia="宋体" w:hint="default"/>
          <w:spacing w:val="-53"/>
        </w:rPr>
        <w:t> </w:t>
      </w:r>
      <w:r>
        <w:rPr/>
        <w:t>在天津设立天津国能汽车公司并计划建设新能源汽车总部生产基地及 汽车研发中心。该项投资有利于公司的 </w:t>
      </w:r>
      <w:r>
        <w:rPr>
          <w:rFonts w:ascii="宋体" w:hAnsi="宋体" w:cs="宋体" w:eastAsia="宋体" w:hint="default"/>
        </w:rPr>
        <w:t>IT</w:t>
      </w:r>
      <w:r>
        <w:rPr>
          <w:rFonts w:ascii="宋体" w:hAnsi="宋体" w:cs="宋体" w:eastAsia="宋体" w:hint="default"/>
          <w:spacing w:val="-48"/>
        </w:rPr>
        <w:t> </w:t>
      </w:r>
      <w:r>
        <w:rPr/>
        <w:t>产品和服务进入新能源车后服务市场（包 括充电网络管理、无人驾驶、租赁、车联网等），为产业提前布局提供了通道。</w:t>
      </w:r>
    </w:p>
    <w:p>
      <w:pPr>
        <w:pStyle w:val="BodyText"/>
        <w:spacing w:line="237" w:lineRule="auto" w:before="121"/>
        <w:ind w:left="217" w:right="351" w:firstLine="441"/>
        <w:jc w:val="both"/>
      </w:pPr>
      <w:r>
        <w:rPr>
          <w:spacing w:val="-2"/>
        </w:rPr>
        <w:t>综上所述，</w:t>
      </w:r>
      <w:r>
        <w:rPr>
          <w:rFonts w:ascii="宋体" w:hAnsi="宋体" w:cs="宋体" w:eastAsia="宋体" w:hint="default"/>
          <w:spacing w:val="-2"/>
        </w:rPr>
        <w:t>2015</w:t>
      </w:r>
      <w:r>
        <w:rPr>
          <w:rFonts w:ascii="宋体" w:hAnsi="宋体" w:cs="宋体" w:eastAsia="宋体" w:hint="default"/>
          <w:spacing w:val="-55"/>
        </w:rPr>
        <w:t> </w:t>
      </w:r>
      <w:r>
        <w:rPr>
          <w:spacing w:val="-2"/>
        </w:rPr>
        <w:t>年公司是公司“产品产业化、服务实业化”战略新布局后的第一</w:t>
      </w:r>
      <w:r>
        <w:rPr/>
        <w:t> 年，新产品研发以及新行业的投入都初见成效，华胜天成</w:t>
      </w:r>
      <w:r>
        <w:rPr>
          <w:spacing w:val="57"/>
        </w:rPr>
        <w:t> </w:t>
      </w:r>
      <w:r>
        <w:rPr/>
        <w:t>“以高端计算系统为基础</w:t>
      </w:r>
      <w:r>
        <w:rPr>
          <w:spacing w:val="-113"/>
        </w:rPr>
        <w:t> </w:t>
      </w:r>
      <w:r>
        <w:rPr>
          <w:spacing w:val="-113"/>
        </w:rPr>
      </w:r>
      <w:r>
        <w:rPr/>
        <w:t>的行业大数据和服务提供商”的品牌形象在业内初具影响力。</w:t>
      </w:r>
    </w:p>
    <w:p>
      <w:pPr>
        <w:spacing w:line="240" w:lineRule="auto" w:before="0"/>
        <w:rPr>
          <w:rFonts w:ascii="宋体" w:hAnsi="宋体" w:cs="宋体" w:eastAsia="宋体" w:hint="default"/>
          <w:sz w:val="24"/>
          <w:szCs w:val="24"/>
        </w:rPr>
      </w:pPr>
    </w:p>
    <w:p>
      <w:pPr>
        <w:pStyle w:val="Heading2"/>
        <w:spacing w:line="240" w:lineRule="auto" w:before="176"/>
        <w:ind w:right="0"/>
        <w:jc w:val="both"/>
        <w:rPr>
          <w:b w:val="0"/>
          <w:bCs w:val="0"/>
        </w:rPr>
      </w:pPr>
      <w:r>
        <w:rPr/>
        <w:t>二、报告期内主要经营情况</w:t>
      </w:r>
      <w:r>
        <w:rPr>
          <w:b w:val="0"/>
          <w:bCs w:val="0"/>
        </w:rPr>
      </w:r>
    </w:p>
    <w:p>
      <w:pPr>
        <w:pStyle w:val="BodyText"/>
        <w:spacing w:line="312" w:lineRule="exact" w:before="118"/>
        <w:ind w:left="697" w:right="100"/>
        <w:jc w:val="left"/>
      </w:pPr>
      <w:r>
        <w:rPr>
          <w:rFonts w:ascii="宋体" w:hAnsi="宋体" w:cs="宋体" w:eastAsia="宋体" w:hint="default"/>
        </w:rPr>
        <w:t>2015</w:t>
      </w:r>
      <w:r>
        <w:rPr>
          <w:rFonts w:ascii="宋体" w:hAnsi="宋体" w:cs="宋体" w:eastAsia="宋体" w:hint="default"/>
          <w:spacing w:val="-42"/>
        </w:rPr>
        <w:t> </w:t>
      </w:r>
      <w:r>
        <w:rPr/>
        <w:t>年</w:t>
      </w:r>
      <w:r>
        <w:rPr>
          <w:rFonts w:ascii="宋体" w:hAnsi="宋体" w:cs="宋体" w:eastAsia="宋体" w:hint="default"/>
        </w:rPr>
        <w:t>,</w:t>
      </w:r>
      <w:r>
        <w:rPr/>
        <w:t>公司实现营业收入</w:t>
      </w:r>
      <w:r>
        <w:rPr>
          <w:spacing w:val="-42"/>
        </w:rPr>
        <w:t> </w:t>
      </w:r>
      <w:r>
        <w:rPr>
          <w:rFonts w:ascii="宋体" w:hAnsi="宋体" w:cs="宋体" w:eastAsia="宋体" w:hint="default"/>
        </w:rPr>
        <w:t>479,298.30</w:t>
      </w:r>
      <w:r>
        <w:rPr>
          <w:rFonts w:ascii="宋体" w:hAnsi="宋体" w:cs="宋体" w:eastAsia="宋体" w:hint="default"/>
          <w:spacing w:val="-42"/>
        </w:rPr>
        <w:t> </w:t>
      </w:r>
      <w:r>
        <w:rPr/>
        <w:t>万元，同比增长</w:t>
      </w:r>
      <w:r>
        <w:rPr>
          <w:spacing w:val="-42"/>
        </w:rPr>
        <w:t> </w:t>
      </w:r>
      <w:r>
        <w:rPr>
          <w:rFonts w:ascii="宋体" w:hAnsi="宋体" w:cs="宋体" w:eastAsia="宋体" w:hint="default"/>
        </w:rPr>
        <w:t>12.02%</w:t>
      </w:r>
      <w:r>
        <w:rPr/>
        <w:t>；实现归属于母</w:t>
      </w:r>
    </w:p>
    <w:p>
      <w:pPr>
        <w:pStyle w:val="BodyText"/>
        <w:spacing w:line="312" w:lineRule="exact" w:before="28"/>
        <w:ind w:left="217" w:right="353"/>
        <w:jc w:val="both"/>
      </w:pPr>
      <w:r>
        <w:rPr/>
        <w:t>公司所有者的净利润</w:t>
      </w:r>
      <w:r>
        <w:rPr>
          <w:spacing w:val="-60"/>
        </w:rPr>
        <w:t> </w:t>
      </w:r>
      <w:r>
        <w:rPr>
          <w:rFonts w:ascii="宋体" w:hAnsi="宋体" w:cs="宋体" w:eastAsia="宋体" w:hint="default"/>
        </w:rPr>
        <w:t>5,177.02</w:t>
      </w:r>
      <w:r>
        <w:rPr>
          <w:rFonts w:ascii="宋体" w:hAnsi="宋体" w:cs="宋体" w:eastAsia="宋体" w:hint="default"/>
          <w:spacing w:val="-59"/>
        </w:rPr>
        <w:t> </w:t>
      </w:r>
      <w:r>
        <w:rPr>
          <w:spacing w:val="-6"/>
        </w:rPr>
        <w:t>万元，同比下降</w:t>
      </w:r>
      <w:r>
        <w:rPr>
          <w:spacing w:val="-59"/>
        </w:rPr>
        <w:t> </w:t>
      </w:r>
      <w:r>
        <w:rPr>
          <w:rFonts w:ascii="宋体" w:hAnsi="宋体" w:cs="宋体" w:eastAsia="宋体" w:hint="default"/>
          <w:spacing w:val="-3"/>
        </w:rPr>
        <w:t>45.58%</w:t>
      </w:r>
      <w:r>
        <w:rPr>
          <w:spacing w:val="-3"/>
        </w:rPr>
        <w:t>；基本每股收益</w:t>
      </w:r>
      <w:r>
        <w:rPr>
          <w:spacing w:val="-59"/>
        </w:rPr>
        <w:t> </w:t>
      </w:r>
      <w:r>
        <w:rPr>
          <w:rFonts w:ascii="宋体" w:hAnsi="宋体" w:cs="宋体" w:eastAsia="宋体" w:hint="default"/>
        </w:rPr>
        <w:t>0.0812</w:t>
      </w:r>
      <w:r>
        <w:rPr>
          <w:rFonts w:ascii="宋体" w:hAnsi="宋体" w:cs="宋体" w:eastAsia="宋体" w:hint="default"/>
          <w:spacing w:val="-59"/>
        </w:rPr>
        <w:t> </w:t>
      </w:r>
      <w:r>
        <w:rPr>
          <w:spacing w:val="-12"/>
        </w:rPr>
        <w:t>元，同</w:t>
      </w:r>
      <w:r>
        <w:rPr/>
        <w:t> 比下降</w:t>
      </w:r>
      <w:r>
        <w:rPr>
          <w:spacing w:val="-49"/>
        </w:rPr>
        <w:t> </w:t>
      </w:r>
      <w:r>
        <w:rPr>
          <w:rFonts w:ascii="宋体" w:hAnsi="宋体" w:cs="宋体" w:eastAsia="宋体" w:hint="default"/>
        </w:rPr>
        <w:t>46%</w:t>
      </w:r>
      <w:r>
        <w:rPr/>
        <w:t>。归属于母公司净利润下降的主要原因是资产减值计提增加、非经常性损 益减少、加大自主产品投入导致期间费用增加。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60" w:right="1440"/>
        </w:sectPr>
      </w:pPr>
    </w:p>
    <w:p>
      <w:pPr>
        <w:pStyle w:val="Heading2"/>
        <w:spacing w:line="240" w:lineRule="auto" w:before="1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主营业务分析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6"/>
        <w:rPr>
          <w:rFonts w:ascii="宋体" w:hAnsi="宋体" w:cs="宋体" w:eastAsia="宋体" w:hint="default"/>
          <w:b/>
          <w:bCs/>
          <w:sz w:val="19"/>
          <w:szCs w:val="19"/>
        </w:rPr>
      </w:pPr>
    </w:p>
    <w:p>
      <w:pPr>
        <w:pStyle w:val="Heading2"/>
        <w:spacing w:line="240" w:lineRule="auto" w:before="0"/>
        <w:ind w:right="0"/>
        <w:jc w:val="left"/>
        <w:rPr>
          <w:b w:val="0"/>
          <w:bCs w:val="0"/>
        </w:rPr>
      </w:pPr>
      <w:r>
        <w:rPr/>
        <w:t>利润表及现金流量表相关科目变动分析表</w:t>
      </w:r>
      <w:r>
        <w:rPr>
          <w:b w:val="0"/>
          <w:bCs w:val="0"/>
        </w:rPr>
      </w:r>
    </w:p>
    <w:p>
      <w:pPr>
        <w:pStyle w:val="BodyText"/>
        <w:tabs>
          <w:tab w:pos="5299" w:val="left" w:leader="none"/>
        </w:tabs>
        <w:spacing w:line="240" w:lineRule="auto" w:before="55"/>
        <w:ind w:left="4219"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440"/>
          <w:cols w:num="2" w:equalWidth="0">
            <w:col w:w="2085" w:space="347"/>
            <w:col w:w="6978"/>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1"/>
        <w:gridCol w:w="1944"/>
        <w:gridCol w:w="1944"/>
        <w:gridCol w:w="1851"/>
      </w:tblGrid>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4,792,983,046.38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4,278,544,505.57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12.02</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3,977,442,409.30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3,475,786,730.14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14.43</w:t>
            </w:r>
          </w:p>
        </w:tc>
      </w:tr>
      <w:tr>
        <w:trPr>
          <w:trHeight w:val="28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357,416,373.20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378,579,185.90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-5.59</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300,578,790.06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257,756,262.81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16.61</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71,755,993.33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70,582,040.47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331,723,701.58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276,488,016.32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19.98</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-358,179,794.11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-487,670,567.74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26.55</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-134,752,312.64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592,252,323.52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-122.75</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181,195,307.97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93,855,478.01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93.06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ind w:right="100"/>
        <w:jc w:val="left"/>
        <w:rPr>
          <w:b w:val="0"/>
          <w:bCs w:val="0"/>
        </w:rPr>
      </w:pPr>
      <w:r>
        <w:rPr>
          <w:rFonts w:ascii="宋体" w:hAnsi="宋体" w:cs="宋体" w:eastAsia="宋体" w:hint="default"/>
        </w:rPr>
        <w:t>1.</w:t>
      </w:r>
      <w:r>
        <w:rPr>
          <w:rFonts w:ascii="宋体" w:hAnsi="宋体" w:cs="宋体" w:eastAsia="宋体" w:hint="default"/>
          <w:spacing w:val="55"/>
        </w:rPr>
        <w:t> </w:t>
      </w:r>
      <w:r>
        <w:rPr/>
        <w:t>收入和成本分析</w:t>
      </w:r>
      <w:r>
        <w:rPr>
          <w:b w:val="0"/>
          <w:bCs w:val="0"/>
        </w:rPr>
      </w:r>
    </w:p>
    <w:p>
      <w:pPr>
        <w:spacing w:before="58"/>
        <w:ind w:left="217" w:right="100"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b/>
          <w:bCs/>
          <w:sz w:val="24"/>
          <w:szCs w:val="24"/>
        </w:rPr>
        <w:t>收入分析</w:t>
      </w:r>
      <w:r>
        <w:rPr>
          <w:rFonts w:ascii="宋体" w:hAnsi="宋体" w:cs="宋体" w:eastAsia="宋体" w:hint="default"/>
          <w:sz w:val="24"/>
          <w:szCs w:val="24"/>
        </w:rPr>
      </w:r>
    </w:p>
    <w:p>
      <w:pPr>
        <w:pStyle w:val="BodyText"/>
        <w:spacing w:line="310" w:lineRule="exact" w:before="151"/>
        <w:ind w:left="217" w:right="338" w:firstLine="480"/>
        <w:jc w:val="left"/>
      </w:pPr>
      <w:r>
        <w:rPr>
          <w:rFonts w:ascii="宋体" w:hAnsi="宋体" w:cs="宋体" w:eastAsia="宋体" w:hint="default"/>
        </w:rPr>
        <w:t>2015</w:t>
      </w:r>
      <w:r>
        <w:rPr>
          <w:rFonts w:ascii="宋体" w:hAnsi="宋体" w:cs="宋体" w:eastAsia="宋体" w:hint="default"/>
          <w:spacing w:val="-66"/>
        </w:rPr>
        <w:t> </w:t>
      </w:r>
      <w:r>
        <w:rPr/>
        <w:t>年公司实现营业收入</w:t>
      </w:r>
      <w:r>
        <w:rPr>
          <w:spacing w:val="-65"/>
        </w:rPr>
        <w:t> </w:t>
      </w:r>
      <w:r>
        <w:rPr>
          <w:rFonts w:ascii="宋体" w:hAnsi="宋体" w:cs="宋体" w:eastAsia="宋体" w:hint="default"/>
        </w:rPr>
        <w:t>479,298.30</w:t>
      </w:r>
      <w:r>
        <w:rPr>
          <w:rFonts w:ascii="宋体" w:hAnsi="宋体" w:cs="宋体" w:eastAsia="宋体" w:hint="default"/>
          <w:spacing w:val="-65"/>
        </w:rPr>
        <w:t> </w:t>
      </w:r>
      <w:r>
        <w:rPr>
          <w:spacing w:val="-4"/>
        </w:rPr>
        <w:t>万元，同比增长</w:t>
      </w:r>
      <w:r>
        <w:rPr>
          <w:spacing w:val="-65"/>
        </w:rPr>
        <w:t> </w:t>
      </w:r>
      <w:r>
        <w:rPr>
          <w:rFonts w:ascii="宋体" w:hAnsi="宋体" w:cs="宋体" w:eastAsia="宋体" w:hint="default"/>
        </w:rPr>
        <w:t>12.02%</w:t>
      </w:r>
      <w:r>
        <w:rPr/>
        <w:t>。公司主营业务收 </w:t>
      </w:r>
      <w:r>
        <w:rPr>
          <w:spacing w:val="-2"/>
        </w:rPr>
        <w:t>入主要由系统产品及系统集成服务收入、软件及软件开发收入、专业服务收入、金融</w:t>
      </w:r>
    </w:p>
    <w:p>
      <w:pPr>
        <w:pStyle w:val="BodyText"/>
        <w:spacing w:line="283" w:lineRule="exact"/>
        <w:ind w:left="217" w:right="100"/>
        <w:jc w:val="left"/>
      </w:pPr>
      <w:r>
        <w:rPr/>
        <w:t>服务类收入构成，营业收入增长主要来自系统集成业务和金融服务业务增长。其中，</w:t>
      </w:r>
    </w:p>
    <w:p>
      <w:pPr>
        <w:pStyle w:val="BodyText"/>
        <w:spacing w:line="310" w:lineRule="exact" w:before="31"/>
        <w:ind w:left="217" w:right="340"/>
        <w:jc w:val="left"/>
      </w:pPr>
      <w:r>
        <w:rPr>
          <w:spacing w:val="2"/>
        </w:rPr>
        <w:t>系统产品及系统集成服务收入为 </w:t>
      </w:r>
      <w:r>
        <w:rPr>
          <w:rFonts w:ascii="宋体" w:hAnsi="宋体" w:cs="宋体" w:eastAsia="宋体" w:hint="default"/>
        </w:rPr>
        <w:t>259,771.57 </w:t>
      </w:r>
      <w:r>
        <w:rPr/>
        <w:t>万元</w:t>
      </w:r>
      <w:r>
        <w:rPr>
          <w:rFonts w:ascii="宋体" w:hAnsi="宋体" w:cs="宋体" w:eastAsia="宋体" w:hint="default"/>
        </w:rPr>
        <w:t>, </w:t>
      </w:r>
      <w:r>
        <w:rPr/>
        <w:t>同比增长</w:t>
      </w:r>
      <w:r>
        <w:rPr>
          <w:spacing w:val="30"/>
        </w:rPr>
        <w:t> </w:t>
      </w:r>
      <w:r>
        <w:rPr>
          <w:rFonts w:ascii="宋体" w:hAnsi="宋体" w:cs="宋体" w:eastAsia="宋体" w:hint="default"/>
        </w:rPr>
        <w:t>10.19%</w:t>
      </w:r>
      <w:r>
        <w:rPr/>
        <w:t>，占总收入的 </w:t>
      </w:r>
      <w:r>
        <w:rPr>
          <w:rFonts w:ascii="宋体" w:hAnsi="宋体" w:cs="宋体" w:eastAsia="宋体" w:hint="default"/>
          <w:spacing w:val="-3"/>
        </w:rPr>
        <w:t>54.35%</w:t>
      </w:r>
      <w:r>
        <w:rPr>
          <w:spacing w:val="-3"/>
        </w:rPr>
        <w:t>；软件及软件开发收入为</w:t>
      </w:r>
      <w:r>
        <w:rPr>
          <w:spacing w:val="-52"/>
        </w:rPr>
        <w:t> </w:t>
      </w:r>
      <w:r>
        <w:rPr>
          <w:rFonts w:ascii="宋体" w:hAnsi="宋体" w:cs="宋体" w:eastAsia="宋体" w:hint="default"/>
        </w:rPr>
        <w:t>55,965.68</w:t>
      </w:r>
      <w:r>
        <w:rPr>
          <w:rFonts w:ascii="宋体" w:hAnsi="宋体" w:cs="宋体" w:eastAsia="宋体" w:hint="default"/>
          <w:spacing w:val="-52"/>
        </w:rPr>
        <w:t> </w:t>
      </w:r>
      <w:r>
        <w:rPr>
          <w:spacing w:val="-6"/>
        </w:rPr>
        <w:t>万元，同比减少</w:t>
      </w:r>
      <w:r>
        <w:rPr>
          <w:spacing w:val="-52"/>
        </w:rPr>
        <w:t> </w:t>
      </w:r>
      <w:r>
        <w:rPr>
          <w:rFonts w:ascii="宋体" w:hAnsi="宋体" w:cs="宋体" w:eastAsia="宋体" w:hint="default"/>
          <w:spacing w:val="-3"/>
        </w:rPr>
        <w:t>13.77%</w:t>
      </w:r>
      <w:r>
        <w:rPr>
          <w:spacing w:val="-3"/>
        </w:rPr>
        <w:t>；专业服务收入为</w:t>
      </w:r>
    </w:p>
    <w:p>
      <w:pPr>
        <w:pStyle w:val="BodyText"/>
        <w:spacing w:line="312" w:lineRule="exact"/>
        <w:ind w:left="217" w:right="100"/>
        <w:jc w:val="left"/>
      </w:pPr>
      <w:r>
        <w:rPr>
          <w:rFonts w:ascii="宋体" w:hAnsi="宋体" w:cs="宋体" w:eastAsia="宋体" w:hint="default"/>
        </w:rPr>
        <w:t>133,290.20 </w:t>
      </w:r>
      <w:r>
        <w:rPr/>
        <w:t>万元，同比增长</w:t>
      </w:r>
      <w:r>
        <w:rPr>
          <w:spacing w:val="-49"/>
        </w:rPr>
        <w:t> </w:t>
      </w:r>
      <w:r>
        <w:rPr>
          <w:rFonts w:ascii="宋体" w:hAnsi="宋体" w:cs="宋体" w:eastAsia="宋体" w:hint="default"/>
        </w:rPr>
        <w:t>16.27%</w:t>
      </w:r>
      <w:r>
        <w:rPr/>
        <w:t>；软件和专业服务收入占公司主营业务收入的比 重为</w:t>
      </w:r>
      <w:r>
        <w:rPr>
          <w:spacing w:val="-73"/>
        </w:rPr>
        <w:t> </w:t>
      </w:r>
      <w:r>
        <w:rPr>
          <w:rFonts w:ascii="宋体" w:hAnsi="宋体" w:cs="宋体" w:eastAsia="宋体" w:hint="default"/>
        </w:rPr>
        <w:t>39.60%</w:t>
      </w:r>
      <w:r>
        <w:rPr/>
        <w:t>，同比下降</w:t>
      </w:r>
      <w:r>
        <w:rPr>
          <w:spacing w:val="-73"/>
        </w:rPr>
        <w:t> </w:t>
      </w:r>
      <w:r>
        <w:rPr>
          <w:rFonts w:ascii="宋体" w:hAnsi="宋体" w:cs="宋体" w:eastAsia="宋体" w:hint="default"/>
        </w:rPr>
        <w:t>2.49</w:t>
      </w:r>
      <w:r>
        <w:rPr>
          <w:rFonts w:ascii="宋体" w:hAnsi="宋体" w:cs="宋体" w:eastAsia="宋体" w:hint="default"/>
          <w:spacing w:val="-73"/>
        </w:rPr>
        <w:t> </w:t>
      </w:r>
      <w:r>
        <w:rPr/>
        <w:t>个百分点，对公司的毛利贡献比例达到</w:t>
      </w:r>
      <w:r>
        <w:rPr>
          <w:spacing w:val="-73"/>
        </w:rPr>
        <w:t> </w:t>
      </w:r>
      <w:r>
        <w:rPr>
          <w:rFonts w:ascii="宋体" w:hAnsi="宋体" w:cs="宋体" w:eastAsia="宋体" w:hint="default"/>
        </w:rPr>
        <w:t>57.72%</w:t>
      </w:r>
      <w:r>
        <w:rPr/>
        <w:t>，同比下</w:t>
      </w:r>
    </w:p>
    <w:p>
      <w:pPr>
        <w:pStyle w:val="BodyText"/>
        <w:spacing w:line="310" w:lineRule="exact" w:before="1"/>
        <w:ind w:left="217" w:right="100"/>
        <w:jc w:val="left"/>
      </w:pPr>
      <w:r>
        <w:rPr/>
        <w:t>降</w:t>
      </w:r>
      <w:r>
        <w:rPr>
          <w:spacing w:val="-60"/>
        </w:rPr>
        <w:t> </w:t>
      </w:r>
      <w:r>
        <w:rPr>
          <w:rFonts w:ascii="宋体" w:hAnsi="宋体" w:cs="宋体" w:eastAsia="宋体" w:hint="default"/>
        </w:rPr>
        <w:t>9.53</w:t>
      </w:r>
      <w:r>
        <w:rPr>
          <w:rFonts w:ascii="宋体" w:hAnsi="宋体" w:cs="宋体" w:eastAsia="宋体" w:hint="default"/>
          <w:spacing w:val="-61"/>
        </w:rPr>
        <w:t> </w:t>
      </w:r>
      <w:r>
        <w:rPr>
          <w:spacing w:val="-3"/>
        </w:rPr>
        <w:t>个百分点；金融服务类收入</w:t>
      </w:r>
      <w:r>
        <w:rPr>
          <w:spacing w:val="-60"/>
        </w:rPr>
        <w:t> </w:t>
      </w:r>
      <w:r>
        <w:rPr>
          <w:rFonts w:ascii="宋体" w:hAnsi="宋体" w:cs="宋体" w:eastAsia="宋体" w:hint="default"/>
        </w:rPr>
        <w:t>28,897.74</w:t>
      </w:r>
      <w:r>
        <w:rPr>
          <w:rFonts w:ascii="宋体" w:hAnsi="宋体" w:cs="宋体" w:eastAsia="宋体" w:hint="default"/>
          <w:spacing w:val="-60"/>
        </w:rPr>
        <w:t> </w:t>
      </w:r>
      <w:r>
        <w:rPr>
          <w:spacing w:val="-4"/>
        </w:rPr>
        <w:t>万元，同比快速增长</w:t>
      </w:r>
      <w:r>
        <w:rPr>
          <w:spacing w:val="-60"/>
        </w:rPr>
        <w:t> </w:t>
      </w:r>
      <w:r>
        <w:rPr>
          <w:rFonts w:ascii="宋体" w:hAnsi="宋体" w:cs="宋体" w:eastAsia="宋体" w:hint="default"/>
          <w:spacing w:val="-4"/>
        </w:rPr>
        <w:t>155.55%</w:t>
      </w:r>
      <w:r>
        <w:rPr>
          <w:spacing w:val="-4"/>
        </w:rPr>
        <w:t>，金融服</w:t>
      </w:r>
      <w:r>
        <w:rPr>
          <w:spacing w:val="-117"/>
        </w:rPr>
        <w:t> </w:t>
      </w:r>
      <w:r>
        <w:rPr>
          <w:spacing w:val="-117"/>
        </w:rPr>
      </w:r>
      <w:r>
        <w:rPr>
          <w:spacing w:val="-2"/>
        </w:rPr>
        <w:t>务业务是公司快速发展的新业务，业务规模和占营业收入贡献比重处于持续上升趋势。</w:t>
      </w:r>
    </w:p>
    <w:p>
      <w:pPr>
        <w:pStyle w:val="BodyText"/>
        <w:spacing w:line="237" w:lineRule="auto" w:before="92"/>
        <w:ind w:left="217" w:right="100" w:firstLine="480"/>
        <w:jc w:val="left"/>
      </w:pPr>
      <w:r>
        <w:rPr>
          <w:spacing w:val="-11"/>
        </w:rPr>
        <w:t>按照地域划分，</w:t>
      </w:r>
      <w:r>
        <w:rPr>
          <w:rFonts w:ascii="宋体" w:hAnsi="宋体" w:cs="宋体" w:eastAsia="宋体" w:hint="default"/>
          <w:spacing w:val="-11"/>
        </w:rPr>
        <w:t>2015</w:t>
      </w:r>
      <w:r>
        <w:rPr>
          <w:rFonts w:ascii="宋体" w:hAnsi="宋体" w:cs="宋体" w:eastAsia="宋体" w:hint="default"/>
          <w:spacing w:val="-71"/>
        </w:rPr>
        <w:t> </w:t>
      </w:r>
      <w:r>
        <w:rPr/>
        <w:t>年公司北方地区的营收为</w:t>
      </w:r>
      <w:r>
        <w:rPr>
          <w:spacing w:val="-71"/>
        </w:rPr>
        <w:t> </w:t>
      </w:r>
      <w:r>
        <w:rPr>
          <w:rFonts w:ascii="宋体" w:hAnsi="宋体" w:cs="宋体" w:eastAsia="宋体" w:hint="default"/>
        </w:rPr>
        <w:t>247,530.50</w:t>
      </w:r>
      <w:r>
        <w:rPr>
          <w:rFonts w:ascii="宋体" w:hAnsi="宋体" w:cs="宋体" w:eastAsia="宋体" w:hint="default"/>
          <w:spacing w:val="-71"/>
        </w:rPr>
        <w:t> </w:t>
      </w:r>
      <w:r>
        <w:rPr>
          <w:spacing w:val="-18"/>
        </w:rPr>
        <w:t>万元，同比增长</w:t>
      </w:r>
      <w:r>
        <w:rPr>
          <w:spacing w:val="-71"/>
        </w:rPr>
        <w:t> </w:t>
      </w:r>
      <w:r>
        <w:rPr>
          <w:rFonts w:ascii="宋体" w:hAnsi="宋体" w:cs="宋体" w:eastAsia="宋体" w:hint="default"/>
        </w:rPr>
        <w:t>17.23%</w:t>
      </w:r>
      <w:r>
        <w:rPr/>
        <w:t>； 华东地区的营收为 </w:t>
      </w:r>
      <w:r>
        <w:rPr>
          <w:rFonts w:ascii="宋体" w:hAnsi="宋体" w:cs="宋体" w:eastAsia="宋体" w:hint="default"/>
        </w:rPr>
        <w:t>34,189.18 </w:t>
      </w:r>
      <w:r>
        <w:rPr/>
        <w:t>万元，同比大幅上升</w:t>
      </w:r>
      <w:r>
        <w:rPr>
          <w:spacing w:val="-50"/>
        </w:rPr>
        <w:t> </w:t>
      </w:r>
      <w:r>
        <w:rPr>
          <w:rFonts w:ascii="宋体" w:hAnsi="宋体" w:cs="宋体" w:eastAsia="宋体" w:hint="default"/>
        </w:rPr>
        <w:t>35.97%</w:t>
      </w:r>
      <w:r>
        <w:rPr/>
        <w:t>；来自华南地区的营收为 </w:t>
      </w:r>
      <w:r>
        <w:rPr>
          <w:rFonts w:ascii="宋体" w:hAnsi="宋体" w:cs="宋体" w:eastAsia="宋体" w:hint="default"/>
        </w:rPr>
        <w:t>25,658.11 </w:t>
      </w:r>
      <w:r>
        <w:rPr/>
        <w:t>万元，同比增长 </w:t>
      </w:r>
      <w:r>
        <w:rPr>
          <w:rFonts w:ascii="宋体" w:hAnsi="宋体" w:cs="宋体" w:eastAsia="宋体" w:hint="default"/>
        </w:rPr>
        <w:t>14.97%</w:t>
      </w:r>
      <w:r>
        <w:rPr/>
        <w:t>；来自西区的营收为 </w:t>
      </w:r>
      <w:r>
        <w:rPr>
          <w:rFonts w:ascii="宋体" w:hAnsi="宋体" w:cs="宋体" w:eastAsia="宋体" w:hint="default"/>
        </w:rPr>
        <w:t>49,530.63</w:t>
      </w:r>
      <w:r>
        <w:rPr>
          <w:rFonts w:ascii="宋体" w:hAnsi="宋体" w:cs="宋体" w:eastAsia="宋体" w:hint="default"/>
          <w:spacing w:val="-49"/>
        </w:rPr>
        <w:t> </w:t>
      </w:r>
      <w:r>
        <w:rPr/>
        <w:t>万元，同比下降</w:t>
      </w:r>
    </w:p>
    <w:p>
      <w:pPr>
        <w:spacing w:after="0" w:line="237" w:lineRule="auto"/>
        <w:jc w:val="left"/>
        <w:sectPr>
          <w:type w:val="continuous"/>
          <w:pgSz w:w="11910" w:h="16840"/>
          <w:pgMar w:top="1120" w:bottom="1380" w:left="1060" w:right="1440"/>
        </w:sectPr>
      </w:pPr>
    </w:p>
    <w:p>
      <w:pPr>
        <w:spacing w:line="240" w:lineRule="auto" w:before="2"/>
        <w:rPr>
          <w:rFonts w:ascii="宋体" w:hAnsi="宋体" w:cs="宋体" w:eastAsia="宋体" w:hint="default"/>
          <w:sz w:val="19"/>
          <w:szCs w:val="19"/>
        </w:rPr>
      </w:pPr>
    </w:p>
    <w:p>
      <w:pPr>
        <w:pStyle w:val="BodyText"/>
        <w:spacing w:line="237" w:lineRule="auto" w:before="28"/>
        <w:ind w:left="797" w:right="771"/>
        <w:jc w:val="both"/>
      </w:pPr>
      <w:r>
        <w:rPr>
          <w:rFonts w:ascii="宋体" w:hAnsi="宋体" w:cs="宋体" w:eastAsia="宋体" w:hint="default"/>
        </w:rPr>
        <w:t>10.59%;</w:t>
      </w:r>
      <w:r>
        <w:rPr/>
        <w:t>来自港澳台及东南亚地区的收入为</w:t>
      </w:r>
      <w:r>
        <w:rPr>
          <w:spacing w:val="-56"/>
        </w:rPr>
        <w:t> </w:t>
      </w:r>
      <w:r>
        <w:rPr>
          <w:rFonts w:ascii="宋体" w:hAnsi="宋体" w:cs="宋体" w:eastAsia="宋体" w:hint="default"/>
        </w:rPr>
        <w:t>121,016.78</w:t>
      </w:r>
      <w:r>
        <w:rPr>
          <w:rFonts w:ascii="宋体" w:hAnsi="宋体" w:cs="宋体" w:eastAsia="宋体" w:hint="default"/>
          <w:spacing w:val="-56"/>
        </w:rPr>
        <w:t> </w:t>
      </w:r>
      <w:r>
        <w:rPr/>
        <w:t>万元，同比上升</w:t>
      </w:r>
      <w:r>
        <w:rPr>
          <w:spacing w:val="-57"/>
        </w:rPr>
        <w:t> </w:t>
      </w:r>
      <w:r>
        <w:rPr>
          <w:rFonts w:ascii="宋体" w:hAnsi="宋体" w:cs="宋体" w:eastAsia="宋体" w:hint="default"/>
        </w:rPr>
        <w:t>7.49%</w:t>
      </w:r>
      <w:r>
        <w:rPr/>
        <w:t>。</w:t>
      </w:r>
      <w:r>
        <w:rPr>
          <w:rFonts w:ascii="宋体" w:hAnsi="宋体" w:cs="宋体" w:eastAsia="宋体" w:hint="default"/>
        </w:rPr>
        <w:t>2015 </w:t>
      </w:r>
      <w:r>
        <w:rPr>
          <w:spacing w:val="-2"/>
        </w:rPr>
        <w:t>年主营业务收入除西区出现下滑外，北方、华东、华南、港澳台及东南亚地区业务均</w:t>
      </w:r>
      <w:r>
        <w:rPr>
          <w:spacing w:val="-93"/>
        </w:rPr>
        <w:t> </w:t>
      </w:r>
      <w:r>
        <w:rPr>
          <w:spacing w:val="-93"/>
        </w:rPr>
      </w:r>
      <w:r>
        <w:rPr/>
        <w:t>呈现增长趋势。</w:t>
      </w:r>
    </w:p>
    <w:p>
      <w:pPr>
        <w:spacing w:before="118"/>
        <w:ind w:left="797" w:right="0" w:firstLine="0"/>
        <w:jc w:val="both"/>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b/>
          <w:bCs/>
          <w:sz w:val="24"/>
          <w:szCs w:val="24"/>
        </w:rPr>
        <w:t>毛利分析</w:t>
      </w:r>
      <w:r>
        <w:rPr>
          <w:rFonts w:ascii="宋体" w:hAnsi="宋体" w:cs="宋体" w:eastAsia="宋体" w:hint="default"/>
          <w:sz w:val="24"/>
          <w:szCs w:val="24"/>
        </w:rPr>
      </w:r>
    </w:p>
    <w:p>
      <w:pPr>
        <w:pStyle w:val="BodyText"/>
        <w:spacing w:line="237" w:lineRule="auto" w:before="120"/>
        <w:ind w:left="797" w:right="636" w:firstLine="480"/>
        <w:jc w:val="left"/>
      </w:pPr>
      <w:r>
        <w:rPr>
          <w:rFonts w:ascii="宋体" w:hAnsi="宋体" w:cs="宋体" w:eastAsia="宋体" w:hint="default"/>
        </w:rPr>
        <w:t>2015</w:t>
      </w:r>
      <w:r>
        <w:rPr>
          <w:rFonts w:ascii="宋体" w:hAnsi="宋体" w:cs="宋体" w:eastAsia="宋体" w:hint="default"/>
          <w:spacing w:val="-58"/>
        </w:rPr>
        <w:t> </w:t>
      </w:r>
      <w:r>
        <w:rPr/>
        <w:t>年度</w:t>
      </w:r>
      <w:r>
        <w:rPr>
          <w:rFonts w:ascii="宋体" w:hAnsi="宋体" w:cs="宋体" w:eastAsia="宋体" w:hint="default"/>
        </w:rPr>
        <w:t>,</w:t>
      </w:r>
      <w:r>
        <w:rPr/>
        <w:t>公司产品综合毛利率为</w:t>
      </w:r>
      <w:r>
        <w:rPr>
          <w:spacing w:val="-57"/>
        </w:rPr>
        <w:t> </w:t>
      </w:r>
      <w:r>
        <w:rPr>
          <w:rFonts w:ascii="宋体" w:hAnsi="宋体" w:cs="宋体" w:eastAsia="宋体" w:hint="default"/>
        </w:rPr>
        <w:t>17.02%</w:t>
      </w:r>
      <w:r>
        <w:rPr/>
        <w:t>，比去年同期的</w:t>
      </w:r>
      <w:r>
        <w:rPr>
          <w:spacing w:val="-58"/>
        </w:rPr>
        <w:t> </w:t>
      </w:r>
      <w:r>
        <w:rPr>
          <w:rFonts w:ascii="宋体" w:hAnsi="宋体" w:cs="宋体" w:eastAsia="宋体" w:hint="default"/>
        </w:rPr>
        <w:t>18.76%</w:t>
      </w:r>
      <w:r>
        <w:rPr/>
        <w:t>下降</w:t>
      </w:r>
      <w:r>
        <w:rPr>
          <w:spacing w:val="-57"/>
        </w:rPr>
        <w:t> </w:t>
      </w:r>
      <w:r>
        <w:rPr>
          <w:rFonts w:ascii="宋体" w:hAnsi="宋体" w:cs="宋体" w:eastAsia="宋体" w:hint="default"/>
        </w:rPr>
        <w:t>1.74</w:t>
      </w:r>
      <w:r>
        <w:rPr>
          <w:rFonts w:ascii="宋体" w:hAnsi="宋体" w:cs="宋体" w:eastAsia="宋体" w:hint="default"/>
          <w:spacing w:val="-58"/>
        </w:rPr>
        <w:t> </w:t>
      </w:r>
      <w:r>
        <w:rPr/>
        <w:t>个百 分点，毛利率下滑主要是专业服务、软件开发业务盈利水平降低及金融服务业务快速 </w:t>
      </w:r>
      <w:r>
        <w:rPr>
          <w:spacing w:val="-3"/>
        </w:rPr>
        <w:t>增长带来的产品结构调整所致。其中，系统产品及系统集成服务毛利率为</w:t>
      </w:r>
      <w:r>
        <w:rPr>
          <w:spacing w:val="-53"/>
        </w:rPr>
        <w:t> </w:t>
      </w:r>
      <w:r>
        <w:rPr>
          <w:rFonts w:ascii="宋体" w:hAnsi="宋体" w:cs="宋体" w:eastAsia="宋体" w:hint="default"/>
          <w:spacing w:val="-9"/>
        </w:rPr>
        <w:t>11.79%</w:t>
      </w:r>
      <w:r>
        <w:rPr>
          <w:spacing w:val="-9"/>
        </w:rPr>
        <w:t>，比</w:t>
      </w:r>
      <w:r>
        <w:rPr>
          <w:spacing w:val="-103"/>
        </w:rPr>
        <w:t> </w:t>
      </w:r>
      <w:r>
        <w:rPr/>
        <w:t>去年同期</w:t>
      </w:r>
      <w:r>
        <w:rPr>
          <w:spacing w:val="-56"/>
        </w:rPr>
        <w:t> </w:t>
      </w:r>
      <w:r>
        <w:rPr>
          <w:rFonts w:ascii="宋体" w:hAnsi="宋体" w:cs="宋体" w:eastAsia="宋体" w:hint="default"/>
        </w:rPr>
        <w:t>8.86%</w:t>
      </w:r>
      <w:r>
        <w:rPr/>
        <w:t>上升</w:t>
      </w:r>
      <w:r>
        <w:rPr>
          <w:spacing w:val="-56"/>
        </w:rPr>
        <w:t> </w:t>
      </w:r>
      <w:r>
        <w:rPr>
          <w:rFonts w:ascii="宋体" w:hAnsi="宋体" w:cs="宋体" w:eastAsia="宋体" w:hint="default"/>
        </w:rPr>
        <w:t>2.93</w:t>
      </w:r>
      <w:r>
        <w:rPr>
          <w:rFonts w:ascii="宋体" w:hAnsi="宋体" w:cs="宋体" w:eastAsia="宋体" w:hint="default"/>
          <w:spacing w:val="-55"/>
        </w:rPr>
        <w:t> </w:t>
      </w:r>
      <w:r>
        <w:rPr/>
        <w:t>个百分点，公司一方面通过推行面向最终客户销售的政策， 提升系统产品的毛利水平；另一方面通过调整内部销售产品结构，重点推广毛利较高 的产品使得系统产品毛利水平有所提升。专业服务业务的毛利率为</w:t>
      </w:r>
      <w:r>
        <w:rPr>
          <w:spacing w:val="-77"/>
        </w:rPr>
        <w:t> </w:t>
      </w:r>
      <w:r>
        <w:rPr>
          <w:rFonts w:ascii="宋体" w:hAnsi="宋体" w:cs="宋体" w:eastAsia="宋体" w:hint="default"/>
          <w:spacing w:val="-5"/>
        </w:rPr>
        <w:t>26.19%</w:t>
      </w:r>
      <w:r>
        <w:rPr>
          <w:spacing w:val="-5"/>
        </w:rPr>
        <w:t>，与去年同</w:t>
      </w:r>
      <w:r>
        <w:rPr/>
        <w:t> 期 </w:t>
      </w:r>
      <w:r>
        <w:rPr>
          <w:rFonts w:ascii="宋体" w:hAnsi="宋体" w:cs="宋体" w:eastAsia="宋体" w:hint="default"/>
        </w:rPr>
        <w:t>30.84%</w:t>
      </w:r>
      <w:r>
        <w:rPr/>
        <w:t>下降 </w:t>
      </w:r>
      <w:r>
        <w:rPr>
          <w:rFonts w:ascii="宋体" w:hAnsi="宋体" w:cs="宋体" w:eastAsia="宋体" w:hint="default"/>
        </w:rPr>
        <w:t>4.65 </w:t>
      </w:r>
      <w:r>
        <w:rPr/>
        <w:t>个百分点，软件及软件开发的毛利率为</w:t>
      </w:r>
      <w:r>
        <w:rPr>
          <w:spacing w:val="-48"/>
        </w:rPr>
        <w:t> </w:t>
      </w:r>
      <w:r>
        <w:rPr>
          <w:rFonts w:ascii="宋体" w:hAnsi="宋体" w:cs="宋体" w:eastAsia="宋体" w:hint="default"/>
        </w:rPr>
        <w:t>20.41%</w:t>
      </w:r>
      <w:r>
        <w:rPr/>
        <w:t>，相比上年同期 </w:t>
      </w:r>
      <w:r>
        <w:rPr>
          <w:rFonts w:ascii="宋体" w:hAnsi="宋体" w:cs="宋体" w:eastAsia="宋体" w:hint="default"/>
        </w:rPr>
        <w:t>27.61%</w:t>
      </w:r>
      <w:r>
        <w:rPr/>
        <w:t>下降 </w:t>
      </w:r>
      <w:r>
        <w:rPr>
          <w:rFonts w:ascii="宋体" w:hAnsi="宋体" w:cs="宋体" w:eastAsia="宋体" w:hint="default"/>
        </w:rPr>
        <w:t>7.20</w:t>
      </w:r>
      <w:r>
        <w:rPr>
          <w:rFonts w:ascii="宋体" w:hAnsi="宋体" w:cs="宋体" w:eastAsia="宋体" w:hint="default"/>
          <w:spacing w:val="-49"/>
        </w:rPr>
        <w:t> </w:t>
      </w:r>
      <w:r>
        <w:rPr/>
        <w:t>个百分点，在市场竞争日趋激烈的外部环境下，国家政策导向及行 业采购政策变化，导致专业及软件开发服务业务毛利率有所下滑。</w:t>
      </w:r>
    </w:p>
    <w:p>
      <w:pPr>
        <w:spacing w:before="118"/>
        <w:ind w:left="797" w:right="0" w:firstLine="0"/>
        <w:jc w:val="both"/>
        <w:rPr>
          <w:rFonts w:ascii="宋体" w:hAnsi="宋体" w:cs="宋体" w:eastAsia="宋体" w:hint="default"/>
          <w:sz w:val="24"/>
          <w:szCs w:val="24"/>
        </w:rPr>
      </w:pPr>
      <w:r>
        <w:rPr>
          <w:rFonts w:ascii="宋体" w:hAnsi="宋体" w:cs="宋体" w:eastAsia="宋体" w:hint="default"/>
          <w:sz w:val="24"/>
          <w:szCs w:val="24"/>
        </w:rPr>
        <w:t>③ </w:t>
      </w:r>
      <w:r>
        <w:rPr>
          <w:rFonts w:ascii="宋体" w:hAnsi="宋体" w:cs="宋体" w:eastAsia="宋体" w:hint="default"/>
          <w:b/>
          <w:bCs/>
          <w:sz w:val="24"/>
          <w:szCs w:val="24"/>
        </w:rPr>
        <w:t>订单情况</w:t>
      </w:r>
      <w:r>
        <w:rPr>
          <w:rFonts w:ascii="宋体" w:hAnsi="宋体" w:cs="宋体" w:eastAsia="宋体" w:hint="default"/>
          <w:sz w:val="24"/>
          <w:szCs w:val="24"/>
        </w:rPr>
      </w:r>
    </w:p>
    <w:p>
      <w:pPr>
        <w:pStyle w:val="BodyText"/>
        <w:spacing w:line="328" w:lineRule="auto" w:before="118"/>
        <w:ind w:left="797" w:right="1790" w:firstLine="480"/>
        <w:jc w:val="left"/>
      </w:pPr>
      <w:r>
        <w:rPr>
          <w:rFonts w:ascii="宋体" w:hAnsi="宋体" w:cs="宋体" w:eastAsia="宋体" w:hint="default"/>
        </w:rPr>
        <w:t>2015</w:t>
      </w:r>
      <w:r>
        <w:rPr>
          <w:rFonts w:ascii="宋体" w:hAnsi="宋体" w:cs="宋体" w:eastAsia="宋体" w:hint="default"/>
          <w:spacing w:val="-61"/>
        </w:rPr>
        <w:t> </w:t>
      </w:r>
      <w:r>
        <w:rPr/>
        <w:t>年，全年累计签订合同额</w:t>
      </w:r>
      <w:r>
        <w:rPr>
          <w:spacing w:val="-60"/>
        </w:rPr>
        <w:t> </w:t>
      </w:r>
      <w:r>
        <w:rPr>
          <w:rFonts w:ascii="宋体" w:hAnsi="宋体" w:cs="宋体" w:eastAsia="宋体" w:hint="default"/>
        </w:rPr>
        <w:t>64.83</w:t>
      </w:r>
      <w:r>
        <w:rPr>
          <w:rFonts w:ascii="宋体" w:hAnsi="宋体" w:cs="宋体" w:eastAsia="宋体" w:hint="default"/>
          <w:spacing w:val="-60"/>
        </w:rPr>
        <w:t> </w:t>
      </w:r>
      <w:r>
        <w:rPr/>
        <w:t>亿元人民币，同比增长</w:t>
      </w:r>
      <w:r>
        <w:rPr>
          <w:spacing w:val="-60"/>
        </w:rPr>
        <w:t> </w:t>
      </w:r>
      <w:r>
        <w:rPr>
          <w:rFonts w:ascii="宋体" w:hAnsi="宋体" w:cs="宋体" w:eastAsia="宋体" w:hint="default"/>
        </w:rPr>
        <w:t>10.03%</w:t>
      </w:r>
      <w:r>
        <w:rPr/>
        <w:t>。 最近三年各季度签单情况如下：</w:t>
      </w:r>
    </w:p>
    <w:p>
      <w:pPr>
        <w:pStyle w:val="BodyText"/>
        <w:tabs>
          <w:tab w:pos="8190" w:val="left" w:leader="none"/>
        </w:tabs>
        <w:spacing w:line="240" w:lineRule="auto" w:before="29"/>
        <w:ind w:left="6510" w:right="636"/>
        <w:jc w:val="left"/>
      </w:pPr>
      <w:r>
        <w:rPr/>
        <w:t>单位：百万元</w:t>
        <w:tab/>
        <w:t>币种：人民币</w:t>
      </w:r>
    </w:p>
    <w:p>
      <w:pPr>
        <w:spacing w:line="240" w:lineRule="auto" w:before="12"/>
        <w:rPr>
          <w:rFonts w:ascii="宋体" w:hAnsi="宋体" w:cs="宋体" w:eastAsia="宋体" w:hint="default"/>
          <w:sz w:val="2"/>
          <w:szCs w:val="2"/>
        </w:rPr>
      </w:pPr>
    </w:p>
    <w:tbl>
      <w:tblPr>
        <w:tblW w:w="0" w:type="auto"/>
        <w:jc w:val="left"/>
        <w:tblInd w:w="684" w:type="dxa"/>
        <w:tblLayout w:type="fixed"/>
        <w:tblCellMar>
          <w:top w:w="0" w:type="dxa"/>
          <w:left w:w="0" w:type="dxa"/>
          <w:bottom w:w="0" w:type="dxa"/>
          <w:right w:w="0" w:type="dxa"/>
        </w:tblCellMar>
        <w:tblLook w:val="01E0"/>
      </w:tblPr>
      <w:tblGrid>
        <w:gridCol w:w="1272"/>
        <w:gridCol w:w="1522"/>
        <w:gridCol w:w="1524"/>
        <w:gridCol w:w="1524"/>
        <w:gridCol w:w="1524"/>
        <w:gridCol w:w="1419"/>
      </w:tblGrid>
      <w:tr>
        <w:trPr>
          <w:trHeight w:val="3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35"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35"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35" w:right="0"/>
              <w:jc w:val="left"/>
              <w:rPr>
                <w:rFonts w:ascii="宋体" w:hAnsi="宋体" w:cs="宋体" w:eastAsia="宋体" w:hint="default"/>
                <w:sz w:val="21"/>
                <w:szCs w:val="21"/>
              </w:rPr>
            </w:pPr>
            <w:r>
              <w:rPr>
                <w:rFonts w:ascii="宋体" w:hAnsi="宋体" w:cs="宋体" w:eastAsia="宋体" w:hint="default"/>
                <w:sz w:val="21"/>
                <w:szCs w:val="21"/>
              </w:rPr>
              <w:t>第四季度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r>
      <w:tr>
        <w:trPr>
          <w:trHeight w:val="3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6,483</w:t>
            </w:r>
          </w:p>
        </w:tc>
      </w:tr>
      <w:tr>
        <w:trPr>
          <w:trHeight w:val="3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5,892</w:t>
            </w:r>
          </w:p>
        </w:tc>
      </w:tr>
      <w:tr>
        <w:trPr>
          <w:trHeight w:val="37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5,803</w:t>
            </w:r>
          </w:p>
        </w:tc>
      </w:tr>
    </w:tbl>
    <w:p>
      <w:pPr>
        <w:pStyle w:val="Heading2"/>
        <w:spacing w:line="240" w:lineRule="auto" w:before="79"/>
        <w:ind w:left="797" w:right="636"/>
        <w:jc w:val="left"/>
        <w:rPr>
          <w:b w:val="0"/>
          <w:bCs w:val="0"/>
        </w:rPr>
      </w:pPr>
      <w:r>
        <w:rPr/>
        <w:t>④主要销售客户的情况</w:t>
      </w:r>
      <w:r>
        <w:rPr>
          <w:b w:val="0"/>
          <w:bCs w:val="0"/>
        </w:rPr>
      </w:r>
    </w:p>
    <w:p>
      <w:pPr>
        <w:pStyle w:val="BodyText"/>
        <w:spacing w:line="312" w:lineRule="exact" w:before="146"/>
        <w:ind w:left="797" w:right="758" w:firstLine="480"/>
        <w:jc w:val="left"/>
      </w:pPr>
      <w:r>
        <w:rPr/>
        <w:t>报告期内，公司对前五名销售客户销售金额合计</w:t>
      </w:r>
      <w:r>
        <w:rPr>
          <w:spacing w:val="-71"/>
        </w:rPr>
        <w:t> </w:t>
      </w:r>
      <w:r>
        <w:rPr>
          <w:rFonts w:ascii="宋体" w:hAnsi="宋体" w:cs="宋体" w:eastAsia="宋体" w:hint="default"/>
        </w:rPr>
        <w:t>64,676.11</w:t>
      </w:r>
      <w:r>
        <w:rPr>
          <w:rFonts w:ascii="宋体" w:hAnsi="宋体" w:cs="宋体" w:eastAsia="宋体" w:hint="default"/>
          <w:spacing w:val="-71"/>
        </w:rPr>
        <w:t> </w:t>
      </w:r>
      <w:r>
        <w:rPr>
          <w:spacing w:val="-3"/>
        </w:rPr>
        <w:t>万元，占年度销售总</w:t>
      </w:r>
      <w:r>
        <w:rPr/>
        <w:t> 额的</w:t>
      </w:r>
      <w:r>
        <w:rPr>
          <w:spacing w:val="-61"/>
        </w:rPr>
        <w:t> </w:t>
      </w:r>
      <w:r>
        <w:rPr>
          <w:rFonts w:ascii="宋体" w:hAnsi="宋体" w:cs="宋体" w:eastAsia="宋体" w:hint="default"/>
        </w:rPr>
        <w:t>13.49%</w:t>
      </w:r>
      <w:r>
        <w:rPr/>
        <w:t>。</w:t>
      </w:r>
    </w:p>
    <w:p>
      <w:pPr>
        <w:spacing w:line="240" w:lineRule="auto" w:before="0"/>
        <w:rPr>
          <w:rFonts w:ascii="宋体" w:hAnsi="宋体" w:cs="宋体" w:eastAsia="宋体" w:hint="default"/>
          <w:sz w:val="20"/>
          <w:szCs w:val="20"/>
        </w:rPr>
      </w:pPr>
    </w:p>
    <w:p>
      <w:pPr>
        <w:pStyle w:val="Heading2"/>
        <w:spacing w:line="240" w:lineRule="auto" w:before="197"/>
        <w:ind w:left="797" w:right="636"/>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pStyle w:val="BodyText"/>
        <w:tabs>
          <w:tab w:pos="1079" w:val="left" w:leader="none"/>
        </w:tabs>
        <w:spacing w:line="240" w:lineRule="auto" w:before="58"/>
        <w:ind w:left="0" w:right="77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05"/>
        <w:gridCol w:w="2170"/>
        <w:gridCol w:w="2168"/>
        <w:gridCol w:w="917"/>
        <w:gridCol w:w="941"/>
        <w:gridCol w:w="1083"/>
        <w:gridCol w:w="1394"/>
      </w:tblGrid>
      <w:tr>
        <w:trPr>
          <w:trHeight w:val="281" w:hRule="exact"/>
        </w:trPr>
        <w:tc>
          <w:tcPr>
            <w:tcW w:w="10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48" w:right="146"/>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3"/>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5" w:right="110"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系统产品及系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统集成服务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2,597,715,693.66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2,291,434,191.90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11.79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10.19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6.64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2.93</w:t>
            </w:r>
          </w:p>
          <w:p>
            <w:pPr>
              <w:pStyle w:val="TableParagraph"/>
              <w:spacing w:line="273" w:lineRule="exact"/>
              <w:ind w:left="33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软件及软件开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559,656,841.81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445,455,369.62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20.41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-13.77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-5.18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7.21</w:t>
            </w:r>
          </w:p>
          <w:p>
            <w:pPr>
              <w:pStyle w:val="TableParagraph"/>
              <w:spacing w:line="273" w:lineRule="exact"/>
              <w:ind w:left="33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专业服务收入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1,332,902,041.63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983,864,498.86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4.65</w:t>
            </w:r>
          </w:p>
          <w:p>
            <w:pPr>
              <w:pStyle w:val="TableParagraph"/>
              <w:spacing w:line="273"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金融服务类收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288,977,366.39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255,903,233.15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155.55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309.68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33.32</w:t>
            </w:r>
          </w:p>
          <w:p>
            <w:pPr>
              <w:pStyle w:val="TableParagraph"/>
              <w:spacing w:line="273" w:lineRule="exact"/>
              <w:ind w:left="34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4,779,251,943.49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3,976,657,293.53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1.78</w:t>
            </w:r>
          </w:p>
          <w:p>
            <w:pPr>
              <w:pStyle w:val="TableParagraph"/>
              <w:spacing w:line="273"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3" w:lineRule="exact"/>
        <w:jc w:val="left"/>
        <w:rPr>
          <w:rFonts w:ascii="宋体" w:hAnsi="宋体" w:cs="宋体" w:eastAsia="宋体" w:hint="default"/>
          <w:sz w:val="21"/>
          <w:szCs w:val="21"/>
        </w:rPr>
        <w:sectPr>
          <w:pgSz w:w="11910" w:h="16840"/>
          <w:pgMar w:header="880" w:footer="1195" w:top="1120" w:bottom="1380" w:left="480" w:right="1020"/>
        </w:sectPr>
      </w:pPr>
    </w:p>
    <w:p>
      <w:pPr>
        <w:spacing w:line="240" w:lineRule="auto" w:before="3"/>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505"/>
        <w:gridCol w:w="2170"/>
        <w:gridCol w:w="2168"/>
        <w:gridCol w:w="917"/>
        <w:gridCol w:w="941"/>
        <w:gridCol w:w="1083"/>
        <w:gridCol w:w="1394"/>
      </w:tblGrid>
      <w:tr>
        <w:trPr>
          <w:trHeight w:val="284" w:hRule="exact"/>
        </w:trPr>
        <w:tc>
          <w:tcPr>
            <w:tcW w:w="10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48" w:right="146"/>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3"/>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110"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2,475,305,009.43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1,992,853,021.18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18.61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0.94</w:t>
            </w:r>
          </w:p>
          <w:p>
            <w:pPr>
              <w:pStyle w:val="TableParagraph"/>
              <w:spacing w:line="273"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341,891,786.06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283,990,581.70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65.62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14.87</w:t>
            </w:r>
          </w:p>
          <w:p>
            <w:pPr>
              <w:pStyle w:val="TableParagraph"/>
              <w:spacing w:line="273" w:lineRule="exact"/>
              <w:ind w:left="34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256,581,078.28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208,447,122.49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24.79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6.39</w:t>
            </w:r>
          </w:p>
          <w:p>
            <w:pPr>
              <w:pStyle w:val="TableParagraph"/>
              <w:spacing w:line="274"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495,306,314.48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416,469,747.79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4.24</w:t>
            </w:r>
          </w:p>
          <w:p>
            <w:pPr>
              <w:pStyle w:val="TableParagraph"/>
              <w:spacing w:line="275"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港澳台及东南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亚地区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1,210,167,755.24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1,074,896,820.37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1.14</w:t>
            </w:r>
          </w:p>
          <w:p>
            <w:pPr>
              <w:pStyle w:val="TableParagraph"/>
              <w:spacing w:line="274"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4,779,251,943.49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3,976,657,293.53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1.78</w:t>
            </w:r>
          </w:p>
          <w:p>
            <w:pPr>
              <w:pStyle w:val="TableParagraph"/>
              <w:spacing w:line="274" w:lineRule="exact"/>
              <w:ind w:left="441"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8"/>
        <w:rPr>
          <w:rFonts w:ascii="宋体" w:hAnsi="宋体" w:cs="宋体" w:eastAsia="宋体" w:hint="default"/>
          <w:sz w:val="18"/>
          <w:szCs w:val="18"/>
        </w:rPr>
      </w:pPr>
    </w:p>
    <w:p>
      <w:pPr>
        <w:pStyle w:val="BodyText"/>
        <w:spacing w:line="312" w:lineRule="exact" w:before="56"/>
        <w:ind w:left="797" w:right="4789"/>
        <w:jc w:val="left"/>
      </w:pPr>
      <w:r>
        <w:rPr/>
        <w:t>主营业务分行业、分产品、分地区情况的说明 无</w:t>
      </w:r>
    </w:p>
    <w:p>
      <w:pPr>
        <w:spacing w:line="240" w:lineRule="auto" w:before="12"/>
        <w:rPr>
          <w:rFonts w:ascii="宋体" w:hAnsi="宋体" w:cs="宋体" w:eastAsia="宋体" w:hint="default"/>
          <w:sz w:val="23"/>
          <w:szCs w:val="23"/>
        </w:rPr>
      </w:pPr>
    </w:p>
    <w:p>
      <w:pPr>
        <w:pStyle w:val="Heading2"/>
        <w:spacing w:line="240" w:lineRule="auto"/>
        <w:ind w:left="797" w:right="636"/>
        <w:jc w:val="left"/>
        <w:rPr>
          <w:b w:val="0"/>
          <w:bCs w:val="0"/>
        </w:rPr>
      </w:pPr>
      <w:r>
        <w:rPr>
          <w:rFonts w:ascii="宋体" w:hAnsi="宋体" w:cs="宋体" w:eastAsia="宋体" w:hint="default"/>
        </w:rPr>
        <w:t>(2).</w:t>
      </w:r>
      <w:r>
        <w:rPr>
          <w:rFonts w:ascii="宋体" w:hAnsi="宋体" w:cs="宋体" w:eastAsia="宋体" w:hint="default"/>
          <w:spacing w:val="-40"/>
        </w:rPr>
        <w:t> </w:t>
      </w:r>
      <w:r>
        <w:rPr/>
        <w:t>成本分析表</w:t>
      </w:r>
      <w:r>
        <w:rPr>
          <w:b w:val="0"/>
          <w:bCs w:val="0"/>
        </w:rPr>
      </w:r>
    </w:p>
    <w:p>
      <w:pPr>
        <w:pStyle w:val="BodyText"/>
        <w:spacing w:line="240" w:lineRule="auto" w:before="58"/>
        <w:ind w:left="0" w:right="773"/>
        <w:jc w:val="right"/>
      </w:pPr>
      <w:r>
        <w:rPr/>
        <w:t>单位：元</w:t>
      </w:r>
    </w:p>
    <w:p>
      <w:pPr>
        <w:spacing w:line="240" w:lineRule="auto" w:before="12"/>
        <w:rPr>
          <w:rFonts w:ascii="宋体" w:hAnsi="宋体" w:cs="宋体" w:eastAsia="宋体" w:hint="default"/>
          <w:sz w:val="2"/>
          <w:szCs w:val="2"/>
        </w:rPr>
      </w:pPr>
    </w:p>
    <w:tbl>
      <w:tblPr>
        <w:tblW w:w="0" w:type="auto"/>
        <w:jc w:val="left"/>
        <w:tblInd w:w="684" w:type="dxa"/>
        <w:tblLayout w:type="fixed"/>
        <w:tblCellMar>
          <w:top w:w="0" w:type="dxa"/>
          <w:left w:w="0" w:type="dxa"/>
          <w:bottom w:w="0" w:type="dxa"/>
          <w:right w:w="0" w:type="dxa"/>
        </w:tblCellMar>
        <w:tblLook w:val="01E0"/>
      </w:tblPr>
      <w:tblGrid>
        <w:gridCol w:w="1001"/>
        <w:gridCol w:w="919"/>
        <w:gridCol w:w="1945"/>
        <w:gridCol w:w="895"/>
        <w:gridCol w:w="1944"/>
        <w:gridCol w:w="821"/>
        <w:gridCol w:w="800"/>
        <w:gridCol w:w="725"/>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918"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24" w:right="125"/>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2"/>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32" w:right="127" w:firstLine="53"/>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较上</w:t>
            </w:r>
            <w:r>
              <w:rPr>
                <w:rFonts w:ascii="宋体" w:hAnsi="宋体" w:cs="宋体" w:eastAsia="宋体" w:hint="default"/>
                <w:spacing w:val="-103"/>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期变</w:t>
            </w:r>
            <w:r>
              <w:rPr>
                <w:rFonts w:ascii="宋体" w:hAnsi="宋体" w:cs="宋体" w:eastAsia="宋体" w:hint="default"/>
                <w:spacing w:val="-103"/>
                <w:sz w:val="21"/>
                <w:szCs w:val="21"/>
              </w:rPr>
              <w:t> </w:t>
            </w:r>
            <w:r>
              <w:rPr>
                <w:rFonts w:ascii="宋体" w:hAnsi="宋体" w:cs="宋体" w:eastAsia="宋体" w:hint="default"/>
                <w:sz w:val="21"/>
                <w:szCs w:val="21"/>
              </w:rPr>
              <w:t>动比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8" w:right="14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91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3,977,442,409.30</w:t>
            </w:r>
          </w:p>
        </w:tc>
        <w:tc>
          <w:tcPr>
            <w:tcW w:w="895"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3,475,786,730.14</w:t>
            </w:r>
          </w:p>
        </w:tc>
        <w:tc>
          <w:tcPr>
            <w:tcW w:w="821"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14.43</w:t>
            </w:r>
          </w:p>
        </w:tc>
        <w:tc>
          <w:tcPr>
            <w:tcW w:w="7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797" w:right="636"/>
        <w:jc w:val="left"/>
      </w:pPr>
      <w:r>
        <w:rPr/>
        <w:t>成本分析其他情况说明</w:t>
      </w:r>
    </w:p>
    <w:p>
      <w:pPr>
        <w:pStyle w:val="BodyText"/>
        <w:spacing w:line="313" w:lineRule="exact"/>
        <w:ind w:left="797" w:right="636"/>
        <w:jc w:val="left"/>
      </w:pPr>
      <w:r>
        <w:rPr/>
        <w:t>无</w:t>
      </w:r>
    </w:p>
    <w:p>
      <w:pPr>
        <w:spacing w:line="240" w:lineRule="auto" w:before="6"/>
        <w:rPr>
          <w:rFonts w:ascii="宋体" w:hAnsi="宋体" w:cs="宋体" w:eastAsia="宋体" w:hint="default"/>
          <w:sz w:val="30"/>
          <w:szCs w:val="30"/>
        </w:rPr>
      </w:pPr>
    </w:p>
    <w:p>
      <w:pPr>
        <w:spacing w:line="328" w:lineRule="auto" w:before="0"/>
        <w:ind w:left="1277" w:right="636"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39"/>
          <w:sz w:val="24"/>
          <w:szCs w:val="24"/>
        </w:rPr>
        <w:t> </w:t>
      </w:r>
      <w:r>
        <w:rPr>
          <w:rFonts w:ascii="宋体" w:hAnsi="宋体" w:cs="宋体" w:eastAsia="宋体" w:hint="default"/>
          <w:b/>
          <w:bCs/>
          <w:sz w:val="24"/>
          <w:szCs w:val="24"/>
        </w:rPr>
        <w:t>主要供应商情况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报告期内，公司向前五名供应商采购金额合计</w:t>
      </w:r>
      <w:r>
        <w:rPr>
          <w:rFonts w:ascii="宋体" w:hAnsi="宋体" w:cs="宋体" w:eastAsia="宋体" w:hint="default"/>
          <w:spacing w:val="-2"/>
          <w:sz w:val="24"/>
          <w:szCs w:val="24"/>
        </w:rPr>
        <w:t>1,778,192,073.54</w:t>
      </w:r>
      <w:r>
        <w:rPr>
          <w:rFonts w:ascii="宋体" w:hAnsi="宋体" w:cs="宋体" w:eastAsia="宋体" w:hint="default"/>
          <w:spacing w:val="-2"/>
          <w:sz w:val="24"/>
          <w:szCs w:val="24"/>
        </w:rPr>
        <w:t>元，占年度采购</w:t>
      </w:r>
    </w:p>
    <w:p>
      <w:pPr>
        <w:pStyle w:val="BodyText"/>
        <w:spacing w:line="223" w:lineRule="exact"/>
        <w:ind w:left="797" w:right="636"/>
        <w:jc w:val="left"/>
      </w:pPr>
      <w:r>
        <w:rPr/>
        <w:t>总额的</w:t>
      </w:r>
      <w:r>
        <w:rPr>
          <w:rFonts w:ascii="宋体" w:hAnsi="宋体" w:cs="宋体" w:eastAsia="宋体" w:hint="default"/>
        </w:rPr>
        <w:t>43.11%</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26"/>
        <w:ind w:left="797" w:right="636" w:firstLine="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2"/>
          <w:sz w:val="24"/>
          <w:szCs w:val="24"/>
        </w:rPr>
        <w:t> </w:t>
      </w:r>
      <w:r>
        <w:rPr>
          <w:rFonts w:ascii="宋体" w:hAnsi="宋体" w:cs="宋体" w:eastAsia="宋体" w:hint="default"/>
          <w:b/>
          <w:bCs/>
          <w:sz w:val="24"/>
          <w:szCs w:val="24"/>
        </w:rPr>
        <w:t>费用</w:t>
      </w:r>
      <w:r>
        <w:rPr>
          <w:rFonts w:ascii="宋体" w:hAnsi="宋体" w:cs="宋体" w:eastAsia="宋体" w:hint="default"/>
          <w:sz w:val="24"/>
          <w:szCs w:val="24"/>
        </w:rPr>
      </w:r>
    </w:p>
    <w:p>
      <w:pPr>
        <w:pStyle w:val="BodyText"/>
        <w:tabs>
          <w:tab w:pos="8190" w:val="left" w:leader="none"/>
        </w:tabs>
        <w:spacing w:line="240" w:lineRule="auto" w:before="115"/>
        <w:ind w:left="6870" w:right="636"/>
        <w:jc w:val="left"/>
      </w:pPr>
      <w:r>
        <w:rPr/>
        <w:t>单位：元</w:t>
        <w:tab/>
        <w:t>币种：人民币</w:t>
      </w:r>
    </w:p>
    <w:p>
      <w:pPr>
        <w:spacing w:line="240" w:lineRule="auto" w:before="1"/>
        <w:rPr>
          <w:rFonts w:ascii="宋体" w:hAnsi="宋体" w:cs="宋体" w:eastAsia="宋体" w:hint="default"/>
          <w:sz w:val="12"/>
          <w:szCs w:val="12"/>
        </w:rPr>
      </w:pPr>
    </w:p>
    <w:tbl>
      <w:tblPr>
        <w:tblW w:w="0" w:type="auto"/>
        <w:jc w:val="left"/>
        <w:tblInd w:w="684" w:type="dxa"/>
        <w:tblLayout w:type="fixed"/>
        <w:tblCellMar>
          <w:top w:w="0" w:type="dxa"/>
          <w:left w:w="0" w:type="dxa"/>
          <w:bottom w:w="0" w:type="dxa"/>
          <w:right w:w="0" w:type="dxa"/>
        </w:tblCellMar>
        <w:tblLook w:val="01E0"/>
      </w:tblPr>
      <w:tblGrid>
        <w:gridCol w:w="2602"/>
        <w:gridCol w:w="1988"/>
        <w:gridCol w:w="2300"/>
        <w:gridCol w:w="1743"/>
      </w:tblGrid>
      <w:tr>
        <w:trPr>
          <w:trHeight w:val="310"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p>
        </w:tc>
      </w:tr>
      <w:tr>
        <w:trPr>
          <w:trHeight w:val="310"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357,416,373.20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378,579,185.90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-5.59</w:t>
            </w:r>
          </w:p>
        </w:tc>
      </w:tr>
      <w:tr>
        <w:trPr>
          <w:trHeight w:val="31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300,578,790.06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257,756,262.81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16.61</w:t>
            </w:r>
          </w:p>
        </w:tc>
      </w:tr>
    </w:tbl>
    <w:p>
      <w:pPr>
        <w:spacing w:after="0" w:line="255" w:lineRule="exact"/>
        <w:jc w:val="right"/>
        <w:rPr>
          <w:rFonts w:ascii="宋体" w:hAnsi="宋体" w:cs="宋体" w:eastAsia="宋体" w:hint="default"/>
          <w:sz w:val="21"/>
          <w:szCs w:val="21"/>
        </w:rPr>
        <w:sectPr>
          <w:pgSz w:w="11910" w:h="16840"/>
          <w:pgMar w:header="880" w:footer="1195" w:top="1120" w:bottom="1380" w:left="480" w:right="102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02"/>
        <w:gridCol w:w="1988"/>
        <w:gridCol w:w="2300"/>
        <w:gridCol w:w="1743"/>
      </w:tblGrid>
      <w:tr>
        <w:trPr>
          <w:trHeight w:val="310"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71,755,993.33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70,582,040.47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z w:val="21"/>
              </w:rPr>
              <w:t>1.66</w:t>
            </w:r>
          </w:p>
        </w:tc>
      </w:tr>
      <w:tr>
        <w:trPr>
          <w:trHeight w:val="31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729,751,156.59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706,917,489.18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3.23</w:t>
            </w:r>
          </w:p>
        </w:tc>
      </w:tr>
    </w:tbl>
    <w:p>
      <w:pPr>
        <w:pStyle w:val="BodyText"/>
        <w:spacing w:line="237" w:lineRule="auto" w:before="82"/>
        <w:ind w:left="217" w:right="221" w:firstLine="480"/>
        <w:jc w:val="left"/>
      </w:pPr>
      <w:r>
        <w:rPr>
          <w:rFonts w:ascii="宋体" w:hAnsi="宋体" w:cs="宋体" w:eastAsia="宋体" w:hint="default"/>
        </w:rPr>
        <w:t>2015</w:t>
      </w:r>
      <w:r>
        <w:rPr>
          <w:rFonts w:ascii="宋体" w:hAnsi="宋体" w:cs="宋体" w:eastAsia="宋体" w:hint="default"/>
          <w:spacing w:val="-61"/>
        </w:rPr>
        <w:t> </w:t>
      </w:r>
      <w:r>
        <w:rPr>
          <w:spacing w:val="-5"/>
        </w:rPr>
        <w:t>年度，公司运营费用支出</w:t>
      </w:r>
      <w:r>
        <w:rPr>
          <w:spacing w:val="-60"/>
        </w:rPr>
        <w:t> </w:t>
      </w:r>
      <w:r>
        <w:rPr>
          <w:rFonts w:ascii="宋体" w:hAnsi="宋体" w:cs="宋体" w:eastAsia="宋体" w:hint="default"/>
        </w:rPr>
        <w:t>72,975.12</w:t>
      </w:r>
      <w:r>
        <w:rPr>
          <w:rFonts w:ascii="宋体" w:hAnsi="宋体" w:cs="宋体" w:eastAsia="宋体" w:hint="default"/>
          <w:spacing w:val="-60"/>
        </w:rPr>
        <w:t> </w:t>
      </w:r>
      <w:r>
        <w:rPr>
          <w:spacing w:val="-7"/>
        </w:rPr>
        <w:t>万元，比去年同期</w:t>
      </w:r>
      <w:r>
        <w:rPr>
          <w:spacing w:val="-60"/>
        </w:rPr>
        <w:t> </w:t>
      </w:r>
      <w:r>
        <w:rPr>
          <w:rFonts w:ascii="宋体" w:hAnsi="宋体" w:cs="宋体" w:eastAsia="宋体" w:hint="default"/>
        </w:rPr>
        <w:t>70,691.75</w:t>
      </w:r>
      <w:r>
        <w:rPr>
          <w:rFonts w:ascii="宋体" w:hAnsi="宋体" w:cs="宋体" w:eastAsia="宋体" w:hint="default"/>
          <w:spacing w:val="-60"/>
        </w:rPr>
        <w:t> </w:t>
      </w:r>
      <w:r>
        <w:rPr/>
        <w:t>万元略有 增长</w:t>
      </w:r>
      <w:r>
        <w:rPr>
          <w:spacing w:val="-61"/>
        </w:rPr>
        <w:t> </w:t>
      </w:r>
      <w:r>
        <w:rPr>
          <w:rFonts w:ascii="宋体" w:hAnsi="宋体" w:cs="宋体" w:eastAsia="宋体" w:hint="default"/>
        </w:rPr>
        <w:t>3.23%</w:t>
      </w:r>
      <w:r>
        <w:rPr/>
        <w:t>，期间费用率由去年同期的</w:t>
      </w:r>
      <w:r>
        <w:rPr>
          <w:spacing w:val="-61"/>
        </w:rPr>
        <w:t> </w:t>
      </w:r>
      <w:r>
        <w:rPr>
          <w:rFonts w:ascii="宋体" w:hAnsi="宋体" w:cs="宋体" w:eastAsia="宋体" w:hint="default"/>
        </w:rPr>
        <w:t>16.52%</w:t>
      </w:r>
      <w:r>
        <w:rPr/>
        <w:t>下降至</w:t>
      </w:r>
      <w:r>
        <w:rPr>
          <w:spacing w:val="-61"/>
        </w:rPr>
        <w:t> </w:t>
      </w:r>
      <w:r>
        <w:rPr>
          <w:rFonts w:ascii="宋体" w:hAnsi="宋体" w:cs="宋体" w:eastAsia="宋体" w:hint="default"/>
        </w:rPr>
        <w:t>15.23%</w:t>
      </w:r>
      <w:r>
        <w:rPr/>
        <w:t>，下降</w:t>
      </w:r>
      <w:r>
        <w:rPr>
          <w:spacing w:val="-61"/>
        </w:rPr>
        <w:t> </w:t>
      </w:r>
      <w:r>
        <w:rPr>
          <w:rFonts w:ascii="宋体" w:hAnsi="宋体" w:cs="宋体" w:eastAsia="宋体" w:hint="default"/>
        </w:rPr>
        <w:t>1.29</w:t>
      </w:r>
      <w:r>
        <w:rPr>
          <w:rFonts w:ascii="宋体" w:hAnsi="宋体" w:cs="宋体" w:eastAsia="宋体" w:hint="default"/>
          <w:spacing w:val="-61"/>
        </w:rPr>
        <w:t> </w:t>
      </w:r>
      <w:r>
        <w:rPr/>
        <w:t>个百分点</w:t>
      </w:r>
      <w:r>
        <w:rPr>
          <w:rFonts w:ascii="宋体" w:hAnsi="宋体" w:cs="宋体" w:eastAsia="宋体" w:hint="default"/>
        </w:rPr>
        <w:t>, </w:t>
      </w:r>
      <w:r>
        <w:rPr/>
        <w:t>费用控制良好。</w:t>
      </w:r>
      <w:r>
        <w:rPr>
          <w:rFonts w:ascii="宋体" w:hAnsi="宋体" w:cs="宋体" w:eastAsia="宋体" w:hint="default"/>
        </w:rPr>
        <w:t>2015</w:t>
      </w:r>
      <w:r>
        <w:rPr>
          <w:rFonts w:ascii="宋体" w:hAnsi="宋体" w:cs="宋体" w:eastAsia="宋体" w:hint="default"/>
          <w:spacing w:val="-61"/>
        </w:rPr>
        <w:t> </w:t>
      </w:r>
      <w:r>
        <w:rPr/>
        <w:t>年公司销售费用同比下降</w:t>
      </w:r>
      <w:r>
        <w:rPr>
          <w:spacing w:val="-61"/>
        </w:rPr>
        <w:t> </w:t>
      </w:r>
      <w:r>
        <w:rPr>
          <w:rFonts w:ascii="宋体" w:hAnsi="宋体" w:cs="宋体" w:eastAsia="宋体" w:hint="default"/>
        </w:rPr>
        <w:t>5.59%</w:t>
      </w:r>
      <w:r>
        <w:rPr/>
        <w:t>，</w:t>
      </w:r>
      <w:r>
        <w:rPr>
          <w:spacing w:val="-1"/>
        </w:rPr>
        <w:t> </w:t>
      </w:r>
      <w:r>
        <w:rPr/>
        <w:t>公司继续加强对小核算单元 </w:t>
      </w:r>
      <w:r>
        <w:rPr>
          <w:spacing w:val="-2"/>
        </w:rPr>
        <w:t>资源投入与业绩贡献匹配控制等管理手段，有效控制了销售费用的增长；管理费用同</w:t>
      </w:r>
      <w:r>
        <w:rPr>
          <w:spacing w:val="-93"/>
        </w:rPr>
        <w:t> </w:t>
      </w:r>
      <w:r>
        <w:rPr>
          <w:spacing w:val="-93"/>
        </w:rPr>
      </w:r>
      <w:r>
        <w:rPr/>
        <w:t>比增长</w:t>
      </w:r>
      <w:r>
        <w:rPr>
          <w:spacing w:val="-61"/>
        </w:rPr>
        <w:t> </w:t>
      </w:r>
      <w:r>
        <w:rPr>
          <w:rFonts w:ascii="宋体" w:hAnsi="宋体" w:cs="宋体" w:eastAsia="宋体" w:hint="default"/>
        </w:rPr>
        <w:t>16.61%</w:t>
      </w:r>
      <w:r>
        <w:rPr/>
        <w:t>，管理费用率由上年同期的</w:t>
      </w:r>
      <w:r>
        <w:rPr>
          <w:spacing w:val="-60"/>
        </w:rPr>
        <w:t> </w:t>
      </w:r>
      <w:r>
        <w:rPr>
          <w:rFonts w:ascii="宋体" w:hAnsi="宋体" w:cs="宋体" w:eastAsia="宋体" w:hint="default"/>
        </w:rPr>
        <w:t>6.02%</w:t>
      </w:r>
      <w:r>
        <w:rPr/>
        <w:t>上升至</w:t>
      </w:r>
      <w:r>
        <w:rPr>
          <w:spacing w:val="-60"/>
        </w:rPr>
        <w:t> </w:t>
      </w:r>
      <w:r>
        <w:rPr>
          <w:rFonts w:ascii="宋体" w:hAnsi="宋体" w:cs="宋体" w:eastAsia="宋体" w:hint="default"/>
        </w:rPr>
        <w:t>6.27%</w:t>
      </w:r>
      <w:r>
        <w:rPr/>
        <w:t>，管理费用率比去年同 </w:t>
      </w:r>
      <w:r>
        <w:rPr>
          <w:spacing w:val="-2"/>
        </w:rPr>
        <w:t>期略微上涨，主要由于新设立的自主产品研发的子公司经营成本带来集团整体管理费</w:t>
      </w:r>
      <w:r>
        <w:rPr>
          <w:spacing w:val="-94"/>
        </w:rPr>
        <w:t> </w:t>
      </w:r>
      <w:r>
        <w:rPr>
          <w:spacing w:val="-94"/>
        </w:rPr>
      </w:r>
      <w:r>
        <w:rPr/>
        <w:t>用的增加；财务费用从</w:t>
      </w:r>
      <w:r>
        <w:rPr>
          <w:spacing w:val="-61"/>
        </w:rPr>
        <w:t> </w:t>
      </w:r>
      <w:r>
        <w:rPr>
          <w:rFonts w:ascii="宋体" w:hAnsi="宋体" w:cs="宋体" w:eastAsia="宋体" w:hint="default"/>
        </w:rPr>
        <w:t>7,175.60</w:t>
      </w:r>
      <w:r>
        <w:rPr>
          <w:rFonts w:ascii="宋体" w:hAnsi="宋体" w:cs="宋体" w:eastAsia="宋体" w:hint="default"/>
          <w:spacing w:val="-60"/>
        </w:rPr>
        <w:t> </w:t>
      </w:r>
      <w:r>
        <w:rPr/>
        <w:t>万元</w:t>
      </w:r>
      <w:r>
        <w:rPr>
          <w:rFonts w:ascii="宋体" w:hAnsi="宋体" w:cs="宋体" w:eastAsia="宋体" w:hint="default"/>
        </w:rPr>
        <w:t>,</w:t>
      </w:r>
      <w:r>
        <w:rPr/>
        <w:t>同比基本持平。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060" w:right="1560"/>
        </w:sectPr>
      </w:pPr>
    </w:p>
    <w:p>
      <w:pPr>
        <w:spacing w:before="26"/>
        <w:ind w:left="217" w:right="-20"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b/>
          <w:bCs/>
          <w:sz w:val="24"/>
          <w:szCs w:val="24"/>
        </w:rPr>
        <w:t>研发投入</w:t>
      </w:r>
      <w:r>
        <w:rPr>
          <w:rFonts w:ascii="宋体" w:hAnsi="宋体" w:cs="宋体" w:eastAsia="宋体" w:hint="default"/>
          <w:sz w:val="24"/>
          <w:szCs w:val="24"/>
        </w:rPr>
      </w:r>
    </w:p>
    <w:p>
      <w:pPr>
        <w:pStyle w:val="Heading2"/>
        <w:spacing w:line="240" w:lineRule="auto" w:before="58"/>
        <w:ind w:right="-20"/>
        <w:jc w:val="left"/>
        <w:rPr>
          <w:b w:val="0"/>
          <w:bCs w:val="0"/>
        </w:rPr>
      </w:pPr>
      <w:r>
        <w:rPr/>
        <w:t>研发投入情况表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060" w:right="1560"/>
          <w:cols w:num="2" w:equalWidth="0">
            <w:col w:w="1905" w:space="5969"/>
            <w:col w:w="141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31,266,795.46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149,928,512.51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181,195,307.97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82.74</w:t>
            </w:r>
          </w:p>
        </w:tc>
      </w:tr>
    </w:tbl>
    <w:p>
      <w:pPr>
        <w:spacing w:line="240" w:lineRule="auto" w:before="3"/>
        <w:rPr>
          <w:rFonts w:ascii="宋体" w:hAnsi="宋体" w:cs="宋体" w:eastAsia="宋体" w:hint="default"/>
          <w:sz w:val="23"/>
          <w:szCs w:val="23"/>
        </w:rPr>
      </w:pPr>
    </w:p>
    <w:p>
      <w:pPr>
        <w:pStyle w:val="Heading2"/>
        <w:spacing w:line="240" w:lineRule="auto"/>
        <w:ind w:right="2569"/>
        <w:jc w:val="left"/>
        <w:rPr>
          <w:b w:val="0"/>
          <w:bCs w:val="0"/>
        </w:rPr>
      </w:pPr>
      <w:r>
        <w:rPr/>
        <w:t>情况说明</w:t>
      </w:r>
      <w:r>
        <w:rPr>
          <w:b w:val="0"/>
          <w:bCs w:val="0"/>
        </w:rPr>
      </w:r>
    </w:p>
    <w:p>
      <w:pPr>
        <w:pStyle w:val="BodyText"/>
        <w:spacing w:line="313" w:lineRule="exact" w:before="58"/>
        <w:ind w:left="637" w:right="102"/>
        <w:jc w:val="left"/>
      </w:pPr>
      <w:r>
        <w:rPr/>
        <w:t>开发支出年初余额为</w:t>
      </w:r>
      <w:r>
        <w:rPr>
          <w:spacing w:val="-57"/>
        </w:rPr>
        <w:t> </w:t>
      </w:r>
      <w:r>
        <w:rPr>
          <w:rFonts w:ascii="宋体" w:hAnsi="宋体" w:cs="宋体" w:eastAsia="宋体" w:hint="default"/>
        </w:rPr>
        <w:t>6,111.87</w:t>
      </w:r>
      <w:r>
        <w:rPr>
          <w:rFonts w:ascii="宋体" w:hAnsi="宋体" w:cs="宋体" w:eastAsia="宋体" w:hint="default"/>
          <w:spacing w:val="-57"/>
        </w:rPr>
        <w:t> </w:t>
      </w:r>
      <w:r>
        <w:rPr>
          <w:spacing w:val="-6"/>
        </w:rPr>
        <w:t>万元，本年发生</w:t>
      </w:r>
      <w:r>
        <w:rPr>
          <w:spacing w:val="-57"/>
        </w:rPr>
        <w:t> </w:t>
      </w:r>
      <w:r>
        <w:rPr>
          <w:rFonts w:ascii="宋体" w:hAnsi="宋体" w:cs="宋体" w:eastAsia="宋体" w:hint="default"/>
        </w:rPr>
        <w:t>18,119.53</w:t>
      </w:r>
      <w:r>
        <w:rPr>
          <w:rFonts w:ascii="宋体" w:hAnsi="宋体" w:cs="宋体" w:eastAsia="宋体" w:hint="default"/>
          <w:spacing w:val="-57"/>
        </w:rPr>
        <w:t> </w:t>
      </w:r>
      <w:r>
        <w:rPr>
          <w:spacing w:val="-8"/>
        </w:rPr>
        <w:t>万元，其中：确认为无</w:t>
      </w:r>
    </w:p>
    <w:p>
      <w:pPr>
        <w:pStyle w:val="BodyText"/>
        <w:spacing w:line="313" w:lineRule="exact"/>
        <w:ind w:left="217" w:right="2569"/>
        <w:jc w:val="left"/>
      </w:pPr>
      <w:r>
        <w:rPr/>
        <w:t>形资产</w:t>
      </w:r>
      <w:r>
        <w:rPr>
          <w:spacing w:val="-61"/>
        </w:rPr>
        <w:t> </w:t>
      </w:r>
      <w:r>
        <w:rPr>
          <w:rFonts w:ascii="宋体" w:hAnsi="宋体" w:cs="宋体" w:eastAsia="宋体" w:hint="default"/>
        </w:rPr>
        <w:t>1,126.33</w:t>
      </w:r>
      <w:r>
        <w:rPr>
          <w:rFonts w:ascii="宋体" w:hAnsi="宋体" w:cs="宋体" w:eastAsia="宋体" w:hint="default"/>
          <w:spacing w:val="-60"/>
        </w:rPr>
        <w:t> </w:t>
      </w:r>
      <w:r>
        <w:rPr/>
        <w:t>万元，年末余额为</w:t>
      </w:r>
      <w:r>
        <w:rPr>
          <w:spacing w:val="-60"/>
        </w:rPr>
        <w:t> </w:t>
      </w:r>
      <w:r>
        <w:rPr>
          <w:rFonts w:ascii="宋体" w:hAnsi="宋体" w:cs="宋体" w:eastAsia="宋体" w:hint="default"/>
        </w:rPr>
        <w:t>19,978.39</w:t>
      </w:r>
      <w:r>
        <w:rPr>
          <w:rFonts w:ascii="宋体" w:hAnsi="宋体" w:cs="宋体" w:eastAsia="宋体" w:hint="default"/>
          <w:spacing w:val="-60"/>
        </w:rPr>
        <w:t> </w:t>
      </w:r>
      <w:r>
        <w:rPr/>
        <w:t>万元。</w:t>
      </w:r>
    </w:p>
    <w:p>
      <w:pPr>
        <w:spacing w:line="240" w:lineRule="auto" w:before="1"/>
        <w:rPr>
          <w:rFonts w:ascii="宋体" w:hAnsi="宋体" w:cs="宋体" w:eastAsia="宋体" w:hint="default"/>
          <w:sz w:val="26"/>
          <w:szCs w:val="26"/>
        </w:rPr>
      </w:pPr>
    </w:p>
    <w:p>
      <w:pPr>
        <w:spacing w:before="26"/>
        <w:ind w:left="217" w:right="2569" w:firstLine="0"/>
        <w:jc w:val="left"/>
        <w:rPr>
          <w:rFonts w:ascii="宋体" w:hAnsi="宋体" w:cs="宋体" w:eastAsia="宋体" w:hint="default"/>
          <w:sz w:val="24"/>
          <w:szCs w:val="24"/>
        </w:rPr>
      </w:pPr>
      <w:r>
        <w:rPr>
          <w:rFonts w:ascii="宋体" w:hAnsi="宋体" w:cs="宋体" w:eastAsia="宋体" w:hint="default"/>
          <w:sz w:val="24"/>
          <w:szCs w:val="24"/>
        </w:rPr>
        <w:t>③</w:t>
      </w:r>
      <w:r>
        <w:rPr>
          <w:rFonts w:ascii="宋体" w:hAnsi="宋体" w:cs="宋体" w:eastAsia="宋体" w:hint="default"/>
          <w:spacing w:val="-1"/>
          <w:sz w:val="24"/>
          <w:szCs w:val="24"/>
        </w:rPr>
        <w:t> </w:t>
      </w:r>
      <w:r>
        <w:rPr>
          <w:rFonts w:ascii="宋体" w:hAnsi="宋体" w:cs="宋体" w:eastAsia="宋体" w:hint="default"/>
          <w:b/>
          <w:bCs/>
          <w:sz w:val="24"/>
          <w:szCs w:val="24"/>
        </w:rPr>
        <w:t>现金流</w:t>
      </w:r>
      <w:r>
        <w:rPr>
          <w:rFonts w:ascii="宋体" w:hAnsi="宋体" w:cs="宋体" w:eastAsia="宋体" w:hint="default"/>
          <w:sz w:val="24"/>
          <w:szCs w:val="24"/>
        </w:rPr>
      </w:r>
    </w:p>
    <w:p>
      <w:pPr>
        <w:pStyle w:val="BodyText"/>
        <w:tabs>
          <w:tab w:pos="1319" w:val="left" w:leader="none"/>
        </w:tabs>
        <w:spacing w:line="240" w:lineRule="auto" w:before="118"/>
        <w:ind w:left="0" w:right="233"/>
        <w:jc w:val="right"/>
      </w:pPr>
      <w:r>
        <w:rPr/>
        <w:t>单位：元</w:t>
        <w:tab/>
        <w:t>币种：人民币</w:t>
      </w:r>
    </w:p>
    <w:p>
      <w:pPr>
        <w:spacing w:line="240" w:lineRule="auto" w:before="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116"/>
        <w:gridCol w:w="1982"/>
        <w:gridCol w:w="1985"/>
        <w:gridCol w:w="1702"/>
      </w:tblGrid>
      <w:tr>
        <w:trPr>
          <w:trHeight w:val="31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p>
        </w:tc>
      </w:tr>
      <w:tr>
        <w:trPr>
          <w:trHeight w:val="31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331,723,701.58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276,488,016.32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19.98</w:t>
            </w:r>
          </w:p>
        </w:tc>
      </w:tr>
      <w:tr>
        <w:trPr>
          <w:trHeight w:val="31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0"/>
              <w:jc w:val="right"/>
              <w:rPr>
                <w:rFonts w:ascii="宋体" w:hAnsi="宋体" w:cs="宋体" w:eastAsia="宋体" w:hint="default"/>
                <w:sz w:val="21"/>
                <w:szCs w:val="21"/>
              </w:rPr>
            </w:pPr>
            <w:r>
              <w:rPr>
                <w:rFonts w:ascii="宋体"/>
                <w:spacing w:val="-1"/>
                <w:sz w:val="21"/>
              </w:rPr>
              <w:t>-358,179,794.11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-487,670,567.74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26.55</w:t>
            </w:r>
          </w:p>
        </w:tc>
      </w:tr>
      <w:tr>
        <w:trPr>
          <w:trHeight w:val="31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0"/>
              <w:jc w:val="right"/>
              <w:rPr>
                <w:rFonts w:ascii="宋体" w:hAnsi="宋体" w:cs="宋体" w:eastAsia="宋体" w:hint="default"/>
                <w:sz w:val="21"/>
                <w:szCs w:val="21"/>
              </w:rPr>
            </w:pPr>
            <w:r>
              <w:rPr>
                <w:rFonts w:ascii="宋体"/>
                <w:spacing w:val="-1"/>
                <w:sz w:val="21"/>
              </w:rPr>
              <w:t>-134,752,312.64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592,252,323.52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-122.75</w:t>
            </w:r>
          </w:p>
        </w:tc>
      </w:tr>
    </w:tbl>
    <w:p>
      <w:pPr>
        <w:pStyle w:val="BodyText"/>
        <w:spacing w:line="313" w:lineRule="exact" w:before="79"/>
        <w:ind w:left="697" w:right="221"/>
        <w:jc w:val="left"/>
      </w:pPr>
      <w:r>
        <w:rPr>
          <w:rFonts w:ascii="宋体" w:hAnsi="宋体" w:cs="宋体" w:eastAsia="宋体" w:hint="default"/>
        </w:rPr>
        <w:t>2015</w:t>
      </w:r>
      <w:r>
        <w:rPr>
          <w:rFonts w:ascii="宋体" w:hAnsi="宋体" w:cs="宋体" w:eastAsia="宋体" w:hint="default"/>
          <w:spacing w:val="-61"/>
        </w:rPr>
        <w:t> </w:t>
      </w:r>
      <w:r>
        <w:rPr/>
        <w:t>年公司现金净流量为</w:t>
      </w:r>
      <w:r>
        <w:rPr>
          <w:rFonts w:ascii="宋体" w:hAnsi="宋体" w:cs="宋体" w:eastAsia="宋体" w:hint="default"/>
        </w:rPr>
        <w:t>-14,867.65</w:t>
      </w:r>
      <w:r>
        <w:rPr>
          <w:rFonts w:ascii="宋体" w:hAnsi="宋体" w:cs="宋体" w:eastAsia="宋体" w:hint="default"/>
          <w:spacing w:val="-61"/>
        </w:rPr>
        <w:t> </w:t>
      </w:r>
      <w:r>
        <w:rPr/>
        <w:t>万元，同比减少</w:t>
      </w:r>
      <w:r>
        <w:rPr>
          <w:spacing w:val="-61"/>
        </w:rPr>
        <w:t> </w:t>
      </w:r>
      <w:r>
        <w:rPr>
          <w:rFonts w:ascii="宋体" w:hAnsi="宋体" w:cs="宋体" w:eastAsia="宋体" w:hint="default"/>
        </w:rPr>
        <w:t>53,011.25</w:t>
      </w:r>
      <w:r>
        <w:rPr>
          <w:rFonts w:ascii="宋体" w:hAnsi="宋体" w:cs="宋体" w:eastAsia="宋体" w:hint="default"/>
          <w:spacing w:val="-61"/>
        </w:rPr>
        <w:t> </w:t>
      </w:r>
      <w:r>
        <w:rPr/>
        <w:t>万元。其中，</w:t>
      </w:r>
    </w:p>
    <w:p>
      <w:pPr>
        <w:pStyle w:val="BodyText"/>
        <w:spacing w:line="237" w:lineRule="auto" w:before="1"/>
        <w:ind w:left="217" w:right="234"/>
        <w:jc w:val="both"/>
      </w:pPr>
      <w:r>
        <w:rPr/>
        <w:t>经营活动现金净流量为</w:t>
      </w:r>
      <w:r>
        <w:rPr>
          <w:spacing w:val="-60"/>
        </w:rPr>
        <w:t> </w:t>
      </w:r>
      <w:r>
        <w:rPr>
          <w:rFonts w:ascii="宋体" w:hAnsi="宋体" w:cs="宋体" w:eastAsia="宋体" w:hint="default"/>
        </w:rPr>
        <w:t>33,172.37</w:t>
      </w:r>
      <w:r>
        <w:rPr>
          <w:rFonts w:ascii="宋体" w:hAnsi="宋体" w:cs="宋体" w:eastAsia="宋体" w:hint="default"/>
          <w:spacing w:val="-59"/>
        </w:rPr>
        <w:t> </w:t>
      </w:r>
      <w:r>
        <w:rPr/>
        <w:t>万元</w:t>
      </w:r>
      <w:r>
        <w:rPr>
          <w:rFonts w:ascii="宋体" w:hAnsi="宋体" w:cs="宋体" w:eastAsia="宋体" w:hint="default"/>
        </w:rPr>
        <w:t>,</w:t>
      </w:r>
      <w:r>
        <w:rPr/>
        <w:t>同比增加</w:t>
      </w:r>
      <w:r>
        <w:rPr>
          <w:spacing w:val="-59"/>
        </w:rPr>
        <w:t> </w:t>
      </w:r>
      <w:r>
        <w:rPr>
          <w:rFonts w:ascii="宋体" w:hAnsi="宋体" w:cs="宋体" w:eastAsia="宋体" w:hint="default"/>
        </w:rPr>
        <w:t>5,523.57</w:t>
      </w:r>
      <w:r>
        <w:rPr>
          <w:rFonts w:ascii="宋体" w:hAnsi="宋体" w:cs="宋体" w:eastAsia="宋体" w:hint="default"/>
          <w:spacing w:val="-59"/>
        </w:rPr>
        <w:t> </w:t>
      </w:r>
      <w:r>
        <w:rPr>
          <w:spacing w:val="-5"/>
        </w:rPr>
        <w:t>万元；投资活动现金净流</w:t>
      </w:r>
      <w:r>
        <w:rPr/>
        <w:t> 量为</w:t>
      </w:r>
      <w:r>
        <w:rPr>
          <w:rFonts w:ascii="宋体" w:hAnsi="宋体" w:cs="宋体" w:eastAsia="宋体" w:hint="default"/>
        </w:rPr>
        <w:t>-35,817.98</w:t>
      </w:r>
      <w:r>
        <w:rPr>
          <w:rFonts w:ascii="宋体" w:hAnsi="宋体" w:cs="宋体" w:eastAsia="宋体" w:hint="default"/>
          <w:spacing w:val="-60"/>
        </w:rPr>
        <w:t> </w:t>
      </w:r>
      <w:r>
        <w:rPr/>
        <w:t>万元</w:t>
      </w:r>
      <w:r>
        <w:rPr>
          <w:rFonts w:ascii="宋体" w:hAnsi="宋体" w:cs="宋体" w:eastAsia="宋体" w:hint="default"/>
        </w:rPr>
        <w:t>,</w:t>
      </w:r>
      <w:r>
        <w:rPr/>
        <w:t>同比增加</w:t>
      </w:r>
      <w:r>
        <w:rPr>
          <w:spacing w:val="-60"/>
        </w:rPr>
        <w:t> </w:t>
      </w:r>
      <w:r>
        <w:rPr>
          <w:rFonts w:ascii="宋体" w:hAnsi="宋体" w:cs="宋体" w:eastAsia="宋体" w:hint="default"/>
        </w:rPr>
        <w:t>12,949.08</w:t>
      </w:r>
      <w:r>
        <w:rPr>
          <w:rFonts w:ascii="宋体" w:hAnsi="宋体" w:cs="宋体" w:eastAsia="宋体" w:hint="default"/>
          <w:spacing w:val="-60"/>
        </w:rPr>
        <w:t> </w:t>
      </w:r>
      <w:r>
        <w:rPr/>
        <w:t>万元，筹资活动现金净流量为</w:t>
      </w:r>
      <w:r>
        <w:rPr>
          <w:rFonts w:ascii="宋体" w:hAnsi="宋体" w:cs="宋体" w:eastAsia="宋体" w:hint="default"/>
        </w:rPr>
        <w:t>-13,475.23 </w:t>
      </w:r>
      <w:r>
        <w:rPr/>
        <w:t>万元</w:t>
      </w:r>
      <w:r>
        <w:rPr>
          <w:rFonts w:ascii="宋体" w:hAnsi="宋体" w:cs="宋体" w:eastAsia="宋体" w:hint="default"/>
        </w:rPr>
        <w:t>,</w:t>
      </w:r>
      <w:r>
        <w:rPr/>
        <w:t>同比减少</w:t>
      </w:r>
      <w:r>
        <w:rPr>
          <w:spacing w:val="-61"/>
        </w:rPr>
        <w:t> </w:t>
      </w:r>
      <w:r>
        <w:rPr>
          <w:rFonts w:ascii="宋体" w:hAnsi="宋体" w:cs="宋体" w:eastAsia="宋体" w:hint="default"/>
        </w:rPr>
        <w:t>72,700.46</w:t>
      </w:r>
      <w:r>
        <w:rPr>
          <w:rFonts w:ascii="宋体" w:hAnsi="宋体" w:cs="宋体" w:eastAsia="宋体" w:hint="default"/>
          <w:spacing w:val="-60"/>
        </w:rPr>
        <w:t> </w:t>
      </w:r>
      <w:r>
        <w:rPr/>
        <w:t>万元。</w:t>
      </w:r>
    </w:p>
    <w:p>
      <w:pPr>
        <w:pStyle w:val="BodyText"/>
        <w:spacing w:line="237" w:lineRule="auto" w:before="121"/>
        <w:ind w:left="217" w:right="233" w:firstLine="360"/>
        <w:jc w:val="both"/>
      </w:pPr>
      <w:r>
        <w:rPr>
          <w:rFonts w:ascii="宋体" w:hAnsi="宋体" w:cs="宋体" w:eastAsia="宋体" w:hint="default"/>
        </w:rPr>
        <w:t>2015</w:t>
      </w:r>
      <w:r>
        <w:rPr>
          <w:rFonts w:ascii="宋体" w:hAnsi="宋体" w:cs="宋体" w:eastAsia="宋体" w:hint="default"/>
          <w:spacing w:val="-61"/>
        </w:rPr>
        <w:t> </w:t>
      </w:r>
      <w:r>
        <w:rPr/>
        <w:t>年公司经营活动净现金流实现盈利并同比增加</w:t>
      </w:r>
      <w:r>
        <w:rPr>
          <w:spacing w:val="-60"/>
        </w:rPr>
        <w:t> </w:t>
      </w:r>
      <w:r>
        <w:rPr>
          <w:rFonts w:ascii="宋体" w:hAnsi="宋体" w:cs="宋体" w:eastAsia="宋体" w:hint="default"/>
        </w:rPr>
        <w:t>5,523.57</w:t>
      </w:r>
      <w:r>
        <w:rPr>
          <w:rFonts w:ascii="宋体" w:hAnsi="宋体" w:cs="宋体" w:eastAsia="宋体" w:hint="default"/>
          <w:spacing w:val="-60"/>
        </w:rPr>
        <w:t> </w:t>
      </w:r>
      <w:r>
        <w:rPr>
          <w:spacing w:val="-12"/>
        </w:rPr>
        <w:t>万元，公司通过加快</w:t>
      </w:r>
      <w:r>
        <w:rPr/>
        <w:t> </w:t>
      </w:r>
      <w:r>
        <w:rPr>
          <w:spacing w:val="-2"/>
        </w:rPr>
        <w:t>资金周转，控制收、付款节奏，合理使用金融工具，提高了资金使用效率，经营现金</w:t>
      </w:r>
      <w:r>
        <w:rPr>
          <w:spacing w:val="-95"/>
        </w:rPr>
        <w:t> </w:t>
      </w:r>
      <w:r>
        <w:rPr>
          <w:spacing w:val="-95"/>
        </w:rPr>
      </w:r>
      <w:r>
        <w:rPr>
          <w:spacing w:val="-2"/>
        </w:rPr>
        <w:t>流良性运转。投资活动现金净流量上升的主要原因一方面由于处置子公司收到的现金</w:t>
      </w:r>
      <w:r>
        <w:rPr>
          <w:spacing w:val="-94"/>
        </w:rPr>
        <w:t> </w:t>
      </w:r>
      <w:r>
        <w:rPr>
          <w:spacing w:val="-94"/>
        </w:rPr>
      </w:r>
      <w:r>
        <w:rPr>
          <w:spacing w:val="-2"/>
        </w:rPr>
        <w:t>增加，另一方面购置固定资产、无形资产和其他长期资产支付的现金减少；筹资活动</w:t>
      </w:r>
      <w:r>
        <w:rPr>
          <w:spacing w:val="-96"/>
        </w:rPr>
        <w:t> </w:t>
      </w:r>
      <w:r>
        <w:rPr>
          <w:spacing w:val="-96"/>
        </w:rPr>
      </w:r>
      <w:r>
        <w:rPr>
          <w:spacing w:val="-3"/>
        </w:rPr>
        <w:t>金净流量下降，主要由于</w:t>
      </w:r>
      <w:r>
        <w:rPr>
          <w:spacing w:val="-57"/>
        </w:rPr>
        <w:t> </w:t>
      </w:r>
      <w:r>
        <w:rPr>
          <w:rFonts w:ascii="宋体" w:hAnsi="宋体" w:cs="宋体" w:eastAsia="宋体" w:hint="default"/>
        </w:rPr>
        <w:t>2015</w:t>
      </w:r>
      <w:r>
        <w:rPr>
          <w:rFonts w:ascii="宋体" w:hAnsi="宋体" w:cs="宋体" w:eastAsia="宋体" w:hint="default"/>
          <w:spacing w:val="-57"/>
        </w:rPr>
        <w:t> </w:t>
      </w:r>
      <w:r>
        <w:rPr/>
        <w:t>年偿还债务支付现金</w:t>
      </w:r>
      <w:r>
        <w:rPr>
          <w:spacing w:val="-57"/>
        </w:rPr>
        <w:t> </w:t>
      </w:r>
      <w:r>
        <w:rPr>
          <w:rFonts w:ascii="宋体" w:hAnsi="宋体" w:cs="宋体" w:eastAsia="宋体" w:hint="default"/>
        </w:rPr>
        <w:t>146,772.60</w:t>
      </w:r>
      <w:r>
        <w:rPr>
          <w:rFonts w:ascii="宋体" w:hAnsi="宋体" w:cs="宋体" w:eastAsia="宋体" w:hint="default"/>
          <w:spacing w:val="-57"/>
        </w:rPr>
        <w:t> </w:t>
      </w:r>
      <w:r>
        <w:rPr>
          <w:spacing w:val="-3"/>
        </w:rPr>
        <w:t>万元，比去年同期增</w:t>
      </w:r>
    </w:p>
    <w:p>
      <w:pPr>
        <w:pStyle w:val="BodyText"/>
        <w:spacing w:line="312" w:lineRule="exact"/>
        <w:ind w:left="217" w:right="0"/>
        <w:jc w:val="both"/>
      </w:pPr>
      <w:r>
        <w:rPr/>
        <w:t>加</w:t>
      </w:r>
      <w:r>
        <w:rPr>
          <w:spacing w:val="-60"/>
        </w:rPr>
        <w:t> </w:t>
      </w:r>
      <w:r>
        <w:rPr>
          <w:rFonts w:ascii="宋体" w:hAnsi="宋体" w:cs="宋体" w:eastAsia="宋体" w:hint="default"/>
        </w:rPr>
        <w:t>61,335.12</w:t>
      </w:r>
      <w:r>
        <w:rPr>
          <w:rFonts w:ascii="宋体" w:hAnsi="宋体" w:cs="宋体" w:eastAsia="宋体" w:hint="default"/>
          <w:spacing w:val="-61"/>
        </w:rPr>
        <w:t> </w:t>
      </w:r>
      <w:r>
        <w:rPr/>
        <w:t>万元所致。</w:t>
      </w:r>
    </w:p>
    <w:p>
      <w:pPr>
        <w:spacing w:after="0" w:line="312" w:lineRule="exact"/>
        <w:jc w:val="both"/>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26"/>
        <w:ind w:left="937" w:right="0" w:firstLine="0"/>
        <w:jc w:val="left"/>
        <w:rPr>
          <w:rFonts w:ascii="宋体" w:hAnsi="宋体" w:cs="宋体" w:eastAsia="宋体" w:hint="default"/>
          <w:sz w:val="24"/>
          <w:szCs w:val="24"/>
        </w:rPr>
      </w:pPr>
      <w:r>
        <w:rPr>
          <w:rFonts w:ascii="宋体" w:hAnsi="宋体" w:cs="宋体" w:eastAsia="宋体" w:hint="default"/>
          <w:sz w:val="24"/>
          <w:szCs w:val="24"/>
        </w:rPr>
        <w:t>④</w:t>
      </w:r>
      <w:r>
        <w:rPr>
          <w:rFonts w:ascii="宋体" w:hAnsi="宋体" w:cs="宋体" w:eastAsia="宋体" w:hint="default"/>
          <w:spacing w:val="-2"/>
          <w:sz w:val="24"/>
          <w:szCs w:val="24"/>
        </w:rPr>
        <w:t> </w:t>
      </w:r>
      <w:r>
        <w:rPr>
          <w:rFonts w:ascii="宋体" w:hAnsi="宋体" w:cs="宋体" w:eastAsia="宋体" w:hint="default"/>
          <w:b/>
          <w:bCs/>
          <w:sz w:val="24"/>
          <w:szCs w:val="24"/>
        </w:rPr>
        <w:t>损益情况分析</w:t>
      </w:r>
      <w:r>
        <w:rPr>
          <w:rFonts w:ascii="宋体" w:hAnsi="宋体" w:cs="宋体" w:eastAsia="宋体" w:hint="default"/>
          <w:sz w:val="24"/>
          <w:szCs w:val="24"/>
        </w:rPr>
      </w:r>
    </w:p>
    <w:p>
      <w:pPr>
        <w:pStyle w:val="BodyText"/>
        <w:tabs>
          <w:tab w:pos="1320" w:val="left" w:leader="none"/>
        </w:tabs>
        <w:spacing w:line="240" w:lineRule="auto" w:before="55"/>
        <w:ind w:left="0" w:right="77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56"/>
        <w:gridCol w:w="1418"/>
        <w:gridCol w:w="1460"/>
        <w:gridCol w:w="1517"/>
        <w:gridCol w:w="850"/>
        <w:gridCol w:w="3013"/>
      </w:tblGrid>
      <w:tr>
        <w:trPr>
          <w:trHeight w:val="78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上年同期数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hAnsi="宋体" w:cs="宋体" w:eastAsia="宋体" w:hint="default"/>
                <w:w w:val="95"/>
                <w:sz w:val="20"/>
                <w:szCs w:val="20"/>
              </w:rPr>
              <w:t>增加额（减少）</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3" w:right="0"/>
              <w:jc w:val="left"/>
              <w:rPr>
                <w:rFonts w:ascii="宋体" w:hAnsi="宋体" w:cs="宋体" w:eastAsia="宋体" w:hint="default"/>
                <w:sz w:val="20"/>
                <w:szCs w:val="20"/>
              </w:rPr>
            </w:pPr>
            <w:r>
              <w:rPr>
                <w:rFonts w:ascii="宋体" w:hAnsi="宋体" w:cs="宋体" w:eastAsia="宋体" w:hint="default"/>
                <w:sz w:val="20"/>
                <w:szCs w:val="20"/>
              </w:rPr>
              <w:t>变动</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情况说明</w:t>
            </w:r>
          </w:p>
        </w:tc>
      </w:tr>
      <w:tr>
        <w:trPr>
          <w:trHeight w:val="53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0" w:right="0"/>
              <w:jc w:val="center"/>
              <w:rPr>
                <w:rFonts w:ascii="Arial" w:hAnsi="Arial" w:cs="Arial" w:eastAsia="Arial" w:hint="default"/>
                <w:sz w:val="22"/>
                <w:szCs w:val="22"/>
              </w:rPr>
            </w:pPr>
            <w:r>
              <w:rPr>
                <w:rFonts w:ascii="Arial"/>
                <w:w w:val="85"/>
                <w:sz w:val="22"/>
              </w:rPr>
              <w:t>45,308,960.49</w:t>
            </w:r>
            <w:r>
              <w:rPr>
                <w:rFonts w:ascii="Arial"/>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4"/>
              <w:jc w:val="right"/>
              <w:rPr>
                <w:rFonts w:ascii="Arial" w:hAnsi="Arial" w:cs="Arial" w:eastAsia="Arial" w:hint="default"/>
                <w:sz w:val="22"/>
                <w:szCs w:val="22"/>
              </w:rPr>
            </w:pPr>
            <w:r>
              <w:rPr>
                <w:rFonts w:ascii="Arial"/>
                <w:spacing w:val="-1"/>
                <w:w w:val="80"/>
                <w:sz w:val="22"/>
              </w:rPr>
              <w:t>23,135,548.78</w:t>
            </w:r>
            <w:r>
              <w:rPr>
                <w:rFonts w:ascii="Arial"/>
                <w:spacing w:val="-1"/>
                <w:sz w:val="22"/>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7" w:right="0"/>
              <w:jc w:val="left"/>
              <w:rPr>
                <w:rFonts w:ascii="Arial" w:hAnsi="Arial" w:cs="Arial" w:eastAsia="Arial" w:hint="default"/>
                <w:sz w:val="22"/>
                <w:szCs w:val="22"/>
              </w:rPr>
            </w:pPr>
            <w:r>
              <w:rPr>
                <w:rFonts w:ascii="Arial"/>
                <w:w w:val="85"/>
                <w:sz w:val="22"/>
              </w:rPr>
              <w:t>22,173,411.71</w:t>
            </w:r>
            <w:r>
              <w:rPr>
                <w:rFonts w:ascii="Arial"/>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Arial" w:hAnsi="Arial" w:cs="Arial" w:eastAsia="Arial" w:hint="default"/>
                <w:sz w:val="22"/>
                <w:szCs w:val="22"/>
              </w:rPr>
            </w:pPr>
            <w:r>
              <w:rPr>
                <w:rFonts w:ascii="Arial"/>
                <w:w w:val="80"/>
                <w:sz w:val="22"/>
              </w:rPr>
              <w:t>95.84</w:t>
            </w:r>
            <w:r>
              <w:rPr>
                <w:rFonts w:ascii="Arial"/>
                <w:sz w:val="22"/>
              </w:rPr>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主要是本期应收减值计提增加</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33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0" w:right="0"/>
              <w:jc w:val="center"/>
              <w:rPr>
                <w:rFonts w:ascii="Arial" w:hAnsi="Arial" w:cs="Arial" w:eastAsia="Arial" w:hint="default"/>
                <w:sz w:val="22"/>
                <w:szCs w:val="22"/>
              </w:rPr>
            </w:pPr>
            <w:r>
              <w:rPr>
                <w:rFonts w:ascii="Arial"/>
                <w:w w:val="85"/>
                <w:sz w:val="22"/>
              </w:rPr>
              <w:t>41,205,675.28</w:t>
            </w:r>
            <w:r>
              <w:rPr>
                <w:rFonts w:ascii="Arial"/>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Arial" w:hAnsi="Arial" w:cs="Arial" w:eastAsia="Arial" w:hint="default"/>
                <w:sz w:val="22"/>
                <w:szCs w:val="22"/>
              </w:rPr>
            </w:pPr>
            <w:r>
              <w:rPr>
                <w:rFonts w:ascii="Arial"/>
                <w:spacing w:val="-1"/>
                <w:w w:val="80"/>
                <w:sz w:val="22"/>
              </w:rPr>
              <w:t>26,062,587.07</w:t>
            </w:r>
            <w:r>
              <w:rPr>
                <w:rFonts w:ascii="Arial"/>
                <w:spacing w:val="-1"/>
                <w:sz w:val="22"/>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7" w:right="0"/>
              <w:jc w:val="left"/>
              <w:rPr>
                <w:rFonts w:ascii="Arial" w:hAnsi="Arial" w:cs="Arial" w:eastAsia="Arial" w:hint="default"/>
                <w:sz w:val="22"/>
                <w:szCs w:val="22"/>
              </w:rPr>
            </w:pPr>
            <w:r>
              <w:rPr>
                <w:rFonts w:ascii="Arial"/>
                <w:w w:val="85"/>
                <w:sz w:val="22"/>
              </w:rPr>
              <w:t>15,143,088.21</w:t>
            </w:r>
            <w:r>
              <w:rPr>
                <w:rFonts w:ascii="Arial"/>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22"/>
                <w:szCs w:val="22"/>
              </w:rPr>
            </w:pPr>
            <w:r>
              <w:rPr>
                <w:rFonts w:ascii="Arial"/>
                <w:w w:val="80"/>
                <w:sz w:val="22"/>
              </w:rPr>
              <w:t>58.10</w:t>
            </w:r>
            <w:r>
              <w:rPr>
                <w:rFonts w:ascii="Arial"/>
                <w:sz w:val="22"/>
              </w:rPr>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主要是本期政府补助增加所致</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1" w:right="0"/>
              <w:jc w:val="center"/>
              <w:rPr>
                <w:rFonts w:ascii="Arial" w:hAnsi="Arial" w:cs="Arial" w:eastAsia="Arial" w:hint="default"/>
                <w:sz w:val="22"/>
                <w:szCs w:val="22"/>
              </w:rPr>
            </w:pPr>
            <w:r>
              <w:rPr>
                <w:rFonts w:ascii="Arial"/>
                <w:w w:val="85"/>
                <w:sz w:val="22"/>
              </w:rPr>
              <w:t>8,409,222.60</w:t>
            </w:r>
            <w:r>
              <w:rPr>
                <w:rFonts w:ascii="Arial"/>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4"/>
              <w:jc w:val="right"/>
              <w:rPr>
                <w:rFonts w:ascii="Arial" w:hAnsi="Arial" w:cs="Arial" w:eastAsia="Arial" w:hint="default"/>
                <w:sz w:val="22"/>
                <w:szCs w:val="22"/>
              </w:rPr>
            </w:pPr>
            <w:r>
              <w:rPr>
                <w:rFonts w:ascii="Arial"/>
                <w:spacing w:val="-1"/>
                <w:w w:val="80"/>
                <w:sz w:val="22"/>
              </w:rPr>
              <w:t>3,925,245.79</w:t>
            </w:r>
            <w:r>
              <w:rPr>
                <w:rFonts w:ascii="Arial"/>
                <w:spacing w:val="-1"/>
                <w:sz w:val="22"/>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Arial" w:hAnsi="Arial" w:cs="Arial" w:eastAsia="Arial" w:hint="default"/>
                <w:sz w:val="22"/>
                <w:szCs w:val="22"/>
              </w:rPr>
            </w:pPr>
            <w:r>
              <w:rPr>
                <w:rFonts w:ascii="Arial"/>
                <w:spacing w:val="-1"/>
                <w:w w:val="80"/>
                <w:sz w:val="22"/>
              </w:rPr>
              <w:t>4,483,976.81</w:t>
            </w:r>
            <w:r>
              <w:rPr>
                <w:rFonts w:ascii="Arial"/>
                <w:spacing w:val="-1"/>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Arial" w:hAnsi="Arial" w:cs="Arial" w:eastAsia="Arial" w:hint="default"/>
                <w:sz w:val="22"/>
                <w:szCs w:val="22"/>
              </w:rPr>
            </w:pPr>
            <w:r>
              <w:rPr>
                <w:rFonts w:ascii="Arial"/>
                <w:w w:val="80"/>
                <w:sz w:val="22"/>
              </w:rPr>
              <w:t>114.23</w:t>
            </w:r>
            <w:r>
              <w:rPr>
                <w:rFonts w:ascii="Arial"/>
                <w:sz w:val="22"/>
              </w:rPr>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主要是本期预计负债增加所致</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1" w:right="0"/>
              <w:jc w:val="center"/>
              <w:rPr>
                <w:rFonts w:ascii="Arial" w:hAnsi="Arial" w:cs="Arial" w:eastAsia="Arial" w:hint="default"/>
                <w:sz w:val="22"/>
                <w:szCs w:val="22"/>
              </w:rPr>
            </w:pPr>
            <w:r>
              <w:rPr>
                <w:rFonts w:ascii="Arial"/>
                <w:w w:val="85"/>
                <w:sz w:val="22"/>
              </w:rPr>
              <w:t>-1,026,618.42</w:t>
            </w:r>
            <w:r>
              <w:rPr>
                <w:rFonts w:ascii="Arial"/>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Arial" w:hAnsi="Arial" w:cs="Arial" w:eastAsia="Arial" w:hint="default"/>
                <w:sz w:val="22"/>
                <w:szCs w:val="22"/>
              </w:rPr>
            </w:pPr>
            <w:r>
              <w:rPr>
                <w:rFonts w:ascii="Arial"/>
                <w:spacing w:val="-1"/>
                <w:w w:val="80"/>
                <w:sz w:val="22"/>
              </w:rPr>
              <w:t>10,658,479.17</w:t>
            </w:r>
            <w:r>
              <w:rPr>
                <w:rFonts w:ascii="Arial"/>
                <w:spacing w:val="-1"/>
                <w:sz w:val="22"/>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7" w:right="0"/>
              <w:jc w:val="left"/>
              <w:rPr>
                <w:rFonts w:ascii="Arial" w:hAnsi="Arial" w:cs="Arial" w:eastAsia="Arial" w:hint="default"/>
                <w:sz w:val="22"/>
                <w:szCs w:val="22"/>
              </w:rPr>
            </w:pPr>
            <w:r>
              <w:rPr>
                <w:rFonts w:ascii="Arial"/>
                <w:w w:val="85"/>
                <w:sz w:val="22"/>
              </w:rPr>
              <w:t>-11,685,097.59</w:t>
            </w:r>
            <w:r>
              <w:rPr>
                <w:rFonts w:ascii="Arial"/>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22"/>
                <w:szCs w:val="22"/>
              </w:rPr>
            </w:pPr>
            <w:r>
              <w:rPr>
                <w:rFonts w:ascii="Arial"/>
                <w:spacing w:val="-1"/>
                <w:w w:val="80"/>
                <w:sz w:val="22"/>
              </w:rPr>
              <w:t>-109.63</w:t>
            </w:r>
            <w:r>
              <w:rPr>
                <w:rFonts w:ascii="Arial"/>
                <w:spacing w:val="-1"/>
                <w:sz w:val="22"/>
              </w:rPr>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主要是本期所得税率变动所致</w:t>
            </w:r>
          </w:p>
        </w:tc>
      </w:tr>
    </w:tbl>
    <w:p>
      <w:pPr>
        <w:spacing w:line="240" w:lineRule="auto" w:before="5"/>
        <w:rPr>
          <w:rFonts w:ascii="宋体" w:hAnsi="宋体" w:cs="宋体" w:eastAsia="宋体" w:hint="default"/>
          <w:sz w:val="23"/>
          <w:szCs w:val="23"/>
        </w:rPr>
      </w:pPr>
    </w:p>
    <w:p>
      <w:pPr>
        <w:pStyle w:val="Heading2"/>
        <w:spacing w:line="240" w:lineRule="auto"/>
        <w:ind w:left="937"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t>非主营业务导致利润重大变化的说明</w:t>
      </w:r>
      <w:r>
        <w:rPr>
          <w:b w:val="0"/>
          <w:bCs w:val="0"/>
        </w:rPr>
      </w:r>
    </w:p>
    <w:p>
      <w:pPr>
        <w:pStyle w:val="BodyText"/>
        <w:spacing w:line="240" w:lineRule="auto" w:before="25"/>
        <w:ind w:left="93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340" w:right="1020"/>
        </w:sectPr>
      </w:pPr>
    </w:p>
    <w:p>
      <w:pPr>
        <w:pStyle w:val="Heading2"/>
        <w:spacing w:line="240" w:lineRule="auto"/>
        <w:ind w:left="937"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资产、负债情况分析</w:t>
      </w:r>
      <w:r>
        <w:rPr>
          <w:b w:val="0"/>
          <w:bCs w:val="0"/>
        </w:rPr>
      </w:r>
    </w:p>
    <w:p>
      <w:pPr>
        <w:spacing w:line="240" w:lineRule="auto" w:before="3"/>
        <w:rPr>
          <w:rFonts w:ascii="宋体" w:hAnsi="宋体" w:cs="宋体" w:eastAsia="宋体" w:hint="default"/>
          <w:b/>
          <w:bCs/>
          <w:sz w:val="30"/>
          <w:szCs w:val="30"/>
        </w:rPr>
      </w:pPr>
      <w:r>
        <w:rPr/>
        <w:br w:type="column"/>
      </w:r>
      <w:r>
        <w:rPr>
          <w:rFonts w:ascii="宋体"/>
          <w:b/>
          <w:sz w:val="30"/>
        </w:rPr>
      </w:r>
    </w:p>
    <w:p>
      <w:pPr>
        <w:pStyle w:val="Heading2"/>
        <w:spacing w:line="240" w:lineRule="auto" w:before="0"/>
        <w:ind w:left="937" w:right="-20"/>
        <w:jc w:val="left"/>
        <w:rPr>
          <w:b w:val="0"/>
          <w:bCs w:val="0"/>
        </w:rPr>
      </w:pPr>
      <w:r>
        <w:rPr/>
        <w:t>资产及负债状况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spacing w:line="240" w:lineRule="auto"/>
        <w:ind w:left="937" w:right="0"/>
        <w:jc w:val="left"/>
      </w:pPr>
      <w:r>
        <w:rPr/>
        <w:t>单位：元</w:t>
      </w:r>
    </w:p>
    <w:p>
      <w:pPr>
        <w:spacing w:after="0" w:line="240" w:lineRule="auto"/>
        <w:jc w:val="left"/>
        <w:sectPr>
          <w:type w:val="continuous"/>
          <w:pgSz w:w="11910" w:h="16840"/>
          <w:pgMar w:top="1120" w:bottom="1380" w:left="340" w:right="1020"/>
          <w:cols w:num="3" w:equalWidth="0">
            <w:col w:w="3526" w:space="45"/>
            <w:col w:w="2625" w:space="1677"/>
            <w:col w:w="2677"/>
          </w:cols>
        </w:sectPr>
      </w:pPr>
    </w:p>
    <w:p>
      <w:pPr>
        <w:spacing w:line="240" w:lineRule="auto" w:before="12"/>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1325"/>
        <w:gridCol w:w="1724"/>
        <w:gridCol w:w="1164"/>
        <w:gridCol w:w="1601"/>
        <w:gridCol w:w="1159"/>
        <w:gridCol w:w="1018"/>
        <w:gridCol w:w="1601"/>
      </w:tblGrid>
      <w:tr>
        <w:trPr>
          <w:trHeight w:val="117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4" w:right="127"/>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ind w:left="144" w:right="142"/>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1,540,956,775.37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22.74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1,738,745,309.1</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26.31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主要系本期偿还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借款所致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1,878,579,269.85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27.72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1,649,312,260.8</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24.96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规模增加所致</w:t>
            </w:r>
          </w:p>
        </w:tc>
      </w:tr>
      <w:tr>
        <w:trPr>
          <w:trHeight w:val="71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245,815,416.11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77,448,648.94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主要系本期往来</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17"/>
                <w:sz w:val="18"/>
                <w:szCs w:val="18"/>
              </w:rPr>
              <w:t>及股权转让款增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加所致</w:t>
            </w:r>
          </w:p>
        </w:tc>
      </w:tr>
      <w:tr>
        <w:trPr>
          <w:trHeight w:val="47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645,245,312.48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675,967,145.90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主要系本期销售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93,885,070.44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301,150,743.41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主要系融资租赁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业务影响所致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可供出售金融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125,924,675.00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67,400,000.00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主要系本期新增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投资所致</w:t>
            </w:r>
          </w:p>
        </w:tc>
      </w:tr>
      <w:tr>
        <w:trPr>
          <w:trHeight w:val="47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43,625,231.05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585,903,776.55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8.87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-92.55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主要系融资租赁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业务影响所致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227,673,696.14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63,845,660.81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0.97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256.60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主要系本期新增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联营公司所致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38,667,031.36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0.57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41,058,305.60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主要系本期计提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折旧所致</w:t>
            </w:r>
          </w:p>
        </w:tc>
      </w:tr>
      <w:tr>
        <w:trPr>
          <w:trHeight w:val="71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579,599,070.58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201,671,558.28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主要系本期科研</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17"/>
                <w:sz w:val="18"/>
                <w:szCs w:val="18"/>
              </w:rPr>
              <w:t>大楼结转固定资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产所致</w:t>
            </w:r>
          </w:p>
        </w:tc>
      </w:tr>
      <w:tr>
        <w:trPr>
          <w:trHeight w:val="71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2,919,980.00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213,051,760.55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-98.63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主要系本期科研</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17"/>
                <w:sz w:val="18"/>
                <w:szCs w:val="18"/>
              </w:rPr>
              <w:t>大楼结转固定资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产所致</w:t>
            </w:r>
          </w:p>
        </w:tc>
      </w:tr>
      <w:tr>
        <w:trPr>
          <w:trHeight w:val="47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431,048,714.23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278,924,311.08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主要系本期外购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软件增加所致</w:t>
            </w:r>
          </w:p>
        </w:tc>
      </w:tr>
      <w:tr>
        <w:trPr>
          <w:trHeight w:val="24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199,783,882.85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2.95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61,118,673.08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226.88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pacing w:val="17"/>
                <w:sz w:val="18"/>
                <w:szCs w:val="18"/>
              </w:rPr>
              <w:t>主要系本期研发</w:t>
            </w:r>
          </w:p>
        </w:tc>
      </w:tr>
    </w:tbl>
    <w:p>
      <w:pPr>
        <w:spacing w:after="0" w:line="208" w:lineRule="exact"/>
        <w:jc w:val="center"/>
        <w:rPr>
          <w:rFonts w:ascii="宋体" w:hAnsi="宋体" w:cs="宋体" w:eastAsia="宋体" w:hint="default"/>
          <w:sz w:val="18"/>
          <w:szCs w:val="18"/>
        </w:rPr>
        <w:sectPr>
          <w:type w:val="continuous"/>
          <w:pgSz w:w="11910" w:h="16840"/>
          <w:pgMar w:top="1120" w:bottom="1380" w:left="340" w:right="102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325"/>
        <w:gridCol w:w="1724"/>
        <w:gridCol w:w="1164"/>
        <w:gridCol w:w="1601"/>
        <w:gridCol w:w="1159"/>
        <w:gridCol w:w="1018"/>
        <w:gridCol w:w="1601"/>
      </w:tblGrid>
      <w:tr>
        <w:trPr>
          <w:trHeight w:val="243" w:hRule="exact"/>
        </w:trPr>
        <w:tc>
          <w:tcPr>
            <w:tcW w:w="1325"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投入增加所致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54,780,754.22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0.81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35,302,223.16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55.18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主要系本期所得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税率变动所致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其他非流动资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54,202,310.00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77,520,850.83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主要系本期预付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款项减少所致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595,418,659.52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511,316,420.55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7.74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主要系本期信用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借款增加所致</w:t>
            </w:r>
          </w:p>
        </w:tc>
      </w:tr>
      <w:tr>
        <w:trPr>
          <w:trHeight w:val="70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288,286,907.47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94,158,175.20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206.17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主要系应付票据</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17"/>
                <w:sz w:val="18"/>
                <w:szCs w:val="18"/>
              </w:rPr>
              <w:t>结算方式增加所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517,665,459.29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7.64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384,086,573.53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34.78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主要系本期预收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货款增加所致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3,225.70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12,945.97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-75.08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主要系本期支付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股利所致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39,960,000.00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265,487,180.65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4.02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-84.95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主要系融资租赁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业务影响所致</w:t>
            </w:r>
          </w:p>
        </w:tc>
      </w:tr>
      <w:tr>
        <w:trPr>
          <w:trHeight w:val="47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445,984,217.28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主要系融资租赁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业务影响所致</w:t>
            </w:r>
          </w:p>
        </w:tc>
      </w:tr>
      <w:tr>
        <w:trPr>
          <w:trHeight w:val="71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10,038,438.45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3,350,412.86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主要系本期待执</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17"/>
                <w:sz w:val="18"/>
                <w:szCs w:val="18"/>
              </w:rPr>
              <w:t>行的合同亏损所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67,829,440.00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28,932,781.95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主要系本期授予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限制性股票所致</w:t>
            </w:r>
          </w:p>
        </w:tc>
      </w:tr>
      <w:tr>
        <w:trPr>
          <w:trHeight w:val="47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-26,144,065.77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-51,603,784.39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主要系本期汇率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变动所致</w:t>
            </w:r>
          </w:p>
        </w:tc>
      </w:tr>
      <w:tr>
        <w:trPr>
          <w:trHeight w:val="71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479,720,653.67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342,933,125.20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39.89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主要系本期少数</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17"/>
                <w:sz w:val="18"/>
                <w:szCs w:val="18"/>
              </w:rPr>
              <w:t>股东新增投资所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7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负债和股东权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益总计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6,777,633,675.95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6,608,118,573.0</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2.57</w:t>
            </w:r>
          </w:p>
        </w:tc>
        <w:tc>
          <w:tcPr>
            <w:tcW w:w="16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31" w:lineRule="auto" w:before="26"/>
        <w:ind w:left="217" w:right="8629"/>
        <w:jc w:val="left"/>
      </w:pPr>
      <w:r>
        <w:rPr/>
        <w:t>其他说明 无</w:t>
      </w:r>
    </w:p>
    <w:p>
      <w:pPr>
        <w:spacing w:line="240" w:lineRule="auto" w:before="4"/>
        <w:rPr>
          <w:rFonts w:ascii="宋体" w:hAnsi="宋体" w:cs="宋体" w:eastAsia="宋体" w:hint="default"/>
          <w:sz w:val="30"/>
          <w:szCs w:val="30"/>
        </w:rPr>
      </w:pPr>
    </w:p>
    <w:p>
      <w:pPr>
        <w:spacing w:line="259" w:lineRule="auto" w:before="0"/>
        <w:ind w:left="817" w:right="2989" w:hanging="60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四</w:t>
      </w:r>
      <w:r>
        <w:rPr>
          <w:rFonts w:ascii="Calibri" w:hAnsi="Calibri" w:cs="Calibri" w:eastAsia="Calibri" w:hint="default"/>
          <w:b/>
          <w:bCs/>
          <w:sz w:val="24"/>
          <w:szCs w:val="24"/>
        </w:rPr>
        <w:t>)</w:t>
      </w:r>
      <w:r>
        <w:rPr>
          <w:rFonts w:ascii="Calibri" w:hAnsi="Calibri" w:cs="Calibri" w:eastAsia="Calibri" w:hint="default"/>
          <w:b/>
          <w:bCs/>
          <w:spacing w:val="-26"/>
          <w:sz w:val="24"/>
          <w:szCs w:val="24"/>
        </w:rPr>
        <w:t> </w:t>
      </w:r>
      <w:r>
        <w:rPr>
          <w:rFonts w:ascii="宋体" w:hAnsi="宋体" w:cs="宋体" w:eastAsia="宋体" w:hint="default"/>
          <w:b/>
          <w:bCs/>
          <w:sz w:val="24"/>
          <w:szCs w:val="24"/>
        </w:rPr>
        <w:t>行业经营性信息分析</w:t>
      </w:r>
      <w:r>
        <w:rPr>
          <w:rFonts w:ascii="宋体" w:hAnsi="宋体" w:cs="宋体" w:eastAsia="宋体" w:hint="default"/>
          <w:b/>
          <w:bCs/>
          <w:w w:val="99"/>
          <w:sz w:val="24"/>
          <w:szCs w:val="24"/>
        </w:rPr>
        <w:t> </w:t>
      </w:r>
      <w:r>
        <w:rPr>
          <w:rFonts w:ascii="宋体" w:hAnsi="宋体" w:cs="宋体" w:eastAsia="宋体" w:hint="default"/>
          <w:sz w:val="24"/>
          <w:szCs w:val="24"/>
        </w:rPr>
        <w:t>详见本节三、公司关于公司未来发展的讨论与分析部分。</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7"/>
          <w:pgSz w:w="11910" w:h="16840"/>
          <w:pgMar w:footer="1195" w:header="880" w:top="1120" w:bottom="1380" w:left="1060" w:right="1020"/>
        </w:sectPr>
      </w:pPr>
    </w:p>
    <w:p>
      <w:pPr>
        <w:pStyle w:val="Heading2"/>
        <w:spacing w:line="240" w:lineRule="auto"/>
        <w:ind w:right="-1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8"/>
        </w:rPr>
        <w:t> </w:t>
      </w:r>
      <w:r>
        <w:rPr/>
        <w:t>投资状况分析</w:t>
      </w:r>
      <w:r>
        <w:rPr>
          <w:b w:val="0"/>
          <w:bCs w:val="0"/>
        </w:rPr>
      </w:r>
    </w:p>
    <w:p>
      <w:pPr>
        <w:pStyle w:val="Heading2"/>
        <w:spacing w:line="240" w:lineRule="auto" w:before="27"/>
        <w:ind w:right="-18"/>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spacing w:line="240" w:lineRule="auto" w:before="202"/>
        <w:ind w:left="217" w:right="0"/>
        <w:jc w:val="lef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020"/>
          <w:cols w:num="2" w:equalWidth="0">
            <w:col w:w="3046" w:space="3146"/>
            <w:col w:w="3638"/>
          </w:cols>
        </w:sectPr>
      </w:pPr>
    </w:p>
    <w:p>
      <w:pPr>
        <w:spacing w:line="240" w:lineRule="auto" w:before="12"/>
        <w:rPr>
          <w:rFonts w:ascii="宋体" w:hAnsi="宋体" w:cs="宋体" w:eastAsia="宋体" w:hint="default"/>
          <w:sz w:val="11"/>
          <w:szCs w:val="11"/>
        </w:rPr>
      </w:pPr>
    </w:p>
    <w:tbl>
      <w:tblPr>
        <w:tblW w:w="0" w:type="auto"/>
        <w:jc w:val="left"/>
        <w:tblInd w:w="202" w:type="dxa"/>
        <w:tblLayout w:type="fixed"/>
        <w:tblCellMar>
          <w:top w:w="0" w:type="dxa"/>
          <w:left w:w="0" w:type="dxa"/>
          <w:bottom w:w="0" w:type="dxa"/>
          <w:right w:w="0" w:type="dxa"/>
        </w:tblCellMar>
        <w:tblLook w:val="01E0"/>
      </w:tblPr>
      <w:tblGrid>
        <w:gridCol w:w="4134"/>
        <w:gridCol w:w="4523"/>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报告期内投资额</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35,355.73</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投资额增减变动数</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8,368.28</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上年同期投资额</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26,987.45</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投资额增减幅度</w:t>
            </w:r>
            <w:r>
              <w:rPr>
                <w:rFonts w:ascii="宋体" w:hAnsi="宋体" w:cs="宋体" w:eastAsia="宋体" w:hint="default"/>
                <w:sz w:val="24"/>
                <w:szCs w:val="24"/>
              </w:rPr>
              <w:t>(%)</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2"/>
                <w:szCs w:val="22"/>
              </w:rPr>
            </w:pPr>
            <w:r>
              <w:rPr>
                <w:rFonts w:ascii="宋体"/>
                <w:sz w:val="22"/>
              </w:rPr>
              <w:t>31.01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right="2989"/>
        <w:jc w:val="left"/>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tabs>
          <w:tab w:pos="7610" w:val="left" w:leader="none"/>
        </w:tabs>
        <w:spacing w:line="240" w:lineRule="auto" w:before="55"/>
        <w:ind w:left="6410" w:right="0"/>
        <w:jc w:val="left"/>
      </w:pPr>
      <w:r>
        <w:rPr/>
        <w:t>单位：元</w:t>
        <w:tab/>
        <w:t>币种：人民币</w:t>
      </w:r>
    </w:p>
    <w:p>
      <w:pPr>
        <w:spacing w:after="0" w:line="240" w:lineRule="auto"/>
        <w:jc w:val="left"/>
        <w:sectPr>
          <w:type w:val="continuous"/>
          <w:pgSz w:w="11910" w:h="16840"/>
          <w:pgMar w:top="1120" w:bottom="1380" w:left="1060" w:right="1020"/>
        </w:sectPr>
      </w:pPr>
    </w:p>
    <w:p>
      <w:pPr>
        <w:spacing w:line="240" w:lineRule="auto" w:before="3"/>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487"/>
        <w:gridCol w:w="1897"/>
        <w:gridCol w:w="874"/>
        <w:gridCol w:w="1685"/>
        <w:gridCol w:w="1688"/>
        <w:gridCol w:w="1721"/>
      </w:tblGrid>
      <w:tr>
        <w:trPr>
          <w:trHeight w:val="478"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hAnsi="宋体" w:cs="宋体" w:eastAsia="宋体" w:hint="default"/>
                <w:sz w:val="18"/>
                <w:szCs w:val="18"/>
              </w:rPr>
              <w:t>累计实际投入金额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hAnsi="宋体" w:cs="宋体" w:eastAsia="宋体" w:hint="default"/>
                <w:sz w:val="18"/>
                <w:szCs w:val="18"/>
              </w:rPr>
              <w:t>项目控股收益情况</w:t>
            </w:r>
          </w:p>
        </w:tc>
      </w:tr>
      <w:tr>
        <w:trPr>
          <w:trHeight w:val="475"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北京华胜天成软件技术有限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49,600,000.00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11,450,000.00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49,600,000.00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17,787,164.51</w:t>
            </w:r>
          </w:p>
        </w:tc>
      </w:tr>
      <w:tr>
        <w:trPr>
          <w:trHeight w:val="353"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华胜信泰科技有限公司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500,000,000.00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112,000,000.00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212,000,000.00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-1,106,795.63</w:t>
            </w:r>
          </w:p>
        </w:tc>
      </w:tr>
      <w:tr>
        <w:trPr>
          <w:trHeight w:val="478"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华胜信泰信息产业发展有限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200,000,000.00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50,000,000.00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-10,618,147.15</w:t>
            </w:r>
          </w:p>
        </w:tc>
      </w:tr>
      <w:tr>
        <w:trPr>
          <w:trHeight w:val="475"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北京中域昭拓股权投资中心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224,000,000.00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112,000,000.00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112,000,000.00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-518,845.56</w:t>
            </w:r>
          </w:p>
        </w:tc>
      </w:tr>
      <w:tr>
        <w:trPr>
          <w:trHeight w:val="353"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63,201,156.84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5,463,312.44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63,201,156.84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961,069.81</w:t>
            </w:r>
          </w:p>
        </w:tc>
      </w:tr>
      <w:tr>
        <w:trPr>
          <w:trHeight w:val="478"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南京华胜天成智慧城市技术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12,080,000.00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3,624,000.00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3,624,000.00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-518,569.70</w:t>
            </w:r>
          </w:p>
        </w:tc>
      </w:tr>
      <w:tr>
        <w:trPr>
          <w:trHeight w:val="478"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南京智慧夫子庙发展有限公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9,000,000.00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-1,153,777.31</w:t>
            </w:r>
          </w:p>
        </w:tc>
      </w:tr>
      <w:tr>
        <w:trPr>
          <w:trHeight w:val="475"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南京拓维致胜信息科技有限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3,000,000.00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3,000,000.00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3,417.85</w:t>
            </w:r>
          </w:p>
        </w:tc>
      </w:tr>
      <w:tr>
        <w:trPr>
          <w:trHeight w:val="353"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北京华胜云图科技有限公司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4,500,000.00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2,250,000.00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2,250,000.00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-388,405.91</w:t>
            </w:r>
          </w:p>
        </w:tc>
      </w:tr>
      <w:tr>
        <w:trPr>
          <w:trHeight w:val="478"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北京华胜天成低碳产业创业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投资中心（有限合伙）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16,500,000.00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12,015,200.27</w:t>
            </w:r>
          </w:p>
        </w:tc>
      </w:tr>
      <w:tr>
        <w:trPr>
          <w:trHeight w:val="350"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北京悦享互联技术有限公司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-1,799,869.40</w:t>
            </w:r>
          </w:p>
        </w:tc>
      </w:tr>
      <w:tr>
        <w:trPr>
          <w:trHeight w:val="353"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杭州沃趣网络科技有限公司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26,270,000.00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26,270,000.00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26,270,000.00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3,284,568.73</w:t>
            </w:r>
          </w:p>
        </w:tc>
      </w:tr>
      <w:tr>
        <w:trPr>
          <w:trHeight w:val="353"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1,169,651,156.84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sz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353,557,312.44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587,945,156.84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bl>
    <w:p>
      <w:pPr>
        <w:pStyle w:val="BodyText"/>
        <w:spacing w:line="237" w:lineRule="auto" w:before="82"/>
        <w:ind w:left="937" w:right="683" w:firstLine="480"/>
        <w:jc w:val="left"/>
      </w:pPr>
      <w:r>
        <w:rPr/>
        <w:t>（</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月，本公司对全资子公司北京华胜天成软件技术有限公司增资， 软件公司注册资本由</w:t>
      </w:r>
      <w:r>
        <w:rPr>
          <w:spacing w:val="-63"/>
        </w:rPr>
        <w:t> </w:t>
      </w:r>
      <w:r>
        <w:rPr>
          <w:rFonts w:ascii="宋体" w:hAnsi="宋体" w:cs="宋体" w:eastAsia="宋体" w:hint="default"/>
        </w:rPr>
        <w:t>3,855</w:t>
      </w:r>
      <w:r>
        <w:rPr>
          <w:rFonts w:ascii="宋体" w:hAnsi="宋体" w:cs="宋体" w:eastAsia="宋体" w:hint="default"/>
          <w:spacing w:val="-62"/>
        </w:rPr>
        <w:t> </w:t>
      </w:r>
      <w:r>
        <w:rPr>
          <w:spacing w:val="-3"/>
        </w:rPr>
        <w:t>万元，变更为</w:t>
      </w:r>
      <w:r>
        <w:rPr>
          <w:spacing w:val="-62"/>
        </w:rPr>
        <w:t> </w:t>
      </w:r>
      <w:r>
        <w:rPr>
          <w:rFonts w:ascii="宋体" w:hAnsi="宋体" w:cs="宋体" w:eastAsia="宋体" w:hint="default"/>
        </w:rPr>
        <w:t>5,000</w:t>
      </w:r>
      <w:r>
        <w:rPr>
          <w:rFonts w:ascii="宋体" w:hAnsi="宋体" w:cs="宋体" w:eastAsia="宋体" w:hint="default"/>
          <w:spacing w:val="-62"/>
        </w:rPr>
        <w:t> </w:t>
      </w:r>
      <w:r>
        <w:rPr/>
        <w:t>万元。公司本次增资</w:t>
      </w:r>
      <w:r>
        <w:rPr>
          <w:spacing w:val="-62"/>
        </w:rPr>
        <w:t> </w:t>
      </w:r>
      <w:r>
        <w:rPr>
          <w:rFonts w:ascii="宋体" w:hAnsi="宋体" w:cs="宋体" w:eastAsia="宋体" w:hint="default"/>
        </w:rPr>
        <w:t>1,145</w:t>
      </w:r>
      <w:r>
        <w:rPr>
          <w:rFonts w:ascii="宋体" w:hAnsi="宋体" w:cs="宋体" w:eastAsia="宋体" w:hint="default"/>
          <w:spacing w:val="-62"/>
        </w:rPr>
        <w:t> </w:t>
      </w:r>
      <w:r>
        <w:rPr>
          <w:spacing w:val="-5"/>
        </w:rPr>
        <w:t>万元，持</w:t>
      </w:r>
      <w:r>
        <w:rPr/>
        <w:t> 股比例变更为</w:t>
      </w:r>
      <w:r>
        <w:rPr>
          <w:spacing w:val="-61"/>
        </w:rPr>
        <w:t> </w:t>
      </w:r>
      <w:r>
        <w:rPr>
          <w:rFonts w:ascii="宋体" w:hAnsi="宋体" w:cs="宋体" w:eastAsia="宋体" w:hint="default"/>
        </w:rPr>
        <w:t>99.20%</w:t>
      </w:r>
      <w:r>
        <w:rPr/>
        <w:t>。</w:t>
      </w:r>
    </w:p>
    <w:p>
      <w:pPr>
        <w:pStyle w:val="BodyText"/>
        <w:spacing w:line="313" w:lineRule="exact" w:before="118"/>
        <w:ind w:left="1417" w:right="683"/>
        <w:jc w:val="left"/>
        <w:rPr>
          <w:rFonts w:ascii="宋体" w:hAnsi="宋体" w:cs="宋体" w:eastAsia="宋体" w:hint="default"/>
        </w:rPr>
      </w:pPr>
      <w:r>
        <w:rPr>
          <w:spacing w:val="-13"/>
        </w:rPr>
        <w:t>（</w:t>
      </w:r>
      <w:r>
        <w:rPr>
          <w:rFonts w:ascii="宋体" w:hAnsi="宋体" w:cs="宋体" w:eastAsia="宋体" w:hint="default"/>
          <w:spacing w:val="-13"/>
        </w:rPr>
        <w:t>2</w:t>
      </w:r>
      <w:r>
        <w:rPr>
          <w:spacing w:val="-13"/>
        </w:rPr>
        <w:t>）</w:t>
      </w:r>
      <w:r>
        <w:rPr>
          <w:rFonts w:ascii="宋体" w:hAnsi="宋体" w:cs="宋体" w:eastAsia="宋体" w:hint="default"/>
          <w:spacing w:val="-13"/>
        </w:rPr>
        <w:t>2015</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spacing w:val="-4"/>
        </w:rPr>
        <w:t>月，本公司对全资子公司华胜信泰科技有限公司继续出资</w:t>
      </w:r>
      <w:r>
        <w:rPr>
          <w:spacing w:val="-54"/>
        </w:rPr>
        <w:t> </w:t>
      </w:r>
      <w:r>
        <w:rPr>
          <w:rFonts w:ascii="宋体" w:hAnsi="宋体" w:cs="宋体" w:eastAsia="宋体" w:hint="default"/>
        </w:rPr>
        <w:t>11,200</w:t>
      </w:r>
    </w:p>
    <w:p>
      <w:pPr>
        <w:pStyle w:val="BodyText"/>
        <w:spacing w:line="313" w:lineRule="exact"/>
        <w:ind w:left="937" w:right="683"/>
        <w:jc w:val="left"/>
      </w:pPr>
      <w:r>
        <w:rPr/>
        <w:t>万元，累计出资</w:t>
      </w:r>
      <w:r>
        <w:rPr>
          <w:spacing w:val="-61"/>
        </w:rPr>
        <w:t> </w:t>
      </w:r>
      <w:r>
        <w:rPr>
          <w:rFonts w:ascii="宋体" w:hAnsi="宋体" w:cs="宋体" w:eastAsia="宋体" w:hint="default"/>
        </w:rPr>
        <w:t>21,200</w:t>
      </w:r>
      <w:r>
        <w:rPr>
          <w:rFonts w:ascii="宋体" w:hAnsi="宋体" w:cs="宋体" w:eastAsia="宋体" w:hint="default"/>
          <w:spacing w:val="-60"/>
        </w:rPr>
        <w:t> </w:t>
      </w:r>
      <w:r>
        <w:rPr/>
        <w:t>万元，华胜信泰科技有限公司注册资本为</w:t>
      </w:r>
      <w:r>
        <w:rPr>
          <w:spacing w:val="-59"/>
        </w:rPr>
        <w:t> </w:t>
      </w:r>
      <w:r>
        <w:rPr>
          <w:rFonts w:ascii="宋体" w:hAnsi="宋体" w:cs="宋体" w:eastAsia="宋体" w:hint="default"/>
        </w:rPr>
        <w:t>50,000</w:t>
      </w:r>
      <w:r>
        <w:rPr>
          <w:rFonts w:ascii="宋体" w:hAnsi="宋体" w:cs="宋体" w:eastAsia="宋体" w:hint="default"/>
          <w:spacing w:val="-60"/>
        </w:rPr>
        <w:t> </w:t>
      </w:r>
      <w:r>
        <w:rPr/>
        <w:t>万元。</w:t>
      </w:r>
    </w:p>
    <w:p>
      <w:pPr>
        <w:pStyle w:val="BodyText"/>
        <w:spacing w:line="312" w:lineRule="exact" w:before="146"/>
        <w:ind w:left="937" w:right="811" w:firstLine="480"/>
        <w:jc w:val="both"/>
      </w:pPr>
      <w:r>
        <w:rPr>
          <w:spacing w:val="-18"/>
        </w:rPr>
        <w:t>（</w:t>
      </w:r>
      <w:r>
        <w:rPr>
          <w:rFonts w:ascii="宋体" w:hAnsi="宋体" w:cs="宋体" w:eastAsia="宋体" w:hint="default"/>
          <w:spacing w:val="-18"/>
        </w:rPr>
        <w:t>3</w:t>
      </w:r>
      <w:r>
        <w:rPr>
          <w:spacing w:val="-18"/>
        </w:rPr>
        <w:t>）</w:t>
      </w:r>
      <w:r>
        <w:rPr>
          <w:rFonts w:ascii="宋体" w:hAnsi="宋体" w:cs="宋体" w:eastAsia="宋体" w:hint="default"/>
          <w:spacing w:val="-18"/>
        </w:rPr>
        <w:t>2015</w:t>
      </w:r>
      <w:r>
        <w:rPr>
          <w:rFonts w:ascii="宋体" w:hAnsi="宋体" w:cs="宋体" w:eastAsia="宋体" w:hint="default"/>
          <w:spacing w:val="8"/>
        </w:rPr>
        <w:t> </w:t>
      </w:r>
      <w:r>
        <w:rPr/>
        <w:t>年</w:t>
      </w:r>
      <w:r>
        <w:rPr>
          <w:spacing w:val="-69"/>
        </w:rPr>
        <w:t> </w:t>
      </w:r>
      <w:r>
        <w:rPr>
          <w:rFonts w:ascii="宋体" w:hAnsi="宋体" w:cs="宋体" w:eastAsia="宋体" w:hint="default"/>
        </w:rPr>
        <w:t>3</w:t>
      </w:r>
      <w:r>
        <w:rPr>
          <w:rFonts w:ascii="宋体" w:hAnsi="宋体" w:cs="宋体" w:eastAsia="宋体" w:hint="default"/>
          <w:spacing w:val="-69"/>
        </w:rPr>
        <w:t> </w:t>
      </w:r>
      <w:r>
        <w:rPr>
          <w:spacing w:val="-6"/>
        </w:rPr>
        <w:t>月，本公司之全资子公司华胜信泰科技有限公司出资</w:t>
      </w:r>
      <w:r>
        <w:rPr>
          <w:spacing w:val="-68"/>
        </w:rPr>
        <w:t> </w:t>
      </w:r>
      <w:r>
        <w:rPr>
          <w:rFonts w:ascii="宋体" w:hAnsi="宋体" w:cs="宋体" w:eastAsia="宋体" w:hint="default"/>
        </w:rPr>
        <w:t>5,000</w:t>
      </w:r>
      <w:r>
        <w:rPr>
          <w:rFonts w:ascii="宋体" w:hAnsi="宋体" w:cs="宋体" w:eastAsia="宋体" w:hint="default"/>
          <w:spacing w:val="-69"/>
        </w:rPr>
        <w:t> </w:t>
      </w:r>
      <w:r>
        <w:rPr/>
        <w:t>万元， 设立华胜信泰信息产业发展有限公司，注册资本为</w:t>
      </w:r>
      <w:r>
        <w:rPr>
          <w:spacing w:val="-55"/>
        </w:rPr>
        <w:t> </w:t>
      </w:r>
      <w:r>
        <w:rPr>
          <w:rFonts w:ascii="宋体" w:hAnsi="宋体" w:cs="宋体" w:eastAsia="宋体" w:hint="default"/>
        </w:rPr>
        <w:t>20,000</w:t>
      </w:r>
      <w:r>
        <w:rPr>
          <w:rFonts w:ascii="宋体" w:hAnsi="宋体" w:cs="宋体" w:eastAsia="宋体" w:hint="default"/>
          <w:spacing w:val="-56"/>
        </w:rPr>
        <w:t> </w:t>
      </w:r>
      <w:r>
        <w:rPr/>
        <w:t>万元，持股比例</w:t>
      </w:r>
      <w:r>
        <w:rPr>
          <w:spacing w:val="-55"/>
        </w:rPr>
        <w:t> </w:t>
      </w:r>
      <w:r>
        <w:rPr>
          <w:rFonts w:ascii="宋体" w:hAnsi="宋体" w:cs="宋体" w:eastAsia="宋体" w:hint="default"/>
        </w:rPr>
        <w:t>100%</w:t>
      </w:r>
      <w:r>
        <w:rPr/>
        <w:t>，自 </w:t>
      </w:r>
      <w:r>
        <w:rPr>
          <w:rFonts w:ascii="宋体" w:hAnsi="宋体" w:cs="宋体" w:eastAsia="宋体" w:hint="default"/>
        </w:rPr>
        <w:t>2015</w:t>
      </w:r>
      <w:r>
        <w:rPr>
          <w:rFonts w:ascii="宋体" w:hAnsi="宋体" w:cs="宋体" w:eastAsia="宋体" w:hint="default"/>
          <w:spacing w:val="-60"/>
        </w:rPr>
        <w:t>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月起将其纳入合并财务报表范围。</w:t>
      </w:r>
    </w:p>
    <w:p>
      <w:pPr>
        <w:pStyle w:val="BodyText"/>
        <w:spacing w:line="313" w:lineRule="exact" w:before="87"/>
        <w:ind w:left="1417" w:right="683"/>
        <w:jc w:val="left"/>
      </w:pPr>
      <w:r>
        <w:rPr/>
        <w:t>（</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8"/>
        </w:rPr>
        <w:t> </w:t>
      </w:r>
      <w:r>
        <w:rPr>
          <w:rFonts w:ascii="宋体" w:hAnsi="宋体" w:cs="宋体" w:eastAsia="宋体" w:hint="default"/>
        </w:rPr>
        <w:t>17</w:t>
      </w:r>
      <w:r>
        <w:rPr>
          <w:rFonts w:ascii="宋体" w:hAnsi="宋体" w:cs="宋体" w:eastAsia="宋体" w:hint="default"/>
          <w:spacing w:val="-59"/>
        </w:rPr>
        <w:t> </w:t>
      </w:r>
      <w:r>
        <w:rPr/>
        <w:t>日，本公司之全资子公司华胜信泰科技有限公司同其他出</w:t>
      </w:r>
    </w:p>
    <w:p>
      <w:pPr>
        <w:pStyle w:val="BodyText"/>
        <w:spacing w:line="312" w:lineRule="exact" w:before="29"/>
        <w:ind w:left="937" w:right="683"/>
        <w:jc w:val="left"/>
      </w:pPr>
      <w:r>
        <w:rPr/>
        <w:t>资方签署了《北京中域昭拓股权投资中心（有限合伙）合伙协议》，成立产业基金。</w:t>
      </w:r>
      <w:r>
        <w:rPr>
          <w:spacing w:val="-57"/>
        </w:rPr>
        <w:t> </w:t>
      </w:r>
      <w:r>
        <w:rPr>
          <w:spacing w:val="-57"/>
        </w:rPr>
      </w:r>
      <w:r>
        <w:rPr/>
        <w:t>华胜信泰科技有限公司认缴计划出资</w:t>
      </w:r>
      <w:r>
        <w:rPr>
          <w:spacing w:val="-60"/>
        </w:rPr>
        <w:t> </w:t>
      </w:r>
      <w:r>
        <w:rPr>
          <w:rFonts w:ascii="宋体" w:hAnsi="宋体" w:cs="宋体" w:eastAsia="宋体" w:hint="default"/>
        </w:rPr>
        <w:t>22,400</w:t>
      </w:r>
      <w:r>
        <w:rPr>
          <w:rFonts w:ascii="宋体" w:hAnsi="宋体" w:cs="宋体" w:eastAsia="宋体" w:hint="default"/>
          <w:spacing w:val="-60"/>
        </w:rPr>
        <w:t> </w:t>
      </w:r>
      <w:r>
        <w:rPr/>
        <w:t>万元。</w:t>
      </w:r>
    </w:p>
    <w:p>
      <w:pPr>
        <w:pStyle w:val="BodyText"/>
        <w:spacing w:line="312" w:lineRule="exact" w:before="118"/>
        <w:ind w:left="937" w:right="812" w:firstLine="480"/>
        <w:jc w:val="both"/>
      </w:pPr>
      <w:r>
        <w:rPr>
          <w:spacing w:val="8"/>
        </w:rPr>
        <w:t>（</w:t>
      </w:r>
      <w:r>
        <w:rPr>
          <w:rFonts w:ascii="宋体" w:hAnsi="宋体" w:cs="宋体" w:eastAsia="宋体" w:hint="default"/>
          <w:spacing w:val="8"/>
        </w:rPr>
        <w:t>5</w:t>
      </w:r>
      <w:r>
        <w:rPr>
          <w:spacing w:val="8"/>
        </w:rPr>
        <w:t>）</w:t>
      </w:r>
      <w:r>
        <w:rPr>
          <w:rFonts w:ascii="宋体" w:hAnsi="宋体" w:cs="宋体" w:eastAsia="宋体" w:hint="default"/>
          <w:spacing w:val="8"/>
        </w:rPr>
        <w:t>2015 </w:t>
      </w:r>
      <w:r>
        <w:rPr/>
        <w:t>年 </w:t>
      </w:r>
      <w:r>
        <w:rPr>
          <w:rFonts w:ascii="宋体" w:hAnsi="宋体" w:cs="宋体" w:eastAsia="宋体" w:hint="default"/>
        </w:rPr>
        <w:t>6</w:t>
      </w:r>
      <w:r>
        <w:rPr>
          <w:rFonts w:ascii="宋体" w:hAnsi="宋体" w:cs="宋体" w:eastAsia="宋体" w:hint="default"/>
          <w:spacing w:val="63"/>
        </w:rPr>
        <w:t> </w:t>
      </w:r>
      <w:r>
        <w:rPr>
          <w:spacing w:val="16"/>
        </w:rPr>
        <w:t>月，本公司对全资子公司现代前锋软件有限公司继续增资</w:t>
      </w:r>
      <w:r>
        <w:rPr/>
        <w:t> </w:t>
      </w:r>
      <w:r>
        <w:rPr>
          <w:rFonts w:ascii="宋体" w:hAnsi="宋体" w:cs="宋体" w:eastAsia="宋体" w:hint="default"/>
        </w:rPr>
        <w:t>5,463,312.44 </w:t>
      </w:r>
      <w:r>
        <w:rPr/>
        <w:t>元，累计出资 </w:t>
      </w:r>
      <w:r>
        <w:rPr>
          <w:rFonts w:ascii="宋体" w:hAnsi="宋体" w:cs="宋体" w:eastAsia="宋体" w:hint="default"/>
        </w:rPr>
        <w:t>63,201,156.84</w:t>
      </w:r>
      <w:r>
        <w:rPr>
          <w:rFonts w:ascii="宋体" w:hAnsi="宋体" w:cs="宋体" w:eastAsia="宋体" w:hint="default"/>
          <w:spacing w:val="-47"/>
        </w:rPr>
        <w:t> </w:t>
      </w:r>
      <w:r>
        <w:rPr/>
        <w:t>元，现代前锋软件有限公司注册资本为</w:t>
      </w:r>
    </w:p>
    <w:p>
      <w:pPr>
        <w:pStyle w:val="BodyText"/>
        <w:spacing w:line="283" w:lineRule="exact"/>
        <w:ind w:left="937" w:right="683"/>
        <w:jc w:val="left"/>
      </w:pPr>
      <w:r>
        <w:rPr>
          <w:rFonts w:ascii="宋体" w:hAnsi="宋体" w:cs="宋体" w:eastAsia="宋体" w:hint="default"/>
        </w:rPr>
        <w:t>300</w:t>
      </w:r>
      <w:r>
        <w:rPr>
          <w:rFonts w:ascii="宋体" w:hAnsi="宋体" w:cs="宋体" w:eastAsia="宋体" w:hint="default"/>
          <w:spacing w:val="-60"/>
        </w:rPr>
        <w:t> </w:t>
      </w:r>
      <w:r>
        <w:rPr/>
        <w:t>美元。</w:t>
      </w:r>
    </w:p>
    <w:p>
      <w:pPr>
        <w:pStyle w:val="BodyText"/>
        <w:spacing w:line="237" w:lineRule="auto" w:before="118"/>
        <w:ind w:left="937" w:right="814" w:firstLine="480"/>
        <w:jc w:val="both"/>
      </w:pPr>
      <w:r>
        <w:rPr/>
        <w:t>（</w:t>
      </w:r>
      <w:r>
        <w:rPr>
          <w:rFonts w:ascii="宋体" w:hAnsi="宋体" w:cs="宋体" w:eastAsia="宋体" w:hint="default"/>
        </w:rPr>
        <w:t>6</w:t>
      </w:r>
      <w:r>
        <w:rPr/>
        <w:t>）</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月，本公司之全资子公司南京华胜信息技术有限公司与南京拓维 </w:t>
      </w:r>
      <w:r>
        <w:rPr>
          <w:spacing w:val="-2"/>
        </w:rPr>
        <w:t>致胜信息科技有限公司共同出资设立南京华胜天成智慧城市技术有限公司。南京华胜</w:t>
      </w:r>
      <w:r>
        <w:rPr>
          <w:spacing w:val="-94"/>
        </w:rPr>
        <w:t> </w:t>
      </w:r>
      <w:r>
        <w:rPr>
          <w:spacing w:val="-94"/>
        </w:rPr>
      </w:r>
      <w:r>
        <w:rPr/>
        <w:t>信息技术有限公司实缴出资</w:t>
      </w:r>
      <w:r>
        <w:rPr>
          <w:spacing w:val="-48"/>
        </w:rPr>
        <w:t> </w:t>
      </w:r>
      <w:r>
        <w:rPr>
          <w:rFonts w:ascii="宋体" w:hAnsi="宋体" w:cs="宋体" w:eastAsia="宋体" w:hint="default"/>
        </w:rPr>
        <w:t>362.4</w:t>
      </w:r>
      <w:r>
        <w:rPr>
          <w:rFonts w:ascii="宋体" w:hAnsi="宋体" w:cs="宋体" w:eastAsia="宋体" w:hint="default"/>
          <w:spacing w:val="-48"/>
        </w:rPr>
        <w:t> </w:t>
      </w:r>
      <w:r>
        <w:rPr/>
        <w:t>万元，持股比例</w:t>
      </w:r>
      <w:r>
        <w:rPr>
          <w:spacing w:val="-48"/>
        </w:rPr>
        <w:t> </w:t>
      </w:r>
      <w:r>
        <w:rPr>
          <w:rFonts w:ascii="宋体" w:hAnsi="宋体" w:cs="宋体" w:eastAsia="宋体" w:hint="default"/>
        </w:rPr>
        <w:t>80%</w:t>
      </w:r>
      <w:r>
        <w:rPr/>
        <w:t>，自</w:t>
      </w:r>
      <w:r>
        <w:rPr>
          <w:spacing w:val="-48"/>
        </w:rPr>
        <w:t> </w:t>
      </w:r>
      <w:r>
        <w:rPr>
          <w:rFonts w:ascii="宋体" w:hAnsi="宋体" w:cs="宋体" w:eastAsia="宋体" w:hint="default"/>
        </w:rPr>
        <w:t>2015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月起将其纳入 合并财务报表范围。</w:t>
      </w:r>
    </w:p>
    <w:p>
      <w:pPr>
        <w:pStyle w:val="BodyText"/>
        <w:spacing w:line="237" w:lineRule="auto" w:before="121"/>
        <w:ind w:left="937" w:right="813" w:firstLine="480"/>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月，本公司之全资子公司南京华胜天成智慧城市技术有限公司与 </w:t>
      </w:r>
      <w:r>
        <w:rPr>
          <w:spacing w:val="-2"/>
        </w:rPr>
        <w:t>南京华胜天成信息技术有限公司共同出资设立南京智慧夫子庙发展有限公司。南京华</w:t>
      </w:r>
      <w:r>
        <w:rPr>
          <w:spacing w:val="-94"/>
        </w:rPr>
        <w:t> </w:t>
      </w:r>
      <w:r>
        <w:rPr>
          <w:spacing w:val="-94"/>
        </w:rPr>
      </w:r>
      <w:r>
        <w:rPr/>
        <w:t>胜天成智慧城市技术有限公司认缴出资</w:t>
      </w:r>
      <w:r>
        <w:rPr>
          <w:spacing w:val="-60"/>
        </w:rPr>
        <w:t> </w:t>
      </w:r>
      <w:r>
        <w:rPr>
          <w:rFonts w:ascii="宋体" w:hAnsi="宋体" w:cs="宋体" w:eastAsia="宋体" w:hint="default"/>
        </w:rPr>
        <w:t>1500</w:t>
      </w:r>
      <w:r>
        <w:rPr>
          <w:rFonts w:ascii="宋体" w:hAnsi="宋体" w:cs="宋体" w:eastAsia="宋体" w:hint="default"/>
          <w:spacing w:val="-60"/>
        </w:rPr>
        <w:t> </w:t>
      </w:r>
      <w:r>
        <w:rPr>
          <w:spacing w:val="-4"/>
        </w:rPr>
        <w:t>万元，持股比例</w:t>
      </w:r>
      <w:r>
        <w:rPr>
          <w:spacing w:val="-60"/>
        </w:rPr>
        <w:t> </w:t>
      </w:r>
      <w:r>
        <w:rPr>
          <w:rFonts w:ascii="宋体" w:hAnsi="宋体" w:cs="宋体" w:eastAsia="宋体" w:hint="default"/>
          <w:spacing w:val="-5"/>
        </w:rPr>
        <w:t>30%</w:t>
      </w:r>
      <w:r>
        <w:rPr>
          <w:spacing w:val="-5"/>
        </w:rPr>
        <w:t>，自</w:t>
      </w:r>
      <w:r>
        <w:rPr>
          <w:spacing w:val="-60"/>
        </w:rPr>
        <w:t> </w:t>
      </w:r>
      <w:r>
        <w:rPr>
          <w:rFonts w:ascii="宋体" w:hAnsi="宋体" w:cs="宋体" w:eastAsia="宋体" w:hint="default"/>
        </w:rPr>
        <w:t>2015</w:t>
      </w:r>
      <w:r>
        <w:rPr>
          <w:rFonts w:ascii="宋体" w:hAnsi="宋体" w:cs="宋体" w:eastAsia="宋体" w:hint="default"/>
          <w:spacing w:val="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 将其纳入合并财务报表范围。</w:t>
      </w:r>
    </w:p>
    <w:p>
      <w:pPr>
        <w:spacing w:after="0" w:line="237" w:lineRule="auto"/>
        <w:jc w:val="both"/>
        <w:sectPr>
          <w:footerReference w:type="default" r:id="rId18"/>
          <w:pgSz w:w="11910" w:h="16840"/>
          <w:pgMar w:footer="1195" w:header="880" w:top="1120" w:bottom="1380" w:left="340" w:right="980"/>
          <w:pgNumType w:start="21"/>
        </w:sectPr>
      </w:pPr>
    </w:p>
    <w:p>
      <w:pPr>
        <w:spacing w:line="240" w:lineRule="auto" w:before="2"/>
        <w:rPr>
          <w:rFonts w:ascii="宋体" w:hAnsi="宋体" w:cs="宋体" w:eastAsia="宋体" w:hint="default"/>
          <w:sz w:val="19"/>
          <w:szCs w:val="19"/>
        </w:rPr>
      </w:pPr>
    </w:p>
    <w:p>
      <w:pPr>
        <w:pStyle w:val="BodyText"/>
        <w:spacing w:line="313" w:lineRule="exact" w:before="26"/>
        <w:ind w:left="697" w:right="102"/>
        <w:jc w:val="left"/>
        <w:rPr>
          <w:rFonts w:ascii="宋体" w:hAnsi="宋体" w:cs="宋体" w:eastAsia="宋体" w:hint="default"/>
        </w:rPr>
      </w:pPr>
      <w:r>
        <w:rPr/>
        <w:t>（</w:t>
      </w:r>
      <w:r>
        <w:rPr>
          <w:rFonts w:ascii="宋体" w:hAnsi="宋体" w:cs="宋体" w:eastAsia="宋体" w:hint="default"/>
        </w:rPr>
        <w:t>8</w:t>
      </w:r>
      <w:r>
        <w:rPr/>
        <w:t>）</w:t>
      </w:r>
      <w:r>
        <w:rPr>
          <w:rFonts w:ascii="宋体" w:hAnsi="宋体" w:cs="宋体" w:eastAsia="宋体" w:hint="default"/>
        </w:rPr>
        <w:t>2015 </w:t>
      </w:r>
      <w:r>
        <w:rPr/>
        <w:t>年 </w:t>
      </w:r>
      <w:r>
        <w:rPr>
          <w:rFonts w:ascii="宋体" w:hAnsi="宋体" w:cs="宋体" w:eastAsia="宋体" w:hint="default"/>
        </w:rPr>
        <w:t>11 </w:t>
      </w:r>
      <w:r>
        <w:rPr/>
        <w:t>月，本公司之全资子公司南京华胜信息技术有限公司出资</w:t>
      </w:r>
      <w:r>
        <w:rPr>
          <w:spacing w:val="-48"/>
        </w:rPr>
        <w:t> </w:t>
      </w:r>
      <w:r>
        <w:rPr>
          <w:rFonts w:ascii="宋体" w:hAnsi="宋体" w:cs="宋体" w:eastAsia="宋体" w:hint="default"/>
        </w:rPr>
        <w:t>300</w:t>
      </w:r>
    </w:p>
    <w:p>
      <w:pPr>
        <w:pStyle w:val="BodyText"/>
        <w:spacing w:line="310" w:lineRule="exact" w:before="31"/>
        <w:ind w:left="217" w:right="215"/>
        <w:jc w:val="left"/>
      </w:pPr>
      <w:r>
        <w:rPr/>
        <w:t>万元收购南京拓维致胜信息科技有限公司</w:t>
      </w:r>
      <w:r>
        <w:rPr>
          <w:spacing w:val="-55"/>
        </w:rPr>
        <w:t> </w:t>
      </w:r>
      <w:r>
        <w:rPr>
          <w:rFonts w:ascii="宋体" w:hAnsi="宋体" w:cs="宋体" w:eastAsia="宋体" w:hint="default"/>
        </w:rPr>
        <w:t>100%</w:t>
      </w:r>
      <w:r>
        <w:rPr/>
        <w:t>股权。自</w:t>
      </w:r>
      <w:r>
        <w:rPr>
          <w:spacing w:val="-55"/>
        </w:rPr>
        <w:t> </w:t>
      </w:r>
      <w:r>
        <w:rPr>
          <w:rFonts w:ascii="宋体" w:hAnsi="宋体" w:cs="宋体" w:eastAsia="宋体" w:hint="default"/>
        </w:rPr>
        <w:t>2015 </w:t>
      </w:r>
      <w:r>
        <w:rPr/>
        <w:t>年</w:t>
      </w:r>
      <w:r>
        <w:rPr>
          <w:spacing w:val="-56"/>
        </w:rPr>
        <w:t> </w:t>
      </w:r>
      <w:r>
        <w:rPr>
          <w:rFonts w:ascii="宋体" w:hAnsi="宋体" w:cs="宋体" w:eastAsia="宋体" w:hint="default"/>
        </w:rPr>
        <w:t>11 </w:t>
      </w:r>
      <w:r>
        <w:rPr/>
        <w:t>月起将其纳入合 并财务报表范围。</w:t>
      </w:r>
    </w:p>
    <w:p>
      <w:pPr>
        <w:pStyle w:val="BodyText"/>
        <w:spacing w:line="237" w:lineRule="auto" w:before="92"/>
        <w:ind w:left="217" w:right="233" w:firstLine="480"/>
        <w:jc w:val="both"/>
      </w:pPr>
      <w:r>
        <w:rPr>
          <w:spacing w:val="-17"/>
        </w:rPr>
        <w:t>（</w:t>
      </w:r>
      <w:r>
        <w:rPr>
          <w:rFonts w:ascii="宋体" w:hAnsi="宋体" w:cs="宋体" w:eastAsia="宋体" w:hint="default"/>
          <w:spacing w:val="-17"/>
        </w:rPr>
        <w:t>9</w:t>
      </w:r>
      <w:r>
        <w:rPr>
          <w:spacing w:val="-17"/>
        </w:rPr>
        <w:t>）</w:t>
      </w:r>
      <w:r>
        <w:rPr>
          <w:rFonts w:ascii="宋体" w:hAnsi="宋体" w:cs="宋体" w:eastAsia="宋体" w:hint="default"/>
          <w:spacing w:val="-17"/>
        </w:rPr>
        <w:t>2015</w:t>
      </w:r>
      <w:r>
        <w:rPr>
          <w:rFonts w:ascii="宋体" w:hAnsi="宋体" w:cs="宋体" w:eastAsia="宋体" w:hint="default"/>
          <w:spacing w:val="9"/>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spacing w:val="-5"/>
        </w:rPr>
        <w:t>月，本公司之全资子公司北京华胜天成软件技术有限公司出资</w:t>
      </w:r>
      <w:r>
        <w:rPr>
          <w:spacing w:val="-55"/>
        </w:rPr>
        <w:t> </w:t>
      </w:r>
      <w:r>
        <w:rPr>
          <w:rFonts w:ascii="宋体" w:hAnsi="宋体" w:cs="宋体" w:eastAsia="宋体" w:hint="default"/>
        </w:rPr>
        <w:t>450 </w:t>
      </w:r>
      <w:r>
        <w:rPr>
          <w:spacing w:val="-3"/>
        </w:rPr>
        <w:t>万元，设立北京华胜云图科技有限公司，注册资本为</w:t>
      </w:r>
      <w:r>
        <w:rPr>
          <w:spacing w:val="-55"/>
        </w:rPr>
        <w:t> </w:t>
      </w:r>
      <w:r>
        <w:rPr>
          <w:rFonts w:ascii="宋体" w:hAnsi="宋体" w:cs="宋体" w:eastAsia="宋体" w:hint="default"/>
        </w:rPr>
        <w:t>670</w:t>
      </w:r>
      <w:r>
        <w:rPr>
          <w:rFonts w:ascii="宋体" w:hAnsi="宋体" w:cs="宋体" w:eastAsia="宋体" w:hint="default"/>
          <w:spacing w:val="-55"/>
        </w:rPr>
        <w:t> </w:t>
      </w:r>
      <w:r>
        <w:rPr>
          <w:spacing w:val="-4"/>
        </w:rPr>
        <w:t>万元，持股比例</w:t>
      </w:r>
      <w:r>
        <w:rPr>
          <w:spacing w:val="-55"/>
        </w:rPr>
        <w:t> </w:t>
      </w:r>
      <w:r>
        <w:rPr>
          <w:rFonts w:ascii="宋体" w:hAnsi="宋体" w:cs="宋体" w:eastAsia="宋体" w:hint="default"/>
          <w:spacing w:val="-7"/>
        </w:rPr>
        <w:t>67.16%</w:t>
      </w:r>
      <w:r>
        <w:rPr>
          <w:spacing w:val="-7"/>
        </w:rPr>
        <w:t>，自</w:t>
      </w:r>
      <w:r>
        <w:rPr>
          <w:spacing w:val="-118"/>
        </w:rPr>
        <w:t> </w:t>
      </w:r>
      <w:r>
        <w:rPr>
          <w:rFonts w:ascii="宋体" w:hAnsi="宋体" w:cs="宋体" w:eastAsia="宋体" w:hint="default"/>
        </w:rPr>
        <w:t>2015 </w:t>
      </w:r>
      <w:r>
        <w:rPr/>
        <w:t>年</w:t>
      </w:r>
      <w:r>
        <w:rPr>
          <w:spacing w:val="-61"/>
        </w:rPr>
        <w:t> </w:t>
      </w:r>
      <w:r>
        <w:rPr>
          <w:rFonts w:ascii="宋体" w:hAnsi="宋体" w:cs="宋体" w:eastAsia="宋体" w:hint="default"/>
        </w:rPr>
        <w:t>8</w:t>
      </w:r>
      <w:r>
        <w:rPr>
          <w:rFonts w:ascii="宋体" w:hAnsi="宋体" w:cs="宋体" w:eastAsia="宋体" w:hint="default"/>
          <w:spacing w:val="-60"/>
        </w:rPr>
        <w:t> </w:t>
      </w:r>
      <w:r>
        <w:rPr/>
        <w:t>月起将其纳入合并财务报表范围。</w:t>
      </w:r>
    </w:p>
    <w:p>
      <w:pPr>
        <w:pStyle w:val="BodyText"/>
        <w:spacing w:line="312" w:lineRule="exact" w:before="149"/>
        <w:ind w:left="217" w:right="232" w:firstLine="480"/>
        <w:jc w:val="both"/>
      </w:pPr>
      <w:r>
        <w:rPr/>
        <w:t>（</w:t>
      </w:r>
      <w:r>
        <w:rPr>
          <w:rFonts w:ascii="宋体" w:hAnsi="宋体" w:cs="宋体" w:eastAsia="宋体" w:hint="default"/>
        </w:rPr>
        <w:t>10</w:t>
      </w:r>
      <w:r>
        <w:rPr/>
        <w:t>）</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月，本公司控股公司北京华胜天成低碳产业创业投资中心（有 </w:t>
      </w:r>
      <w:r>
        <w:rPr>
          <w:spacing w:val="-3"/>
        </w:rPr>
        <w:t>限合伙）继续出资</w:t>
      </w:r>
      <w:r>
        <w:rPr>
          <w:spacing w:val="-63"/>
        </w:rPr>
        <w:t> </w:t>
      </w:r>
      <w:r>
        <w:rPr>
          <w:rFonts w:ascii="宋体" w:hAnsi="宋体" w:cs="宋体" w:eastAsia="宋体" w:hint="default"/>
        </w:rPr>
        <w:t>1650</w:t>
      </w:r>
      <w:r>
        <w:rPr>
          <w:rFonts w:ascii="宋体" w:hAnsi="宋体" w:cs="宋体" w:eastAsia="宋体" w:hint="default"/>
          <w:spacing w:val="-62"/>
        </w:rPr>
        <w:t> </w:t>
      </w:r>
      <w:r>
        <w:rPr>
          <w:spacing w:val="-3"/>
        </w:rPr>
        <w:t>万元，累计出资</w:t>
      </w:r>
      <w:r>
        <w:rPr>
          <w:spacing w:val="-62"/>
        </w:rPr>
        <w:t> </w:t>
      </w:r>
      <w:r>
        <w:rPr>
          <w:rFonts w:ascii="宋体" w:hAnsi="宋体" w:cs="宋体" w:eastAsia="宋体" w:hint="default"/>
        </w:rPr>
        <w:t>5500</w:t>
      </w:r>
      <w:r>
        <w:rPr>
          <w:rFonts w:ascii="宋体" w:hAnsi="宋体" w:cs="宋体" w:eastAsia="宋体" w:hint="default"/>
          <w:spacing w:val="-60"/>
        </w:rPr>
        <w:t> </w:t>
      </w:r>
      <w:r>
        <w:rPr/>
        <w:t>万元，北京华胜天成低碳产业创业投资</w:t>
      </w:r>
    </w:p>
    <w:p>
      <w:pPr>
        <w:pStyle w:val="BodyText"/>
        <w:spacing w:line="283" w:lineRule="exact"/>
        <w:ind w:left="217" w:right="2569"/>
        <w:jc w:val="left"/>
      </w:pPr>
      <w:r>
        <w:rPr/>
        <w:t>中心（有限合伙）注册资本为</w:t>
      </w:r>
      <w:r>
        <w:rPr>
          <w:spacing w:val="-60"/>
        </w:rPr>
        <w:t> </w:t>
      </w:r>
      <w:r>
        <w:rPr>
          <w:rFonts w:ascii="宋体" w:hAnsi="宋体" w:cs="宋体" w:eastAsia="宋体" w:hint="default"/>
        </w:rPr>
        <w:t>23350</w:t>
      </w:r>
      <w:r>
        <w:rPr>
          <w:rFonts w:ascii="宋体" w:hAnsi="宋体" w:cs="宋体" w:eastAsia="宋体" w:hint="default"/>
          <w:spacing w:val="-60"/>
        </w:rPr>
        <w:t> </w:t>
      </w:r>
      <w:r>
        <w:rPr/>
        <w:t>万元。</w:t>
      </w:r>
    </w:p>
    <w:p>
      <w:pPr>
        <w:pStyle w:val="BodyText"/>
        <w:spacing w:line="240" w:lineRule="auto" w:before="115"/>
        <w:ind w:left="217" w:right="232" w:firstLine="480"/>
        <w:jc w:val="both"/>
      </w:pPr>
      <w:r>
        <w:rPr/>
        <w:t>（</w:t>
      </w:r>
      <w:r>
        <w:rPr>
          <w:rFonts w:ascii="宋体" w:hAnsi="宋体" w:cs="宋体" w:eastAsia="宋体" w:hint="default"/>
        </w:rPr>
        <w:t>11</w:t>
      </w:r>
      <w:r>
        <w:rPr/>
        <w:t>）</w:t>
      </w:r>
      <w:r>
        <w:rPr>
          <w:rFonts w:ascii="宋体" w:hAnsi="宋体" w:cs="宋体" w:eastAsia="宋体" w:hint="default"/>
        </w:rPr>
        <w:t>2015 </w:t>
      </w:r>
      <w:r>
        <w:rPr/>
        <w:t>年 </w:t>
      </w:r>
      <w:r>
        <w:rPr>
          <w:rFonts w:ascii="宋体" w:hAnsi="宋体" w:cs="宋体" w:eastAsia="宋体" w:hint="default"/>
        </w:rPr>
        <w:t>5</w:t>
      </w:r>
      <w:r>
        <w:rPr>
          <w:rFonts w:ascii="宋体" w:hAnsi="宋体" w:cs="宋体" w:eastAsia="宋体" w:hint="default"/>
          <w:spacing w:val="-49"/>
        </w:rPr>
        <w:t> </w:t>
      </w:r>
      <w:r>
        <w:rPr/>
        <w:t>月，本公司之全资子公司北京华胜天成软件技术有限公司出资 </w:t>
      </w:r>
      <w:r>
        <w:rPr>
          <w:rFonts w:ascii="宋体" w:hAnsi="宋体" w:cs="宋体" w:eastAsia="宋体" w:hint="default"/>
        </w:rPr>
        <w:t>200 </w:t>
      </w:r>
      <w:r>
        <w:rPr/>
        <w:t>万元，设立北京悦享互联技术有限公司，注册资本为 </w:t>
      </w:r>
      <w:r>
        <w:rPr>
          <w:rFonts w:ascii="宋体" w:hAnsi="宋体" w:cs="宋体" w:eastAsia="宋体" w:hint="default"/>
        </w:rPr>
        <w:t>1000</w:t>
      </w:r>
      <w:r>
        <w:rPr>
          <w:rFonts w:ascii="宋体" w:hAnsi="宋体" w:cs="宋体" w:eastAsia="宋体" w:hint="default"/>
          <w:spacing w:val="-46"/>
        </w:rPr>
        <w:t> </w:t>
      </w:r>
      <w:r>
        <w:rPr/>
        <w:t>万元，认缴出资比例</w:t>
      </w:r>
    </w:p>
    <w:p>
      <w:pPr>
        <w:pStyle w:val="BodyText"/>
        <w:spacing w:line="312" w:lineRule="exact"/>
        <w:ind w:left="217" w:right="2569"/>
        <w:jc w:val="left"/>
      </w:pPr>
      <w:r>
        <w:rPr>
          <w:rFonts w:ascii="宋体" w:hAnsi="宋体" w:cs="宋体" w:eastAsia="宋体" w:hint="default"/>
        </w:rPr>
        <w:t>20%</w:t>
      </w:r>
      <w:r>
        <w:rPr/>
        <w:t>，实缴持股比例</w:t>
      </w:r>
      <w:r>
        <w:rPr>
          <w:spacing w:val="-61"/>
        </w:rPr>
        <w:t> </w:t>
      </w:r>
      <w:r>
        <w:rPr>
          <w:rFonts w:ascii="宋体" w:hAnsi="宋体" w:cs="宋体" w:eastAsia="宋体" w:hint="default"/>
        </w:rPr>
        <w:t>37.38%</w:t>
      </w:r>
      <w:r>
        <w:rPr/>
        <w:t>。</w:t>
      </w:r>
    </w:p>
    <w:p>
      <w:pPr>
        <w:pStyle w:val="BodyText"/>
        <w:spacing w:line="312" w:lineRule="exact" w:before="146"/>
        <w:ind w:left="217" w:right="102" w:firstLine="480"/>
        <w:jc w:val="left"/>
      </w:pPr>
      <w:r>
        <w:rPr/>
        <w:t>（</w:t>
      </w:r>
      <w:r>
        <w:rPr>
          <w:rFonts w:ascii="宋体" w:hAnsi="宋体" w:cs="宋体" w:eastAsia="宋体" w:hint="default"/>
        </w:rPr>
        <w:t>12</w:t>
      </w:r>
      <w:r>
        <w:rPr/>
        <w:t>））</w:t>
      </w:r>
      <w:r>
        <w:rPr>
          <w:rFonts w:ascii="宋体" w:hAnsi="宋体" w:cs="宋体" w:eastAsia="宋体" w:hint="default"/>
        </w:rPr>
        <w:t>2015 </w:t>
      </w:r>
      <w:r>
        <w:rPr/>
        <w:t>年 </w:t>
      </w:r>
      <w:r>
        <w:rPr>
          <w:rFonts w:ascii="宋体" w:hAnsi="宋体" w:cs="宋体" w:eastAsia="宋体" w:hint="default"/>
        </w:rPr>
        <w:t>1</w:t>
      </w:r>
      <w:r>
        <w:rPr>
          <w:rFonts w:ascii="宋体" w:hAnsi="宋体" w:cs="宋体" w:eastAsia="宋体" w:hint="default"/>
          <w:spacing w:val="-49"/>
        </w:rPr>
        <w:t> </w:t>
      </w:r>
      <w:r>
        <w:rPr/>
        <w:t>月，本公司之全资子公司北京华胜天成软件技术有限公司出 资</w:t>
      </w:r>
      <w:r>
        <w:rPr>
          <w:spacing w:val="-79"/>
        </w:rPr>
        <w:t> </w:t>
      </w:r>
      <w:r>
        <w:rPr>
          <w:rFonts w:ascii="宋体" w:hAnsi="宋体" w:cs="宋体" w:eastAsia="宋体" w:hint="default"/>
        </w:rPr>
        <w:t>2627</w:t>
      </w:r>
      <w:r>
        <w:rPr>
          <w:rFonts w:ascii="宋体" w:hAnsi="宋体" w:cs="宋体" w:eastAsia="宋体" w:hint="default"/>
          <w:spacing w:val="-79"/>
        </w:rPr>
        <w:t> </w:t>
      </w:r>
      <w:r>
        <w:rPr>
          <w:spacing w:val="-11"/>
        </w:rPr>
        <w:t>万元，设立杭州沃趣网络科技有限公司，注册资本为</w:t>
      </w:r>
      <w:r>
        <w:rPr>
          <w:spacing w:val="-79"/>
        </w:rPr>
        <w:t> </w:t>
      </w:r>
      <w:r>
        <w:rPr>
          <w:rFonts w:ascii="宋体" w:hAnsi="宋体" w:cs="宋体" w:eastAsia="宋体" w:hint="default"/>
        </w:rPr>
        <w:t>743</w:t>
      </w:r>
      <w:r>
        <w:rPr>
          <w:rFonts w:ascii="宋体" w:hAnsi="宋体" w:cs="宋体" w:eastAsia="宋体" w:hint="default"/>
          <w:spacing w:val="-79"/>
        </w:rPr>
        <w:t> </w:t>
      </w:r>
      <w:r>
        <w:rPr>
          <w:spacing w:val="-18"/>
        </w:rPr>
        <w:t>万元，持股比例</w:t>
      </w:r>
      <w:r>
        <w:rPr>
          <w:spacing w:val="-78"/>
        </w:rPr>
        <w:t> </w:t>
      </w:r>
      <w:r>
        <w:rPr>
          <w:rFonts w:ascii="宋体" w:hAnsi="宋体" w:cs="宋体" w:eastAsia="宋体" w:hint="default"/>
        </w:rPr>
        <w:t>40.8%</w:t>
      </w:r>
      <w:r>
        <w:rPr/>
        <w:t>，</w:t>
      </w:r>
    </w:p>
    <w:p>
      <w:pPr>
        <w:pStyle w:val="BodyText"/>
        <w:spacing w:line="283" w:lineRule="exact"/>
        <w:ind w:left="217" w:right="2569"/>
        <w:jc w:val="left"/>
      </w:pPr>
      <w:r>
        <w:rPr/>
        <w:t>自</w:t>
      </w:r>
      <w:r>
        <w:rPr>
          <w:spacing w:val="-60"/>
        </w:rPr>
        <w:t> </w:t>
      </w:r>
      <w:r>
        <w:rPr>
          <w:rFonts w:ascii="宋体" w:hAnsi="宋体" w:cs="宋体" w:eastAsia="宋体" w:hint="default"/>
        </w:rPr>
        <w:t>2015</w:t>
      </w:r>
      <w:r>
        <w:rPr>
          <w:rFonts w:ascii="宋体" w:hAnsi="宋体" w:cs="宋体" w:eastAsia="宋体" w:hint="default"/>
          <w:spacing w:val="-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月起将其纳入合并财务报表范围。</w:t>
      </w:r>
    </w:p>
    <w:p>
      <w:pPr>
        <w:spacing w:line="240" w:lineRule="auto" w:before="0"/>
        <w:rPr>
          <w:rFonts w:ascii="宋体" w:hAnsi="宋体" w:cs="宋体" w:eastAsia="宋体" w:hint="default"/>
          <w:sz w:val="24"/>
          <w:szCs w:val="24"/>
        </w:rPr>
      </w:pPr>
    </w:p>
    <w:p>
      <w:pPr>
        <w:pStyle w:val="Heading2"/>
        <w:spacing w:line="283" w:lineRule="auto" w:before="173"/>
        <w:ind w:right="6705"/>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60" w:right="1560"/>
        </w:sectPr>
      </w:pPr>
    </w:p>
    <w:p>
      <w:pPr>
        <w:pStyle w:val="Heading2"/>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7"/>
        </w:rPr>
        <w:t> </w:t>
      </w:r>
      <w:r>
        <w:rPr/>
        <w:t>以公允价值计量的金融资产</w:t>
      </w:r>
      <w:r>
        <w:rPr>
          <w:b w:val="0"/>
          <w:bCs w:val="0"/>
        </w:rPr>
      </w:r>
    </w:p>
    <w:p>
      <w:pPr>
        <w:pStyle w:val="BodyText"/>
        <w:spacing w:line="240" w:lineRule="auto" w:before="46"/>
        <w:ind w:left="217" w:right="0"/>
        <w:jc w:val="left"/>
        <w:rPr>
          <w:rFonts w:ascii="MS UI Gothic" w:hAnsi="MS UI Gothic" w:cs="MS UI Gothic" w:eastAsia="MS UI Gothic" w:hint="default"/>
        </w:rPr>
      </w:pPr>
      <w:r>
        <w:rPr>
          <w:rFonts w:ascii="MS UI Gothic" w:hAnsi="MS UI Gothic" w:cs="MS UI Gothic" w:eastAsia="MS UI Gothic" w:hint="default"/>
          <w:spacing w:val="-1"/>
        </w:rPr>
        <w:t>持有其他上市公司股</w:t>
      </w:r>
      <w:r>
        <w:rPr>
          <w:rFonts w:ascii="微软雅黑" w:hAnsi="微软雅黑" w:cs="微软雅黑" w:eastAsia="微软雅黑" w:hint="default"/>
          <w:spacing w:val="-1"/>
        </w:rPr>
        <w:t>权</w:t>
      </w:r>
      <w:r>
        <w:rPr>
          <w:rFonts w:ascii="MS UI Gothic" w:hAnsi="MS UI Gothic" w:cs="MS UI Gothic" w:eastAsia="MS UI Gothic" w:hint="default"/>
          <w:spacing w:val="-1"/>
        </w:rPr>
        <w:t>情况的</w:t>
      </w:r>
      <w:r>
        <w:rPr>
          <w:rFonts w:ascii="微软雅黑" w:hAnsi="微软雅黑" w:cs="微软雅黑" w:eastAsia="微软雅黑" w:hint="default"/>
          <w:spacing w:val="-1"/>
        </w:rPr>
        <w:t>说</w:t>
      </w:r>
      <w:r>
        <w:rPr>
          <w:rFonts w:ascii="MS UI Gothic" w:hAnsi="MS UI Gothic" w:cs="MS UI Gothic" w:eastAsia="MS UI Gothic" w:hint="default"/>
          <w:spacing w:val="-1"/>
        </w:rPr>
        <w:t>明：</w:t>
      </w:r>
    </w:p>
    <w:p>
      <w:pPr>
        <w:spacing w:line="240" w:lineRule="auto" w:before="0"/>
        <w:rPr>
          <w:rFonts w:ascii="MS UI Gothic" w:hAnsi="MS UI Gothic" w:cs="MS UI Gothic" w:eastAsia="MS UI Gothic" w:hint="default"/>
          <w:sz w:val="24"/>
          <w:szCs w:val="24"/>
        </w:rPr>
      </w:pPr>
      <w:r>
        <w:rPr/>
        <w:br w:type="column"/>
      </w:r>
      <w:r>
        <w:rPr>
          <w:rFonts w:ascii="MS UI Gothic"/>
          <w:sz w:val="24"/>
        </w:rPr>
      </w:r>
    </w:p>
    <w:p>
      <w:pPr>
        <w:spacing w:line="240" w:lineRule="auto" w:before="0"/>
        <w:rPr>
          <w:rFonts w:ascii="MS UI Gothic" w:hAnsi="MS UI Gothic" w:cs="MS UI Gothic" w:eastAsia="MS UI Gothic" w:hint="default"/>
          <w:sz w:val="24"/>
          <w:szCs w:val="24"/>
        </w:rPr>
      </w:pPr>
    </w:p>
    <w:p>
      <w:pPr>
        <w:pStyle w:val="BodyText"/>
        <w:spacing w:line="240" w:lineRule="auto" w:before="180"/>
        <w:ind w:left="217" w:right="0"/>
        <w:jc w:val="left"/>
      </w:pPr>
      <w:r>
        <w:rPr/>
        <w:t>单位：元币种：人民币</w:t>
      </w:r>
    </w:p>
    <w:p>
      <w:pPr>
        <w:spacing w:after="0" w:line="240" w:lineRule="auto"/>
        <w:jc w:val="left"/>
        <w:sectPr>
          <w:type w:val="continuous"/>
          <w:pgSz w:w="11910" w:h="16840"/>
          <w:pgMar w:top="1120" w:bottom="1380" w:left="1060" w:right="1560"/>
          <w:cols w:num="2" w:equalWidth="0">
            <w:col w:w="4058" w:space="237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09"/>
        <w:gridCol w:w="655"/>
        <w:gridCol w:w="1154"/>
        <w:gridCol w:w="737"/>
        <w:gridCol w:w="751"/>
        <w:gridCol w:w="1193"/>
        <w:gridCol w:w="1078"/>
        <w:gridCol w:w="1080"/>
        <w:gridCol w:w="569"/>
        <w:gridCol w:w="617"/>
      </w:tblGrid>
      <w:tr>
        <w:trPr>
          <w:trHeight w:val="593"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4" w:right="170" w:hanging="152"/>
              <w:jc w:val="left"/>
              <w:rPr>
                <w:rFonts w:ascii="宋体" w:hAnsi="宋体" w:cs="宋体" w:eastAsia="宋体" w:hint="default"/>
                <w:sz w:val="15"/>
                <w:szCs w:val="15"/>
              </w:rPr>
            </w:pPr>
            <w:r>
              <w:rPr>
                <w:rFonts w:ascii="宋体" w:hAnsi="宋体" w:cs="宋体" w:eastAsia="宋体" w:hint="default"/>
                <w:sz w:val="15"/>
                <w:szCs w:val="15"/>
              </w:rPr>
              <w:t>证券代</w:t>
            </w:r>
            <w:r>
              <w:rPr>
                <w:rFonts w:ascii="宋体" w:hAnsi="宋体" w:cs="宋体" w:eastAsia="宋体" w:hint="default"/>
                <w:spacing w:val="-72"/>
                <w:sz w:val="15"/>
                <w:szCs w:val="15"/>
              </w:rPr>
              <w:t> </w:t>
            </w:r>
            <w:r>
              <w:rPr>
                <w:rFonts w:ascii="宋体" w:hAnsi="宋体" w:cs="宋体" w:eastAsia="宋体" w:hint="default"/>
                <w:sz w:val="15"/>
                <w:szCs w:val="15"/>
              </w:rPr>
              <w:t>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2" w:right="168"/>
              <w:jc w:val="left"/>
              <w:rPr>
                <w:rFonts w:ascii="宋体" w:hAnsi="宋体" w:cs="宋体" w:eastAsia="宋体" w:hint="default"/>
                <w:sz w:val="15"/>
                <w:szCs w:val="15"/>
              </w:rPr>
            </w:pPr>
            <w:r>
              <w:rPr>
                <w:rFonts w:ascii="宋体" w:hAnsi="宋体" w:cs="宋体" w:eastAsia="宋体" w:hint="default"/>
                <w:sz w:val="15"/>
                <w:szCs w:val="15"/>
              </w:rPr>
              <w:t>证券</w:t>
            </w:r>
            <w:r>
              <w:rPr>
                <w:rFonts w:ascii="宋体" w:hAnsi="宋体" w:cs="宋体" w:eastAsia="宋体" w:hint="default"/>
                <w:spacing w:val="-73"/>
                <w:sz w:val="15"/>
                <w:szCs w:val="15"/>
              </w:rPr>
              <w:t> </w:t>
            </w:r>
            <w:r>
              <w:rPr>
                <w:rFonts w:ascii="宋体" w:hAnsi="宋体" w:cs="宋体" w:eastAsia="宋体" w:hint="default"/>
                <w:sz w:val="15"/>
                <w:szCs w:val="15"/>
              </w:rPr>
              <w:t>简称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最初投资成本</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z w:val="15"/>
                <w:szCs w:val="15"/>
              </w:rPr>
              <w:t>期初持</w:t>
            </w:r>
          </w:p>
          <w:p>
            <w:pPr>
              <w:pStyle w:val="TableParagraph"/>
              <w:spacing w:line="194" w:lineRule="exact"/>
              <w:ind w:left="134" w:right="0"/>
              <w:jc w:val="left"/>
              <w:rPr>
                <w:rFonts w:ascii="宋体" w:hAnsi="宋体" w:cs="宋体" w:eastAsia="宋体" w:hint="default"/>
                <w:sz w:val="15"/>
                <w:szCs w:val="15"/>
              </w:rPr>
            </w:pPr>
            <w:r>
              <w:rPr>
                <w:rFonts w:ascii="宋体" w:hAnsi="宋体" w:cs="宋体" w:eastAsia="宋体" w:hint="default"/>
                <w:sz w:val="15"/>
                <w:szCs w:val="15"/>
              </w:rPr>
              <w:t>股比例</w:t>
            </w:r>
          </w:p>
          <w:p>
            <w:pPr>
              <w:pStyle w:val="TableParagraph"/>
              <w:spacing w:line="195" w:lineRule="exact"/>
              <w:ind w:left="134" w:right="0"/>
              <w:jc w:val="left"/>
              <w:rPr>
                <w:rFonts w:ascii="宋体" w:hAnsi="宋体" w:cs="宋体" w:eastAsia="宋体" w:hint="default"/>
                <w:sz w:val="15"/>
                <w:szCs w:val="15"/>
              </w:rPr>
            </w:pPr>
            <w:r>
              <w:rPr>
                <w:rFonts w:ascii="宋体" w:hAnsi="宋体" w:cs="宋体" w:eastAsia="宋体" w:hint="default"/>
                <w:sz w:val="15"/>
                <w:szCs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1" w:right="0"/>
              <w:jc w:val="left"/>
              <w:rPr>
                <w:rFonts w:ascii="宋体" w:hAnsi="宋体" w:cs="宋体" w:eastAsia="宋体" w:hint="default"/>
                <w:sz w:val="15"/>
                <w:szCs w:val="15"/>
              </w:rPr>
            </w:pPr>
            <w:r>
              <w:rPr>
                <w:rFonts w:ascii="宋体" w:hAnsi="宋体" w:cs="宋体" w:eastAsia="宋体" w:hint="default"/>
                <w:sz w:val="15"/>
                <w:szCs w:val="15"/>
              </w:rPr>
              <w:t>期末持</w:t>
            </w:r>
          </w:p>
          <w:p>
            <w:pPr>
              <w:pStyle w:val="TableParagraph"/>
              <w:spacing w:line="194" w:lineRule="exact"/>
              <w:ind w:left="141" w:right="0"/>
              <w:jc w:val="left"/>
              <w:rPr>
                <w:rFonts w:ascii="宋体" w:hAnsi="宋体" w:cs="宋体" w:eastAsia="宋体" w:hint="default"/>
                <w:sz w:val="15"/>
                <w:szCs w:val="15"/>
              </w:rPr>
            </w:pPr>
            <w:r>
              <w:rPr>
                <w:rFonts w:ascii="宋体" w:hAnsi="宋体" w:cs="宋体" w:eastAsia="宋体" w:hint="default"/>
                <w:sz w:val="15"/>
                <w:szCs w:val="15"/>
              </w:rPr>
              <w:t>股比例</w:t>
            </w:r>
          </w:p>
          <w:p>
            <w:pPr>
              <w:pStyle w:val="TableParagraph"/>
              <w:spacing w:line="195" w:lineRule="exact"/>
              <w:ind w:left="141" w:right="0"/>
              <w:jc w:val="left"/>
              <w:rPr>
                <w:rFonts w:ascii="宋体" w:hAnsi="宋体" w:cs="宋体" w:eastAsia="宋体" w:hint="default"/>
                <w:sz w:val="15"/>
                <w:szCs w:val="15"/>
              </w:rPr>
            </w:pPr>
            <w:r>
              <w:rPr>
                <w:rFonts w:ascii="宋体" w:hAnsi="宋体" w:cs="宋体" w:eastAsia="宋体" w:hint="default"/>
                <w:sz w:val="15"/>
                <w:szCs w:val="15"/>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期末账面价值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5" w:right="0"/>
              <w:jc w:val="left"/>
              <w:rPr>
                <w:rFonts w:ascii="宋体" w:hAnsi="宋体" w:cs="宋体" w:eastAsia="宋体" w:hint="default"/>
                <w:sz w:val="15"/>
                <w:szCs w:val="15"/>
              </w:rPr>
            </w:pPr>
            <w:r>
              <w:rPr>
                <w:rFonts w:ascii="宋体" w:hAnsi="宋体" w:cs="宋体" w:eastAsia="宋体" w:hint="default"/>
                <w:sz w:val="15"/>
                <w:szCs w:val="15"/>
              </w:rPr>
              <w:t>报告期损益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8" w:right="156"/>
              <w:jc w:val="left"/>
              <w:rPr>
                <w:rFonts w:ascii="宋体" w:hAnsi="宋体" w:cs="宋体" w:eastAsia="宋体" w:hint="default"/>
                <w:sz w:val="15"/>
                <w:szCs w:val="15"/>
              </w:rPr>
            </w:pPr>
            <w:r>
              <w:rPr>
                <w:rFonts w:ascii="宋体" w:hAnsi="宋体" w:cs="宋体" w:eastAsia="宋体" w:hint="default"/>
                <w:sz w:val="15"/>
                <w:szCs w:val="15"/>
              </w:rPr>
              <w:t>报告期所有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者权益变动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会计</w:t>
            </w:r>
          </w:p>
          <w:p>
            <w:pPr>
              <w:pStyle w:val="TableParagraph"/>
              <w:spacing w:line="240" w:lineRule="auto"/>
              <w:ind w:left="127" w:right="128"/>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科目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3" w:right="149"/>
              <w:jc w:val="left"/>
              <w:rPr>
                <w:rFonts w:ascii="宋体" w:hAnsi="宋体" w:cs="宋体" w:eastAsia="宋体" w:hint="default"/>
                <w:sz w:val="15"/>
                <w:szCs w:val="15"/>
              </w:rPr>
            </w:pPr>
            <w:r>
              <w:rPr>
                <w:rFonts w:ascii="宋体" w:hAnsi="宋体" w:cs="宋体" w:eastAsia="宋体" w:hint="default"/>
                <w:sz w:val="15"/>
                <w:szCs w:val="15"/>
              </w:rPr>
              <w:t>股份</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595"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HK00771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239"/>
              <w:jc w:val="left"/>
              <w:rPr>
                <w:rFonts w:ascii="宋体" w:hAnsi="宋体" w:cs="宋体" w:eastAsia="宋体" w:hint="default"/>
                <w:sz w:val="15"/>
                <w:szCs w:val="15"/>
              </w:rPr>
            </w:pPr>
            <w:r>
              <w:rPr>
                <w:rFonts w:ascii="宋体" w:hAnsi="宋体" w:cs="宋体" w:eastAsia="宋体" w:hint="default"/>
                <w:sz w:val="15"/>
                <w:szCs w:val="15"/>
              </w:rPr>
              <w:t>自动</w:t>
            </w:r>
            <w:r>
              <w:rPr>
                <w:rFonts w:ascii="宋体" w:hAnsi="宋体" w:cs="宋体" w:eastAsia="宋体" w:hint="default"/>
                <w:spacing w:val="-73"/>
                <w:sz w:val="15"/>
                <w:szCs w:val="15"/>
              </w:rPr>
              <w:t> </w:t>
            </w:r>
            <w:r>
              <w:rPr>
                <w:rFonts w:ascii="宋体" w:hAnsi="宋体" w:cs="宋体" w:eastAsia="宋体" w:hint="default"/>
                <w:sz w:val="15"/>
                <w:szCs w:val="15"/>
              </w:rPr>
              <w:t>系统</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241,696,003.00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66.95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65.50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5"/>
                <w:szCs w:val="15"/>
              </w:rPr>
            </w:pPr>
            <w:r>
              <w:rPr>
                <w:rFonts w:ascii="Times New Roman"/>
                <w:sz w:val="15"/>
              </w:rPr>
              <w:t>233,369,410.28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10,656,833.81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10,959,452.28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3" w:right="0"/>
              <w:jc w:val="left"/>
              <w:rPr>
                <w:rFonts w:ascii="宋体" w:hAnsi="宋体" w:cs="宋体" w:eastAsia="宋体" w:hint="default"/>
                <w:sz w:val="15"/>
                <w:szCs w:val="15"/>
              </w:rPr>
            </w:pPr>
            <w:r>
              <w:rPr>
                <w:rFonts w:ascii="宋体" w:hAnsi="宋体" w:cs="宋体" w:eastAsia="宋体" w:hint="default"/>
                <w:sz w:val="15"/>
                <w:szCs w:val="15"/>
              </w:rPr>
              <w:t>长期</w:t>
            </w:r>
          </w:p>
          <w:p>
            <w:pPr>
              <w:pStyle w:val="TableParagraph"/>
              <w:spacing w:line="240" w:lineRule="auto"/>
              <w:ind w:left="153" w:right="101"/>
              <w:jc w:val="left"/>
              <w:rPr>
                <w:rFonts w:ascii="宋体" w:hAnsi="宋体" w:cs="宋体" w:eastAsia="宋体" w:hint="default"/>
                <w:sz w:val="15"/>
                <w:szCs w:val="15"/>
              </w:rPr>
            </w:pPr>
            <w:r>
              <w:rPr>
                <w:rFonts w:ascii="宋体" w:hAnsi="宋体" w:cs="宋体" w:eastAsia="宋体" w:hint="default"/>
                <w:sz w:val="15"/>
                <w:szCs w:val="15"/>
              </w:rPr>
              <w:t>股权</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center"/>
              <w:rPr>
                <w:rFonts w:ascii="宋体" w:hAnsi="宋体" w:cs="宋体" w:eastAsia="宋体" w:hint="default"/>
                <w:sz w:val="15"/>
                <w:szCs w:val="15"/>
              </w:rPr>
            </w:pPr>
            <w:r>
              <w:rPr>
                <w:rFonts w:ascii="宋体" w:hAnsi="宋体" w:cs="宋体" w:eastAsia="宋体" w:hint="default"/>
                <w:sz w:val="15"/>
                <w:szCs w:val="15"/>
              </w:rPr>
              <w:t>购买</w:t>
            </w:r>
          </w:p>
        </w:tc>
      </w:tr>
      <w:tr>
        <w:trPr>
          <w:trHeight w:val="278" w:hRule="exact"/>
        </w:trPr>
        <w:tc>
          <w:tcPr>
            <w:tcW w:w="1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5"/>
                <w:szCs w:val="15"/>
              </w:rPr>
            </w:pPr>
            <w:r>
              <w:rPr>
                <w:rFonts w:ascii="Times New Roman"/>
                <w:sz w:val="15"/>
              </w:rPr>
              <w:t>241,696,003.00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5"/>
                <w:szCs w:val="15"/>
              </w:rPr>
            </w:pPr>
            <w:r>
              <w:rPr>
                <w:rFonts w:ascii="Times New Roman"/>
                <w:w w:val="100"/>
                <w:sz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5"/>
                <w:szCs w:val="15"/>
              </w:rPr>
            </w:pPr>
            <w:r>
              <w:rPr>
                <w:rFonts w:ascii="Times New Roman"/>
                <w:w w:val="100"/>
                <w:sz w:val="15"/>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 w:right="0"/>
              <w:jc w:val="center"/>
              <w:rPr>
                <w:rFonts w:ascii="Times New Roman" w:hAnsi="Times New Roman" w:cs="Times New Roman" w:eastAsia="Times New Roman" w:hint="default"/>
                <w:sz w:val="15"/>
                <w:szCs w:val="15"/>
              </w:rPr>
            </w:pPr>
            <w:r>
              <w:rPr>
                <w:rFonts w:ascii="Times New Roman"/>
                <w:sz w:val="15"/>
              </w:rPr>
              <w:t>233,369,410.28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5"/>
                <w:szCs w:val="15"/>
              </w:rPr>
            </w:pPr>
            <w:r>
              <w:rPr>
                <w:rFonts w:ascii="Times New Roman"/>
                <w:sz w:val="15"/>
              </w:rPr>
              <w:t>10,656,833.81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Times New Roman" w:hAnsi="Times New Roman" w:cs="Times New Roman" w:eastAsia="Times New Roman" w:hint="default"/>
                <w:sz w:val="15"/>
                <w:szCs w:val="15"/>
              </w:rPr>
            </w:pPr>
            <w:r>
              <w:rPr>
                <w:rFonts w:ascii="Times New Roman"/>
                <w:sz w:val="15"/>
              </w:rPr>
              <w:t>10,959,452.28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5"/>
                <w:szCs w:val="15"/>
              </w:rPr>
            </w:pPr>
            <w:r>
              <w:rPr>
                <w:rFonts w:ascii="Times New Roman"/>
                <w:w w:val="100"/>
                <w:sz w:val="15"/>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5"/>
        <w:rPr>
          <w:rFonts w:ascii="宋体" w:hAnsi="宋体" w:cs="宋体" w:eastAsia="宋体" w:hint="default"/>
          <w:sz w:val="23"/>
          <w:szCs w:val="23"/>
        </w:rPr>
      </w:pPr>
    </w:p>
    <w:p>
      <w:pPr>
        <w:pStyle w:val="Heading2"/>
        <w:spacing w:line="240" w:lineRule="auto"/>
        <w:ind w:right="2569"/>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27"/>
        </w:rPr>
        <w:t> </w:t>
      </w:r>
      <w:r>
        <w:rPr/>
        <w:t>重大资产和股权出售</w:t>
      </w:r>
      <w:r>
        <w:rPr>
          <w:b w:val="0"/>
          <w:bCs w:val="0"/>
        </w:rPr>
      </w:r>
    </w:p>
    <w:p>
      <w:pPr>
        <w:pStyle w:val="BodyText"/>
        <w:spacing w:line="313" w:lineRule="exact" w:before="88"/>
        <w:ind w:left="697" w:right="102"/>
        <w:jc w:val="left"/>
        <w:rPr>
          <w:rFonts w:ascii="宋体" w:hAnsi="宋体" w:cs="宋体" w:eastAsia="宋体" w:hint="default"/>
        </w:rPr>
      </w:pPr>
      <w:r>
        <w:rPr>
          <w:rFonts w:ascii="宋体" w:hAnsi="宋体" w:cs="宋体" w:eastAsia="宋体" w:hint="default"/>
          <w:spacing w:val="-4"/>
        </w:rPr>
        <w:t>1</w:t>
      </w:r>
      <w:r>
        <w:rPr>
          <w:spacing w:val="-4"/>
        </w:rPr>
        <w:t>、本公司持有子公司北京交大思源科技有限公司</w:t>
      </w:r>
      <w:r>
        <w:rPr>
          <w:spacing w:val="-58"/>
        </w:rPr>
        <w:t> </w:t>
      </w:r>
      <w:r>
        <w:rPr>
          <w:rFonts w:ascii="宋体" w:hAnsi="宋体" w:cs="宋体" w:eastAsia="宋体" w:hint="default"/>
          <w:spacing w:val="-7"/>
        </w:rPr>
        <w:t>60%</w:t>
      </w:r>
      <w:r>
        <w:rPr>
          <w:spacing w:val="-7"/>
        </w:rPr>
        <w:t>股权，本期以人民币</w:t>
      </w:r>
      <w:r>
        <w:rPr>
          <w:spacing w:val="-58"/>
        </w:rPr>
        <w:t> </w:t>
      </w:r>
      <w:r>
        <w:rPr>
          <w:rFonts w:ascii="宋体" w:hAnsi="宋体" w:cs="宋体" w:eastAsia="宋体" w:hint="default"/>
        </w:rPr>
        <w:t>790.59</w:t>
      </w:r>
    </w:p>
    <w:p>
      <w:pPr>
        <w:pStyle w:val="BodyText"/>
        <w:spacing w:line="310" w:lineRule="exact" w:before="31"/>
        <w:ind w:left="217" w:right="217"/>
        <w:jc w:val="left"/>
      </w:pPr>
      <w:r>
        <w:rPr/>
        <w:t>万元为对价将其转让给王斌。此交易于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10</w:t>
      </w:r>
      <w:r>
        <w:rPr>
          <w:rFonts w:ascii="宋体" w:hAnsi="宋体" w:cs="宋体" w:eastAsia="宋体" w:hint="default"/>
          <w:spacing w:val="-48"/>
        </w:rPr>
        <w:t> </w:t>
      </w:r>
      <w:r>
        <w:rPr/>
        <w:t>日完成，变更后，本公司对 北京交大思源科技有限公司不再持股；</w:t>
      </w:r>
    </w:p>
    <w:p>
      <w:pPr>
        <w:pStyle w:val="BodyText"/>
        <w:spacing w:line="312" w:lineRule="exact" w:before="120"/>
        <w:ind w:left="217" w:right="234" w:firstLine="480"/>
        <w:jc w:val="both"/>
      </w:pPr>
      <w:r>
        <w:rPr>
          <w:rFonts w:ascii="宋体" w:hAnsi="宋体" w:cs="宋体" w:eastAsia="宋体" w:hint="default"/>
          <w:spacing w:val="-2"/>
        </w:rPr>
        <w:t>2</w:t>
      </w:r>
      <w:r>
        <w:rPr>
          <w:spacing w:val="-2"/>
        </w:rPr>
        <w:t>、本公司持有子公司北京华胜天成股权投资中心（有限合伙）</w:t>
      </w:r>
      <w:r>
        <w:rPr>
          <w:rFonts w:ascii="宋体" w:hAnsi="宋体" w:cs="宋体" w:eastAsia="宋体" w:hint="default"/>
          <w:spacing w:val="-2"/>
        </w:rPr>
        <w:t>70%</w:t>
      </w:r>
      <w:r>
        <w:rPr>
          <w:spacing w:val="-2"/>
        </w:rPr>
        <w:t>股权，本期以</w:t>
      </w:r>
      <w:r>
        <w:rPr/>
        <w:t> 人民币</w:t>
      </w:r>
      <w:r>
        <w:rPr>
          <w:spacing w:val="-85"/>
        </w:rPr>
        <w:t> </w:t>
      </w:r>
      <w:r>
        <w:rPr>
          <w:rFonts w:ascii="宋体" w:hAnsi="宋体" w:cs="宋体" w:eastAsia="宋体" w:hint="default"/>
        </w:rPr>
        <w:t>300</w:t>
      </w:r>
      <w:r>
        <w:rPr>
          <w:rFonts w:ascii="宋体" w:hAnsi="宋体" w:cs="宋体" w:eastAsia="宋体" w:hint="default"/>
          <w:spacing w:val="-85"/>
        </w:rPr>
        <w:t> </w:t>
      </w:r>
      <w:r>
        <w:rPr/>
        <w:t>万元为对价将其分别转让给朱军、北京华胜天成投资基金管理有限公司和</w:t>
      </w:r>
    </w:p>
    <w:p>
      <w:pPr>
        <w:pStyle w:val="BodyText"/>
        <w:spacing w:line="280" w:lineRule="exact"/>
        <w:ind w:left="217" w:right="102"/>
        <w:jc w:val="left"/>
      </w:pPr>
      <w:r>
        <w:rPr/>
        <w:t>北京恒域建辉投资管理有限公司。此交易于</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spacing w:val="-3"/>
        </w:rPr>
        <w:t>月完成，变更后，本公司对北</w:t>
      </w:r>
    </w:p>
    <w:p>
      <w:pPr>
        <w:pStyle w:val="BodyText"/>
        <w:spacing w:line="313" w:lineRule="exact"/>
        <w:ind w:left="217" w:right="2569"/>
        <w:jc w:val="left"/>
      </w:pPr>
      <w:r>
        <w:rPr/>
        <w:t>京华胜天成股权投资中心（有限合伙）不再持股；</w:t>
      </w:r>
    </w:p>
    <w:p>
      <w:pPr>
        <w:pStyle w:val="BodyText"/>
        <w:spacing w:line="237" w:lineRule="auto" w:before="120"/>
        <w:ind w:left="217" w:right="230" w:firstLine="480"/>
        <w:jc w:val="both"/>
      </w:pPr>
      <w:r>
        <w:rPr>
          <w:rFonts w:ascii="宋体" w:hAnsi="宋体" w:cs="宋体" w:eastAsia="宋体" w:hint="default"/>
        </w:rPr>
        <w:t>3</w:t>
      </w:r>
      <w:r>
        <w:rPr/>
        <w:t>、本公子直接控股子公司华胜天成科技（香港）有限公司持有富昇控股有限公</w:t>
      </w:r>
      <w:r>
        <w:rPr>
          <w:spacing w:val="2"/>
        </w:rPr>
        <w:t> </w:t>
      </w:r>
      <w:r>
        <w:rPr/>
        <w:t>司</w:t>
      </w:r>
      <w:r>
        <w:rPr>
          <w:spacing w:val="-42"/>
        </w:rPr>
        <w:t> </w:t>
      </w:r>
      <w:r>
        <w:rPr>
          <w:rFonts w:ascii="宋体" w:hAnsi="宋体" w:cs="宋体" w:eastAsia="宋体" w:hint="default"/>
        </w:rPr>
        <w:t>100%</w:t>
      </w:r>
      <w:r>
        <w:rPr/>
        <w:t>股权，本期以</w:t>
      </w:r>
      <w:r>
        <w:rPr>
          <w:spacing w:val="-42"/>
        </w:rPr>
        <w:t> </w:t>
      </w:r>
      <w:r>
        <w:rPr>
          <w:rFonts w:ascii="宋体" w:hAnsi="宋体" w:cs="宋体" w:eastAsia="宋体" w:hint="default"/>
        </w:rPr>
        <w:t>24,837,690.41</w:t>
      </w:r>
      <w:r>
        <w:rPr>
          <w:rFonts w:ascii="宋体" w:hAnsi="宋体" w:cs="宋体" w:eastAsia="宋体" w:hint="default"/>
          <w:spacing w:val="-42"/>
        </w:rPr>
        <w:t> </w:t>
      </w:r>
      <w:r>
        <w:rPr/>
        <w:t>美元为对价转让富昇控股有限公司</w:t>
      </w:r>
      <w:r>
        <w:rPr>
          <w:spacing w:val="-41"/>
        </w:rPr>
        <w:t> </w:t>
      </w:r>
      <w:r>
        <w:rPr>
          <w:rFonts w:ascii="宋体" w:hAnsi="宋体" w:cs="宋体" w:eastAsia="宋体" w:hint="default"/>
        </w:rPr>
        <w:t>100%</w:t>
      </w:r>
      <w:r>
        <w:rPr/>
        <w:t>的股权 给 </w:t>
      </w:r>
      <w:r>
        <w:rPr>
          <w:rFonts w:ascii="宋体" w:hAnsi="宋体" w:cs="宋体" w:eastAsia="宋体" w:hint="default"/>
        </w:rPr>
        <w:t>WESTMINSTER ELECTRONIC RESOURCES(SINGAPORE) PTE. LTD.</w:t>
      </w:r>
      <w:r>
        <w:rPr/>
        <w:t>。此交易于 </w:t>
      </w:r>
      <w:r>
        <w:rPr>
          <w:rFonts w:ascii="宋体" w:hAnsi="宋体" w:cs="宋体" w:eastAsia="宋体" w:hint="default"/>
        </w:rPr>
        <w:t>2015</w:t>
      </w:r>
      <w:r>
        <w:rPr>
          <w:rFonts w:ascii="宋体" w:hAnsi="宋体" w:cs="宋体" w:eastAsia="宋体" w:hint="default"/>
          <w:spacing w:val="-48"/>
        </w:rPr>
        <w:t> </w:t>
      </w:r>
      <w:r>
        <w:rPr/>
        <w:t>年</w:t>
      </w:r>
    </w:p>
    <w:p>
      <w:pPr>
        <w:spacing w:after="0" w:line="237" w:lineRule="auto"/>
        <w:jc w:val="both"/>
        <w:sectPr>
          <w:type w:val="continuous"/>
          <w:pgSz w:w="11910" w:h="16840"/>
          <w:pgMar w:top="1120" w:bottom="1380" w:left="1060" w:right="1560"/>
        </w:sectPr>
      </w:pPr>
    </w:p>
    <w:p>
      <w:pPr>
        <w:spacing w:line="240" w:lineRule="auto" w:before="2"/>
        <w:rPr>
          <w:rFonts w:ascii="宋体" w:hAnsi="宋体" w:cs="宋体" w:eastAsia="宋体" w:hint="default"/>
          <w:sz w:val="19"/>
          <w:szCs w:val="19"/>
        </w:rPr>
      </w:pPr>
    </w:p>
    <w:p>
      <w:pPr>
        <w:pStyle w:val="BodyText"/>
        <w:spacing w:line="312" w:lineRule="exact" w:before="56"/>
        <w:ind w:left="797" w:right="100"/>
        <w:jc w:val="left"/>
      </w:pP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t>日完成，变更后，华胜天成科技（香港）有限公司对富昇控股有限公司不再 持股。</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480" w:right="1680"/>
        </w:sectPr>
      </w:pPr>
    </w:p>
    <w:p>
      <w:pPr>
        <w:pStyle w:val="Heading2"/>
        <w:spacing w:line="240" w:lineRule="auto" w:before="197"/>
        <w:ind w:left="797" w:right="-18"/>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28"/>
        </w:rPr>
        <w:t> </w:t>
      </w:r>
      <w:r>
        <w:rPr/>
        <w:t>主要控股参股公司分析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24"/>
          <w:szCs w:val="24"/>
        </w:rPr>
      </w:pPr>
    </w:p>
    <w:p>
      <w:pPr>
        <w:pStyle w:val="BodyText"/>
        <w:spacing w:line="240" w:lineRule="auto"/>
        <w:ind w:left="797"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480" w:right="1680"/>
          <w:cols w:num="2" w:equalWidth="0">
            <w:col w:w="3626" w:space="2686"/>
            <w:col w:w="3438"/>
          </w:cols>
        </w:sectPr>
      </w:pP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560"/>
        <w:gridCol w:w="3118"/>
        <w:gridCol w:w="1277"/>
        <w:gridCol w:w="1133"/>
        <w:gridCol w:w="1099"/>
        <w:gridCol w:w="1028"/>
      </w:tblGrid>
      <w:tr>
        <w:trPr>
          <w:trHeight w:val="2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4"/>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hAnsi="宋体" w:cs="宋体" w:eastAsia="宋体" w:hint="default"/>
                <w:b/>
                <w:bCs/>
                <w:w w:val="95"/>
                <w:sz w:val="18"/>
                <w:szCs w:val="18"/>
              </w:rPr>
              <w:t>净利润</w:t>
            </w:r>
            <w:r>
              <w:rPr>
                <w:rFonts w:ascii="宋体" w:hAnsi="宋体" w:cs="宋体" w:eastAsia="宋体" w:hint="default"/>
                <w:sz w:val="18"/>
                <w:szCs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hAnsi="宋体" w:cs="宋体" w:eastAsia="宋体" w:hint="default"/>
                <w:b/>
                <w:bCs/>
                <w:w w:val="95"/>
                <w:sz w:val="18"/>
                <w:szCs w:val="18"/>
              </w:rPr>
              <w:t>净资产</w:t>
            </w:r>
            <w:r>
              <w:rPr>
                <w:rFonts w:ascii="宋体" w:hAnsi="宋体" w:cs="宋体" w:eastAsia="宋体" w:hint="default"/>
                <w:sz w:val="18"/>
                <w:szCs w:val="18"/>
              </w:rPr>
            </w:r>
          </w:p>
        </w:tc>
      </w:tr>
      <w:tr>
        <w:trPr>
          <w:trHeight w:val="14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87"/>
              <w:jc w:val="left"/>
              <w:rPr>
                <w:rFonts w:ascii="宋体" w:hAnsi="宋体" w:cs="宋体" w:eastAsia="宋体" w:hint="default"/>
                <w:sz w:val="18"/>
                <w:szCs w:val="18"/>
              </w:rPr>
            </w:pPr>
            <w:r>
              <w:rPr>
                <w:rFonts w:ascii="宋体" w:hAnsi="宋体" w:cs="宋体" w:eastAsia="宋体" w:hint="default"/>
                <w:spacing w:val="14"/>
                <w:sz w:val="18"/>
                <w:szCs w:val="18"/>
              </w:rPr>
              <w:t>北京华胜天成软 </w:t>
            </w:r>
            <w:r>
              <w:rPr>
                <w:rFonts w:ascii="宋体" w:hAnsi="宋体" w:cs="宋体" w:eastAsia="宋体" w:hint="default"/>
                <w:sz w:val="18"/>
                <w:szCs w:val="18"/>
              </w:rPr>
              <w:t>件技术有限公司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许可经营项目：无</w:t>
            </w:r>
          </w:p>
          <w:p>
            <w:pPr>
              <w:pStyle w:val="TableParagraph"/>
              <w:spacing w:line="237" w:lineRule="auto"/>
              <w:ind w:left="100" w:right="13"/>
              <w:jc w:val="left"/>
              <w:rPr>
                <w:rFonts w:ascii="宋体" w:hAnsi="宋体" w:cs="宋体" w:eastAsia="宋体" w:hint="default"/>
                <w:sz w:val="18"/>
                <w:szCs w:val="18"/>
              </w:rPr>
            </w:pPr>
            <w:r>
              <w:rPr>
                <w:rFonts w:ascii="宋体" w:hAnsi="宋体" w:cs="宋体" w:eastAsia="宋体" w:hint="default"/>
                <w:spacing w:val="-4"/>
                <w:sz w:val="18"/>
                <w:szCs w:val="18"/>
              </w:rPr>
              <w:t>一般经营项目：技术开发、技术咨询、</w:t>
            </w:r>
            <w:r>
              <w:rPr>
                <w:rFonts w:ascii="宋体" w:hAnsi="宋体" w:cs="宋体" w:eastAsia="宋体" w:hint="default"/>
                <w:sz w:val="18"/>
                <w:szCs w:val="18"/>
              </w:rPr>
              <w:t> 技术服务；计算机技术培训；计算机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系统集成；销售计算机软、硬件及外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围设备、通讯设备；货物进出口、技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术进出口、代理进出口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40,436.75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4,163.05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22,987.25</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3"/>
                <w:sz w:val="18"/>
                <w:szCs w:val="18"/>
              </w:rPr>
              <w:t>华胜天成科技</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2" w:lineRule="exact" w:before="23"/>
              <w:ind w:left="100" w:right="87"/>
              <w:jc w:val="left"/>
              <w:rPr>
                <w:rFonts w:ascii="宋体" w:hAnsi="宋体" w:cs="宋体" w:eastAsia="宋体" w:hint="default"/>
                <w:sz w:val="18"/>
                <w:szCs w:val="18"/>
              </w:rPr>
            </w:pPr>
            <w:r>
              <w:rPr>
                <w:rFonts w:ascii="宋体" w:hAnsi="宋体" w:cs="宋体" w:eastAsia="宋体" w:hint="default"/>
                <w:spacing w:val="14"/>
                <w:sz w:val="18"/>
                <w:szCs w:val="18"/>
              </w:rPr>
              <w:t>（香港）有限公 </w:t>
            </w:r>
            <w:r>
              <w:rPr>
                <w:rFonts w:ascii="宋体" w:hAnsi="宋体" w:cs="宋体" w:eastAsia="宋体" w:hint="default"/>
                <w:sz w:val="18"/>
                <w:szCs w:val="18"/>
              </w:rPr>
              <w:t>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89"/>
              <w:jc w:val="left"/>
              <w:rPr>
                <w:rFonts w:ascii="宋体" w:hAnsi="宋体" w:cs="宋体" w:eastAsia="宋体" w:hint="default"/>
                <w:sz w:val="18"/>
                <w:szCs w:val="18"/>
              </w:rPr>
            </w:pPr>
            <w:r>
              <w:rPr>
                <w:rFonts w:ascii="宋体" w:hAnsi="宋体" w:cs="宋体" w:eastAsia="宋体" w:hint="default"/>
                <w:spacing w:val="14"/>
                <w:sz w:val="18"/>
                <w:szCs w:val="18"/>
              </w:rPr>
              <w:t>计算机与通讯产品的销售和技术服 </w:t>
            </w:r>
            <w:r>
              <w:rPr>
                <w:rFonts w:ascii="宋体" w:hAnsi="宋体" w:cs="宋体" w:eastAsia="宋体" w:hint="default"/>
                <w:sz w:val="18"/>
                <w:szCs w:val="18"/>
              </w:rPr>
              <w:t>务，计算机与通讯系统集成服务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70" w:right="0"/>
              <w:jc w:val="left"/>
              <w:rPr>
                <w:rFonts w:ascii="宋体" w:hAnsi="宋体" w:cs="宋体" w:eastAsia="宋体" w:hint="default"/>
                <w:sz w:val="18"/>
                <w:szCs w:val="18"/>
              </w:rPr>
            </w:pPr>
            <w:r>
              <w:rPr>
                <w:rFonts w:ascii="宋体"/>
                <w:sz w:val="18"/>
              </w:rPr>
              <w:t>40,921.9448</w:t>
            </w:r>
          </w:p>
          <w:p>
            <w:pPr>
              <w:pStyle w:val="TableParagraph"/>
              <w:spacing w:line="234" w:lineRule="exact"/>
              <w:ind w:left="621" w:right="0"/>
              <w:jc w:val="left"/>
              <w:rPr>
                <w:rFonts w:ascii="宋体" w:hAnsi="宋体" w:cs="宋体" w:eastAsia="宋体" w:hint="default"/>
                <w:sz w:val="18"/>
                <w:szCs w:val="18"/>
              </w:rPr>
            </w:pPr>
            <w:r>
              <w:rPr>
                <w:rFonts w:ascii="宋体" w:hAnsi="宋体" w:cs="宋体" w:eastAsia="宋体" w:hint="default"/>
                <w:sz w:val="18"/>
                <w:szCs w:val="18"/>
              </w:rPr>
              <w:t>万港元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179,191.84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-4,515.02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67,651.82</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3"/>
                <w:sz w:val="18"/>
                <w:szCs w:val="18"/>
              </w:rPr>
              <w:t>华胜天成科技</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2" w:lineRule="exact" w:before="24"/>
              <w:ind w:left="100" w:right="87"/>
              <w:jc w:val="left"/>
              <w:rPr>
                <w:rFonts w:ascii="宋体" w:hAnsi="宋体" w:cs="宋体" w:eastAsia="宋体" w:hint="default"/>
                <w:sz w:val="18"/>
                <w:szCs w:val="18"/>
              </w:rPr>
            </w:pPr>
            <w:r>
              <w:rPr>
                <w:rFonts w:ascii="宋体" w:hAnsi="宋体" w:cs="宋体" w:eastAsia="宋体" w:hint="default"/>
                <w:spacing w:val="14"/>
                <w:sz w:val="18"/>
                <w:szCs w:val="18"/>
              </w:rPr>
              <w:t>（美国）有限公 </w:t>
            </w:r>
            <w:r>
              <w:rPr>
                <w:rFonts w:ascii="宋体" w:hAnsi="宋体" w:cs="宋体" w:eastAsia="宋体" w:hint="default"/>
                <w:sz w:val="18"/>
                <w:szCs w:val="18"/>
              </w:rPr>
              <w:t>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04"/>
              <w:jc w:val="left"/>
              <w:rPr>
                <w:rFonts w:ascii="宋体" w:hAnsi="宋体" w:cs="宋体" w:eastAsia="宋体" w:hint="default"/>
                <w:sz w:val="18"/>
                <w:szCs w:val="18"/>
              </w:rPr>
            </w:pPr>
            <w:r>
              <w:rPr>
                <w:rFonts w:ascii="宋体" w:hAnsi="宋体" w:cs="宋体" w:eastAsia="宋体" w:hint="default"/>
                <w:sz w:val="18"/>
                <w:szCs w:val="18"/>
              </w:rPr>
              <w:t>计算机与通信软、硬件产品的开发、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生产与服务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95</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106.71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128.04</w:t>
            </w:r>
          </w:p>
        </w:tc>
      </w:tr>
      <w:tr>
        <w:trPr>
          <w:trHeight w:val="8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100" w:right="87"/>
              <w:jc w:val="left"/>
              <w:rPr>
                <w:rFonts w:ascii="宋体" w:hAnsi="宋体" w:cs="宋体" w:eastAsia="宋体" w:hint="default"/>
                <w:sz w:val="18"/>
                <w:szCs w:val="18"/>
              </w:rPr>
            </w:pPr>
            <w:r>
              <w:rPr>
                <w:rFonts w:ascii="宋体" w:hAnsi="宋体" w:cs="宋体" w:eastAsia="宋体" w:hint="default"/>
                <w:spacing w:val="14"/>
                <w:sz w:val="18"/>
                <w:szCs w:val="18"/>
              </w:rPr>
              <w:t>北京飞杰信息技 </w:t>
            </w:r>
            <w:r>
              <w:rPr>
                <w:rFonts w:ascii="宋体" w:hAnsi="宋体" w:cs="宋体" w:eastAsia="宋体" w:hint="default"/>
                <w:sz w:val="18"/>
                <w:szCs w:val="18"/>
              </w:rPr>
              <w:t>术有限公司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0" w:right="12"/>
              <w:jc w:val="left"/>
              <w:rPr>
                <w:rFonts w:ascii="宋体" w:hAnsi="宋体" w:cs="宋体" w:eastAsia="宋体" w:hint="default"/>
                <w:sz w:val="18"/>
                <w:szCs w:val="18"/>
              </w:rPr>
            </w:pPr>
            <w:r>
              <w:rPr>
                <w:rFonts w:ascii="宋体" w:hAnsi="宋体" w:cs="宋体" w:eastAsia="宋体" w:hint="default"/>
                <w:spacing w:val="-4"/>
                <w:sz w:val="18"/>
                <w:szCs w:val="18"/>
              </w:rPr>
              <w:t>研究开发销售多媒体通讯终端、系统，</w:t>
            </w:r>
            <w:r>
              <w:rPr>
                <w:rFonts w:ascii="宋体" w:hAnsi="宋体" w:cs="宋体" w:eastAsia="宋体" w:hint="default"/>
                <w:sz w:val="18"/>
                <w:szCs w:val="18"/>
              </w:rPr>
              <w:t> 并提供各种及时通讯服务，同时兼营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相关的电信增值业务及其他贸易业务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2,274.13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-236.55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2,358.73</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87"/>
              <w:jc w:val="left"/>
              <w:rPr>
                <w:rFonts w:ascii="宋体" w:hAnsi="宋体" w:cs="宋体" w:eastAsia="宋体" w:hint="default"/>
                <w:sz w:val="18"/>
                <w:szCs w:val="18"/>
              </w:rPr>
            </w:pPr>
            <w:r>
              <w:rPr>
                <w:rFonts w:ascii="宋体" w:hAnsi="宋体" w:cs="宋体" w:eastAsia="宋体" w:hint="default"/>
                <w:spacing w:val="14"/>
                <w:sz w:val="18"/>
                <w:szCs w:val="18"/>
              </w:rPr>
              <w:t>深圳华胜天成信 </w:t>
            </w:r>
            <w:r>
              <w:rPr>
                <w:rFonts w:ascii="宋体" w:hAnsi="宋体" w:cs="宋体" w:eastAsia="宋体" w:hint="default"/>
                <w:sz w:val="18"/>
                <w:szCs w:val="18"/>
              </w:rPr>
              <w:t>息技术有限公司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通讯软件、计算机软硬件及外围设备、</w:t>
            </w:r>
          </w:p>
          <w:p>
            <w:pPr>
              <w:pStyle w:val="TableParagraph"/>
              <w:spacing w:line="232" w:lineRule="exact" w:before="23"/>
              <w:ind w:left="100" w:right="104"/>
              <w:jc w:val="left"/>
              <w:rPr>
                <w:rFonts w:ascii="宋体" w:hAnsi="宋体" w:cs="宋体" w:eastAsia="宋体" w:hint="default"/>
                <w:sz w:val="18"/>
                <w:szCs w:val="18"/>
              </w:rPr>
            </w:pPr>
            <w:r>
              <w:rPr>
                <w:rFonts w:ascii="宋体" w:hAnsi="宋体" w:cs="宋体" w:eastAsia="宋体" w:hint="default"/>
                <w:sz w:val="18"/>
                <w:szCs w:val="18"/>
              </w:rPr>
              <w:t>通迅设备的技术开发、技术咨询、技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术服务、销售；应用系统集成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14.82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-476.65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1,235.90</w:t>
            </w:r>
          </w:p>
        </w:tc>
      </w:tr>
      <w:tr>
        <w:trPr>
          <w:trHeight w:val="117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87"/>
              <w:jc w:val="left"/>
              <w:rPr>
                <w:rFonts w:ascii="宋体" w:hAnsi="宋体" w:cs="宋体" w:eastAsia="宋体" w:hint="default"/>
                <w:sz w:val="18"/>
                <w:szCs w:val="18"/>
              </w:rPr>
            </w:pPr>
            <w:r>
              <w:rPr>
                <w:rFonts w:ascii="宋体" w:hAnsi="宋体" w:cs="宋体" w:eastAsia="宋体" w:hint="default"/>
                <w:spacing w:val="14"/>
                <w:sz w:val="18"/>
                <w:szCs w:val="18"/>
              </w:rPr>
              <w:t>南京华胜天成信 </w:t>
            </w:r>
            <w:r>
              <w:rPr>
                <w:rFonts w:ascii="宋体" w:hAnsi="宋体" w:cs="宋体" w:eastAsia="宋体" w:hint="default"/>
                <w:sz w:val="18"/>
                <w:szCs w:val="18"/>
              </w:rPr>
              <w:t>息技术有限公司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许可经营项目：无。一般经营项目：</w:t>
            </w:r>
          </w:p>
          <w:p>
            <w:pPr>
              <w:pStyle w:val="TableParagraph"/>
              <w:spacing w:line="237" w:lineRule="auto"/>
              <w:ind w:left="100" w:right="104"/>
              <w:jc w:val="both"/>
              <w:rPr>
                <w:rFonts w:ascii="宋体" w:hAnsi="宋体" w:cs="宋体" w:eastAsia="宋体" w:hint="default"/>
                <w:sz w:val="18"/>
                <w:szCs w:val="18"/>
              </w:rPr>
            </w:pPr>
            <w:r>
              <w:rPr>
                <w:rFonts w:ascii="宋体" w:hAnsi="宋体" w:cs="宋体" w:eastAsia="宋体" w:hint="default"/>
                <w:sz w:val="18"/>
                <w:szCs w:val="18"/>
              </w:rPr>
              <w:t>计算机技术开发、技术咨询、技术服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务；承接计算机信息系统集成；计算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机软硬件及外围设备；通信设备的销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售；电子商务服务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12,773.90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-1,663.44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-1,542.08</w:t>
            </w: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87"/>
              <w:jc w:val="left"/>
              <w:rPr>
                <w:rFonts w:ascii="宋体" w:hAnsi="宋体" w:cs="宋体" w:eastAsia="宋体" w:hint="default"/>
                <w:sz w:val="18"/>
                <w:szCs w:val="18"/>
              </w:rPr>
            </w:pPr>
            <w:r>
              <w:rPr>
                <w:rFonts w:ascii="宋体" w:hAnsi="宋体" w:cs="宋体" w:eastAsia="宋体" w:hint="default"/>
                <w:spacing w:val="14"/>
                <w:sz w:val="18"/>
                <w:szCs w:val="18"/>
              </w:rPr>
              <w:t>成都华胜天成信 </w:t>
            </w:r>
            <w:r>
              <w:rPr>
                <w:rFonts w:ascii="宋体" w:hAnsi="宋体" w:cs="宋体" w:eastAsia="宋体" w:hint="default"/>
                <w:sz w:val="18"/>
                <w:szCs w:val="18"/>
              </w:rPr>
              <w:t>息技术有限公司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计算机软件开发及技术咨询、技术服</w:t>
            </w:r>
          </w:p>
          <w:p>
            <w:pPr>
              <w:pStyle w:val="TableParagraph"/>
              <w:spacing w:line="237" w:lineRule="auto"/>
              <w:ind w:left="100" w:right="104"/>
              <w:jc w:val="both"/>
              <w:rPr>
                <w:rFonts w:ascii="宋体" w:hAnsi="宋体" w:cs="宋体" w:eastAsia="宋体" w:hint="default"/>
                <w:sz w:val="18"/>
                <w:szCs w:val="18"/>
              </w:rPr>
            </w:pPr>
            <w:r>
              <w:rPr>
                <w:rFonts w:ascii="宋体" w:hAnsi="宋体" w:cs="宋体" w:eastAsia="宋体" w:hint="default"/>
                <w:sz w:val="18"/>
                <w:szCs w:val="18"/>
              </w:rPr>
              <w:t>务；计算机系统集成；销售计算机软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硬件、通信设备（不含无线电发射设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备）并提供技术服务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-345.26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1,652.17</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87"/>
              <w:jc w:val="left"/>
              <w:rPr>
                <w:rFonts w:ascii="宋体" w:hAnsi="宋体" w:cs="宋体" w:eastAsia="宋体" w:hint="default"/>
                <w:sz w:val="18"/>
                <w:szCs w:val="18"/>
              </w:rPr>
            </w:pPr>
            <w:r>
              <w:rPr>
                <w:rFonts w:ascii="宋体" w:hAnsi="宋体" w:cs="宋体" w:eastAsia="宋体" w:hint="default"/>
                <w:spacing w:val="14"/>
                <w:sz w:val="18"/>
                <w:szCs w:val="18"/>
              </w:rPr>
              <w:t>广州石竹计算机 </w:t>
            </w:r>
            <w:r>
              <w:rPr>
                <w:rFonts w:ascii="宋体" w:hAnsi="宋体" w:cs="宋体" w:eastAsia="宋体" w:hint="default"/>
                <w:sz w:val="18"/>
                <w:szCs w:val="18"/>
              </w:rPr>
              <w:t>软件有限公司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电子计算机软件、硬件的设计、开发、</w:t>
            </w:r>
          </w:p>
          <w:p>
            <w:pPr>
              <w:pStyle w:val="TableParagraph"/>
              <w:spacing w:line="232" w:lineRule="exact" w:before="24"/>
              <w:ind w:left="100" w:right="104"/>
              <w:jc w:val="left"/>
              <w:rPr>
                <w:rFonts w:ascii="宋体" w:hAnsi="宋体" w:cs="宋体" w:eastAsia="宋体" w:hint="default"/>
                <w:sz w:val="18"/>
                <w:szCs w:val="18"/>
              </w:rPr>
            </w:pPr>
            <w:r>
              <w:rPr>
                <w:rFonts w:ascii="宋体" w:hAnsi="宋体" w:cs="宋体" w:eastAsia="宋体" w:hint="default"/>
                <w:sz w:val="18"/>
                <w:szCs w:val="18"/>
              </w:rPr>
              <w:t>技术服务，计算机软件及硬件、通信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设备的销售及售后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2,094.84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66.77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7,231.47</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189"/>
              <w:jc w:val="both"/>
              <w:rPr>
                <w:rFonts w:ascii="宋体" w:hAnsi="宋体" w:cs="宋体" w:eastAsia="宋体" w:hint="default"/>
                <w:sz w:val="18"/>
                <w:szCs w:val="18"/>
              </w:rPr>
            </w:pPr>
            <w:r>
              <w:rPr>
                <w:rFonts w:ascii="宋体" w:hAnsi="宋体" w:cs="宋体" w:eastAsia="宋体" w:hint="default"/>
                <w:sz w:val="18"/>
                <w:szCs w:val="18"/>
              </w:rPr>
              <w:t>北京新云东方系 统科技有限责任 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技术咨询、技术服务、技术推广、技</w:t>
            </w:r>
          </w:p>
          <w:p>
            <w:pPr>
              <w:pStyle w:val="TableParagraph"/>
              <w:spacing w:line="237" w:lineRule="auto" w:before="2"/>
              <w:ind w:left="100" w:right="104"/>
              <w:jc w:val="both"/>
              <w:rPr>
                <w:rFonts w:ascii="宋体" w:hAnsi="宋体" w:cs="宋体" w:eastAsia="宋体" w:hint="default"/>
                <w:sz w:val="18"/>
                <w:szCs w:val="18"/>
              </w:rPr>
            </w:pPr>
            <w:r>
              <w:rPr>
                <w:rFonts w:ascii="宋体" w:hAnsi="宋体" w:cs="宋体" w:eastAsia="宋体" w:hint="default"/>
                <w:sz w:val="18"/>
                <w:szCs w:val="18"/>
              </w:rPr>
              <w:t>术开发；产品设计、生产计算机软硬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件；销售计算机、软件及辅助设备、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电子产品。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4,387.36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-1,034.51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5,133.05</w:t>
            </w:r>
          </w:p>
        </w:tc>
      </w:tr>
      <w:tr>
        <w:trPr>
          <w:trHeight w:val="11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189"/>
              <w:jc w:val="left"/>
              <w:rPr>
                <w:rFonts w:ascii="宋体" w:hAnsi="宋体" w:cs="宋体" w:eastAsia="宋体" w:hint="default"/>
                <w:sz w:val="18"/>
                <w:szCs w:val="18"/>
              </w:rPr>
            </w:pPr>
            <w:r>
              <w:rPr>
                <w:rFonts w:ascii="宋体" w:hAnsi="宋体" w:cs="宋体" w:eastAsia="宋体" w:hint="default"/>
                <w:sz w:val="18"/>
                <w:szCs w:val="18"/>
              </w:rPr>
              <w:t>华胜信泰科技有 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技术开发、技术咨询、技术服务、技</w:t>
            </w:r>
          </w:p>
          <w:p>
            <w:pPr>
              <w:pStyle w:val="TableParagraph"/>
              <w:spacing w:line="237" w:lineRule="auto"/>
              <w:ind w:left="100" w:right="104"/>
              <w:jc w:val="both"/>
              <w:rPr>
                <w:rFonts w:ascii="宋体" w:hAnsi="宋体" w:cs="宋体" w:eastAsia="宋体" w:hint="default"/>
                <w:sz w:val="18"/>
                <w:szCs w:val="18"/>
              </w:rPr>
            </w:pPr>
            <w:r>
              <w:rPr>
                <w:rFonts w:ascii="宋体" w:hAnsi="宋体" w:cs="宋体" w:eastAsia="宋体" w:hint="default"/>
                <w:sz w:val="18"/>
                <w:szCs w:val="18"/>
              </w:rPr>
              <w:t>术培训；销售计算机、软件及辅助设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备、通讯设备、仪器仪表；计算机系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统服务；应用软件服务；基础软件服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务；软件开发；技术进出口。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75.64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-1,153.74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20,051.35</w:t>
            </w:r>
          </w:p>
        </w:tc>
      </w:tr>
      <w:tr>
        <w:trPr>
          <w:trHeight w:val="141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15"/>
              <w:jc w:val="left"/>
              <w:rPr>
                <w:rFonts w:ascii="宋体" w:hAnsi="宋体" w:cs="宋体" w:eastAsia="宋体" w:hint="default"/>
                <w:sz w:val="18"/>
                <w:szCs w:val="18"/>
              </w:rPr>
            </w:pPr>
            <w:r>
              <w:rPr>
                <w:rFonts w:ascii="宋体" w:hAnsi="宋体" w:cs="宋体" w:eastAsia="宋体" w:hint="default"/>
                <w:sz w:val="18"/>
                <w:szCs w:val="18"/>
              </w:rPr>
              <w:t>北京华胜天成低 碳产业创业投资 中心（有限合伙）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许可经营项目：无</w:t>
            </w:r>
          </w:p>
          <w:p>
            <w:pPr>
              <w:pStyle w:val="TableParagraph"/>
              <w:spacing w:line="237" w:lineRule="auto"/>
              <w:ind w:left="100" w:right="104"/>
              <w:jc w:val="both"/>
              <w:rPr>
                <w:rFonts w:ascii="宋体" w:hAnsi="宋体" w:cs="宋体" w:eastAsia="宋体" w:hint="default"/>
                <w:sz w:val="18"/>
                <w:szCs w:val="18"/>
              </w:rPr>
            </w:pPr>
            <w:r>
              <w:rPr>
                <w:rFonts w:ascii="宋体" w:hAnsi="宋体" w:cs="宋体" w:eastAsia="宋体" w:hint="default"/>
                <w:sz w:val="18"/>
                <w:szCs w:val="18"/>
              </w:rPr>
              <w:t>一般经营项目：创业投资业务；代理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其他创业投资企业等机构或个人的创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业投资业务；创业投资咨询业务；为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0"/>
                <w:sz w:val="18"/>
                <w:szCs w:val="18"/>
              </w:rPr>
              <w:t>创业企业提供创业管理服务业务。（未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取得行政许可的项目除外</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23,350.00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6,114.61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28,960.98</w:t>
            </w:r>
          </w:p>
        </w:tc>
      </w:tr>
    </w:tbl>
    <w:p>
      <w:pPr>
        <w:spacing w:after="0" w:line="240" w:lineRule="auto"/>
        <w:jc w:val="right"/>
        <w:rPr>
          <w:rFonts w:ascii="宋体" w:hAnsi="宋体" w:cs="宋体" w:eastAsia="宋体" w:hint="default"/>
          <w:sz w:val="18"/>
          <w:szCs w:val="18"/>
        </w:rPr>
        <w:sectPr>
          <w:type w:val="continuous"/>
          <w:pgSz w:w="11910" w:h="16840"/>
          <w:pgMar w:top="1120" w:bottom="1380" w:left="480" w:right="1680"/>
        </w:sectPr>
      </w:pPr>
    </w:p>
    <w:p>
      <w:pPr>
        <w:spacing w:line="240" w:lineRule="auto" w:before="2"/>
        <w:rPr>
          <w:rFonts w:ascii="宋体" w:hAnsi="宋体" w:cs="宋体" w:eastAsia="宋体" w:hint="default"/>
          <w:sz w:val="19"/>
          <w:szCs w:val="19"/>
        </w:rPr>
      </w:pPr>
    </w:p>
    <w:p>
      <w:pPr>
        <w:pStyle w:val="Heading2"/>
        <w:spacing w:line="259" w:lineRule="auto"/>
        <w:ind w:left="137" w:right="580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32"/>
        </w:rPr>
        <w:t> </w:t>
      </w:r>
      <w:r>
        <w:rPr/>
        <w:t>公司控制的结构化主体情况</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spacing w:line="240" w:lineRule="auto" w:before="0"/>
        <w:ind w:left="137" w:right="352"/>
        <w:jc w:val="left"/>
        <w:rPr>
          <w:b w:val="0"/>
          <w:bCs w:val="0"/>
        </w:rPr>
      </w:pPr>
      <w:r>
        <w:rPr/>
        <w:t>三、公司关于公司未来发展的讨论与分析</w:t>
      </w:r>
      <w:r>
        <w:rPr>
          <w:b w:val="0"/>
          <w:bCs w:val="0"/>
        </w:rPr>
      </w:r>
    </w:p>
    <w:p>
      <w:pPr>
        <w:spacing w:line="300" w:lineRule="auto" w:before="58"/>
        <w:ind w:left="694" w:right="352" w:hanging="557"/>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33"/>
          <w:sz w:val="24"/>
          <w:szCs w:val="24"/>
        </w:rPr>
        <w:t> </w:t>
      </w:r>
      <w:r>
        <w:rPr>
          <w:rFonts w:ascii="宋体" w:hAnsi="宋体" w:cs="宋体" w:eastAsia="宋体" w:hint="default"/>
          <w:b/>
          <w:bCs/>
          <w:sz w:val="24"/>
          <w:szCs w:val="24"/>
        </w:rPr>
        <w:t>行业竞争格局和发展趋势</w:t>
      </w:r>
      <w:r>
        <w:rPr>
          <w:rFonts w:ascii="宋体" w:hAnsi="宋体" w:cs="宋体" w:eastAsia="宋体" w:hint="default"/>
          <w:b/>
          <w:bCs/>
          <w:w w:val="99"/>
          <w:sz w:val="24"/>
          <w:szCs w:val="24"/>
        </w:rPr>
        <w:t> </w:t>
      </w:r>
      <w:r>
        <w:rPr>
          <w:rFonts w:ascii="宋体" w:hAnsi="宋体" w:cs="宋体" w:eastAsia="宋体" w:hint="default"/>
          <w:spacing w:val="-4"/>
          <w:sz w:val="24"/>
          <w:szCs w:val="24"/>
        </w:rPr>
        <w:t>近年来，随着我国信息化带动工业化进程的不断推进，以政府、能源、互联网、</w:t>
      </w:r>
    </w:p>
    <w:p>
      <w:pPr>
        <w:pStyle w:val="BodyText"/>
        <w:spacing w:line="251" w:lineRule="exact"/>
        <w:ind w:right="65"/>
        <w:jc w:val="left"/>
      </w:pPr>
      <w:r>
        <w:rPr/>
        <w:t>教育、交通等为代表的重点行业对高端计算产品与服务的需求迅速增长。高端计算技</w:t>
      </w:r>
    </w:p>
    <w:p>
      <w:pPr>
        <w:pStyle w:val="BodyText"/>
        <w:spacing w:line="312" w:lineRule="exact" w:before="29"/>
        <w:ind w:right="352"/>
        <w:jc w:val="left"/>
      </w:pPr>
      <w:r>
        <w:rPr>
          <w:spacing w:val="-2"/>
        </w:rPr>
        <w:t>术是国际公认的信息技术的战略制高点，是体现国家科技竞争实力和综合国力的重要</w:t>
      </w:r>
      <w:r>
        <w:rPr>
          <w:spacing w:val="-94"/>
        </w:rPr>
        <w:t> </w:t>
      </w:r>
      <w:r>
        <w:rPr>
          <w:spacing w:val="-94"/>
        </w:rPr>
      </w:r>
      <w:r>
        <w:rPr/>
        <w:t>标志。而目前，国内高端计算技术水平和国际先进技术相比还存在着较大的差距。</w:t>
      </w:r>
    </w:p>
    <w:p>
      <w:pPr>
        <w:pStyle w:val="BodyText"/>
        <w:spacing w:line="237" w:lineRule="auto" w:before="90"/>
        <w:ind w:right="65" w:firstLine="556"/>
        <w:jc w:val="left"/>
      </w:pPr>
      <w:r>
        <w:rPr>
          <w:spacing w:val="-7"/>
        </w:rPr>
        <w:t>而于</w:t>
      </w:r>
      <w:r>
        <w:rPr>
          <w:rFonts w:ascii="宋体" w:hAnsi="宋体" w:cs="宋体" w:eastAsia="宋体" w:hint="default"/>
          <w:spacing w:val="-7"/>
        </w:rPr>
        <w:t>2016</w:t>
      </w:r>
      <w:r>
        <w:rPr>
          <w:spacing w:val="-7"/>
        </w:rPr>
        <w:t>年</w:t>
      </w:r>
      <w:r>
        <w:rPr>
          <w:rFonts w:ascii="宋体" w:hAnsi="宋体" w:cs="宋体" w:eastAsia="宋体" w:hint="default"/>
          <w:spacing w:val="-7"/>
        </w:rPr>
        <w:t>3</w:t>
      </w:r>
      <w:r>
        <w:rPr>
          <w:spacing w:val="-7"/>
        </w:rPr>
        <w:t>月正式出炉的《国民经济和社会发展第十三个五年规划纲要（草案）》</w:t>
      </w:r>
      <w:r>
        <w:rPr/>
        <w:t> 明确提出，实施网络强国战略，加快建设数字中国；构建高效信息网络，推进物联网 发展；实施“互联网+”行动计划，促进多领域融合发展；实施国家大数据战略，加 快政府数据开放；加强数据安全包含，全面保障信息系统安全；推进军民融合发展立 法。</w:t>
      </w:r>
    </w:p>
    <w:p>
      <w:pPr>
        <w:pStyle w:val="BodyText"/>
        <w:spacing w:line="237" w:lineRule="auto" w:before="121"/>
        <w:ind w:right="352" w:firstLine="556"/>
        <w:jc w:val="left"/>
      </w:pPr>
      <w:r>
        <w:rPr/>
        <w:t>华胜天成理解，信息网络技术日新月异，大数据、人工智能的普及是绿色可持 </w:t>
      </w:r>
      <w:r>
        <w:rPr>
          <w:spacing w:val="-2"/>
        </w:rPr>
        <w:t>续发展的重要支撑，会极大促进对高端计算软硬件产品的需求。以高端计算系统为基</w:t>
      </w:r>
      <w:r>
        <w:rPr>
          <w:spacing w:val="-94"/>
        </w:rPr>
        <w:t> </w:t>
      </w:r>
      <w:r>
        <w:rPr>
          <w:spacing w:val="-94"/>
        </w:rPr>
      </w:r>
      <w:r>
        <w:rPr/>
        <w:t>础，运用互联网</w:t>
      </w:r>
      <w:r>
        <w:rPr>
          <w:rFonts w:ascii="宋体" w:hAnsi="宋体" w:cs="宋体" w:eastAsia="宋体" w:hint="default"/>
        </w:rPr>
        <w:t>+</w:t>
      </w:r>
      <w:r>
        <w:rPr/>
        <w:t>、大数据、云计算、物联网等先进技术，满足行业客户的</w:t>
      </w:r>
      <w:r>
        <w:rPr>
          <w:rFonts w:ascii="宋体" w:hAnsi="宋体" w:cs="宋体" w:eastAsia="宋体" w:hint="default"/>
        </w:rPr>
        <w:t>IT</w:t>
      </w:r>
      <w:r>
        <w:rPr/>
        <w:t>业务需 求，帮助客户实现业务结构在新经济时代的优化，正是华胜天成未来发展的机遇。</w:t>
      </w:r>
    </w:p>
    <w:p>
      <w:pPr>
        <w:spacing w:line="240" w:lineRule="auto" w:before="0"/>
        <w:rPr>
          <w:rFonts w:ascii="宋体" w:hAnsi="宋体" w:cs="宋体" w:eastAsia="宋体" w:hint="default"/>
          <w:sz w:val="24"/>
          <w:szCs w:val="24"/>
        </w:rPr>
      </w:pPr>
    </w:p>
    <w:p>
      <w:pPr>
        <w:pStyle w:val="Heading2"/>
        <w:spacing w:line="240" w:lineRule="auto" w:before="174"/>
        <w:ind w:left="137" w:right="58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310" w:lineRule="exact" w:before="119"/>
        <w:ind w:right="340" w:firstLine="480"/>
        <w:jc w:val="left"/>
      </w:pPr>
      <w:r>
        <w:rPr>
          <w:rFonts w:ascii="宋体" w:hAnsi="宋体" w:cs="宋体" w:eastAsia="宋体" w:hint="default"/>
        </w:rPr>
        <w:t>2016</w:t>
      </w:r>
      <w:r>
        <w:rPr>
          <w:rFonts w:ascii="宋体" w:hAnsi="宋体" w:cs="宋体" w:eastAsia="宋体" w:hint="default"/>
          <w:spacing w:val="-39"/>
        </w:rPr>
        <w:t> </w:t>
      </w:r>
      <w:r>
        <w:rPr>
          <w:spacing w:val="-4"/>
        </w:rPr>
        <w:t>年公司将继续围绕“产品产业化、服务实业化”的业务战略，更为积极和系</w:t>
      </w:r>
      <w:r>
        <w:rPr/>
        <w:t> 统化地寻求“内生式增长、外延式发展”的发展路径</w:t>
      </w:r>
    </w:p>
    <w:p>
      <w:pPr>
        <w:pStyle w:val="BodyText"/>
        <w:spacing w:line="331" w:lineRule="auto" w:before="89"/>
        <w:ind w:left="617" w:right="352" w:hanging="480"/>
        <w:jc w:val="left"/>
      </w:pPr>
      <w:r>
        <w:rPr>
          <w:rFonts w:ascii="宋体" w:hAnsi="宋体" w:cs="宋体" w:eastAsia="宋体" w:hint="default"/>
        </w:rPr>
        <w:t>1</w:t>
      </w:r>
      <w:r>
        <w:rPr/>
        <w:t>、</w:t>
      </w:r>
      <w:r>
        <w:rPr>
          <w:spacing w:val="-60"/>
        </w:rPr>
        <w:t> </w:t>
      </w:r>
      <w:r>
        <w:rPr/>
        <w:t>继续坚持“以高端计算系统为基础的行业大数据和服务提供商”的定位</w:t>
      </w:r>
      <w:r>
        <w:rPr/>
        <w:t> </w:t>
      </w:r>
      <w:r>
        <w:rPr>
          <w:spacing w:val="-2"/>
        </w:rPr>
        <w:t>在内生式增长方面，华胜天成坚持以可信开放高端计算产品为基础，积极整合集</w:t>
      </w:r>
    </w:p>
    <w:p>
      <w:pPr>
        <w:pStyle w:val="BodyText"/>
        <w:spacing w:line="219" w:lineRule="exact"/>
        <w:ind w:right="65"/>
        <w:jc w:val="left"/>
      </w:pPr>
      <w:r>
        <w:rPr>
          <w:spacing w:val="-5"/>
        </w:rPr>
        <w:t>团范围内云计算技术、大数据技术、物联网、互联网</w:t>
      </w:r>
      <w:r>
        <w:rPr>
          <w:rFonts w:ascii="宋体" w:hAnsi="宋体" w:cs="宋体" w:eastAsia="宋体" w:hint="default"/>
          <w:spacing w:val="-5"/>
        </w:rPr>
        <w:t>+</w:t>
      </w:r>
      <w:r>
        <w:rPr>
          <w:spacing w:val="-5"/>
        </w:rPr>
        <w:t>技术，整合分散在各成员企业、</w:t>
      </w:r>
    </w:p>
    <w:p>
      <w:pPr>
        <w:pStyle w:val="BodyText"/>
        <w:spacing w:line="312" w:lineRule="exact" w:before="28"/>
        <w:ind w:right="352"/>
        <w:jc w:val="left"/>
      </w:pPr>
      <w:r>
        <w:rPr>
          <w:spacing w:val="-2"/>
        </w:rPr>
        <w:t>各事业部内的行业客户资源，以及上下游合作伙伴的优势资源，形成新的有发展潜力</w:t>
      </w:r>
      <w:r>
        <w:rPr>
          <w:spacing w:val="-94"/>
        </w:rPr>
        <w:t> </w:t>
      </w:r>
      <w:r>
        <w:rPr>
          <w:spacing w:val="-94"/>
        </w:rPr>
      </w:r>
      <w:r>
        <w:rPr/>
        <w:t>的行业应用，夯实华胜天成作为行业客户“一站式”综合服务提供商的龙头地位。</w:t>
      </w:r>
    </w:p>
    <w:p>
      <w:pPr>
        <w:pStyle w:val="BodyText"/>
        <w:spacing w:line="328" w:lineRule="auto" w:before="89"/>
        <w:ind w:left="617" w:right="352" w:hanging="480"/>
        <w:jc w:val="left"/>
      </w:pPr>
      <w:r>
        <w:rPr>
          <w:rFonts w:ascii="宋体" w:hAnsi="宋体" w:cs="宋体" w:eastAsia="宋体" w:hint="default"/>
        </w:rPr>
        <w:t>2</w:t>
      </w:r>
      <w:r>
        <w:rPr/>
        <w:t>、</w:t>
      </w:r>
      <w:r>
        <w:rPr>
          <w:spacing w:val="-60"/>
        </w:rPr>
        <w:t> </w:t>
      </w:r>
      <w:r>
        <w:rPr/>
        <w:t>加快外延式发展，强化公司核心竞争力</w:t>
      </w:r>
      <w:r>
        <w:rPr/>
        <w:t> </w:t>
      </w:r>
      <w:r>
        <w:rPr>
          <w:spacing w:val="-2"/>
        </w:rPr>
        <w:t>紧密围绕公司发展战略，积极寻找和储备适合公司发展战略的目标企业，优化产</w:t>
      </w:r>
    </w:p>
    <w:p>
      <w:pPr>
        <w:pStyle w:val="BodyText"/>
        <w:spacing w:line="223" w:lineRule="exact"/>
        <w:ind w:right="352"/>
        <w:jc w:val="left"/>
      </w:pPr>
      <w:r>
        <w:rPr/>
        <w:t>品结构和产业布局，提升市场地位和核心竞争力。</w:t>
      </w:r>
    </w:p>
    <w:p>
      <w:pPr>
        <w:spacing w:line="300" w:lineRule="auto" w:before="118"/>
        <w:ind w:left="137" w:right="2569"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三</w:t>
      </w:r>
      <w:r>
        <w:rPr>
          <w:rFonts w:ascii="Calibri" w:hAnsi="Calibri" w:cs="Calibri" w:eastAsia="Calibri" w:hint="default"/>
          <w:b/>
          <w:bCs/>
          <w:sz w:val="24"/>
          <w:szCs w:val="24"/>
        </w:rPr>
        <w:t>)</w:t>
      </w:r>
      <w:r>
        <w:rPr>
          <w:rFonts w:ascii="Calibri" w:hAnsi="Calibri" w:cs="Calibri" w:eastAsia="Calibri" w:hint="default"/>
          <w:b/>
          <w:bCs/>
          <w:spacing w:val="33"/>
          <w:sz w:val="24"/>
          <w:szCs w:val="24"/>
        </w:rPr>
        <w:t> </w:t>
      </w:r>
      <w:r>
        <w:rPr>
          <w:rFonts w:ascii="宋体" w:hAnsi="宋体" w:cs="宋体" w:eastAsia="宋体" w:hint="default"/>
          <w:b/>
          <w:bCs/>
          <w:sz w:val="24"/>
          <w:szCs w:val="24"/>
        </w:rPr>
        <w:t>经营计划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、打造和完善以“阿米巴”为经营单元的组织机制和业务机制</w:t>
      </w:r>
    </w:p>
    <w:p>
      <w:pPr>
        <w:pStyle w:val="BodyText"/>
        <w:spacing w:line="237" w:lineRule="auto" w:before="60"/>
        <w:ind w:right="230" w:firstLine="480"/>
        <w:jc w:val="left"/>
      </w:pPr>
      <w:r>
        <w:rPr/>
        <w:t>数据时代的核心是在公司内形成更加创新灵活的运营机制，使业务前线更加快速 敏捷的服务于客户。公司</w:t>
      </w:r>
      <w:r>
        <w:rPr>
          <w:spacing w:val="-54"/>
        </w:rPr>
        <w:t> </w:t>
      </w:r>
      <w:r>
        <w:rPr>
          <w:rFonts w:ascii="宋体" w:hAnsi="宋体" w:cs="宋体" w:eastAsia="宋体" w:hint="default"/>
        </w:rPr>
        <w:t>2016</w:t>
      </w:r>
      <w:r>
        <w:rPr>
          <w:rFonts w:ascii="宋体" w:hAnsi="宋体" w:cs="宋体" w:eastAsia="宋体" w:hint="default"/>
          <w:spacing w:val="-55"/>
        </w:rPr>
        <w:t> </w:t>
      </w:r>
      <w:r>
        <w:rPr>
          <w:spacing w:val="2"/>
        </w:rPr>
        <w:t>年的工作重点，是打造“平台</w:t>
      </w:r>
      <w:r>
        <w:rPr>
          <w:rFonts w:ascii="宋体" w:hAnsi="宋体" w:cs="宋体" w:eastAsia="宋体" w:hint="default"/>
          <w:spacing w:val="2"/>
        </w:rPr>
        <w:t>+</w:t>
      </w:r>
      <w:r>
        <w:rPr>
          <w:spacing w:val="2"/>
        </w:rPr>
        <w:t>阿米巴”的企业架构。 </w:t>
      </w:r>
      <w:r>
        <w:rPr/>
        <w:t>即按照品类构建更多的精英团队，打造能对业务前线在数据运营、技术资源整合、考</w:t>
      </w:r>
      <w:r>
        <w:rPr/>
        <w:t> 核结算方面有强力支撑的平台，激发活力和创造力。</w:t>
      </w:r>
    </w:p>
    <w:p>
      <w:pPr>
        <w:pStyle w:val="BodyText"/>
        <w:spacing w:line="310" w:lineRule="exact" w:before="151"/>
        <w:ind w:right="352" w:firstLine="480"/>
        <w:jc w:val="left"/>
      </w:pPr>
      <w:r>
        <w:rPr>
          <w:spacing w:val="-2"/>
        </w:rPr>
        <w:t>公司将按照这个思路，从集团、子公司、业务种类按流程、架构进行梳理，从而</w:t>
      </w:r>
      <w:r>
        <w:rPr/>
        <w:t> 打造高效、敏捷的业务体系和组织体系。</w:t>
      </w:r>
    </w:p>
    <w:p>
      <w:pPr>
        <w:spacing w:after="0" w:line="310" w:lineRule="exact"/>
        <w:jc w:val="left"/>
        <w:sectPr>
          <w:pgSz w:w="11910" w:h="16840"/>
          <w:pgMar w:header="880" w:footer="1195" w:top="1120" w:bottom="1380" w:left="1140" w:right="1440"/>
        </w:sectPr>
      </w:pPr>
    </w:p>
    <w:p>
      <w:pPr>
        <w:spacing w:line="240" w:lineRule="auto" w:before="2"/>
        <w:rPr>
          <w:rFonts w:ascii="宋体" w:hAnsi="宋体" w:cs="宋体" w:eastAsia="宋体" w:hint="default"/>
          <w:sz w:val="19"/>
          <w:szCs w:val="19"/>
        </w:rPr>
      </w:pPr>
    </w:p>
    <w:p>
      <w:pPr>
        <w:pStyle w:val="BodyText"/>
        <w:spacing w:line="312" w:lineRule="exact" w:before="56"/>
        <w:ind w:right="97" w:firstLine="480"/>
        <w:jc w:val="left"/>
      </w:pPr>
      <w:r>
        <w:rPr>
          <w:spacing w:val="-8"/>
        </w:rPr>
        <w:t>注：“阿米巴”模式（出自日本企业家稻盛和夫），即以各个“阿米巴”为核心，</w:t>
      </w:r>
      <w:r>
        <w:rPr/>
        <w:t> 自行制订计划，独立核算，持续自主成长， “人人成为经营者”。</w:t>
      </w:r>
    </w:p>
    <w:p>
      <w:pPr>
        <w:pStyle w:val="BodyText"/>
        <w:spacing w:line="331" w:lineRule="auto" w:before="87"/>
        <w:ind w:left="617" w:right="0" w:hanging="480"/>
        <w:jc w:val="left"/>
      </w:pPr>
      <w:r>
        <w:rPr>
          <w:rFonts w:ascii="宋体" w:hAnsi="宋体" w:cs="宋体" w:eastAsia="宋体" w:hint="default"/>
        </w:rPr>
        <w:t>2</w:t>
      </w:r>
      <w:r>
        <w:rPr/>
        <w:t>、“高端计算系统”业务市场领先 </w:t>
      </w:r>
      <w:r>
        <w:rPr>
          <w:spacing w:val="-2"/>
        </w:rPr>
        <w:t>加大在“高端计算系统”国产化业务上的投入，推出更多的国产化系列产品和解</w:t>
      </w:r>
    </w:p>
    <w:p>
      <w:pPr>
        <w:pStyle w:val="BodyText"/>
        <w:spacing w:line="219" w:lineRule="exact"/>
        <w:ind w:right="0"/>
        <w:jc w:val="both"/>
      </w:pPr>
      <w:r>
        <w:rPr/>
        <w:t>决方案，扩大产品兼容适配范围，打造产品生态，并重点在政府、金融行业形成市场</w:t>
      </w:r>
    </w:p>
    <w:p>
      <w:pPr>
        <w:pStyle w:val="BodyText"/>
        <w:spacing w:line="312" w:lineRule="exact"/>
        <w:ind w:right="0"/>
        <w:jc w:val="both"/>
      </w:pPr>
      <w:r>
        <w:rPr/>
        <w:t>领先优势。</w:t>
      </w:r>
    </w:p>
    <w:p>
      <w:pPr>
        <w:spacing w:line="240" w:lineRule="auto" w:before="2"/>
        <w:rPr>
          <w:rFonts w:ascii="宋体" w:hAnsi="宋体" w:cs="宋体" w:eastAsia="宋体" w:hint="default"/>
          <w:sz w:val="32"/>
          <w:szCs w:val="32"/>
        </w:rPr>
      </w:pPr>
    </w:p>
    <w:p>
      <w:pPr>
        <w:spacing w:line="300" w:lineRule="auto" w:before="0"/>
        <w:ind w:left="137" w:right="4249"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四</w:t>
      </w:r>
      <w:r>
        <w:rPr>
          <w:rFonts w:ascii="Calibri" w:hAnsi="Calibri" w:cs="Calibri" w:eastAsia="Calibri" w:hint="default"/>
          <w:b/>
          <w:bCs/>
          <w:sz w:val="24"/>
          <w:szCs w:val="24"/>
        </w:rPr>
        <w:t>)</w:t>
      </w:r>
      <w:r>
        <w:rPr>
          <w:rFonts w:ascii="Calibri" w:hAnsi="Calibri" w:cs="Calibri" w:eastAsia="Calibri" w:hint="default"/>
          <w:b/>
          <w:bCs/>
          <w:spacing w:val="33"/>
          <w:sz w:val="24"/>
          <w:szCs w:val="24"/>
        </w:rPr>
        <w:t> </w:t>
      </w:r>
      <w:r>
        <w:rPr>
          <w:rFonts w:ascii="宋体" w:hAnsi="宋体" w:cs="宋体" w:eastAsia="宋体" w:hint="default"/>
          <w:b/>
          <w:bCs/>
          <w:sz w:val="24"/>
          <w:szCs w:val="24"/>
        </w:rPr>
        <w:t>可能面对的风险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、对高端系统技术消化和进行国产化的风险</w:t>
      </w:r>
    </w:p>
    <w:p>
      <w:pPr>
        <w:pStyle w:val="BodyText"/>
        <w:spacing w:line="237" w:lineRule="auto" w:before="61"/>
        <w:ind w:right="114"/>
        <w:jc w:val="both"/>
      </w:pPr>
      <w:r>
        <w:rPr/>
        <w:t>华胜天成持续引进</w:t>
      </w:r>
      <w:r>
        <w:rPr>
          <w:spacing w:val="-84"/>
        </w:rPr>
        <w:t> </w:t>
      </w:r>
      <w:r>
        <w:rPr>
          <w:rFonts w:ascii="宋体" w:hAnsi="宋体" w:cs="宋体" w:eastAsia="宋体" w:hint="default"/>
        </w:rPr>
        <w:t>IBM</w:t>
      </w:r>
      <w:r>
        <w:rPr>
          <w:rFonts w:ascii="宋体" w:hAnsi="宋体" w:cs="宋体" w:eastAsia="宋体" w:hint="default"/>
          <w:spacing w:val="-83"/>
        </w:rPr>
        <w:t> </w:t>
      </w:r>
      <w:r>
        <w:rPr/>
        <w:t>在高端计算领域的先进技术，公司在技术的消化、吸收、再创 </w:t>
      </w:r>
      <w:r>
        <w:rPr>
          <w:spacing w:val="-2"/>
        </w:rPr>
        <w:t>新并形成国产化产品方面存在一定的风险。公司将通过内部培养、外部招聘、团队收</w:t>
      </w:r>
      <w:r>
        <w:rPr>
          <w:spacing w:val="-96"/>
        </w:rPr>
        <w:t> </w:t>
      </w:r>
      <w:r>
        <w:rPr>
          <w:spacing w:val="-96"/>
        </w:rPr>
      </w:r>
      <w:r>
        <w:rPr/>
        <w:t>购等方式聚集行业顶尖技术人才，并通过和</w:t>
      </w:r>
      <w:r>
        <w:rPr>
          <w:spacing w:val="-61"/>
        </w:rPr>
        <w:t> </w:t>
      </w:r>
      <w:r>
        <w:rPr>
          <w:rFonts w:ascii="宋体" w:hAnsi="宋体" w:cs="宋体" w:eastAsia="宋体" w:hint="default"/>
        </w:rPr>
        <w:t>IBM</w:t>
      </w:r>
      <w:r>
        <w:rPr>
          <w:rFonts w:ascii="宋体" w:hAnsi="宋体" w:cs="宋体" w:eastAsia="宋体" w:hint="default"/>
          <w:spacing w:val="-61"/>
        </w:rPr>
        <w:t> </w:t>
      </w:r>
      <w:r>
        <w:rPr>
          <w:spacing w:val="-3"/>
        </w:rPr>
        <w:t>建立联合实验室、开展技术论坛、进</w:t>
      </w:r>
      <w:r>
        <w:rPr/>
        <w:t> 行技术人员交换、技术和产品培训等方式尽量减少风险。</w:t>
      </w:r>
    </w:p>
    <w:p>
      <w:pPr>
        <w:pStyle w:val="BodyText"/>
        <w:spacing w:line="240" w:lineRule="auto" w:before="118"/>
        <w:ind w:right="0"/>
        <w:jc w:val="both"/>
      </w:pPr>
      <w:r>
        <w:rPr>
          <w:rFonts w:ascii="宋体" w:hAnsi="宋体" w:cs="宋体" w:eastAsia="宋体" w:hint="default"/>
        </w:rPr>
        <w:t>2</w:t>
      </w:r>
      <w:r>
        <w:rPr/>
        <w:t>、转型期管理上的风险</w:t>
      </w:r>
    </w:p>
    <w:p>
      <w:pPr>
        <w:pStyle w:val="BodyText"/>
        <w:spacing w:line="312" w:lineRule="exact" w:before="146"/>
        <w:ind w:right="113"/>
        <w:jc w:val="both"/>
      </w:pPr>
      <w:r>
        <w:rPr>
          <w:spacing w:val="-2"/>
        </w:rPr>
        <w:t>随着公司经营规模和业务范围不断扩大，公司产品线的延伸，成员单位逐渐增加，组</w:t>
      </w:r>
      <w:r>
        <w:rPr>
          <w:spacing w:val="-96"/>
        </w:rPr>
        <w:t> </w:t>
      </w:r>
      <w:r>
        <w:rPr>
          <w:spacing w:val="-96"/>
        </w:rPr>
      </w:r>
      <w:r>
        <w:rPr>
          <w:spacing w:val="-2"/>
        </w:rPr>
        <w:t>织架构日益复杂，对公司的管理提出更新、更高的要求。公司的管理层在经营和管理</w:t>
      </w:r>
      <w:r>
        <w:rPr>
          <w:spacing w:val="-94"/>
        </w:rPr>
        <w:t> </w:t>
      </w:r>
      <w:r>
        <w:rPr>
          <w:spacing w:val="-94"/>
        </w:rPr>
      </w:r>
      <w:r>
        <w:rPr/>
        <w:t>上需要不断调整以适应公司业务发展和转型的需要。</w:t>
      </w:r>
    </w:p>
    <w:p>
      <w:pPr>
        <w:pStyle w:val="BodyText"/>
        <w:spacing w:line="240" w:lineRule="auto" w:before="89"/>
        <w:ind w:right="0"/>
        <w:jc w:val="both"/>
      </w:pPr>
      <w:r>
        <w:rPr>
          <w:rFonts w:ascii="宋体" w:hAnsi="宋体" w:cs="宋体" w:eastAsia="宋体" w:hint="default"/>
        </w:rPr>
        <w:t>3</w:t>
      </w:r>
      <w:r>
        <w:rPr/>
        <w:t>、应收坏账增加风险</w:t>
      </w:r>
    </w:p>
    <w:p>
      <w:pPr>
        <w:pStyle w:val="BodyText"/>
        <w:spacing w:line="312" w:lineRule="exact" w:before="146"/>
        <w:ind w:right="114"/>
        <w:jc w:val="both"/>
      </w:pPr>
      <w:r>
        <w:rPr>
          <w:spacing w:val="-2"/>
        </w:rPr>
        <w:t>公司按照既定会计政策在期末对应收账款计提了相应的坏账准备。随着应收账款余额</w:t>
      </w:r>
      <w:r>
        <w:rPr>
          <w:spacing w:val="-94"/>
        </w:rPr>
        <w:t> </w:t>
      </w:r>
      <w:r>
        <w:rPr>
          <w:spacing w:val="-94"/>
        </w:rPr>
      </w:r>
      <w:r>
        <w:rPr>
          <w:spacing w:val="-2"/>
        </w:rPr>
        <w:t>的增长，不排除个别项目在未来可能出现呆坏账金额大于已计提坏账准备的情况，对</w:t>
      </w:r>
      <w:r>
        <w:rPr>
          <w:spacing w:val="-94"/>
        </w:rPr>
        <w:t> </w:t>
      </w:r>
      <w:r>
        <w:rPr>
          <w:spacing w:val="-94"/>
        </w:rPr>
      </w:r>
      <w:r>
        <w:rPr/>
        <w:t>公司盈利水平造成不利影响。</w:t>
      </w:r>
    </w:p>
    <w:p>
      <w:pPr>
        <w:spacing w:line="240" w:lineRule="auto" w:before="1"/>
        <w:rPr>
          <w:rFonts w:ascii="宋体" w:hAnsi="宋体" w:cs="宋体" w:eastAsia="宋体" w:hint="default"/>
          <w:sz w:val="35"/>
          <w:szCs w:val="35"/>
        </w:rPr>
      </w:pPr>
    </w:p>
    <w:p>
      <w:pPr>
        <w:pStyle w:val="Heading2"/>
        <w:spacing w:line="259" w:lineRule="auto" w:before="0"/>
        <w:ind w:left="137" w:right="796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5"/>
        </w:rPr>
        <w:t> </w:t>
      </w:r>
      <w:r>
        <w:rPr/>
        <w:t>其他</w:t>
      </w:r>
      <w:r>
        <w:rPr>
          <w:spacing w:val="2"/>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spacing w:line="240" w:lineRule="auto" w:before="0"/>
        <w:ind w:left="137" w:right="0"/>
        <w:jc w:val="both"/>
        <w:rPr>
          <w:b w:val="0"/>
          <w:bCs w:val="0"/>
        </w:rPr>
      </w:pPr>
      <w:r>
        <w:rPr/>
        <w:t>四、公司因不适用准则规定或特殊原因，未按准则披露的情况和原因说明</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pgSz w:w="11910" w:h="16840"/>
          <w:pgMar w:header="880" w:footer="1195" w:top="1120" w:bottom="1380" w:left="1140" w:right="16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1"/>
        <w:tabs>
          <w:tab w:pos="4620" w:val="left" w:leader="none"/>
        </w:tabs>
        <w:spacing w:line="240" w:lineRule="auto"/>
        <w:ind w:left="3361" w:right="119"/>
        <w:jc w:val="left"/>
        <w:rPr>
          <w:b w:val="0"/>
          <w:bCs w:val="0"/>
        </w:rPr>
      </w:pPr>
      <w:bookmarkStart w:name="_TOC_250007" w:id="5"/>
      <w:r>
        <w:rPr>
          <w:w w:val="95"/>
        </w:rPr>
        <w:t>第五节</w:t>
        <w:tab/>
      </w:r>
      <w:r>
        <w:rPr/>
        <w:t>重要事项</w:t>
      </w:r>
      <w:bookmarkEnd w:id="5"/>
      <w:r>
        <w:rPr>
          <w:b w:val="0"/>
          <w:bCs w:val="0"/>
        </w:rPr>
      </w:r>
    </w:p>
    <w:p>
      <w:pPr>
        <w:pStyle w:val="Heading2"/>
        <w:spacing w:line="271" w:lineRule="auto" w:before="246"/>
        <w:ind w:left="137" w:right="4489"/>
        <w:jc w:val="both"/>
        <w:rPr>
          <w:b w:val="0"/>
          <w:bCs w:val="0"/>
        </w:rPr>
      </w:pPr>
      <w:r>
        <w:rPr/>
        <w:t>一、普通股利润分配或资本公积金转增预案</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现金分红政策的制定、执行或调整情况</w:t>
      </w:r>
      <w:r>
        <w:rPr>
          <w:w w:val="99"/>
        </w:rPr>
        <w:t> </w:t>
      </w:r>
      <w:r>
        <w:rPr>
          <w:rFonts w:ascii="宋体" w:hAnsi="宋体" w:cs="宋体" w:eastAsia="宋体" w:hint="default"/>
        </w:rPr>
        <w:t>1</w:t>
      </w:r>
      <w:r>
        <w:rPr/>
        <w:t>、报告期内现金分红政策的执行情况</w:t>
      </w:r>
      <w:r>
        <w:rPr>
          <w:b w:val="0"/>
          <w:bCs w:val="0"/>
        </w:rPr>
      </w:r>
    </w:p>
    <w:p>
      <w:pPr>
        <w:pStyle w:val="Heading2"/>
        <w:spacing w:line="281" w:lineRule="exact" w:before="0"/>
        <w:ind w:left="619" w:right="119"/>
        <w:jc w:val="left"/>
        <w:rPr>
          <w:b w:val="0"/>
          <w:bCs w:val="0"/>
        </w:rPr>
      </w:pPr>
      <w:r>
        <w:rPr/>
        <w:t>公司股利分配政策</w:t>
      </w:r>
      <w:r>
        <w:rPr>
          <w:b w:val="0"/>
          <w:bCs w:val="0"/>
        </w:rPr>
      </w:r>
    </w:p>
    <w:p>
      <w:pPr>
        <w:pStyle w:val="BodyText"/>
        <w:spacing w:line="331" w:lineRule="auto" w:before="115"/>
        <w:ind w:left="617" w:right="1130"/>
        <w:jc w:val="left"/>
      </w:pPr>
      <w:r>
        <w:rPr/>
        <w:t>根据公司 《公司章程》的有关规定，公司</w:t>
      </w:r>
      <w:r>
        <w:rPr>
          <w:spacing w:val="-1"/>
        </w:rPr>
        <w:t> </w:t>
      </w:r>
      <w:r>
        <w:rPr/>
        <w:t>利润分配政策主要内容为：</w:t>
      </w:r>
      <w:r>
        <w:rPr/>
        <w:t> 公司利润分配政策的基本原则：</w:t>
      </w:r>
    </w:p>
    <w:p>
      <w:pPr>
        <w:pStyle w:val="BodyText"/>
        <w:spacing w:line="310" w:lineRule="exact" w:before="59"/>
        <w:ind w:right="119" w:firstLine="480"/>
        <w:jc w:val="left"/>
      </w:pPr>
      <w:r>
        <w:rPr>
          <w:spacing w:val="-2"/>
        </w:rPr>
        <w:t>（一）公司充分考虑对投资者的回报，采取获利即分配的原则，每年按当年实现</w:t>
      </w:r>
      <w:r>
        <w:rPr/>
        <w:t> 的母公司报表可供分配利润的一定比例向股东分配股利；</w:t>
      </w:r>
    </w:p>
    <w:p>
      <w:pPr>
        <w:pStyle w:val="BodyText"/>
        <w:spacing w:line="312" w:lineRule="exact" w:before="120"/>
        <w:ind w:right="119" w:firstLine="480"/>
        <w:jc w:val="left"/>
      </w:pPr>
      <w:r>
        <w:rPr>
          <w:spacing w:val="-2"/>
        </w:rPr>
        <w:t>（二）公司的利润分配政策保持连续性和稳定性，同时兼顾公司的长远利益、全</w:t>
      </w:r>
      <w:r>
        <w:rPr/>
        <w:t> 体股东的整体利益及公司的可持续发展；</w:t>
      </w:r>
    </w:p>
    <w:p>
      <w:pPr>
        <w:pStyle w:val="BodyText"/>
        <w:spacing w:line="240" w:lineRule="auto" w:before="89"/>
        <w:ind w:left="617" w:right="119"/>
        <w:jc w:val="left"/>
      </w:pPr>
      <w:r>
        <w:rPr/>
        <w:t>（三）公司优先采用现金分红的利润分配方式。</w:t>
      </w:r>
    </w:p>
    <w:p>
      <w:pPr>
        <w:pStyle w:val="BodyText"/>
        <w:spacing w:line="312" w:lineRule="exact" w:before="146"/>
        <w:ind w:right="109" w:firstLine="480"/>
        <w:jc w:val="left"/>
      </w:pPr>
      <w:r>
        <w:rPr>
          <w:spacing w:val="-5"/>
        </w:rPr>
        <w:t>（四）存在股东违规占用公司资金情况的，公司应当扣减股东所分配的现金红利，</w:t>
      </w:r>
      <w:r>
        <w:rPr/>
        <w:t> 以偿还其占用的资金。</w:t>
      </w:r>
    </w:p>
    <w:p>
      <w:pPr>
        <w:spacing w:line="328" w:lineRule="auto" w:before="89"/>
        <w:ind w:left="617" w:right="5437" w:firstLine="0"/>
        <w:jc w:val="left"/>
        <w:rPr>
          <w:rFonts w:ascii="宋体" w:hAnsi="宋体" w:cs="宋体" w:eastAsia="宋体" w:hint="default"/>
          <w:sz w:val="24"/>
          <w:szCs w:val="24"/>
        </w:rPr>
      </w:pPr>
      <w:r>
        <w:rPr>
          <w:rFonts w:ascii="宋体" w:hAnsi="宋体" w:cs="宋体" w:eastAsia="宋体" w:hint="default"/>
          <w:b/>
          <w:bCs/>
          <w:sz w:val="24"/>
          <w:szCs w:val="24"/>
        </w:rPr>
        <w:t>公司利润分配具体政策如下：</w:t>
      </w:r>
      <w:r>
        <w:rPr>
          <w:rFonts w:ascii="宋体" w:hAnsi="宋体" w:cs="宋体" w:eastAsia="宋体" w:hint="default"/>
          <w:b/>
          <w:bCs/>
          <w:w w:val="99"/>
          <w:sz w:val="24"/>
          <w:szCs w:val="24"/>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利润分配的形式：</w:t>
      </w:r>
    </w:p>
    <w:p>
      <w:pPr>
        <w:pStyle w:val="BodyText"/>
        <w:spacing w:line="312" w:lineRule="exact" w:before="60"/>
        <w:ind w:right="109" w:firstLine="480"/>
        <w:jc w:val="left"/>
      </w:pPr>
      <w:r>
        <w:rPr>
          <w:spacing w:val="-5"/>
        </w:rPr>
        <w:t>公司采用现金、股票或者现金与股票相结合的方式分配股利。在有条件的情况下，</w:t>
      </w:r>
      <w:r>
        <w:rPr/>
        <w:t> 公司可以进行中期利润分配。</w:t>
      </w:r>
    </w:p>
    <w:p>
      <w:pPr>
        <w:pStyle w:val="BodyText"/>
        <w:spacing w:line="331" w:lineRule="auto" w:before="87"/>
        <w:ind w:left="617" w:right="317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公司现金分红的具体条件、比例和期间间隔： </w:t>
      </w:r>
      <w:r>
        <w:rPr>
          <w:rFonts w:ascii="宋体" w:hAnsi="宋体" w:cs="宋体" w:eastAsia="宋体" w:hint="default"/>
        </w:rPr>
        <w:t>1</w:t>
      </w:r>
      <w:r>
        <w:rPr/>
        <w:t>、实施现金分配条件</w:t>
      </w:r>
    </w:p>
    <w:p>
      <w:pPr>
        <w:pStyle w:val="BodyText"/>
        <w:spacing w:line="237" w:lineRule="auto" w:before="29"/>
        <w:ind w:right="109" w:firstLine="480"/>
        <w:jc w:val="left"/>
      </w:pPr>
      <w:r>
        <w:rPr>
          <w:spacing w:val="-5"/>
        </w:rPr>
        <w:t>公司该年度实现的可分配利润（即公司弥补亏损、提取公积金后所余的税后利润）</w:t>
      </w:r>
      <w:r>
        <w:rPr/>
        <w:t> 为正值，且现金充裕、无重大投资计划或重大资金支出等事项发生，实施现金分红不 会影响公司后续持续经营。</w:t>
      </w:r>
    </w:p>
    <w:p>
      <w:pPr>
        <w:pStyle w:val="BodyText"/>
        <w:spacing w:line="328" w:lineRule="auto" w:before="118"/>
        <w:ind w:left="617" w:right="119"/>
        <w:jc w:val="left"/>
      </w:pPr>
      <w:r>
        <w:rPr>
          <w:rFonts w:ascii="宋体" w:hAnsi="宋体" w:cs="宋体" w:eastAsia="宋体" w:hint="default"/>
        </w:rPr>
        <w:t>2</w:t>
      </w:r>
      <w:r>
        <w:rPr/>
        <w:t>、利润分配期间间隔 </w:t>
      </w:r>
      <w:r>
        <w:rPr>
          <w:spacing w:val="-2"/>
        </w:rPr>
        <w:t>在满足现金分红条件、保证公司正常经营和长远发展的前提下，公司原则上每年</w:t>
      </w:r>
    </w:p>
    <w:p>
      <w:pPr>
        <w:pStyle w:val="BodyText"/>
        <w:spacing w:line="223" w:lineRule="exact"/>
        <w:ind w:right="0"/>
        <w:jc w:val="both"/>
      </w:pPr>
      <w:r>
        <w:rPr/>
        <w:t>进行一次利润分配，公司董事会可以根据公司情况提议在中期进行现金分红。</w:t>
      </w:r>
    </w:p>
    <w:p>
      <w:pPr>
        <w:pStyle w:val="BodyText"/>
        <w:spacing w:line="331" w:lineRule="auto" w:before="118"/>
        <w:ind w:left="617" w:right="119"/>
        <w:jc w:val="left"/>
      </w:pPr>
      <w:r>
        <w:rPr>
          <w:rFonts w:ascii="宋体" w:hAnsi="宋体" w:cs="宋体" w:eastAsia="宋体" w:hint="default"/>
        </w:rPr>
        <w:t>3</w:t>
      </w:r>
      <w:r>
        <w:rPr/>
        <w:t>、现金分红比例 </w:t>
      </w:r>
      <w:r>
        <w:rPr>
          <w:spacing w:val="-2"/>
        </w:rPr>
        <w:t>公司应保持利润分配政策的连续性和稳定性，在满足现金分红条件时，原则上公</w:t>
      </w:r>
    </w:p>
    <w:p>
      <w:pPr>
        <w:pStyle w:val="BodyText"/>
        <w:spacing w:line="217" w:lineRule="exact"/>
        <w:ind w:right="0"/>
        <w:jc w:val="both"/>
      </w:pPr>
      <w:r>
        <w:rPr/>
        <w:t>司每年现金分红不少于合并报表中归属于上市公司股东可供分配利润的</w:t>
      </w:r>
      <w:r>
        <w:rPr>
          <w:spacing w:val="1"/>
        </w:rPr>
        <w:t> </w:t>
      </w:r>
      <w:r>
        <w:rPr>
          <w:rFonts w:ascii="宋体" w:hAnsi="宋体" w:cs="宋体" w:eastAsia="宋体" w:hint="default"/>
          <w:spacing w:val="-7"/>
        </w:rPr>
        <w:t>10%</w:t>
      </w:r>
      <w:r>
        <w:rPr>
          <w:spacing w:val="-7"/>
        </w:rPr>
        <w:t>。公司最</w:t>
      </w:r>
    </w:p>
    <w:p>
      <w:pPr>
        <w:pStyle w:val="BodyText"/>
        <w:spacing w:line="312" w:lineRule="exact" w:before="29"/>
        <w:ind w:right="265"/>
        <w:jc w:val="left"/>
      </w:pPr>
      <w:r>
        <w:rPr/>
        <w:t>近三年以现金方式累计分配的利润不少于最近三年实现的年均可分配利润的</w:t>
      </w:r>
      <w:r>
        <w:rPr>
          <w:spacing w:val="4"/>
        </w:rPr>
        <w:t> </w:t>
      </w:r>
      <w:r>
        <w:rPr>
          <w:rFonts w:ascii="宋体" w:hAnsi="宋体" w:cs="宋体" w:eastAsia="宋体" w:hint="default"/>
          <w:spacing w:val="-20"/>
        </w:rPr>
        <w:t>30%</w:t>
      </w:r>
      <w:r>
        <w:rPr>
          <w:spacing w:val="-20"/>
        </w:rPr>
        <w:t>。当</w:t>
      </w:r>
      <w:r>
        <w:rPr>
          <w:spacing w:val="-48"/>
        </w:rPr>
        <w:t> </w:t>
      </w:r>
      <w:r>
        <w:rPr/>
        <w:t>年未分配的可分配利润可留待以后年度进行分配。</w:t>
      </w:r>
    </w:p>
    <w:p>
      <w:pPr>
        <w:pStyle w:val="BodyText"/>
        <w:spacing w:line="237" w:lineRule="auto" w:before="89"/>
        <w:ind w:right="232" w:firstLine="480"/>
        <w:jc w:val="both"/>
      </w:pPr>
      <w:r>
        <w:rPr>
          <w:spacing w:val="-2"/>
        </w:rPr>
        <w:t>公司董事会应当综合考虑所处行业特点、发展阶段、自身经营模式、盈利水平以</w:t>
      </w:r>
      <w:r>
        <w:rPr/>
        <w:t> </w:t>
      </w:r>
      <w:r>
        <w:rPr>
          <w:spacing w:val="-2"/>
        </w:rPr>
        <w:t>及是否有重大资金支出安排等因素，区分下列情形，并按照公司章程规定的程序，提</w:t>
      </w:r>
      <w:r>
        <w:rPr>
          <w:spacing w:val="-97"/>
        </w:rPr>
        <w:t> </w:t>
      </w:r>
      <w:r>
        <w:rPr>
          <w:spacing w:val="-97"/>
        </w:rPr>
      </w:r>
      <w:r>
        <w:rPr/>
        <w:t>出差异化的现金分红政策：</w:t>
      </w:r>
    </w:p>
    <w:p>
      <w:pPr>
        <w:spacing w:after="0" w:line="237" w:lineRule="auto"/>
        <w:jc w:val="both"/>
        <w:sectPr>
          <w:pgSz w:w="11910" w:h="16840"/>
          <w:pgMar w:header="880" w:footer="1195" w:top="1120" w:bottom="1380" w:left="1140" w:right="1560"/>
        </w:sectPr>
      </w:pPr>
    </w:p>
    <w:p>
      <w:pPr>
        <w:spacing w:line="240" w:lineRule="auto" w:before="2"/>
        <w:rPr>
          <w:rFonts w:ascii="宋体" w:hAnsi="宋体" w:cs="宋体" w:eastAsia="宋体" w:hint="default"/>
          <w:sz w:val="19"/>
          <w:szCs w:val="19"/>
        </w:rPr>
      </w:pPr>
    </w:p>
    <w:p>
      <w:pPr>
        <w:pStyle w:val="BodyText"/>
        <w:spacing w:line="312" w:lineRule="exact" w:before="56"/>
        <w:ind w:right="352" w:firstLine="480"/>
        <w:jc w:val="left"/>
      </w:pPr>
      <w:r>
        <w:rPr/>
        <w:t>（</w:t>
      </w:r>
      <w:r>
        <w:rPr>
          <w:rFonts w:ascii="宋体" w:hAnsi="宋体" w:cs="宋体" w:eastAsia="宋体" w:hint="default"/>
        </w:rPr>
        <w:t>1</w:t>
      </w:r>
      <w:r>
        <w:rPr/>
        <w:t>）公司发展阶段属成熟期且无重大资金支出安排的，进行利润分配时，现金</w:t>
      </w:r>
      <w:r>
        <w:rPr>
          <w:spacing w:val="2"/>
        </w:rPr>
        <w:t> </w:t>
      </w:r>
      <w:r>
        <w:rPr/>
        <w:t>分红在本次利润分配中所占比例最低应达到</w:t>
      </w:r>
      <w:r>
        <w:rPr>
          <w:spacing w:val="-60"/>
        </w:rPr>
        <w:t> </w:t>
      </w:r>
      <w:r>
        <w:rPr>
          <w:rFonts w:ascii="宋体" w:hAnsi="宋体" w:cs="宋体" w:eastAsia="宋体" w:hint="default"/>
        </w:rPr>
        <w:t>80%</w:t>
      </w:r>
      <w:r>
        <w:rPr/>
        <w:t>；</w:t>
      </w:r>
    </w:p>
    <w:p>
      <w:pPr>
        <w:pStyle w:val="BodyText"/>
        <w:spacing w:line="312" w:lineRule="exact" w:before="117"/>
        <w:ind w:right="352" w:firstLine="480"/>
        <w:jc w:val="left"/>
      </w:pPr>
      <w:r>
        <w:rPr/>
        <w:t>（</w:t>
      </w:r>
      <w:r>
        <w:rPr>
          <w:rFonts w:ascii="宋体" w:hAnsi="宋体" w:cs="宋体" w:eastAsia="宋体" w:hint="default"/>
        </w:rPr>
        <w:t>2</w:t>
      </w:r>
      <w:r>
        <w:rPr/>
        <w:t>）公司发展阶段属成熟期且有重大资金支出安排的，进行利润分配时，现金</w:t>
      </w:r>
      <w:r>
        <w:rPr>
          <w:spacing w:val="2"/>
        </w:rPr>
        <w:t> </w:t>
      </w:r>
      <w:r>
        <w:rPr/>
        <w:t>分红在本次利润分配中所占比例最低应达到</w:t>
      </w:r>
      <w:r>
        <w:rPr>
          <w:spacing w:val="-60"/>
        </w:rPr>
        <w:t> </w:t>
      </w:r>
      <w:r>
        <w:rPr>
          <w:rFonts w:ascii="宋体" w:hAnsi="宋体" w:cs="宋体" w:eastAsia="宋体" w:hint="default"/>
        </w:rPr>
        <w:t>40%</w:t>
      </w:r>
      <w:r>
        <w:rPr/>
        <w:t>；</w:t>
      </w:r>
    </w:p>
    <w:p>
      <w:pPr>
        <w:pStyle w:val="BodyText"/>
        <w:spacing w:line="310" w:lineRule="exact" w:before="121"/>
        <w:ind w:right="352" w:firstLine="480"/>
        <w:jc w:val="left"/>
      </w:pPr>
      <w:r>
        <w:rPr/>
        <w:t>（</w:t>
      </w:r>
      <w:r>
        <w:rPr>
          <w:rFonts w:ascii="宋体" w:hAnsi="宋体" w:cs="宋体" w:eastAsia="宋体" w:hint="default"/>
        </w:rPr>
        <w:t>3</w:t>
      </w:r>
      <w:r>
        <w:rPr/>
        <w:t>）公司发展阶段属成长期且有重大资金支出安排的，进行利润分配时，现金</w:t>
      </w:r>
      <w:r>
        <w:rPr>
          <w:spacing w:val="2"/>
        </w:rPr>
        <w:t> </w:t>
      </w:r>
      <w:r>
        <w:rPr/>
        <w:t>分红在本次利润分配中所占比例最低应达到</w:t>
      </w:r>
      <w:r>
        <w:rPr>
          <w:spacing w:val="-60"/>
        </w:rPr>
        <w:t> </w:t>
      </w:r>
      <w:r>
        <w:rPr>
          <w:rFonts w:ascii="宋体" w:hAnsi="宋体" w:cs="宋体" w:eastAsia="宋体" w:hint="default"/>
        </w:rPr>
        <w:t>20%</w:t>
      </w:r>
      <w:r>
        <w:rPr/>
        <w:t>。</w:t>
      </w:r>
    </w:p>
    <w:p>
      <w:pPr>
        <w:pStyle w:val="BodyText"/>
        <w:spacing w:line="331" w:lineRule="auto" w:before="89"/>
        <w:ind w:left="617" w:right="352"/>
        <w:jc w:val="left"/>
      </w:pPr>
      <w:r>
        <w:rPr/>
        <w:t>公司发展阶段不易区分但有重大资金支出安排的，可以按照前项规定处理。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公司发放股利的具体条件 </w:t>
      </w:r>
      <w:r>
        <w:rPr>
          <w:spacing w:val="-2"/>
        </w:rPr>
        <w:t>公司主要采取现金分红的利润分配政策，若公司经营情况良好，并且董事会认为</w:t>
      </w:r>
    </w:p>
    <w:p>
      <w:pPr>
        <w:pStyle w:val="BodyText"/>
        <w:spacing w:line="218" w:lineRule="exact"/>
        <w:ind w:right="0"/>
        <w:jc w:val="both"/>
      </w:pPr>
      <w:r>
        <w:rPr/>
        <w:t>公司股票价格与公司股本规模不匹配、发放股票股利有利于公司全体股东整体利益时，</w:t>
      </w:r>
    </w:p>
    <w:p>
      <w:pPr>
        <w:pStyle w:val="BodyText"/>
        <w:spacing w:line="313" w:lineRule="exact"/>
        <w:ind w:right="0"/>
        <w:jc w:val="both"/>
      </w:pPr>
      <w:r>
        <w:rPr/>
        <w:t>可以在满足上述现金利润分配条件下，提出并实施股票股利分配预案。</w:t>
      </w:r>
    </w:p>
    <w:p>
      <w:pPr>
        <w:spacing w:line="240" w:lineRule="auto" w:before="9"/>
        <w:rPr>
          <w:rFonts w:ascii="宋体" w:hAnsi="宋体" w:cs="宋体" w:eastAsia="宋体" w:hint="default"/>
          <w:sz w:val="32"/>
          <w:szCs w:val="32"/>
        </w:rPr>
      </w:pPr>
    </w:p>
    <w:p>
      <w:pPr>
        <w:spacing w:line="331" w:lineRule="auto" w:before="0"/>
        <w:ind w:left="617" w:right="352" w:firstLine="0"/>
        <w:jc w:val="left"/>
        <w:rPr>
          <w:rFonts w:ascii="宋体" w:hAnsi="宋体" w:cs="宋体" w:eastAsia="宋体" w:hint="default"/>
          <w:sz w:val="24"/>
          <w:szCs w:val="24"/>
        </w:rPr>
      </w:pPr>
      <w:r>
        <w:rPr>
          <w:rFonts w:ascii="宋体" w:hAnsi="宋体" w:cs="宋体" w:eastAsia="宋体" w:hint="default"/>
          <w:b/>
          <w:bCs/>
          <w:sz w:val="24"/>
          <w:szCs w:val="24"/>
        </w:rPr>
        <w:t>利润分配方案的审议程序：</w:t>
      </w:r>
      <w:r>
        <w:rPr>
          <w:rFonts w:ascii="宋体" w:hAnsi="宋体" w:cs="宋体" w:eastAsia="宋体" w:hint="default"/>
          <w:b/>
          <w:bCs/>
          <w:w w:val="99"/>
          <w:sz w:val="24"/>
          <w:szCs w:val="24"/>
        </w:rPr>
        <w:t> </w:t>
      </w:r>
      <w:r>
        <w:rPr>
          <w:rFonts w:ascii="宋体" w:hAnsi="宋体" w:cs="宋体" w:eastAsia="宋体" w:hint="default"/>
          <w:spacing w:val="-2"/>
          <w:sz w:val="24"/>
          <w:szCs w:val="24"/>
        </w:rPr>
        <w:t>董事会应结合公司盈利情况、资金需求和股东回报规划提出合理的分红建议和预</w:t>
      </w:r>
    </w:p>
    <w:p>
      <w:pPr>
        <w:pStyle w:val="BodyText"/>
        <w:spacing w:line="219" w:lineRule="exact"/>
        <w:ind w:right="0"/>
        <w:jc w:val="both"/>
      </w:pPr>
      <w:r>
        <w:rPr/>
        <w:t>案，公司利润分配方案由董事会战略委员会拟定后提交公司董事会、监事会审议。董</w:t>
      </w:r>
    </w:p>
    <w:p>
      <w:pPr>
        <w:pStyle w:val="BodyText"/>
        <w:spacing w:line="331" w:lineRule="auto"/>
        <w:ind w:left="617" w:right="65" w:hanging="480"/>
        <w:jc w:val="left"/>
      </w:pPr>
      <w:r>
        <w:rPr/>
        <w:t>事会形成专项决议后提请股东大会批准，独立董事应当发表明确意见。 </w:t>
      </w:r>
      <w:r>
        <w:rPr>
          <w:spacing w:val="-2"/>
        </w:rPr>
        <w:t>董事会在拟定股利分配方案时应充分考虑独立董事、监事会和公众投资者的意见。</w:t>
      </w:r>
    </w:p>
    <w:p>
      <w:pPr>
        <w:pStyle w:val="BodyText"/>
        <w:spacing w:line="219" w:lineRule="exact"/>
        <w:ind w:right="0"/>
        <w:jc w:val="both"/>
      </w:pPr>
      <w:r>
        <w:rPr/>
        <w:t>独立董事可以征集中小股东的意见，提出分红提案，并直接提交董事会审议。股东大</w:t>
      </w:r>
    </w:p>
    <w:p>
      <w:pPr>
        <w:pStyle w:val="BodyText"/>
        <w:spacing w:line="312" w:lineRule="exact" w:before="28"/>
        <w:ind w:right="355"/>
        <w:jc w:val="both"/>
      </w:pPr>
      <w:r>
        <w:rPr>
          <w:spacing w:val="-2"/>
        </w:rPr>
        <w:t>会对现金分红具体方案进行审议前，上市公司应当通过多种渠道主动与股东特别是中</w:t>
      </w:r>
      <w:r>
        <w:rPr>
          <w:spacing w:val="-94"/>
        </w:rPr>
        <w:t> </w:t>
      </w:r>
      <w:r>
        <w:rPr>
          <w:spacing w:val="-94"/>
        </w:rPr>
      </w:r>
      <w:r>
        <w:rPr>
          <w:spacing w:val="-2"/>
        </w:rPr>
        <w:t>小股东进行沟通和交流，充分听取中小股东的意见和诉求，及时答复中小股东关心的</w:t>
      </w:r>
      <w:r>
        <w:rPr>
          <w:spacing w:val="-94"/>
        </w:rPr>
        <w:t> </w:t>
      </w:r>
      <w:r>
        <w:rPr>
          <w:spacing w:val="-94"/>
        </w:rPr>
      </w:r>
      <w:r>
        <w:rPr/>
        <w:t>问题。</w:t>
      </w:r>
    </w:p>
    <w:p>
      <w:pPr>
        <w:pStyle w:val="BodyText"/>
        <w:spacing w:line="312" w:lineRule="exact" w:before="117"/>
        <w:ind w:right="355" w:firstLine="480"/>
        <w:jc w:val="both"/>
      </w:pPr>
      <w:r>
        <w:rPr>
          <w:spacing w:val="-2"/>
        </w:rPr>
        <w:t>在有能力进行现金分红的情况下，公司董事会未做出现金分红预案的，应当说明</w:t>
      </w:r>
      <w:r>
        <w:rPr/>
        <w:t> </w:t>
      </w:r>
      <w:r>
        <w:rPr>
          <w:spacing w:val="-2"/>
        </w:rPr>
        <w:t>未现金分红的原因、相关原因与实际情况是否相符合、未用于分红的资金留存公司的</w:t>
      </w:r>
      <w:r>
        <w:rPr>
          <w:spacing w:val="-94"/>
        </w:rPr>
        <w:t> </w:t>
      </w:r>
      <w:r>
        <w:rPr>
          <w:spacing w:val="-94"/>
        </w:rPr>
      </w:r>
      <w:r>
        <w:rPr/>
        <w:t>用途及收益情况，独立董事应当对此发表明确的独立意见。</w:t>
      </w:r>
    </w:p>
    <w:p>
      <w:pPr>
        <w:pStyle w:val="BodyText"/>
        <w:spacing w:line="310" w:lineRule="exact" w:before="121"/>
        <w:ind w:right="352" w:firstLine="480"/>
        <w:jc w:val="left"/>
      </w:pPr>
      <w:r>
        <w:rPr>
          <w:spacing w:val="-2"/>
        </w:rPr>
        <w:t>在公司有能力分红的情况下，公司董事会未作任何利润分配预案的，应当参照前</w:t>
      </w:r>
      <w:r>
        <w:rPr/>
        <w:t> 述程序履行信息披露。</w:t>
      </w:r>
    </w:p>
    <w:p>
      <w:pPr>
        <w:spacing w:line="331" w:lineRule="auto" w:before="89"/>
        <w:ind w:left="617" w:right="352" w:firstLine="0"/>
        <w:jc w:val="left"/>
        <w:rPr>
          <w:rFonts w:ascii="宋体" w:hAnsi="宋体" w:cs="宋体" w:eastAsia="宋体" w:hint="default"/>
          <w:sz w:val="24"/>
          <w:szCs w:val="24"/>
        </w:rPr>
      </w:pPr>
      <w:r>
        <w:rPr>
          <w:rFonts w:ascii="宋体" w:hAnsi="宋体" w:cs="宋体" w:eastAsia="宋体" w:hint="default"/>
          <w:b/>
          <w:bCs/>
          <w:sz w:val="24"/>
          <w:szCs w:val="24"/>
        </w:rPr>
        <w:t>公司利润分配政策的变更：</w:t>
      </w:r>
      <w:r>
        <w:rPr>
          <w:rFonts w:ascii="宋体" w:hAnsi="宋体" w:cs="宋体" w:eastAsia="宋体" w:hint="default"/>
          <w:b/>
          <w:bCs/>
          <w:w w:val="99"/>
          <w:sz w:val="24"/>
          <w:szCs w:val="24"/>
        </w:rPr>
        <w:t> </w:t>
      </w:r>
      <w:r>
        <w:rPr>
          <w:rFonts w:ascii="宋体" w:hAnsi="宋体" w:cs="宋体" w:eastAsia="宋体" w:hint="default"/>
          <w:spacing w:val="4"/>
          <w:sz w:val="24"/>
          <w:szCs w:val="24"/>
        </w:rPr>
        <w:t>公司应当严格执行公司章程规定的现金分红政策以及股东大会审议批准的现金</w:t>
      </w:r>
    </w:p>
    <w:p>
      <w:pPr>
        <w:pStyle w:val="BodyText"/>
        <w:spacing w:line="218" w:lineRule="exact"/>
        <w:ind w:right="0"/>
        <w:jc w:val="both"/>
      </w:pPr>
      <w:r>
        <w:rPr/>
        <w:t>分红具体方案。</w:t>
      </w:r>
    </w:p>
    <w:p>
      <w:pPr>
        <w:pStyle w:val="BodyText"/>
        <w:spacing w:line="237" w:lineRule="auto" w:before="120"/>
        <w:ind w:right="65" w:firstLine="480"/>
        <w:jc w:val="left"/>
      </w:pPr>
      <w:r>
        <w:rPr/>
        <w:t>公司根据生产经营情况、投资规划和长期发展的需要，确需调整利润分配政策和 股东回报规划的，调整后的利润分配政策不得违反相关法律法规、规范性文件、公司 章程的有关规定；有关调整利润分配政策的议案，由独立董事、监事会发表意见，经 </w:t>
      </w:r>
      <w:r>
        <w:rPr>
          <w:spacing w:val="4"/>
        </w:rPr>
        <w:t>公司董事会审议后提交公司股东大会批准，并经出席股东大会的股东所持表决权的</w:t>
      </w:r>
      <w:r>
        <w:rPr>
          <w:spacing w:val="-105"/>
        </w:rPr>
        <w:t> </w:t>
      </w:r>
      <w:r>
        <w:rPr>
          <w:spacing w:val="-105"/>
        </w:rPr>
      </w:r>
      <w:r>
        <w:rPr>
          <w:rFonts w:ascii="宋体" w:hAnsi="宋体" w:cs="宋体" w:eastAsia="宋体" w:hint="default"/>
        </w:rPr>
        <w:t>2/3</w:t>
      </w:r>
      <w:r>
        <w:rPr>
          <w:rFonts w:ascii="宋体" w:hAnsi="宋体" w:cs="宋体" w:eastAsia="宋体" w:hint="default"/>
          <w:spacing w:val="56"/>
        </w:rPr>
        <w:t> </w:t>
      </w:r>
      <w:r>
        <w:rPr/>
        <w:t>以上通过。公司同时应当提供网络投票方式以方便中小股东参与股东大会表决。</w:t>
      </w:r>
      <w:r>
        <w:rPr>
          <w:spacing w:val="-113"/>
        </w:rPr>
        <w:t> </w:t>
      </w:r>
      <w:r>
        <w:rPr>
          <w:spacing w:val="-113"/>
        </w:rPr>
      </w:r>
      <w:r>
        <w:rPr/>
        <w:t>董事会、独立董事和符合一定条件的股东可以向公司股东征集其在股东大会上的投票</w:t>
      </w:r>
      <w:r>
        <w:rPr/>
        <w:t> 权。</w:t>
      </w:r>
    </w:p>
    <w:p>
      <w:pPr>
        <w:pStyle w:val="Heading2"/>
        <w:spacing w:line="240" w:lineRule="auto" w:before="118"/>
        <w:ind w:left="137" w:right="0"/>
        <w:jc w:val="both"/>
        <w:rPr>
          <w:b w:val="0"/>
          <w:bCs w:val="0"/>
        </w:rPr>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63"/>
        </w:rPr>
        <w:t> </w:t>
      </w:r>
      <w:r>
        <w:rPr/>
        <w:t>年度利润分配预案情况</w:t>
      </w:r>
      <w:r>
        <w:rPr>
          <w:b w:val="0"/>
          <w:bCs w:val="0"/>
        </w:rPr>
      </w:r>
    </w:p>
    <w:p>
      <w:pPr>
        <w:spacing w:after="0" w:line="240" w:lineRule="auto"/>
        <w:jc w:val="both"/>
        <w:sectPr>
          <w:pgSz w:w="11910" w:h="16840"/>
          <w:pgMar w:header="880" w:footer="1195" w:top="1120" w:bottom="1380" w:left="1140" w:right="1440"/>
        </w:sectPr>
      </w:pPr>
    </w:p>
    <w:p>
      <w:pPr>
        <w:spacing w:line="240" w:lineRule="auto" w:before="2"/>
        <w:rPr>
          <w:rFonts w:ascii="宋体" w:hAnsi="宋体" w:cs="宋体" w:eastAsia="宋体" w:hint="default"/>
          <w:b/>
          <w:bCs/>
          <w:sz w:val="19"/>
          <w:szCs w:val="19"/>
        </w:rPr>
      </w:pPr>
    </w:p>
    <w:p>
      <w:pPr>
        <w:pStyle w:val="BodyText"/>
        <w:spacing w:line="237" w:lineRule="auto" w:before="28"/>
        <w:ind w:left="237" w:right="211" w:firstLine="480"/>
        <w:jc w:val="both"/>
      </w:pPr>
      <w:r>
        <w:rPr>
          <w:spacing w:val="-6"/>
        </w:rPr>
        <w:t>经致同会计师事务所审计，公司</w:t>
      </w:r>
      <w:r>
        <w:rPr>
          <w:spacing w:val="-55"/>
        </w:rPr>
        <w:t> </w:t>
      </w:r>
      <w:r>
        <w:rPr>
          <w:rFonts w:ascii="宋体" w:hAnsi="宋体" w:cs="宋体" w:eastAsia="宋体" w:hint="default"/>
        </w:rPr>
        <w:t>2015</w:t>
      </w:r>
      <w:r>
        <w:rPr>
          <w:rFonts w:ascii="宋体" w:hAnsi="宋体" w:cs="宋体" w:eastAsia="宋体" w:hint="default"/>
          <w:spacing w:val="-55"/>
        </w:rPr>
        <w:t> </w:t>
      </w:r>
      <w:r>
        <w:rPr>
          <w:spacing w:val="-5"/>
        </w:rPr>
        <w:t>年度实现归属于上市公司股东的净利润（合</w:t>
      </w:r>
      <w:r>
        <w:rPr/>
        <w:t> 并）</w:t>
      </w:r>
      <w:r>
        <w:rPr>
          <w:rFonts w:ascii="宋体" w:hAnsi="宋体" w:cs="宋体" w:eastAsia="宋体" w:hint="default"/>
        </w:rPr>
        <w:t>5177.0171</w:t>
      </w:r>
      <w:r>
        <w:rPr>
          <w:rFonts w:ascii="宋体" w:hAnsi="宋体" w:cs="宋体" w:eastAsia="宋体" w:hint="default"/>
          <w:spacing w:val="-56"/>
        </w:rPr>
        <w:t> </w:t>
      </w:r>
      <w:r>
        <w:rPr/>
        <w:t>万元，</w:t>
      </w:r>
      <w:r>
        <w:rPr>
          <w:rFonts w:ascii="宋体" w:hAnsi="宋体" w:cs="宋体" w:eastAsia="宋体" w:hint="default"/>
        </w:rPr>
        <w:t>2015</w:t>
      </w:r>
      <w:r>
        <w:rPr>
          <w:rFonts w:ascii="宋体" w:hAnsi="宋体" w:cs="宋体" w:eastAsia="宋体" w:hint="default"/>
          <w:spacing w:val="-55"/>
        </w:rPr>
        <w:t> </w:t>
      </w:r>
      <w:r>
        <w:rPr/>
        <w:t>年期末未分配的利润（合并）</w:t>
      </w:r>
      <w:r>
        <w:rPr>
          <w:rFonts w:ascii="宋体" w:hAnsi="宋体" w:cs="宋体" w:eastAsia="宋体" w:hint="default"/>
        </w:rPr>
        <w:t>94,351.4815</w:t>
      </w:r>
      <w:r>
        <w:rPr>
          <w:rFonts w:ascii="宋体" w:hAnsi="宋体" w:cs="宋体" w:eastAsia="宋体" w:hint="default"/>
          <w:spacing w:val="-56"/>
        </w:rPr>
        <w:t> </w:t>
      </w:r>
      <w:r>
        <w:rPr/>
        <w:t>万元，母公司 未分配利润为</w:t>
      </w:r>
      <w:r>
        <w:rPr>
          <w:spacing w:val="-67"/>
        </w:rPr>
        <w:t> </w:t>
      </w:r>
      <w:r>
        <w:rPr>
          <w:rFonts w:ascii="宋体" w:hAnsi="宋体" w:cs="宋体" w:eastAsia="宋体" w:hint="default"/>
        </w:rPr>
        <w:t>41,568.8735</w:t>
      </w:r>
      <w:r>
        <w:rPr>
          <w:rFonts w:ascii="宋体" w:hAnsi="宋体" w:cs="宋体" w:eastAsia="宋体" w:hint="default"/>
          <w:spacing w:val="-67"/>
        </w:rPr>
        <w:t> </w:t>
      </w:r>
      <w:r>
        <w:rPr>
          <w:spacing w:val="-3"/>
        </w:rPr>
        <w:t>万元。</w:t>
      </w:r>
      <w:r>
        <w:rPr>
          <w:rFonts w:ascii="宋体" w:hAnsi="宋体" w:cs="宋体" w:eastAsia="宋体" w:hint="default"/>
          <w:spacing w:val="-3"/>
        </w:rPr>
        <w:t>2015</w:t>
      </w:r>
      <w:r>
        <w:rPr>
          <w:rFonts w:ascii="宋体" w:hAnsi="宋体" w:cs="宋体" w:eastAsia="宋体" w:hint="default"/>
          <w:spacing w:val="-67"/>
        </w:rPr>
        <w:t> </w:t>
      </w:r>
      <w:r>
        <w:rPr/>
        <w:t>年期末资本公积余额（合并）</w:t>
      </w:r>
      <w:r>
        <w:rPr>
          <w:rFonts w:ascii="宋体" w:hAnsi="宋体" w:cs="宋体" w:eastAsia="宋体" w:hint="default"/>
        </w:rPr>
        <w:t>68,303.9475</w:t>
      </w:r>
      <w:r>
        <w:rPr>
          <w:rFonts w:ascii="宋体" w:hAnsi="宋体" w:cs="宋体" w:eastAsia="宋体" w:hint="default"/>
          <w:spacing w:val="-68"/>
        </w:rPr>
        <w:t> </w:t>
      </w:r>
      <w:r>
        <w:rPr/>
        <w:t>万 元，母公司资本公积余额为</w:t>
      </w:r>
      <w:r>
        <w:rPr>
          <w:spacing w:val="-60"/>
        </w:rPr>
        <w:t> </w:t>
      </w:r>
      <w:r>
        <w:rPr>
          <w:rFonts w:ascii="宋体" w:hAnsi="宋体" w:cs="宋体" w:eastAsia="宋体" w:hint="default"/>
        </w:rPr>
        <w:t>67,796.1382</w:t>
      </w:r>
      <w:r>
        <w:rPr>
          <w:rFonts w:ascii="宋体" w:hAnsi="宋体" w:cs="宋体" w:eastAsia="宋体" w:hint="default"/>
          <w:spacing w:val="-60"/>
        </w:rPr>
        <w:t> </w:t>
      </w:r>
      <w:r>
        <w:rPr/>
        <w:t>万元。</w:t>
      </w:r>
    </w:p>
    <w:p>
      <w:pPr>
        <w:pStyle w:val="BodyText"/>
        <w:spacing w:line="312" w:lineRule="exact" w:before="118"/>
        <w:ind w:left="717" w:right="102"/>
        <w:jc w:val="left"/>
      </w:pPr>
      <w:r>
        <w:rPr/>
        <w:t>根据上述经营情况，公司拟实施的利润分配预案为：拟以总股本</w:t>
      </w:r>
      <w:r>
        <w:rPr>
          <w:spacing w:val="-84"/>
        </w:rPr>
        <w:t> </w:t>
      </w:r>
      <w:r>
        <w:rPr>
          <w:rFonts w:ascii="宋体" w:hAnsi="宋体" w:cs="宋体" w:eastAsia="宋体" w:hint="default"/>
        </w:rPr>
        <w:t>641,825,496</w:t>
      </w:r>
      <w:r>
        <w:rPr>
          <w:rFonts w:ascii="宋体" w:hAnsi="宋体" w:cs="宋体" w:eastAsia="宋体" w:hint="default"/>
          <w:spacing w:val="-84"/>
        </w:rPr>
        <w:t> </w:t>
      </w:r>
      <w:r>
        <w:rPr/>
        <w:t>股</w:t>
      </w:r>
    </w:p>
    <w:p>
      <w:pPr>
        <w:pStyle w:val="BodyText"/>
        <w:spacing w:line="311" w:lineRule="exact"/>
        <w:ind w:left="237" w:right="102"/>
        <w:jc w:val="left"/>
      </w:pPr>
      <w:r>
        <w:rPr/>
        <w:t>为基准，向全体股东每</w:t>
      </w:r>
      <w:r>
        <w:rPr>
          <w:spacing w:val="-64"/>
        </w:rPr>
        <w:t> </w:t>
      </w:r>
      <w:r>
        <w:rPr>
          <w:rFonts w:ascii="宋体" w:hAnsi="宋体" w:cs="宋体" w:eastAsia="宋体" w:hint="default"/>
        </w:rPr>
        <w:t>10</w:t>
      </w:r>
      <w:r>
        <w:rPr>
          <w:rFonts w:ascii="宋体" w:hAnsi="宋体" w:cs="宋体" w:eastAsia="宋体" w:hint="default"/>
          <w:spacing w:val="-63"/>
        </w:rPr>
        <w:t> </w:t>
      </w:r>
      <w:r>
        <w:rPr/>
        <w:t>股派发现金红利人民币</w:t>
      </w:r>
      <w:r>
        <w:rPr>
          <w:spacing w:val="-63"/>
        </w:rPr>
        <w:t> </w:t>
      </w:r>
      <w:r>
        <w:rPr>
          <w:rFonts w:ascii="宋体" w:hAnsi="宋体" w:cs="宋体" w:eastAsia="宋体" w:hint="default"/>
        </w:rPr>
        <w:t>0.50</w:t>
      </w:r>
      <w:r>
        <w:rPr>
          <w:rFonts w:ascii="宋体" w:hAnsi="宋体" w:cs="宋体" w:eastAsia="宋体" w:hint="default"/>
          <w:spacing w:val="-63"/>
        </w:rPr>
        <w:t> </w:t>
      </w:r>
      <w:r>
        <w:rPr>
          <w:spacing w:val="-3"/>
        </w:rPr>
        <w:t>元（含税），共计派发现金红</w:t>
      </w:r>
    </w:p>
    <w:p>
      <w:pPr>
        <w:pStyle w:val="BodyText"/>
        <w:spacing w:line="312" w:lineRule="exact"/>
        <w:ind w:left="237" w:right="102"/>
        <w:jc w:val="left"/>
        <w:rPr>
          <w:rFonts w:ascii="宋体" w:hAnsi="宋体" w:cs="宋体" w:eastAsia="宋体" w:hint="default"/>
        </w:rPr>
      </w:pPr>
      <w:r>
        <w:rPr/>
        <w:t>利</w:t>
      </w:r>
      <w:r>
        <w:rPr>
          <w:spacing w:val="-34"/>
        </w:rPr>
        <w:t> </w:t>
      </w:r>
      <w:r>
        <w:rPr>
          <w:rFonts w:ascii="宋体" w:hAnsi="宋体" w:cs="宋体" w:eastAsia="宋体" w:hint="default"/>
        </w:rPr>
        <w:t>32,091,274.80</w:t>
      </w:r>
      <w:r>
        <w:rPr>
          <w:rFonts w:ascii="宋体" w:hAnsi="宋体" w:cs="宋体" w:eastAsia="宋体" w:hint="default"/>
          <w:spacing w:val="-34"/>
        </w:rPr>
        <w:t> </w:t>
      </w:r>
      <w:r>
        <w:rPr/>
        <w:t>元；同时，拟以资本公积金向全体股东转增股本，每</w:t>
      </w:r>
      <w:r>
        <w:rPr>
          <w:spacing w:val="-33"/>
        </w:rPr>
        <w:t> </w:t>
      </w:r>
      <w:r>
        <w:rPr>
          <w:rFonts w:ascii="宋体" w:hAnsi="宋体" w:cs="宋体" w:eastAsia="宋体" w:hint="default"/>
        </w:rPr>
        <w:t>10</w:t>
      </w:r>
      <w:r>
        <w:rPr>
          <w:rFonts w:ascii="宋体" w:hAnsi="宋体" w:cs="宋体" w:eastAsia="宋体" w:hint="default"/>
          <w:spacing w:val="-33"/>
        </w:rPr>
        <w:t> </w:t>
      </w:r>
      <w:r>
        <w:rPr/>
        <w:t>股转增</w:t>
      </w:r>
      <w:r>
        <w:rPr>
          <w:spacing w:val="-34"/>
        </w:rPr>
        <w:t> </w:t>
      </w:r>
      <w:r>
        <w:rPr>
          <w:rFonts w:ascii="宋体" w:hAnsi="宋体" w:cs="宋体" w:eastAsia="宋体" w:hint="default"/>
        </w:rPr>
        <w:t>4</w:t>
      </w:r>
    </w:p>
    <w:p>
      <w:pPr>
        <w:pStyle w:val="BodyText"/>
        <w:spacing w:line="313" w:lineRule="exact"/>
        <w:ind w:left="237" w:right="2569"/>
        <w:jc w:val="left"/>
      </w:pPr>
      <w:r>
        <w:rPr/>
        <w:t>股，共计转增</w:t>
      </w:r>
      <w:r>
        <w:rPr>
          <w:spacing w:val="-61"/>
        </w:rPr>
        <w:t> </w:t>
      </w:r>
      <w:r>
        <w:rPr>
          <w:rFonts w:ascii="宋体" w:hAnsi="宋体" w:cs="宋体" w:eastAsia="宋体" w:hint="default"/>
        </w:rPr>
        <w:t>256,730,198</w:t>
      </w:r>
      <w:r>
        <w:rPr>
          <w:rFonts w:ascii="宋体" w:hAnsi="宋体" w:cs="宋体" w:eastAsia="宋体" w:hint="default"/>
          <w:spacing w:val="-60"/>
        </w:rPr>
        <w:t> </w:t>
      </w:r>
      <w:r>
        <w:rPr/>
        <w:t>股。</w:t>
      </w:r>
    </w:p>
    <w:p>
      <w:pPr>
        <w:spacing w:line="240" w:lineRule="auto" w:before="0"/>
        <w:rPr>
          <w:rFonts w:ascii="宋体" w:hAnsi="宋体" w:cs="宋体" w:eastAsia="宋体" w:hint="default"/>
          <w:sz w:val="24"/>
          <w:szCs w:val="24"/>
        </w:rPr>
      </w:pPr>
    </w:p>
    <w:p>
      <w:pPr>
        <w:pStyle w:val="Heading2"/>
        <w:spacing w:line="312" w:lineRule="exact" w:before="204"/>
        <w:ind w:left="657" w:right="221"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公司近三年（含报告期）的普通股利润分配方案或预案、资本公积金转增股本方</w:t>
      </w:r>
      <w:r>
        <w:rPr>
          <w:spacing w:val="19"/>
          <w:w w:val="95"/>
        </w:rPr>
        <w:t> </w:t>
      </w:r>
      <w:r>
        <w:rPr>
          <w:spacing w:val="19"/>
          <w:w w:val="95"/>
        </w:rPr>
      </w:r>
      <w:r>
        <w:rPr/>
        <w:t>案或预案</w:t>
      </w:r>
      <w:r>
        <w:rPr>
          <w:b w:val="0"/>
          <w:bCs w:val="0"/>
        </w:rPr>
      </w:r>
    </w:p>
    <w:p>
      <w:pPr>
        <w:pStyle w:val="BodyText"/>
        <w:tabs>
          <w:tab w:pos="1199" w:val="left" w:leader="none"/>
        </w:tabs>
        <w:spacing w:line="240" w:lineRule="auto" w:before="29"/>
        <w:ind w:left="0" w:right="21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932"/>
        <w:gridCol w:w="1130"/>
        <w:gridCol w:w="1085"/>
        <w:gridCol w:w="1133"/>
        <w:gridCol w:w="1582"/>
        <w:gridCol w:w="1579"/>
        <w:gridCol w:w="1383"/>
      </w:tblGrid>
      <w:tr>
        <w:trPr>
          <w:trHeight w:val="137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50"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6" w:firstLine="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9"/>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7"/>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6"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1"/>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60" w:right="156"/>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1"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32,091,274.80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51,770,171.12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61.99</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39,762,080.87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95,133,561.09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41.80</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35,359,409.14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41,384,775.02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84.66</w:t>
            </w:r>
          </w:p>
        </w:tc>
      </w:tr>
    </w:tbl>
    <w:p>
      <w:pPr>
        <w:spacing w:line="240" w:lineRule="auto" w:before="5"/>
        <w:rPr>
          <w:rFonts w:ascii="宋体" w:hAnsi="宋体" w:cs="宋体" w:eastAsia="宋体" w:hint="default"/>
          <w:sz w:val="23"/>
          <w:szCs w:val="23"/>
        </w:rPr>
      </w:pPr>
    </w:p>
    <w:p>
      <w:pPr>
        <w:pStyle w:val="Heading2"/>
        <w:spacing w:line="256" w:lineRule="auto"/>
        <w:ind w:left="237" w:right="3794"/>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以现金方式要约回购股份计入现金分红的情况</w:t>
      </w:r>
      <w:r>
        <w:rPr>
          <w:w w:val="99"/>
        </w:rPr>
        <w:t> </w:t>
      </w:r>
      <w:r>
        <w:rPr>
          <w:rFonts w:ascii="宋体" w:hAnsi="宋体" w:cs="宋体" w:eastAsia="宋体" w:hint="default"/>
          <w:b w:val="0"/>
          <w:bCs w:val="0"/>
        </w:rPr>
        <w:t>不适用</w:t>
      </w:r>
    </w:p>
    <w:p>
      <w:pPr>
        <w:spacing w:line="240" w:lineRule="auto" w:before="6"/>
        <w:rPr>
          <w:rFonts w:ascii="宋体" w:hAnsi="宋体" w:cs="宋体" w:eastAsia="宋体" w:hint="default"/>
          <w:sz w:val="29"/>
          <w:szCs w:val="29"/>
        </w:rPr>
      </w:pPr>
    </w:p>
    <w:p>
      <w:pPr>
        <w:pStyle w:val="Heading2"/>
        <w:spacing w:line="310" w:lineRule="exact" w:before="0"/>
        <w:ind w:left="657" w:right="19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4"/>
        </w:rPr>
        <w:t> </w:t>
      </w:r>
      <w:r>
        <w:rPr/>
        <w:t>报告期内盈利且母公司可供普通股股东分配利润为正，但未提出普通股现金利润</w:t>
      </w:r>
      <w:r>
        <w:rPr>
          <w:w w:val="99"/>
        </w:rPr>
        <w:t> </w:t>
      </w:r>
      <w:r>
        <w:rPr/>
        <w:t>分配预案的，公司应当详细披露原因以及未分配利润的用途和使用计划</w:t>
      </w:r>
      <w:r>
        <w:rPr>
          <w:b w:val="0"/>
          <w:bCs w:val="0"/>
        </w:rPr>
      </w:r>
    </w:p>
    <w:p>
      <w:pPr>
        <w:pStyle w:val="BodyText"/>
        <w:spacing w:line="240" w:lineRule="auto" w:before="29"/>
        <w:ind w:left="23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237" w:right="2569"/>
        <w:jc w:val="left"/>
        <w:rPr>
          <w:b w:val="0"/>
          <w:bCs w:val="0"/>
        </w:rPr>
      </w:pPr>
      <w:r>
        <w:rPr/>
        <w:t>二、承诺事项履行情况</w:t>
      </w:r>
      <w:r>
        <w:rPr>
          <w:b w:val="0"/>
          <w:bCs w:val="0"/>
        </w:rPr>
      </w:r>
    </w:p>
    <w:p>
      <w:pPr>
        <w:pStyle w:val="BodyText"/>
        <w:spacing w:line="240" w:lineRule="auto" w:before="58"/>
        <w:ind w:left="237" w:right="2569"/>
        <w:jc w:val="left"/>
      </w:pPr>
      <w:r>
        <w:rPr/>
        <w:t>√适用</w:t>
      </w:r>
      <w:r>
        <w:rPr>
          <w:spacing w:val="-1"/>
        </w:rPr>
        <w:t> </w:t>
      </w:r>
      <w:r>
        <w:rPr/>
        <w:t>□不适用</w:t>
      </w:r>
    </w:p>
    <w:p>
      <w:pPr>
        <w:spacing w:line="240" w:lineRule="auto" w:before="6"/>
        <w:rPr>
          <w:rFonts w:ascii="宋体" w:hAnsi="宋体" w:cs="宋体" w:eastAsia="宋体" w:hint="default"/>
          <w:sz w:val="30"/>
          <w:szCs w:val="30"/>
        </w:rPr>
      </w:pPr>
    </w:p>
    <w:p>
      <w:pPr>
        <w:pStyle w:val="Heading2"/>
        <w:spacing w:line="312" w:lineRule="exact" w:before="0"/>
        <w:ind w:left="803" w:right="221" w:hanging="5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53"/>
        </w:rPr>
        <w:t> </w:t>
      </w:r>
      <w:r>
        <w:rPr>
          <w:spacing w:val="2"/>
        </w:rPr>
        <w:t>公司、股东、实际控制人、收购人、董事、监事、高级管理人员或其他关联方</w:t>
      </w:r>
      <w:r>
        <w:rPr>
          <w:w w:val="99"/>
        </w:rPr>
        <w:t> </w:t>
      </w:r>
      <w:r>
        <w:rPr/>
        <w:t>在报告期内或持续到报告期内的承诺事项</w:t>
      </w:r>
      <w:r>
        <w:rPr>
          <w:b w:val="0"/>
          <w:bCs w:val="0"/>
        </w:rPr>
      </w:r>
    </w:p>
    <w:p>
      <w:pPr>
        <w:spacing w:line="240" w:lineRule="auto" w:before="4"/>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1527"/>
        <w:gridCol w:w="869"/>
        <w:gridCol w:w="896"/>
        <w:gridCol w:w="938"/>
        <w:gridCol w:w="938"/>
        <w:gridCol w:w="968"/>
        <w:gridCol w:w="946"/>
        <w:gridCol w:w="1109"/>
        <w:gridCol w:w="871"/>
      </w:tblGrid>
      <w:tr>
        <w:trPr>
          <w:trHeight w:val="137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18" w:right="21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54" w:right="25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48" w:right="144"/>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63" w:right="158"/>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9" w:right="125"/>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12" w:right="11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69"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040" w:right="1580"/>
        </w:sectPr>
      </w:pPr>
    </w:p>
    <w:p>
      <w:pPr>
        <w:spacing w:line="240" w:lineRule="auto" w:before="3"/>
        <w:rPr>
          <w:rFonts w:ascii="宋体" w:hAnsi="宋体" w:cs="宋体" w:eastAsia="宋体" w:hint="default"/>
          <w:b/>
          <w:bCs/>
          <w:sz w:val="24"/>
          <w:szCs w:val="24"/>
        </w:rPr>
      </w:pPr>
    </w:p>
    <w:tbl>
      <w:tblPr>
        <w:tblW w:w="0" w:type="auto"/>
        <w:jc w:val="left"/>
        <w:tblInd w:w="104" w:type="dxa"/>
        <w:tblLayout w:type="fixed"/>
        <w:tblCellMar>
          <w:top w:w="0" w:type="dxa"/>
          <w:left w:w="0" w:type="dxa"/>
          <w:bottom w:w="0" w:type="dxa"/>
          <w:right w:w="0" w:type="dxa"/>
        </w:tblCellMar>
        <w:tblLook w:val="01E0"/>
      </w:tblPr>
      <w:tblGrid>
        <w:gridCol w:w="1527"/>
        <w:gridCol w:w="869"/>
        <w:gridCol w:w="896"/>
        <w:gridCol w:w="938"/>
        <w:gridCol w:w="938"/>
        <w:gridCol w:w="968"/>
        <w:gridCol w:w="946"/>
        <w:gridCol w:w="1109"/>
        <w:gridCol w:w="871"/>
      </w:tblGrid>
      <w:tr>
        <w:trPr>
          <w:trHeight w:val="11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103" w:right="149"/>
              <w:jc w:val="both"/>
              <w:rPr>
                <w:rFonts w:ascii="宋体" w:hAnsi="宋体" w:cs="宋体" w:eastAsia="宋体" w:hint="default"/>
                <w:sz w:val="21"/>
                <w:szCs w:val="21"/>
              </w:rPr>
            </w:pPr>
            <w:r>
              <w:rPr>
                <w:rFonts w:ascii="宋体" w:hAnsi="宋体" w:cs="宋体" w:eastAsia="宋体" w:hint="default"/>
                <w:sz w:val="21"/>
                <w:szCs w:val="21"/>
              </w:rPr>
              <w:t>收购报告书或</w:t>
            </w:r>
            <w:r>
              <w:rPr>
                <w:rFonts w:ascii="宋体" w:hAnsi="宋体" w:cs="宋体" w:eastAsia="宋体" w:hint="default"/>
                <w:w w:val="100"/>
                <w:sz w:val="21"/>
                <w:szCs w:val="21"/>
              </w:rPr>
              <w:t> </w:t>
            </w: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p>
        </w:tc>
        <w:tc>
          <w:tcPr>
            <w:tcW w:w="869"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与重大资产重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组相关的承诺</w:t>
            </w:r>
          </w:p>
        </w:tc>
        <w:tc>
          <w:tcPr>
            <w:tcW w:w="869"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行相关的承诺</w:t>
            </w:r>
          </w:p>
        </w:tc>
        <w:tc>
          <w:tcPr>
            <w:tcW w:w="869"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72" w:lineRule="exact"/>
              <w:ind w:left="103" w:right="149"/>
              <w:jc w:val="left"/>
              <w:rPr>
                <w:rFonts w:ascii="宋体" w:hAnsi="宋体" w:cs="宋体" w:eastAsia="宋体" w:hint="default"/>
                <w:sz w:val="21"/>
                <w:szCs w:val="21"/>
              </w:rPr>
            </w:pPr>
            <w:r>
              <w:rPr>
                <w:rFonts w:ascii="宋体" w:hAnsi="宋体" w:cs="宋体" w:eastAsia="宋体" w:hint="default"/>
                <w:sz w:val="21"/>
                <w:szCs w:val="21"/>
              </w:rPr>
              <w:t>与再融资相关</w:t>
            </w:r>
            <w:r>
              <w:rPr>
                <w:rFonts w:ascii="宋体" w:hAnsi="宋体" w:cs="宋体" w:eastAsia="宋体" w:hint="default"/>
                <w:w w:val="100"/>
                <w:sz w:val="21"/>
                <w:szCs w:val="21"/>
              </w:rPr>
              <w:t> </w:t>
            </w:r>
            <w:r>
              <w:rPr>
                <w:rFonts w:ascii="宋体" w:hAnsi="宋体" w:cs="宋体" w:eastAsia="宋体" w:hint="default"/>
                <w:sz w:val="21"/>
                <w:szCs w:val="21"/>
              </w:rPr>
              <w:t>的承诺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公司不</w:t>
            </w:r>
          </w:p>
          <w:p>
            <w:pPr>
              <w:pStyle w:val="TableParagraph"/>
              <w:spacing w:line="237" w:lineRule="auto"/>
              <w:ind w:left="103" w:right="191"/>
              <w:jc w:val="left"/>
              <w:rPr>
                <w:rFonts w:ascii="宋体" w:hAnsi="宋体" w:cs="宋体" w:eastAsia="宋体" w:hint="default"/>
                <w:sz w:val="21"/>
                <w:szCs w:val="21"/>
              </w:rPr>
            </w:pPr>
            <w:r>
              <w:rPr>
                <w:rFonts w:ascii="宋体" w:hAnsi="宋体" w:cs="宋体" w:eastAsia="宋体" w:hint="default"/>
                <w:sz w:val="21"/>
                <w:szCs w:val="21"/>
              </w:rPr>
              <w:t>再从事</w:t>
            </w:r>
            <w:r>
              <w:rPr>
                <w:rFonts w:ascii="宋体" w:hAnsi="宋体" w:cs="宋体" w:eastAsia="宋体" w:hint="default"/>
                <w:spacing w:val="-102"/>
                <w:sz w:val="21"/>
                <w:szCs w:val="21"/>
              </w:rPr>
              <w:t> </w:t>
            </w:r>
            <w:r>
              <w:rPr>
                <w:rFonts w:ascii="宋体" w:hAnsi="宋体" w:cs="宋体" w:eastAsia="宋体" w:hint="default"/>
                <w:sz w:val="21"/>
                <w:szCs w:val="21"/>
              </w:rPr>
              <w:t>以买卖</w:t>
            </w:r>
            <w:r>
              <w:rPr>
                <w:rFonts w:ascii="宋体" w:hAnsi="宋体" w:cs="宋体" w:eastAsia="宋体" w:hint="default"/>
                <w:spacing w:val="-102"/>
                <w:sz w:val="21"/>
                <w:szCs w:val="21"/>
              </w:rPr>
              <w:t> </w:t>
            </w:r>
            <w:r>
              <w:rPr>
                <w:rFonts w:ascii="宋体" w:hAnsi="宋体" w:cs="宋体" w:eastAsia="宋体" w:hint="default"/>
                <w:sz w:val="21"/>
                <w:szCs w:val="21"/>
              </w:rPr>
              <w:t>交易为</w:t>
            </w:r>
            <w:r>
              <w:rPr>
                <w:rFonts w:ascii="宋体" w:hAnsi="宋体" w:cs="宋体" w:eastAsia="宋体" w:hint="default"/>
                <w:spacing w:val="-102"/>
                <w:sz w:val="21"/>
                <w:szCs w:val="21"/>
              </w:rPr>
              <w:t> </w:t>
            </w:r>
            <w:r>
              <w:rPr>
                <w:rFonts w:ascii="宋体" w:hAnsi="宋体" w:cs="宋体" w:eastAsia="宋体" w:hint="default"/>
                <w:sz w:val="21"/>
                <w:szCs w:val="21"/>
              </w:rPr>
              <w:t>目的的</w:t>
            </w:r>
            <w:r>
              <w:rPr>
                <w:rFonts w:ascii="宋体" w:hAnsi="宋体" w:cs="宋体" w:eastAsia="宋体" w:hint="default"/>
                <w:spacing w:val="-102"/>
                <w:sz w:val="21"/>
                <w:szCs w:val="21"/>
              </w:rPr>
              <w:t> </w:t>
            </w:r>
            <w:r>
              <w:rPr>
                <w:rFonts w:ascii="宋体" w:hAnsi="宋体" w:cs="宋体" w:eastAsia="宋体" w:hint="default"/>
                <w:sz w:val="21"/>
                <w:szCs w:val="21"/>
              </w:rPr>
              <w:t>股票、</w:t>
            </w:r>
            <w:r>
              <w:rPr>
                <w:rFonts w:ascii="宋体" w:hAnsi="宋体" w:cs="宋体" w:eastAsia="宋体" w:hint="default"/>
                <w:spacing w:val="-102"/>
                <w:sz w:val="21"/>
                <w:szCs w:val="21"/>
              </w:rPr>
              <w:t> </w:t>
            </w:r>
            <w:r>
              <w:rPr>
                <w:rFonts w:ascii="宋体" w:hAnsi="宋体" w:cs="宋体" w:eastAsia="宋体" w:hint="default"/>
                <w:sz w:val="21"/>
                <w:szCs w:val="21"/>
              </w:rPr>
              <w:t>基金等</w:t>
            </w:r>
            <w:r>
              <w:rPr>
                <w:rFonts w:ascii="宋体" w:hAnsi="宋体" w:cs="宋体" w:eastAsia="宋体" w:hint="default"/>
                <w:spacing w:val="-102"/>
                <w:sz w:val="21"/>
                <w:szCs w:val="21"/>
              </w:rPr>
              <w:t> </w:t>
            </w:r>
            <w:r>
              <w:rPr>
                <w:rFonts w:ascii="宋体" w:hAnsi="宋体" w:cs="宋体" w:eastAsia="宋体" w:hint="default"/>
                <w:sz w:val="21"/>
                <w:szCs w:val="21"/>
              </w:rPr>
              <w:t>金融产</w:t>
            </w:r>
            <w:r>
              <w:rPr>
                <w:rFonts w:ascii="宋体" w:hAnsi="宋体" w:cs="宋体" w:eastAsia="宋体" w:hint="default"/>
                <w:spacing w:val="-102"/>
                <w:sz w:val="21"/>
                <w:szCs w:val="21"/>
              </w:rPr>
              <w:t> </w:t>
            </w:r>
            <w:r>
              <w:rPr>
                <w:rFonts w:ascii="宋体" w:hAnsi="宋体" w:cs="宋体" w:eastAsia="宋体" w:hint="default"/>
                <w:sz w:val="21"/>
                <w:szCs w:val="21"/>
              </w:rPr>
              <w:t>品投</w:t>
            </w:r>
            <w:r>
              <w:rPr>
                <w:rFonts w:ascii="宋体" w:hAnsi="宋体" w:cs="宋体" w:eastAsia="宋体" w:hint="default"/>
                <w:spacing w:val="-103"/>
                <w:sz w:val="21"/>
                <w:szCs w:val="21"/>
              </w:rPr>
              <w:t> </w:t>
            </w:r>
            <w:r>
              <w:rPr>
                <w:rFonts w:ascii="宋体" w:hAnsi="宋体" w:cs="宋体" w:eastAsia="宋体" w:hint="default"/>
                <w:sz w:val="21"/>
                <w:szCs w:val="21"/>
              </w:rPr>
              <w:t>资，专</w:t>
            </w:r>
            <w:r>
              <w:rPr>
                <w:rFonts w:ascii="宋体" w:hAnsi="宋体" w:cs="宋体" w:eastAsia="宋体" w:hint="default"/>
                <w:spacing w:val="-102"/>
                <w:sz w:val="21"/>
                <w:szCs w:val="21"/>
              </w:rPr>
              <w:t> </w:t>
            </w:r>
            <w:r>
              <w:rPr>
                <w:rFonts w:ascii="宋体" w:hAnsi="宋体" w:cs="宋体" w:eastAsia="宋体" w:hint="default"/>
                <w:sz w:val="21"/>
                <w:szCs w:val="21"/>
              </w:rPr>
              <w:t>注于主</w:t>
            </w:r>
            <w:r>
              <w:rPr>
                <w:rFonts w:ascii="宋体" w:hAnsi="宋体" w:cs="宋体" w:eastAsia="宋体" w:hint="default"/>
                <w:spacing w:val="-102"/>
                <w:sz w:val="21"/>
                <w:szCs w:val="21"/>
              </w:rPr>
              <w:t> </w:t>
            </w:r>
            <w:r>
              <w:rPr>
                <w:rFonts w:ascii="宋体" w:hAnsi="宋体" w:cs="宋体" w:eastAsia="宋体" w:hint="default"/>
                <w:sz w:val="21"/>
                <w:szCs w:val="21"/>
              </w:rPr>
              <w:t>业发</w:t>
            </w:r>
            <w:r>
              <w:rPr>
                <w:rFonts w:ascii="宋体" w:hAnsi="宋体" w:cs="宋体" w:eastAsia="宋体" w:hint="default"/>
                <w:spacing w:val="-103"/>
                <w:sz w:val="21"/>
                <w:szCs w:val="21"/>
              </w:rPr>
              <w:t> </w:t>
            </w:r>
            <w:r>
              <w:rPr>
                <w:rFonts w:ascii="宋体" w:hAnsi="宋体" w:cs="宋体" w:eastAsia="宋体" w:hint="default"/>
                <w:sz w:val="21"/>
                <w:szCs w:val="21"/>
              </w:rPr>
              <w:t>展。</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募投项</w:t>
            </w:r>
          </w:p>
          <w:p>
            <w:pPr>
              <w:pStyle w:val="TableParagraph"/>
              <w:spacing w:line="240" w:lineRule="auto"/>
              <w:ind w:left="103" w:right="191"/>
              <w:jc w:val="left"/>
              <w:rPr>
                <w:rFonts w:ascii="宋体" w:hAnsi="宋体" w:cs="宋体" w:eastAsia="宋体" w:hint="default"/>
                <w:sz w:val="21"/>
                <w:szCs w:val="21"/>
              </w:rPr>
            </w:pPr>
            <w:r>
              <w:rPr>
                <w:rFonts w:ascii="宋体" w:hAnsi="宋体" w:cs="宋体" w:eastAsia="宋体" w:hint="default"/>
                <w:sz w:val="21"/>
                <w:szCs w:val="21"/>
              </w:rPr>
              <w:t>目承诺</w:t>
            </w:r>
            <w:r>
              <w:rPr>
                <w:rFonts w:ascii="宋体" w:hAnsi="宋体" w:cs="宋体" w:eastAsia="宋体" w:hint="default"/>
                <w:spacing w:val="-102"/>
                <w:sz w:val="21"/>
                <w:szCs w:val="21"/>
              </w:rPr>
              <w:t> </w:t>
            </w:r>
            <w:r>
              <w:rPr>
                <w:rFonts w:ascii="宋体" w:hAnsi="宋体" w:cs="宋体" w:eastAsia="宋体" w:hint="default"/>
                <w:sz w:val="21"/>
                <w:szCs w:val="21"/>
              </w:rPr>
              <w:t>期限内</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与股权激励相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869"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64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公司第</w:t>
            </w:r>
          </w:p>
          <w:p>
            <w:pPr>
              <w:pStyle w:val="TableParagraph"/>
              <w:spacing w:line="237" w:lineRule="auto" w:before="2"/>
              <w:ind w:left="100" w:right="149"/>
              <w:jc w:val="both"/>
              <w:rPr>
                <w:rFonts w:ascii="宋体" w:hAnsi="宋体" w:cs="宋体" w:eastAsia="宋体" w:hint="default"/>
                <w:sz w:val="21"/>
                <w:szCs w:val="21"/>
              </w:rPr>
            </w:pPr>
            <w:r>
              <w:rPr>
                <w:rFonts w:ascii="宋体" w:hAnsi="宋体" w:cs="宋体" w:eastAsia="宋体" w:hint="default"/>
                <w:sz w:val="21"/>
                <w:szCs w:val="21"/>
              </w:rPr>
              <w:t>一大股</w:t>
            </w:r>
            <w:r>
              <w:rPr>
                <w:rFonts w:ascii="宋体" w:hAnsi="宋体" w:cs="宋体" w:eastAsia="宋体" w:hint="default"/>
                <w:spacing w:val="-102"/>
                <w:sz w:val="21"/>
                <w:szCs w:val="21"/>
              </w:rPr>
              <w:t> </w:t>
            </w:r>
            <w:r>
              <w:rPr>
                <w:rFonts w:ascii="宋体" w:hAnsi="宋体" w:cs="宋体" w:eastAsia="宋体" w:hint="default"/>
                <w:sz w:val="21"/>
                <w:szCs w:val="21"/>
              </w:rPr>
              <w:t>东、董</w:t>
            </w:r>
            <w:r>
              <w:rPr>
                <w:rFonts w:ascii="宋体" w:hAnsi="宋体" w:cs="宋体" w:eastAsia="宋体" w:hint="default"/>
                <w:spacing w:val="-102"/>
                <w:sz w:val="21"/>
                <w:szCs w:val="21"/>
              </w:rPr>
              <w:t> </w:t>
            </w:r>
            <w:r>
              <w:rPr>
                <w:rFonts w:ascii="宋体" w:hAnsi="宋体" w:cs="宋体" w:eastAsia="宋体" w:hint="default"/>
                <w:sz w:val="21"/>
                <w:szCs w:val="21"/>
              </w:rPr>
              <w:t>事、监</w:t>
            </w:r>
            <w:r>
              <w:rPr>
                <w:rFonts w:ascii="宋体" w:hAnsi="宋体" w:cs="宋体" w:eastAsia="宋体" w:hint="default"/>
                <w:spacing w:val="-102"/>
                <w:sz w:val="21"/>
                <w:szCs w:val="21"/>
              </w:rPr>
              <w:t> </w:t>
            </w:r>
            <w:r>
              <w:rPr>
                <w:rFonts w:ascii="宋体" w:hAnsi="宋体" w:cs="宋体" w:eastAsia="宋体" w:hint="default"/>
                <w:sz w:val="21"/>
                <w:szCs w:val="21"/>
              </w:rPr>
              <w:t>事和高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3"/>
                <w:sz w:val="21"/>
                <w:szCs w:val="21"/>
              </w:rPr>
              <w:t>日起</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ind w:left="103" w:right="143"/>
              <w:jc w:val="both"/>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日止</w:t>
            </w:r>
            <w:r>
              <w:rPr>
                <w:rFonts w:ascii="宋体" w:hAnsi="宋体" w:cs="宋体" w:eastAsia="宋体" w:hint="default"/>
                <w:spacing w:val="-3"/>
                <w:w w:val="100"/>
                <w:sz w:val="21"/>
                <w:szCs w:val="21"/>
              </w:rPr>
              <w:t> </w:t>
            </w:r>
            <w:r>
              <w:rPr>
                <w:rFonts w:ascii="宋体" w:hAnsi="宋体" w:cs="宋体" w:eastAsia="宋体" w:hint="default"/>
                <w:sz w:val="21"/>
                <w:szCs w:val="21"/>
              </w:rPr>
              <w:t>合计增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300</w:t>
            </w:r>
          </w:p>
          <w:p>
            <w:pPr>
              <w:pStyle w:val="TableParagraph"/>
              <w:spacing w:line="237" w:lineRule="auto" w:before="1"/>
              <w:ind w:left="103" w:right="191"/>
              <w:jc w:val="left"/>
              <w:rPr>
                <w:rFonts w:ascii="宋体" w:hAnsi="宋体" w:cs="宋体" w:eastAsia="宋体" w:hint="default"/>
                <w:sz w:val="21"/>
                <w:szCs w:val="21"/>
              </w:rPr>
            </w:pPr>
            <w:r>
              <w:rPr>
                <w:rFonts w:ascii="宋体" w:hAnsi="宋体" w:cs="宋体" w:eastAsia="宋体" w:hint="default"/>
                <w:sz w:val="21"/>
                <w:szCs w:val="21"/>
              </w:rPr>
              <w:t>万股本</w:t>
            </w:r>
            <w:r>
              <w:rPr>
                <w:rFonts w:ascii="宋体" w:hAnsi="宋体" w:cs="宋体" w:eastAsia="宋体" w:hint="default"/>
                <w:spacing w:val="-102"/>
                <w:sz w:val="21"/>
                <w:szCs w:val="21"/>
              </w:rPr>
              <w:t> </w:t>
            </w: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票且不</w:t>
            </w:r>
            <w:r>
              <w:rPr>
                <w:rFonts w:ascii="宋体" w:hAnsi="宋体" w:cs="宋体" w:eastAsia="宋体" w:hint="default"/>
                <w:spacing w:val="-102"/>
                <w:sz w:val="21"/>
                <w:szCs w:val="21"/>
              </w:rPr>
              <w:t> </w:t>
            </w:r>
            <w:r>
              <w:rPr>
                <w:rFonts w:ascii="宋体" w:hAnsi="宋体" w:cs="宋体" w:eastAsia="宋体" w:hint="default"/>
                <w:sz w:val="21"/>
                <w:szCs w:val="21"/>
              </w:rPr>
              <w:t>减持其</w:t>
            </w:r>
            <w:r>
              <w:rPr>
                <w:rFonts w:ascii="宋体" w:hAnsi="宋体" w:cs="宋体" w:eastAsia="宋体" w:hint="default"/>
                <w:spacing w:val="-102"/>
                <w:sz w:val="21"/>
                <w:szCs w:val="21"/>
              </w:rPr>
              <w:t> </w:t>
            </w:r>
            <w:r>
              <w:rPr>
                <w:rFonts w:ascii="宋体" w:hAnsi="宋体" w:cs="宋体" w:eastAsia="宋体" w:hint="default"/>
                <w:sz w:val="21"/>
                <w:szCs w:val="21"/>
              </w:rPr>
              <w:t>本人所</w:t>
            </w:r>
            <w:r>
              <w:rPr>
                <w:rFonts w:ascii="宋体" w:hAnsi="宋体" w:cs="宋体" w:eastAsia="宋体" w:hint="default"/>
                <w:spacing w:val="-102"/>
                <w:sz w:val="21"/>
                <w:szCs w:val="21"/>
              </w:rPr>
              <w:t> </w:t>
            </w:r>
            <w:r>
              <w:rPr>
                <w:rFonts w:ascii="宋体" w:hAnsi="宋体" w:cs="宋体" w:eastAsia="宋体" w:hint="default"/>
                <w:sz w:val="21"/>
                <w:szCs w:val="21"/>
              </w:rPr>
              <w:t>持有的</w:t>
            </w:r>
            <w:r>
              <w:rPr>
                <w:rFonts w:ascii="宋体" w:hAnsi="宋体" w:cs="宋体" w:eastAsia="宋体" w:hint="default"/>
                <w:spacing w:val="-102"/>
                <w:sz w:val="21"/>
                <w:szCs w:val="21"/>
              </w:rPr>
              <w:t> </w:t>
            </w:r>
            <w:r>
              <w:rPr>
                <w:rFonts w:ascii="宋体" w:hAnsi="宋体" w:cs="宋体" w:eastAsia="宋体" w:hint="default"/>
                <w:sz w:val="21"/>
                <w:szCs w:val="21"/>
              </w:rPr>
              <w:t>华胜天</w:t>
            </w:r>
            <w:r>
              <w:rPr>
                <w:rFonts w:ascii="宋体" w:hAnsi="宋体" w:cs="宋体" w:eastAsia="宋体" w:hint="default"/>
                <w:spacing w:val="-102"/>
                <w:sz w:val="21"/>
                <w:szCs w:val="21"/>
              </w:rPr>
              <w:t> </w:t>
            </w:r>
            <w:r>
              <w:rPr>
                <w:rFonts w:ascii="宋体" w:hAnsi="宋体" w:cs="宋体" w:eastAsia="宋体" w:hint="default"/>
                <w:sz w:val="21"/>
                <w:szCs w:val="21"/>
              </w:rPr>
              <w:t>成股</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72" w:lineRule="exact" w:before="26"/>
              <w:ind w:left="103" w:right="139"/>
              <w:jc w:val="left"/>
              <w:rPr>
                <w:rFonts w:ascii="宋体" w:hAnsi="宋体" w:cs="宋体" w:eastAsia="宋体" w:hint="default"/>
                <w:sz w:val="21"/>
                <w:szCs w:val="21"/>
              </w:rPr>
            </w:pPr>
            <w:r>
              <w:rPr>
                <w:rFonts w:ascii="宋体" w:hAnsi="宋体" w:cs="宋体" w:eastAsia="宋体" w:hint="default"/>
                <w:sz w:val="21"/>
                <w:szCs w:val="21"/>
              </w:rPr>
              <w:t>日起至</w:t>
            </w:r>
            <w:r>
              <w:rPr>
                <w:rFonts w:ascii="宋体" w:hAnsi="宋体" w:cs="宋体" w:eastAsia="宋体" w:hint="default"/>
                <w:spacing w:val="-102"/>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110"/>
        <w:ind w:left="237" w:right="197" w:firstLine="480"/>
        <w:jc w:val="left"/>
      </w:pPr>
      <w:r>
        <w:rPr>
          <w:rFonts w:ascii="宋体" w:hAnsi="宋体" w:cs="宋体" w:eastAsia="宋体" w:hint="default"/>
          <w:spacing w:val="-5"/>
        </w:rPr>
        <w:t>1</w:t>
      </w:r>
      <w:r>
        <w:rPr>
          <w:spacing w:val="-5"/>
        </w:rPr>
        <w:t>、本公司于</w:t>
      </w:r>
      <w:r>
        <w:rPr>
          <w:spacing w:val="-69"/>
        </w:rPr>
        <w:t> </w:t>
      </w:r>
      <w:r>
        <w:rPr>
          <w:rFonts w:ascii="宋体" w:hAnsi="宋体" w:cs="宋体" w:eastAsia="宋体" w:hint="default"/>
        </w:rPr>
        <w:t>2011</w:t>
      </w:r>
      <w:r>
        <w:rPr>
          <w:rFonts w:ascii="宋体" w:hAnsi="宋体" w:cs="宋体" w:eastAsia="宋体" w:hint="default"/>
          <w:spacing w:val="-69"/>
        </w:rPr>
        <w:t> </w:t>
      </w:r>
      <w:r>
        <w:rPr/>
        <w:t>年在公司申请非公开发行股票过程中，依据中国证监会的监管 原则和要求出具了《关于资金使用投向的承诺说明》，其内容如下：</w:t>
      </w:r>
    </w:p>
    <w:p>
      <w:pPr>
        <w:pStyle w:val="BodyText"/>
        <w:spacing w:line="237" w:lineRule="auto" w:before="92"/>
        <w:ind w:left="237" w:right="210" w:firstLine="360"/>
        <w:jc w:val="both"/>
      </w:pPr>
      <w:r>
        <w:rPr/>
        <w:t>北京华胜天成科技股份有限公司（以下简称“公司”）为了充分利用募集资金及</w:t>
      </w:r>
      <w:r>
        <w:rPr>
          <w:spacing w:val="2"/>
        </w:rPr>
        <w:t> </w:t>
      </w:r>
      <w:r>
        <w:rPr>
          <w:spacing w:val="-2"/>
        </w:rPr>
        <w:t>可自由支配货币资金发展公司的主营业务，以保证公司主营业务的可持续增长，公司</w:t>
      </w:r>
      <w:r>
        <w:rPr>
          <w:spacing w:val="-94"/>
        </w:rPr>
        <w:t> </w:t>
      </w:r>
      <w:r>
        <w:rPr>
          <w:spacing w:val="-94"/>
        </w:rPr>
      </w:r>
      <w:r>
        <w:rPr/>
        <w:t>特此作出如下承诺：</w:t>
      </w:r>
    </w:p>
    <w:p>
      <w:pPr>
        <w:pStyle w:val="BodyText"/>
        <w:spacing w:line="310" w:lineRule="exact" w:before="150"/>
        <w:ind w:left="237" w:right="215" w:firstLine="360"/>
        <w:jc w:val="both"/>
      </w:pPr>
      <w:r>
        <w:rPr>
          <w:spacing w:val="-5"/>
        </w:rPr>
        <w:t>公司不再从事以买卖交易为目的的股票、基金等金融产品投资，专注于主业发展。</w:t>
      </w:r>
      <w:r>
        <w:rPr/>
        <w:t> 截止本报告期末，本公司继续履行上述承诺事项，没有发生违反承诺的情形。</w:t>
      </w:r>
    </w:p>
    <w:p>
      <w:pPr>
        <w:spacing w:after="0" w:line="310" w:lineRule="exact"/>
        <w:jc w:val="both"/>
        <w:sectPr>
          <w:pgSz w:w="11910" w:h="16840"/>
          <w:pgMar w:header="880" w:footer="1195" w:top="1120" w:bottom="1380" w:left="1040" w:right="1580"/>
        </w:sectPr>
      </w:pPr>
    </w:p>
    <w:p>
      <w:pPr>
        <w:spacing w:line="240" w:lineRule="auto" w:before="2"/>
        <w:rPr>
          <w:rFonts w:ascii="宋体" w:hAnsi="宋体" w:cs="宋体" w:eastAsia="宋体" w:hint="default"/>
          <w:sz w:val="19"/>
          <w:szCs w:val="19"/>
        </w:rPr>
      </w:pPr>
    </w:p>
    <w:p>
      <w:pPr>
        <w:pStyle w:val="BodyText"/>
        <w:spacing w:line="237" w:lineRule="auto" w:before="28"/>
        <w:ind w:left="217" w:right="102" w:firstLine="480"/>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月，为维护公司股价稳定，公司第一大股东、董事、监事和高级管 </w:t>
      </w:r>
      <w:r>
        <w:rPr>
          <w:spacing w:val="-5"/>
        </w:rPr>
        <w:t>理人员承诺：基于对公司未来发展前景的信心及对公司价值的认可，为促进公司持续、</w:t>
      </w:r>
      <w:r>
        <w:rPr>
          <w:spacing w:val="-98"/>
        </w:rPr>
        <w:t> </w:t>
      </w:r>
      <w:r>
        <w:rPr>
          <w:spacing w:val="-98"/>
        </w:rPr>
      </w:r>
      <w:r>
        <w:rPr>
          <w:spacing w:val="-3"/>
        </w:rPr>
        <w:t>健康、快速发展，维护股东利益，承诺自</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日起至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pStyle w:val="BodyText"/>
        <w:spacing w:line="312" w:lineRule="exact"/>
        <w:ind w:left="217" w:right="221"/>
        <w:jc w:val="left"/>
      </w:pPr>
      <w:r>
        <w:rPr/>
        <w:t>合计增持</w:t>
      </w:r>
      <w:r>
        <w:rPr>
          <w:spacing w:val="-61"/>
        </w:rPr>
        <w:t> </w:t>
      </w:r>
      <w:r>
        <w:rPr>
          <w:rFonts w:ascii="宋体" w:hAnsi="宋体" w:cs="宋体" w:eastAsia="宋体" w:hint="default"/>
        </w:rPr>
        <w:t>300</w:t>
      </w:r>
      <w:r>
        <w:rPr>
          <w:rFonts w:ascii="宋体" w:hAnsi="宋体" w:cs="宋体" w:eastAsia="宋体" w:hint="default"/>
          <w:spacing w:val="-60"/>
        </w:rPr>
        <w:t> </w:t>
      </w:r>
      <w:r>
        <w:rPr/>
        <w:t>万股本公司股票且不减持其本人所持有的华胜天成股票。</w:t>
      </w:r>
    </w:p>
    <w:p>
      <w:pPr>
        <w:spacing w:line="240" w:lineRule="auto" w:before="6"/>
        <w:rPr>
          <w:rFonts w:ascii="宋体" w:hAnsi="宋体" w:cs="宋体" w:eastAsia="宋体" w:hint="default"/>
          <w:sz w:val="30"/>
          <w:szCs w:val="30"/>
        </w:rPr>
      </w:pPr>
    </w:p>
    <w:p>
      <w:pPr>
        <w:pStyle w:val="Heading2"/>
        <w:spacing w:line="312" w:lineRule="exact" w:before="0"/>
        <w:ind w:left="783" w:right="221" w:hanging="5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3"/>
        </w:rPr>
        <w:t> </w:t>
      </w:r>
      <w:r>
        <w:rPr>
          <w:spacing w:val="2"/>
        </w:rPr>
        <w:t>公司资产或项目存在盈利预测，且报告期仍处在盈利预测期间，公司就资产或</w:t>
      </w:r>
      <w:r>
        <w:rPr>
          <w:w w:val="99"/>
        </w:rPr>
        <w:t> </w:t>
      </w:r>
      <w:r>
        <w:rPr/>
        <w:t>项目</w:t>
      </w:r>
      <w:r>
        <w:rPr>
          <w:b w:val="0"/>
          <w:bCs w:val="0"/>
        </w:rPr>
      </w:r>
    </w:p>
    <w:p>
      <w:pPr>
        <w:pStyle w:val="BodyText"/>
        <w:spacing w:line="240" w:lineRule="auto" w:before="29"/>
        <w:ind w:left="217" w:right="2569"/>
        <w:jc w:val="left"/>
      </w:pPr>
      <w:r>
        <w:rPr/>
        <w:t>无</w:t>
      </w:r>
    </w:p>
    <w:p>
      <w:pPr>
        <w:spacing w:line="240" w:lineRule="auto" w:before="1"/>
        <w:rPr>
          <w:rFonts w:ascii="宋体" w:hAnsi="宋体" w:cs="宋体" w:eastAsia="宋体" w:hint="default"/>
          <w:sz w:val="28"/>
          <w:szCs w:val="28"/>
        </w:rPr>
      </w:pPr>
    </w:p>
    <w:p>
      <w:pPr>
        <w:pStyle w:val="Heading2"/>
        <w:spacing w:line="240" w:lineRule="auto" w:before="0"/>
        <w:ind w:right="2569"/>
        <w:jc w:val="left"/>
        <w:rPr>
          <w:b w:val="0"/>
          <w:bCs w:val="0"/>
        </w:rPr>
      </w:pPr>
      <w:r>
        <w:rPr/>
        <w:t>三、报告期内资金被占用情况及清欠进展情况</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9"/>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1"/>
        <w:ind w:left="149" w:right="25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0"/>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7"/>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49" w:right="22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7"/>
        </w:rPr>
        <w:t> </w:t>
      </w:r>
      <w:r>
        <w:rPr/>
        <w:t>董事会对会计政策、会计估计或核算方法变更的原因和影响的分析说明</w:t>
      </w:r>
      <w:r>
        <w:rPr>
          <w:b w:val="0"/>
          <w:bCs w:val="0"/>
        </w:rPr>
      </w:r>
    </w:p>
    <w:p>
      <w:pPr>
        <w:pStyle w:val="BodyText"/>
        <w:spacing w:line="240" w:lineRule="auto" w:before="27"/>
        <w:ind w:left="217" w:right="2569"/>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149" w:right="25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8"/>
        </w:rPr>
        <w:t> </w:t>
      </w:r>
      <w:r>
        <w:rPr/>
        <w:t>董事会对重要前期差错更正的原因及影响的分析说明</w:t>
      </w:r>
      <w:r>
        <w:rPr>
          <w:b w:val="0"/>
          <w:bCs w:val="0"/>
        </w:rPr>
      </w:r>
    </w:p>
    <w:p>
      <w:pPr>
        <w:pStyle w:val="BodyText"/>
        <w:spacing w:line="240" w:lineRule="auto" w:before="27"/>
        <w:ind w:left="217" w:right="2569"/>
        <w:jc w:val="left"/>
      </w:pPr>
      <w:r>
        <w:rPr/>
        <w:t>□适用</w:t>
      </w:r>
      <w:r>
        <w:rPr>
          <w:spacing w:val="-1"/>
        </w:rPr>
        <w:t> </w:t>
      </w:r>
      <w:r>
        <w:rPr/>
        <w:t>√不适用</w:t>
      </w:r>
    </w:p>
    <w:p>
      <w:pPr>
        <w:spacing w:line="240" w:lineRule="auto" w:before="1"/>
        <w:rPr>
          <w:rFonts w:ascii="宋体" w:hAnsi="宋体" w:cs="宋体" w:eastAsia="宋体" w:hint="default"/>
          <w:sz w:val="26"/>
          <w:szCs w:val="26"/>
        </w:rPr>
      </w:pPr>
    </w:p>
    <w:p>
      <w:pPr>
        <w:pStyle w:val="Heading2"/>
        <w:spacing w:line="240" w:lineRule="auto"/>
        <w:ind w:right="2569"/>
        <w:jc w:val="left"/>
        <w:rPr>
          <w:b w:val="0"/>
          <w:bCs w:val="0"/>
        </w:rPr>
      </w:pPr>
      <w:r>
        <w:rPr/>
        <w:t>五、聘任、解聘会计师事务所情况</w:t>
      </w:r>
      <w:r>
        <w:rPr>
          <w:b w:val="0"/>
          <w:bCs w:val="0"/>
        </w:rPr>
      </w:r>
    </w:p>
    <w:p>
      <w:pPr>
        <w:pStyle w:val="BodyText"/>
        <w:tabs>
          <w:tab w:pos="7610" w:val="left" w:leader="none"/>
        </w:tabs>
        <w:spacing w:line="240" w:lineRule="auto" w:before="58"/>
        <w:ind w:left="6170" w:right="102"/>
        <w:jc w:val="left"/>
      </w:pPr>
      <w:r>
        <w:rPr/>
        <w:t>单位：万元</w:t>
        <w:tab/>
        <w:t>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致同会计师事务所（特殊普通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26"/>
        <w:ind w:left="217" w:right="2569"/>
        <w:jc w:val="left"/>
      </w:pPr>
      <w:r>
        <w:rPr/>
        <w:t>聘任、解聘会计师事务所的情况说明</w:t>
      </w:r>
    </w:p>
    <w:p>
      <w:pPr>
        <w:pStyle w:val="BodyText"/>
        <w:spacing w:line="312" w:lineRule="exact" w:before="28"/>
        <w:ind w:left="697" w:right="221" w:hanging="480"/>
        <w:jc w:val="left"/>
      </w:pPr>
      <w:r>
        <w:rPr/>
        <w:t>√适用</w:t>
      </w:r>
      <w:r>
        <w:rPr>
          <w:spacing w:val="-1"/>
        </w:rPr>
        <w:t> </w:t>
      </w:r>
      <w:r>
        <w:rPr/>
        <w:t>□不适用</w:t>
      </w:r>
      <w:r>
        <w:rPr/>
        <w:t> </w:t>
      </w:r>
      <w:r>
        <w:rPr>
          <w:spacing w:val="-2"/>
        </w:rPr>
        <w:t>报告期内，公司未改聘会计师事务所，公司现聘任致同会计师事务所（特殊普通</w:t>
      </w:r>
    </w:p>
    <w:p>
      <w:pPr>
        <w:pStyle w:val="BodyText"/>
        <w:spacing w:line="284" w:lineRule="exact"/>
        <w:ind w:left="217" w:right="102"/>
        <w:jc w:val="left"/>
      </w:pPr>
      <w:r>
        <w:rPr/>
        <w:t>合伙）为公司的境内审计机构，拟支付其年度审计工作的酬金共约</w:t>
      </w:r>
      <w:r>
        <w:rPr>
          <w:spacing w:val="-73"/>
        </w:rPr>
        <w:t> </w:t>
      </w:r>
      <w:r>
        <w:rPr>
          <w:rFonts w:ascii="宋体" w:hAnsi="宋体" w:cs="宋体" w:eastAsia="宋体" w:hint="default"/>
        </w:rPr>
        <w:t>230</w:t>
      </w:r>
      <w:r>
        <w:rPr>
          <w:rFonts w:ascii="宋体" w:hAnsi="宋体" w:cs="宋体" w:eastAsia="宋体" w:hint="default"/>
          <w:spacing w:val="-73"/>
        </w:rPr>
        <w:t> </w:t>
      </w:r>
      <w:r>
        <w:rPr>
          <w:spacing w:val="-4"/>
        </w:rPr>
        <w:t>万元，其中支</w:t>
      </w:r>
    </w:p>
    <w:p>
      <w:pPr>
        <w:spacing w:after="0" w:line="284" w:lineRule="exact"/>
        <w:jc w:val="left"/>
        <w:sectPr>
          <w:footerReference w:type="default" r:id="rId19"/>
          <w:pgSz w:w="11910" w:h="16840"/>
          <w:pgMar w:footer="1195" w:header="880" w:top="1120" w:bottom="1380" w:left="1060" w:right="1560"/>
        </w:sectPr>
      </w:pPr>
    </w:p>
    <w:p>
      <w:pPr>
        <w:spacing w:line="240" w:lineRule="auto" w:before="2"/>
        <w:rPr>
          <w:rFonts w:ascii="宋体" w:hAnsi="宋体" w:cs="宋体" w:eastAsia="宋体" w:hint="default"/>
          <w:sz w:val="19"/>
          <w:szCs w:val="19"/>
        </w:rPr>
      </w:pPr>
    </w:p>
    <w:p>
      <w:pPr>
        <w:pStyle w:val="BodyText"/>
        <w:spacing w:line="313" w:lineRule="exact" w:before="26"/>
        <w:ind w:left="217" w:right="0"/>
        <w:jc w:val="left"/>
      </w:pPr>
      <w:r>
        <w:rPr/>
        <w:t>付年度内部控制审计费用约</w:t>
      </w:r>
      <w:r>
        <w:rPr>
          <w:spacing w:val="-60"/>
        </w:rPr>
        <w:t> </w:t>
      </w:r>
      <w:r>
        <w:rPr>
          <w:rFonts w:ascii="宋体" w:hAnsi="宋体" w:cs="宋体" w:eastAsia="宋体" w:hint="default"/>
        </w:rPr>
        <w:t>45</w:t>
      </w:r>
      <w:r>
        <w:rPr>
          <w:rFonts w:ascii="宋体" w:hAnsi="宋体" w:cs="宋体" w:eastAsia="宋体" w:hint="default"/>
          <w:spacing w:val="-60"/>
        </w:rPr>
        <w:t> </w:t>
      </w:r>
      <w:r>
        <w:rPr/>
        <w:t>万元，支付公司年度会计审计费用约</w:t>
      </w:r>
      <w:r>
        <w:rPr>
          <w:spacing w:val="-60"/>
        </w:rPr>
        <w:t> </w:t>
      </w:r>
      <w:r>
        <w:rPr>
          <w:rFonts w:ascii="宋体" w:hAnsi="宋体" w:cs="宋体" w:eastAsia="宋体" w:hint="default"/>
        </w:rPr>
        <w:t>185</w:t>
      </w:r>
      <w:r>
        <w:rPr>
          <w:rFonts w:ascii="宋体" w:hAnsi="宋体" w:cs="宋体" w:eastAsia="宋体" w:hint="default"/>
          <w:spacing w:val="-60"/>
        </w:rPr>
        <w:t> </w:t>
      </w:r>
      <w:r>
        <w:rPr/>
        <w:t>万元。截止</w:t>
      </w:r>
    </w:p>
    <w:p>
      <w:pPr>
        <w:pStyle w:val="BodyText"/>
        <w:spacing w:line="313" w:lineRule="exact"/>
        <w:ind w:left="217" w:right="0"/>
        <w:jc w:val="left"/>
      </w:pPr>
      <w:r>
        <w:rPr/>
        <w:t>本报告期末，该会计师事务所已为本公司提供了</w:t>
      </w:r>
      <w:r>
        <w:rPr>
          <w:spacing w:val="-60"/>
        </w:rPr>
        <w:t> </w:t>
      </w:r>
      <w:r>
        <w:rPr>
          <w:rFonts w:ascii="宋体" w:hAnsi="宋体" w:cs="宋体" w:eastAsia="宋体" w:hint="default"/>
        </w:rPr>
        <w:t>16</w:t>
      </w:r>
      <w:r>
        <w:rPr>
          <w:rFonts w:ascii="宋体" w:hAnsi="宋体" w:cs="宋体" w:eastAsia="宋体" w:hint="default"/>
          <w:spacing w:val="-60"/>
        </w:rPr>
        <w:t> </w:t>
      </w:r>
      <w:r>
        <w:rPr/>
        <w:t>年审计服务。</w:t>
      </w:r>
    </w:p>
    <w:p>
      <w:pPr>
        <w:spacing w:line="240" w:lineRule="auto" w:before="11"/>
        <w:rPr>
          <w:rFonts w:ascii="宋体" w:hAnsi="宋体" w:cs="宋体" w:eastAsia="宋体" w:hint="default"/>
          <w:sz w:val="25"/>
          <w:szCs w:val="25"/>
        </w:rPr>
      </w:pPr>
    </w:p>
    <w:p>
      <w:pPr>
        <w:pStyle w:val="BodyText"/>
        <w:spacing w:line="312" w:lineRule="exact"/>
        <w:ind w:left="217" w:right="4929"/>
        <w:jc w:val="left"/>
      </w:pPr>
      <w:r>
        <w:rPr/>
        <w:t>审计期间改聘会计师事务所的情况说明 无</w:t>
      </w:r>
    </w:p>
    <w:p>
      <w:pPr>
        <w:spacing w:line="240" w:lineRule="auto" w:before="12"/>
        <w:rPr>
          <w:rFonts w:ascii="宋体" w:hAnsi="宋体" w:cs="宋体" w:eastAsia="宋体" w:hint="default"/>
          <w:sz w:val="25"/>
          <w:szCs w:val="25"/>
        </w:rPr>
      </w:pPr>
    </w:p>
    <w:p>
      <w:pPr>
        <w:pStyle w:val="Heading2"/>
        <w:spacing w:line="240" w:lineRule="auto" w:before="0"/>
        <w:ind w:right="0"/>
        <w:jc w:val="left"/>
        <w:rPr>
          <w:b w:val="0"/>
          <w:bCs w:val="0"/>
        </w:rPr>
      </w:pPr>
      <w:r>
        <w:rPr/>
        <w:t>六、面临暂停上市风险的情况</w:t>
      </w:r>
      <w:r>
        <w:rPr>
          <w:b w:val="0"/>
          <w:bCs w:val="0"/>
        </w:rPr>
      </w:r>
    </w:p>
    <w:p>
      <w:pPr>
        <w:pStyle w:val="Heading2"/>
        <w:spacing w:line="259" w:lineRule="auto" w:before="58"/>
        <w:ind w:right="2088"/>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导致暂停上市的原因以及公司采取的消除暂停上市情形的措施</w:t>
      </w:r>
      <w:r>
        <w:rPr>
          <w:w w:val="99"/>
        </w:rPr>
        <w:t> </w:t>
      </w:r>
      <w:r>
        <w:rPr>
          <w:rFonts w:ascii="宋体" w:hAnsi="宋体" w:cs="宋体" w:eastAsia="宋体" w:hint="default"/>
          <w:b w:val="0"/>
          <w:bCs w:val="0"/>
        </w:rPr>
        <w:t>不适用</w:t>
      </w:r>
    </w:p>
    <w:p>
      <w:pPr>
        <w:spacing w:line="240" w:lineRule="auto" w:before="9"/>
        <w:rPr>
          <w:rFonts w:ascii="宋体" w:hAnsi="宋体" w:cs="宋体" w:eastAsia="宋体" w:hint="default"/>
          <w:sz w:val="26"/>
          <w:szCs w:val="26"/>
        </w:rPr>
      </w:pPr>
    </w:p>
    <w:p>
      <w:pPr>
        <w:pStyle w:val="Heading2"/>
        <w:spacing w:line="240" w:lineRule="auto" w:before="0"/>
        <w:ind w:right="0"/>
        <w:jc w:val="left"/>
        <w:rPr>
          <w:b w:val="0"/>
          <w:bCs w:val="0"/>
        </w:rPr>
      </w:pPr>
      <w:r>
        <w:rPr/>
        <w:t>七、破产重整相关事项</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left"/>
        <w:rPr>
          <w:b w:val="0"/>
          <w:bCs w:val="0"/>
        </w:rPr>
      </w:pPr>
      <w:r>
        <w:rPr/>
        <w:t>八、重大诉讼、仲裁事项</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6"/>
        <w:rPr>
          <w:rFonts w:ascii="宋体" w:hAnsi="宋体" w:cs="宋体" w:eastAsia="宋体" w:hint="default"/>
          <w:sz w:val="30"/>
          <w:szCs w:val="30"/>
        </w:rPr>
      </w:pPr>
    </w:p>
    <w:p>
      <w:pPr>
        <w:pStyle w:val="Heading2"/>
        <w:spacing w:line="312" w:lineRule="exact" w:before="0"/>
        <w:ind w:left="637" w:right="0" w:hanging="420"/>
        <w:jc w:val="left"/>
        <w:rPr>
          <w:b w:val="0"/>
          <w:bCs w:val="0"/>
        </w:rPr>
      </w:pPr>
      <w:r>
        <w:rPr>
          <w:spacing w:val="-2"/>
          <w:w w:val="95"/>
        </w:rPr>
        <w:t>九、上市公司及其董事、监事、高级管理人员、控股股东、实际控制人、收购人处罚</w:t>
      </w:r>
      <w:r>
        <w:rPr>
          <w:spacing w:val="87"/>
          <w:w w:val="95"/>
        </w:rPr>
        <w:t> </w:t>
      </w:r>
      <w:r>
        <w:rPr>
          <w:spacing w:val="87"/>
          <w:w w:val="95"/>
        </w:rPr>
      </w:r>
      <w:r>
        <w:rPr/>
        <w:t>及整改情况</w:t>
      </w:r>
      <w:r>
        <w:rPr>
          <w:b w:val="0"/>
          <w:bCs w:val="0"/>
        </w:rPr>
      </w:r>
    </w:p>
    <w:p>
      <w:pPr>
        <w:pStyle w:val="BodyText"/>
        <w:spacing w:line="240" w:lineRule="auto" w:before="27"/>
        <w:ind w:left="217"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83" w:lineRule="auto" w:before="0"/>
        <w:ind w:right="2504"/>
        <w:jc w:val="left"/>
        <w:rPr>
          <w:rFonts w:ascii="宋体" w:hAnsi="宋体" w:cs="宋体" w:eastAsia="宋体" w:hint="default"/>
          <w:b w:val="0"/>
          <w:bCs w:val="0"/>
        </w:rPr>
      </w:pPr>
      <w:r>
        <w:rPr/>
        <w:t>十、报告期内公司及其控股股东、实际控制人诚信状况的说明</w:t>
      </w:r>
      <w:r>
        <w:rPr>
          <w:w w:val="99"/>
        </w:rPr>
        <w:t> </w:t>
      </w:r>
      <w:r>
        <w:rPr>
          <w:rFonts w:ascii="宋体" w:hAnsi="宋体" w:cs="宋体" w:eastAsia="宋体" w:hint="default"/>
          <w:b w:val="0"/>
          <w:bCs w:val="0"/>
        </w:rPr>
        <w:t>不适用</w:t>
      </w:r>
    </w:p>
    <w:p>
      <w:pPr>
        <w:spacing w:line="240" w:lineRule="auto" w:before="13"/>
        <w:rPr>
          <w:rFonts w:ascii="宋体" w:hAnsi="宋体" w:cs="宋体" w:eastAsia="宋体" w:hint="default"/>
          <w:sz w:val="24"/>
          <w:szCs w:val="24"/>
        </w:rPr>
      </w:pPr>
    </w:p>
    <w:p>
      <w:pPr>
        <w:pStyle w:val="Heading2"/>
        <w:spacing w:line="240" w:lineRule="auto" w:before="0"/>
        <w:ind w:right="0"/>
        <w:jc w:val="left"/>
        <w:rPr>
          <w:b w:val="0"/>
          <w:bCs w:val="0"/>
        </w:rPr>
      </w:pPr>
      <w:r>
        <w:rPr/>
        <w:t>十一、公司股权激励计划、员工持股计划或其他员工激励情况及其影响</w:t>
      </w:r>
      <w:r>
        <w:rPr>
          <w:b w:val="0"/>
          <w:bCs w:val="0"/>
        </w:rPr>
      </w:r>
    </w:p>
    <w:p>
      <w:pPr>
        <w:pStyle w:val="BodyText"/>
        <w:spacing w:line="240" w:lineRule="auto" w:before="58"/>
        <w:ind w:left="217" w:right="0"/>
        <w:jc w:val="left"/>
      </w:pPr>
      <w:r>
        <w:rPr/>
        <w:t>√适用</w:t>
      </w:r>
      <w:r>
        <w:rPr>
          <w:spacing w:val="-1"/>
        </w:rPr>
        <w:t> </w:t>
      </w:r>
      <w:r>
        <w:rPr/>
        <w:t>□不适用</w:t>
      </w:r>
    </w:p>
    <w:p>
      <w:pPr>
        <w:pStyle w:val="Heading2"/>
        <w:spacing w:line="240" w:lineRule="auto" w:before="55"/>
        <w:ind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7"/>
        </w:rPr>
        <w:t> </w:t>
      </w:r>
      <w:r>
        <w:rPr/>
        <w:t>相关激励事项已在临时公告披露且后续实施无进展或变化的</w:t>
      </w:r>
      <w:r>
        <w:rPr>
          <w:b w:val="0"/>
          <w:bCs w:val="0"/>
        </w:rPr>
      </w:r>
    </w:p>
    <w:p>
      <w:pPr>
        <w:spacing w:line="240" w:lineRule="auto" w:before="2"/>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5812"/>
        <w:gridCol w:w="3200"/>
      </w:tblGrid>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916"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2"/>
                <w:sz w:val="21"/>
                <w:szCs w:val="21"/>
              </w:rPr>
              <w:t>根据《北京华胜天成科技股份有限公司首期股票激励计划</w:t>
            </w:r>
            <w:r>
              <w:rPr>
                <w:rFonts w:ascii="宋体" w:hAnsi="宋体" w:cs="宋体" w:eastAsia="宋体" w:hint="default"/>
                <w:sz w:val="21"/>
                <w:szCs w:val="21"/>
              </w:rPr>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（草案修订稿）》有关条款及股东大会授权，公司于 </w:t>
            </w:r>
            <w:r>
              <w:rPr>
                <w:rFonts w:ascii="宋体" w:hAnsi="宋体" w:cs="宋体" w:eastAsia="宋体" w:hint="default"/>
                <w:sz w:val="21"/>
                <w:szCs w:val="21"/>
              </w:rPr>
              <w:t>2015</w:t>
            </w:r>
            <w:r>
              <w:rPr>
                <w:rFonts w:ascii="宋体" w:hAnsi="宋体" w:cs="宋体" w:eastAsia="宋体" w:hint="default"/>
                <w:spacing w:val="-78"/>
                <w:sz w:val="21"/>
                <w:szCs w:val="21"/>
              </w:rPr>
              <w:t> </w:t>
            </w:r>
            <w:r>
              <w:rPr>
                <w:rFonts w:ascii="宋体" w:hAnsi="宋体" w:cs="宋体" w:eastAsia="宋体" w:hint="default"/>
                <w:sz w:val="21"/>
                <w:szCs w:val="21"/>
              </w:rPr>
              <w:t>年</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8</w:t>
            </w:r>
            <w:r>
              <w:rPr>
                <w:rFonts w:ascii="宋体" w:hAnsi="宋体" w:cs="宋体" w:eastAsia="宋体" w:hint="default"/>
                <w:spacing w:val="-40"/>
                <w:sz w:val="21"/>
                <w:szCs w:val="21"/>
              </w:rPr>
              <w:t> </w:t>
            </w:r>
            <w:r>
              <w:rPr>
                <w:rFonts w:ascii="宋体" w:hAnsi="宋体" w:cs="宋体" w:eastAsia="宋体" w:hint="default"/>
                <w:spacing w:val="-3"/>
                <w:sz w:val="21"/>
                <w:szCs w:val="21"/>
              </w:rPr>
              <w:t>日召开的第五届董事会第四次会议上审议通过了《关于</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回购并注销部分股权激励股票的议案》</w:t>
            </w:r>
            <w:r>
              <w:rPr>
                <w:rFonts w:ascii="宋体" w:hAnsi="宋体" w:cs="宋体" w:eastAsia="宋体" w:hint="default"/>
                <w:spacing w:val="-5"/>
                <w:sz w:val="21"/>
                <w:szCs w:val="21"/>
              </w:rPr>
              <w:t>(</w:t>
            </w:r>
            <w:r>
              <w:rPr>
                <w:rFonts w:ascii="宋体" w:hAnsi="宋体" w:cs="宋体" w:eastAsia="宋体" w:hint="default"/>
                <w:spacing w:val="-5"/>
                <w:sz w:val="21"/>
                <w:szCs w:val="21"/>
              </w:rPr>
              <w:t>第八批</w:t>
            </w:r>
            <w:r>
              <w:rPr>
                <w:rFonts w:ascii="宋体" w:hAnsi="宋体" w:cs="宋体" w:eastAsia="宋体" w:hint="default"/>
                <w:spacing w:val="-5"/>
                <w:sz w:val="21"/>
                <w:szCs w:val="21"/>
              </w:rPr>
              <w:t>),</w:t>
            </w:r>
            <w:r>
              <w:rPr>
                <w:rFonts w:ascii="宋体" w:hAnsi="宋体" w:cs="宋体" w:eastAsia="宋体" w:hint="default"/>
                <w:spacing w:val="-5"/>
                <w:sz w:val="21"/>
                <w:szCs w:val="21"/>
              </w:rPr>
              <w:t>因公司</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年的业绩未达到股权激励股票解锁的条件，公司董事会决定回</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购并注销杨俏丛等 </w:t>
            </w:r>
            <w:r>
              <w:rPr>
                <w:rFonts w:ascii="宋体" w:hAnsi="宋体" w:cs="宋体" w:eastAsia="宋体" w:hint="default"/>
                <w:sz w:val="21"/>
                <w:szCs w:val="21"/>
              </w:rPr>
              <w:t>50 </w:t>
            </w:r>
            <w:r>
              <w:rPr>
                <w:rFonts w:ascii="宋体" w:hAnsi="宋体" w:cs="宋体" w:eastAsia="宋体" w:hint="default"/>
                <w:sz w:val="21"/>
                <w:szCs w:val="21"/>
              </w:rPr>
              <w:t>人此批股权激励股票，共计</w:t>
            </w:r>
            <w:r>
              <w:rPr>
                <w:rFonts w:ascii="宋体" w:hAnsi="宋体" w:cs="宋体" w:eastAsia="宋体" w:hint="default"/>
                <w:spacing w:val="-78"/>
                <w:sz w:val="21"/>
                <w:szCs w:val="21"/>
              </w:rPr>
              <w:t> </w:t>
            </w:r>
            <w:r>
              <w:rPr>
                <w:rFonts w:ascii="宋体" w:hAnsi="宋体" w:cs="宋体" w:eastAsia="宋体" w:hint="default"/>
                <w:sz w:val="21"/>
                <w:szCs w:val="21"/>
              </w:rPr>
              <w:t>3,878,389</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r>
        <w:trPr>
          <w:trHeight w:val="828"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前述需要回购并注销的限制性股票共计 </w:t>
            </w:r>
            <w:r>
              <w:rPr>
                <w:rFonts w:ascii="宋体" w:hAnsi="宋体" w:cs="宋体" w:eastAsia="宋体" w:hint="default"/>
                <w:sz w:val="21"/>
                <w:szCs w:val="21"/>
              </w:rPr>
              <w:t>3,878,389</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已</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过户至公司开立的回购专用证券账户</w:t>
            </w:r>
            <w:r>
              <w:rPr>
                <w:rFonts w:ascii="宋体" w:hAnsi="宋体" w:cs="宋体" w:eastAsia="宋体" w:hint="default"/>
                <w:sz w:val="21"/>
                <w:szCs w:val="21"/>
              </w:rPr>
              <w:t>,</w:t>
            </w:r>
            <w:r>
              <w:rPr>
                <w:rFonts w:ascii="宋体" w:hAnsi="宋体" w:cs="宋体" w:eastAsia="宋体" w:hint="default"/>
                <w:sz w:val="21"/>
                <w:szCs w:val="21"/>
              </w:rPr>
              <w:t>并于</w:t>
            </w:r>
            <w:r>
              <w:rPr>
                <w:rFonts w:ascii="宋体" w:hAnsi="宋体" w:cs="宋体" w:eastAsia="宋体" w:hint="default"/>
                <w:spacing w:val="-48"/>
                <w:sz w:val="21"/>
                <w:szCs w:val="21"/>
              </w:rPr>
              <w:t>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注销。</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24</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r>
        <w:trPr>
          <w:trHeight w:val="164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日，公司召开的</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年第二次临时董事</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会会议审议通过《关于</w:t>
            </w:r>
            <w:r>
              <w:rPr>
                <w:rFonts w:ascii="宋体" w:hAnsi="宋体" w:cs="宋体" w:eastAsia="宋体" w:hint="default"/>
                <w:sz w:val="21"/>
                <w:szCs w:val="21"/>
              </w:rPr>
              <w:t>&lt;</w:t>
            </w:r>
            <w:r>
              <w:rPr>
                <w:rFonts w:ascii="宋体" w:hAnsi="宋体" w:cs="宋体" w:eastAsia="宋体" w:hint="default"/>
                <w:sz w:val="21"/>
                <w:szCs w:val="21"/>
              </w:rPr>
              <w:t>北京华胜天成科技股份有限公司第二</w:t>
            </w:r>
            <w:r>
              <w:rPr>
                <w:rFonts w:ascii="宋体" w:hAnsi="宋体" w:cs="宋体" w:eastAsia="宋体" w:hint="default"/>
                <w:spacing w:val="-75"/>
                <w:sz w:val="21"/>
                <w:szCs w:val="21"/>
              </w:rPr>
              <w:t> </w:t>
            </w:r>
            <w:r>
              <w:rPr>
                <w:rFonts w:ascii="宋体" w:hAnsi="宋体" w:cs="宋体" w:eastAsia="宋体" w:hint="default"/>
                <w:sz w:val="21"/>
                <w:szCs w:val="21"/>
              </w:rPr>
              <w:t>期股权激励计划（草案）</w:t>
            </w:r>
            <w:r>
              <w:rPr>
                <w:rFonts w:ascii="宋体" w:hAnsi="宋体" w:cs="宋体" w:eastAsia="宋体" w:hint="default"/>
                <w:sz w:val="21"/>
                <w:szCs w:val="21"/>
              </w:rPr>
              <w:t>&gt;</w:t>
            </w:r>
            <w:r>
              <w:rPr>
                <w:rFonts w:ascii="宋体" w:hAnsi="宋体" w:cs="宋体" w:eastAsia="宋体" w:hint="default"/>
                <w:sz w:val="21"/>
                <w:szCs w:val="21"/>
              </w:rPr>
              <w:t>及其摘要的议案》、《北京华胜天</w:t>
            </w:r>
            <w:r>
              <w:rPr>
                <w:rFonts w:ascii="宋体" w:hAnsi="宋体" w:cs="宋体" w:eastAsia="宋体" w:hint="default"/>
                <w:spacing w:val="-75"/>
                <w:sz w:val="21"/>
                <w:szCs w:val="21"/>
              </w:rPr>
              <w:t> </w:t>
            </w:r>
            <w:r>
              <w:rPr>
                <w:rFonts w:ascii="宋体" w:hAnsi="宋体" w:cs="宋体" w:eastAsia="宋体" w:hint="default"/>
                <w:spacing w:val="11"/>
                <w:sz w:val="21"/>
                <w:szCs w:val="21"/>
              </w:rPr>
              <w:t>成科技股份有限公司第二期股权激励计划实施考核管理办</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法》、《关于提请股东大会授权董事会办理公司第二期股权激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励计划有关事项的议案》。</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bl>
    <w:p>
      <w:pPr>
        <w:spacing w:after="0" w:line="240" w:lineRule="auto"/>
        <w:jc w:val="left"/>
        <w:rPr>
          <w:rFonts w:ascii="宋体" w:hAnsi="宋体" w:cs="宋体" w:eastAsia="宋体" w:hint="default"/>
          <w:sz w:val="21"/>
          <w:szCs w:val="21"/>
        </w:rPr>
        <w:sectPr>
          <w:footerReference w:type="default" r:id="rId20"/>
          <w:pgSz w:w="11910" w:h="16840"/>
          <w:pgMar w:footer="1195" w:header="880" w:top="1120" w:bottom="1380" w:left="1060" w:right="1600"/>
          <w:pgNumType w:start="31"/>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5812"/>
        <w:gridCol w:w="3200"/>
      </w:tblGrid>
      <w:tr>
        <w:trPr>
          <w:trHeight w:val="137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48"/>
                <w:sz w:val="21"/>
                <w:szCs w:val="21"/>
              </w:rPr>
              <w:t> </w:t>
            </w:r>
            <w:r>
              <w:rPr>
                <w:rFonts w:ascii="宋体" w:hAnsi="宋体" w:cs="宋体" w:eastAsia="宋体" w:hint="default"/>
                <w:sz w:val="21"/>
                <w:szCs w:val="21"/>
              </w:rPr>
              <w:t>日，公司召开的</w:t>
            </w:r>
            <w:r>
              <w:rPr>
                <w:rFonts w:ascii="宋体" w:hAnsi="宋体" w:cs="宋体" w:eastAsia="宋体" w:hint="default"/>
                <w:spacing w:val="-48"/>
                <w:sz w:val="21"/>
                <w:szCs w:val="21"/>
              </w:rPr>
              <w:t> </w:t>
            </w:r>
            <w:r>
              <w:rPr>
                <w:rFonts w:ascii="宋体" w:hAnsi="宋体" w:cs="宋体" w:eastAsia="宋体" w:hint="default"/>
                <w:sz w:val="21"/>
                <w:szCs w:val="21"/>
              </w:rPr>
              <w:t>2015 </w:t>
            </w:r>
            <w:r>
              <w:rPr>
                <w:rFonts w:ascii="宋体" w:hAnsi="宋体" w:cs="宋体" w:eastAsia="宋体" w:hint="default"/>
                <w:sz w:val="21"/>
                <w:szCs w:val="21"/>
              </w:rPr>
              <w:t>年第一次临时监事</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会会议审议通过《关于</w:t>
            </w:r>
            <w:r>
              <w:rPr>
                <w:rFonts w:ascii="宋体" w:hAnsi="宋体" w:cs="宋体" w:eastAsia="宋体" w:hint="default"/>
                <w:sz w:val="21"/>
                <w:szCs w:val="21"/>
              </w:rPr>
              <w:t>&lt;</w:t>
            </w:r>
            <w:r>
              <w:rPr>
                <w:rFonts w:ascii="宋体" w:hAnsi="宋体" w:cs="宋体" w:eastAsia="宋体" w:hint="default"/>
                <w:sz w:val="21"/>
                <w:szCs w:val="21"/>
              </w:rPr>
              <w:t>北京华胜天成科技股份有限公司第二</w:t>
            </w:r>
            <w:r>
              <w:rPr>
                <w:rFonts w:ascii="宋体" w:hAnsi="宋体" w:cs="宋体" w:eastAsia="宋体" w:hint="default"/>
                <w:spacing w:val="-75"/>
                <w:sz w:val="21"/>
                <w:szCs w:val="21"/>
              </w:rPr>
              <w:t> </w:t>
            </w:r>
            <w:r>
              <w:rPr>
                <w:rFonts w:ascii="宋体" w:hAnsi="宋体" w:cs="宋体" w:eastAsia="宋体" w:hint="default"/>
                <w:spacing w:val="-8"/>
                <w:sz w:val="21"/>
                <w:szCs w:val="21"/>
              </w:rPr>
              <w:t>期股权激励计划（草案）</w:t>
            </w:r>
            <w:r>
              <w:rPr>
                <w:rFonts w:ascii="宋体" w:hAnsi="宋体" w:cs="宋体" w:eastAsia="宋体" w:hint="default"/>
                <w:spacing w:val="-8"/>
                <w:sz w:val="21"/>
                <w:szCs w:val="21"/>
              </w:rPr>
              <w:t>&gt;</w:t>
            </w:r>
            <w:r>
              <w:rPr>
                <w:rFonts w:ascii="宋体" w:hAnsi="宋体" w:cs="宋体" w:eastAsia="宋体" w:hint="default"/>
                <w:spacing w:val="-8"/>
                <w:sz w:val="21"/>
                <w:szCs w:val="21"/>
              </w:rPr>
              <w:t>及其摘要的议案》、审议通过了《北</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京华胜天成科技股份有限公司第二期股权激励计划实施考核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管理办法》</w:t>
            </w:r>
            <w:r>
              <w:rPr>
                <w:rFonts w:ascii="宋体" w:hAnsi="宋体" w:cs="宋体" w:eastAsia="宋体" w:hint="default"/>
                <w:spacing w:val="2"/>
                <w:sz w:val="21"/>
                <w:szCs w:val="21"/>
              </w:rPr>
              <w:t> </w:t>
            </w:r>
            <w:r>
              <w:rPr>
                <w:rFonts w:ascii="宋体" w:hAnsi="宋体" w:cs="宋体" w:eastAsia="宋体" w:hint="default"/>
                <w:sz w:val="21"/>
                <w:szCs w:val="21"/>
              </w:rPr>
              <w:t>。</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r>
        <w:trPr>
          <w:trHeight w:val="164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25</w:t>
            </w:r>
            <w:r>
              <w:rPr>
                <w:rFonts w:ascii="宋体" w:hAnsi="宋体" w:cs="宋体" w:eastAsia="宋体" w:hint="default"/>
                <w:spacing w:val="-42"/>
                <w:sz w:val="21"/>
                <w:szCs w:val="21"/>
              </w:rPr>
              <w:t> </w:t>
            </w:r>
            <w:r>
              <w:rPr>
                <w:rFonts w:ascii="宋体" w:hAnsi="宋体" w:cs="宋体" w:eastAsia="宋体" w:hint="default"/>
                <w:sz w:val="21"/>
                <w:szCs w:val="21"/>
              </w:rPr>
              <w:t>日，公司召开的公司</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年第一次临时</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股东大会审议通过《北京华胜天成科技股份有限公司第二期股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权激励计划（草案）》及其摘要、《北京华胜天成科技股份有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限公司第二期股权激励计划实施考核管理办法》</w:t>
            </w:r>
            <w:r>
              <w:rPr>
                <w:rFonts w:ascii="宋体" w:hAnsi="宋体" w:cs="宋体" w:eastAsia="宋体" w:hint="default"/>
                <w:spacing w:val="28"/>
                <w:sz w:val="21"/>
                <w:szCs w:val="21"/>
              </w:rPr>
              <w:t> </w:t>
            </w:r>
            <w:r>
              <w:rPr>
                <w:rFonts w:ascii="宋体" w:hAnsi="宋体" w:cs="宋体" w:eastAsia="宋体" w:hint="default"/>
                <w:sz w:val="21"/>
                <w:szCs w:val="21"/>
              </w:rPr>
              <w:t>、《关于提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请股东大会授权董事会办理公司第二期股权激励计划有关事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项的议案》。</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26</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r>
        <w:trPr>
          <w:trHeight w:val="826"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25</w:t>
            </w:r>
            <w:r>
              <w:rPr>
                <w:rFonts w:ascii="宋体" w:hAnsi="宋体" w:cs="宋体" w:eastAsia="宋体" w:hint="default"/>
                <w:spacing w:val="-42"/>
                <w:sz w:val="21"/>
                <w:szCs w:val="21"/>
              </w:rPr>
              <w:t> </w:t>
            </w:r>
            <w:r>
              <w:rPr>
                <w:rFonts w:ascii="宋体" w:hAnsi="宋体" w:cs="宋体" w:eastAsia="宋体" w:hint="default"/>
                <w:sz w:val="21"/>
                <w:szCs w:val="21"/>
              </w:rPr>
              <w:t>日，公司召开的</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年第三次临时董事</w:t>
            </w:r>
          </w:p>
          <w:p>
            <w:pPr>
              <w:pStyle w:val="TableParagraph"/>
              <w:spacing w:line="240" w:lineRule="auto"/>
              <w:ind w:left="103" w:right="24"/>
              <w:jc w:val="left"/>
              <w:rPr>
                <w:rFonts w:ascii="宋体" w:hAnsi="宋体" w:cs="宋体" w:eastAsia="宋体" w:hint="default"/>
                <w:sz w:val="21"/>
                <w:szCs w:val="21"/>
              </w:rPr>
            </w:pPr>
            <w:r>
              <w:rPr>
                <w:rFonts w:ascii="宋体" w:hAnsi="宋体" w:cs="宋体" w:eastAsia="宋体" w:hint="default"/>
                <w:spacing w:val="-5"/>
                <w:sz w:val="21"/>
                <w:szCs w:val="21"/>
              </w:rPr>
              <w:t>会会议审议通过了《关于调整限制性股票激励计划授予对象及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数量的议案》、《关于向激励对象授予限制性股票的议案》。</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27</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r>
        <w:trPr>
          <w:trHeight w:val="246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25</w:t>
            </w:r>
            <w:r>
              <w:rPr>
                <w:rFonts w:ascii="宋体" w:hAnsi="宋体" w:cs="宋体" w:eastAsia="宋体" w:hint="default"/>
                <w:spacing w:val="-42"/>
                <w:sz w:val="21"/>
                <w:szCs w:val="21"/>
              </w:rPr>
              <w:t> </w:t>
            </w:r>
            <w:r>
              <w:rPr>
                <w:rFonts w:ascii="宋体" w:hAnsi="宋体" w:cs="宋体" w:eastAsia="宋体" w:hint="default"/>
                <w:sz w:val="21"/>
                <w:szCs w:val="21"/>
              </w:rPr>
              <w:t>日，公司召开的</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年第二次临时监事</w:t>
            </w:r>
          </w:p>
          <w:p>
            <w:pPr>
              <w:pStyle w:val="TableParagraph"/>
              <w:spacing w:line="272" w:lineRule="exact" w:before="27"/>
              <w:ind w:left="103" w:right="24"/>
              <w:jc w:val="left"/>
              <w:rPr>
                <w:rFonts w:ascii="宋体" w:hAnsi="宋体" w:cs="宋体" w:eastAsia="宋体" w:hint="default"/>
                <w:sz w:val="21"/>
                <w:szCs w:val="21"/>
              </w:rPr>
            </w:pPr>
            <w:r>
              <w:rPr>
                <w:rFonts w:ascii="宋体" w:hAnsi="宋体" w:cs="宋体" w:eastAsia="宋体" w:hint="default"/>
                <w:spacing w:val="-5"/>
                <w:sz w:val="21"/>
                <w:szCs w:val="21"/>
              </w:rPr>
              <w:t>会会议审议通过了《关于调整限制性股票激励计划授予对象及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数量的议案》、《关于向激励对象授予限制性股票的议案》。</w:t>
            </w:r>
          </w:p>
          <w:p>
            <w:pPr>
              <w:pStyle w:val="TableParagraph"/>
              <w:spacing w:line="272" w:lineRule="exact" w:before="1"/>
              <w:ind w:left="103" w:right="96" w:firstLine="420"/>
              <w:jc w:val="left"/>
              <w:rPr>
                <w:rFonts w:ascii="宋体" w:hAnsi="宋体" w:cs="宋体" w:eastAsia="宋体" w:hint="default"/>
                <w:sz w:val="21"/>
                <w:szCs w:val="21"/>
              </w:rPr>
            </w:pPr>
            <w:r>
              <w:rPr>
                <w:rFonts w:ascii="宋体" w:hAnsi="宋体" w:cs="宋体" w:eastAsia="宋体" w:hint="default"/>
                <w:spacing w:val="-5"/>
                <w:sz w:val="21"/>
                <w:szCs w:val="21"/>
              </w:rPr>
              <w:t>报告期内，公司完成了公司第二期股权激励计划首次授予</w:t>
            </w:r>
            <w:r>
              <w:rPr>
                <w:rFonts w:ascii="宋体" w:hAnsi="宋体" w:cs="宋体" w:eastAsia="宋体" w:hint="default"/>
                <w:w w:val="100"/>
                <w:sz w:val="21"/>
                <w:szCs w:val="21"/>
              </w:rPr>
              <w:t> </w:t>
            </w:r>
            <w:r>
              <w:rPr>
                <w:rFonts w:ascii="宋体" w:hAnsi="宋体" w:cs="宋体" w:eastAsia="宋体" w:hint="default"/>
                <w:sz w:val="21"/>
                <w:szCs w:val="21"/>
              </w:rPr>
              <w:t>和登记工作。首次授予日为</w:t>
            </w:r>
            <w:r>
              <w:rPr>
                <w:rFonts w:ascii="宋体" w:hAnsi="宋体" w:cs="宋体" w:eastAsia="宋体" w:hint="default"/>
                <w:spacing w:val="-30"/>
                <w:sz w:val="21"/>
                <w:szCs w:val="21"/>
              </w:rPr>
              <w:t> </w:t>
            </w:r>
            <w:r>
              <w:rPr>
                <w:rFonts w:ascii="宋体" w:hAnsi="宋体" w:cs="宋体" w:eastAsia="宋体" w:hint="default"/>
                <w:sz w:val="21"/>
                <w:szCs w:val="21"/>
              </w:rPr>
              <w:t>2015</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25</w:t>
            </w:r>
            <w:r>
              <w:rPr>
                <w:rFonts w:ascii="宋体" w:hAnsi="宋体" w:cs="宋体" w:eastAsia="宋体" w:hint="default"/>
                <w:spacing w:val="-31"/>
                <w:sz w:val="21"/>
                <w:szCs w:val="21"/>
              </w:rPr>
              <w:t> </w:t>
            </w:r>
            <w:r>
              <w:rPr>
                <w:rFonts w:ascii="宋体" w:hAnsi="宋体" w:cs="宋体" w:eastAsia="宋体" w:hint="default"/>
                <w:sz w:val="21"/>
                <w:szCs w:val="21"/>
              </w:rPr>
              <w:t>日，授予价格为</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15.91</w:t>
            </w:r>
            <w:r>
              <w:rPr>
                <w:rFonts w:ascii="宋体" w:hAnsi="宋体" w:cs="宋体" w:eastAsia="宋体" w:hint="default"/>
                <w:spacing w:val="1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股，股票来源为公司向激励对象定向发行本公司</w:t>
            </w:r>
            <w:r>
              <w:rPr>
                <w:rFonts w:ascii="宋体" w:hAnsi="宋体" w:cs="宋体" w:eastAsia="宋体" w:hint="default"/>
                <w:spacing w:val="16"/>
                <w:sz w:val="21"/>
                <w:szCs w:val="21"/>
              </w:rPr>
              <w:t> </w:t>
            </w:r>
            <w:r>
              <w:rPr>
                <w:rFonts w:ascii="宋体" w:hAnsi="宋体" w:cs="宋体" w:eastAsia="宋体" w:hint="default"/>
                <w:sz w:val="21"/>
                <w:szCs w:val="21"/>
              </w:rPr>
              <w:t>A</w:t>
            </w:r>
            <w:r>
              <w:rPr>
                <w:rFonts w:ascii="宋体" w:hAnsi="宋体" w:cs="宋体" w:eastAsia="宋体" w:hint="default"/>
                <w:spacing w:val="-103"/>
                <w:sz w:val="21"/>
                <w:szCs w:val="21"/>
              </w:rPr>
              <w:t> </w:t>
            </w:r>
            <w:r>
              <w:rPr>
                <w:rFonts w:ascii="宋体" w:hAnsi="宋体" w:cs="宋体" w:eastAsia="宋体" w:hint="default"/>
                <w:spacing w:val="-5"/>
                <w:sz w:val="21"/>
                <w:szCs w:val="21"/>
              </w:rPr>
              <w:t>股普通股。在公司批准的拟授予激励对象的限制性股票的认购</w:t>
            </w:r>
            <w:r>
              <w:rPr>
                <w:rFonts w:ascii="宋体" w:hAnsi="宋体" w:cs="宋体" w:eastAsia="宋体" w:hint="default"/>
                <w:sz w:val="21"/>
                <w:szCs w:val="21"/>
              </w:rPr>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过程中，公司实际向</w:t>
            </w:r>
            <w:r>
              <w:rPr>
                <w:rFonts w:ascii="宋体" w:hAnsi="宋体" w:cs="宋体" w:eastAsia="宋体" w:hint="default"/>
                <w:spacing w:val="-49"/>
                <w:sz w:val="21"/>
                <w:szCs w:val="21"/>
              </w:rPr>
              <w:t> </w:t>
            </w:r>
            <w:r>
              <w:rPr>
                <w:rFonts w:ascii="宋体" w:hAnsi="宋体" w:cs="宋体" w:eastAsia="宋体" w:hint="default"/>
                <w:sz w:val="21"/>
                <w:szCs w:val="21"/>
              </w:rPr>
              <w:t>62</w:t>
            </w:r>
            <w:r>
              <w:rPr>
                <w:rFonts w:ascii="宋体" w:hAnsi="宋体" w:cs="宋体" w:eastAsia="宋体" w:hint="default"/>
                <w:spacing w:val="-46"/>
                <w:sz w:val="21"/>
                <w:szCs w:val="21"/>
              </w:rPr>
              <w:t> </w:t>
            </w:r>
            <w:r>
              <w:rPr>
                <w:rFonts w:ascii="宋体" w:hAnsi="宋体" w:cs="宋体" w:eastAsia="宋体" w:hint="default"/>
                <w:sz w:val="21"/>
                <w:szCs w:val="21"/>
              </w:rPr>
              <w:t>名激励对象首次授予</w:t>
            </w:r>
            <w:r>
              <w:rPr>
                <w:rFonts w:ascii="宋体" w:hAnsi="宋体" w:cs="宋体" w:eastAsia="宋体" w:hint="default"/>
                <w:spacing w:val="-47"/>
                <w:sz w:val="21"/>
                <w:szCs w:val="21"/>
              </w:rPr>
              <w:t> </w:t>
            </w:r>
            <w:r>
              <w:rPr>
                <w:rFonts w:ascii="宋体" w:hAnsi="宋体" w:cs="宋体" w:eastAsia="宋体" w:hint="default"/>
                <w:sz w:val="21"/>
                <w:szCs w:val="21"/>
              </w:rPr>
              <w:t>443</w:t>
            </w:r>
            <w:r>
              <w:rPr>
                <w:rFonts w:ascii="宋体" w:hAnsi="宋体" w:cs="宋体" w:eastAsia="宋体" w:hint="default"/>
                <w:spacing w:val="-47"/>
                <w:sz w:val="21"/>
                <w:szCs w:val="21"/>
              </w:rPr>
              <w:t> </w:t>
            </w:r>
            <w:r>
              <w:rPr>
                <w:rFonts w:ascii="宋体" w:hAnsi="宋体" w:cs="宋体" w:eastAsia="宋体" w:hint="default"/>
                <w:sz w:val="21"/>
                <w:szCs w:val="21"/>
              </w:rPr>
              <w:t>万股限制性</w:t>
            </w:r>
            <w:r>
              <w:rPr>
                <w:rFonts w:ascii="宋体" w:hAnsi="宋体" w:cs="宋体" w:eastAsia="宋体" w:hint="default"/>
                <w:w w:val="100"/>
                <w:sz w:val="21"/>
                <w:szCs w:val="21"/>
              </w:rPr>
              <w:t> </w:t>
            </w:r>
            <w:r>
              <w:rPr>
                <w:rFonts w:ascii="宋体" w:hAnsi="宋体" w:cs="宋体" w:eastAsia="宋体" w:hint="default"/>
                <w:sz w:val="21"/>
                <w:szCs w:val="21"/>
              </w:rPr>
              <w:t>股票。</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27</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r>
        <w:trPr>
          <w:trHeight w:val="164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pacing w:val="-3"/>
                <w:sz w:val="21"/>
                <w:szCs w:val="21"/>
              </w:rPr>
              <w:t>日，公司限制性股票激励计划首次授予的</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5"/>
                <w:sz w:val="21"/>
                <w:szCs w:val="21"/>
              </w:rPr>
              <w:t>登记手续办理完成，中国证券登记结算有限责任公司上海分公</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司出具了《证券变更登记证明》。公司高级管理人员杨俏丛的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限制性股票</w:t>
            </w:r>
            <w:r>
              <w:rPr>
                <w:rFonts w:ascii="宋体" w:hAnsi="宋体" w:cs="宋体" w:eastAsia="宋体" w:hint="default"/>
                <w:spacing w:val="15"/>
                <w:sz w:val="21"/>
                <w:szCs w:val="21"/>
              </w:rPr>
              <w:t> </w:t>
            </w:r>
            <w:r>
              <w:rPr>
                <w:rFonts w:ascii="宋体" w:hAnsi="宋体" w:cs="宋体" w:eastAsia="宋体" w:hint="default"/>
                <w:sz w:val="21"/>
                <w:szCs w:val="21"/>
              </w:rPr>
              <w:t>150,000</w:t>
            </w:r>
            <w:r>
              <w:rPr>
                <w:rFonts w:ascii="宋体" w:hAnsi="宋体" w:cs="宋体" w:eastAsia="宋体" w:hint="default"/>
                <w:spacing w:val="13"/>
                <w:sz w:val="21"/>
                <w:szCs w:val="21"/>
              </w:rPr>
              <w:t> </w:t>
            </w:r>
            <w:r>
              <w:rPr>
                <w:rFonts w:ascii="宋体" w:hAnsi="宋体" w:cs="宋体" w:eastAsia="宋体" w:hint="default"/>
                <w:sz w:val="21"/>
                <w:szCs w:val="21"/>
              </w:rPr>
              <w:t>股将自其最后一次减持本公司股票之日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起</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16"/>
                <w:sz w:val="21"/>
                <w:szCs w:val="21"/>
              </w:rPr>
              <w:t>个月后另行登记，因此本次实际授予登记的股票为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4,280,000</w:t>
            </w:r>
            <w:r>
              <w:rPr>
                <w:rFonts w:ascii="宋体" w:hAnsi="宋体" w:cs="宋体" w:eastAsia="宋体" w:hint="default"/>
                <w:spacing w:val="-51"/>
                <w:sz w:val="21"/>
                <w:szCs w:val="21"/>
              </w:rPr>
              <w:t> </w:t>
            </w:r>
            <w:r>
              <w:rPr>
                <w:rFonts w:ascii="宋体" w:hAnsi="宋体" w:cs="宋体" w:eastAsia="宋体" w:hint="default"/>
                <w:sz w:val="21"/>
                <w:szCs w:val="21"/>
              </w:rPr>
              <w:t>股。</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14</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刊登在《中国证券报》、《上海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证券报》上的相关公告。</w:t>
            </w:r>
          </w:p>
        </w:tc>
      </w:tr>
    </w:tbl>
    <w:p>
      <w:pPr>
        <w:spacing w:line="259" w:lineRule="auto" w:before="19"/>
        <w:ind w:left="217" w:right="2818"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二</w:t>
      </w:r>
      <w:r>
        <w:rPr>
          <w:rFonts w:ascii="Calibri" w:hAnsi="Calibri" w:cs="Calibri" w:eastAsia="Calibri" w:hint="default"/>
          <w:b/>
          <w:bCs/>
          <w:sz w:val="24"/>
          <w:szCs w:val="24"/>
        </w:rPr>
        <w:t>)</w:t>
      </w:r>
      <w:r>
        <w:rPr>
          <w:rFonts w:ascii="Calibri" w:hAnsi="Calibri" w:cs="Calibri" w:eastAsia="Calibri" w:hint="default"/>
          <w:b/>
          <w:bCs/>
          <w:spacing w:val="9"/>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290" w:lineRule="exact"/>
        <w:ind w:left="217" w:right="0"/>
        <w:jc w:val="left"/>
      </w:pPr>
      <w:r>
        <w:rPr/>
        <w:t>□适用</w:t>
      </w:r>
      <w:r>
        <w:rPr>
          <w:spacing w:val="-1"/>
        </w:rPr>
        <w:t> </w:t>
      </w:r>
      <w:r>
        <w:rPr/>
        <w:t>√不适用</w:t>
      </w:r>
    </w:p>
    <w:p>
      <w:pPr>
        <w:spacing w:after="0" w:line="290" w:lineRule="exact"/>
        <w:jc w:val="left"/>
        <w:sectPr>
          <w:pgSz w:w="11910" w:h="16840"/>
          <w:pgMar w:header="880" w:footer="1195" w:top="1120" w:bottom="1380" w:left="1060" w:right="1600"/>
        </w:sectPr>
      </w:pPr>
    </w:p>
    <w:p>
      <w:pPr>
        <w:spacing w:line="240" w:lineRule="auto" w:before="2"/>
        <w:rPr>
          <w:rFonts w:ascii="宋体" w:hAnsi="宋体" w:cs="宋体" w:eastAsia="宋体" w:hint="default"/>
          <w:sz w:val="19"/>
          <w:szCs w:val="19"/>
        </w:rPr>
      </w:pPr>
    </w:p>
    <w:p>
      <w:pPr>
        <w:pStyle w:val="BodyText"/>
        <w:spacing w:line="313" w:lineRule="exact" w:before="26"/>
        <w:ind w:left="217" w:right="5380"/>
        <w:jc w:val="left"/>
      </w:pPr>
      <w:r>
        <w:rPr/>
        <w:t>员工持股计划情况</w:t>
      </w:r>
    </w:p>
    <w:p>
      <w:pPr>
        <w:pStyle w:val="BodyText"/>
        <w:spacing w:line="313" w:lineRule="exact"/>
        <w:ind w:left="217" w:right="538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7" w:right="5380"/>
        <w:jc w:val="left"/>
      </w:pPr>
      <w:r>
        <w:rPr/>
        <w:t>其他激励措施</w:t>
      </w:r>
    </w:p>
    <w:p>
      <w:pPr>
        <w:pStyle w:val="BodyText"/>
        <w:spacing w:line="313" w:lineRule="exact"/>
        <w:ind w:left="217" w:right="538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59" w:lineRule="auto" w:before="0"/>
        <w:ind w:right="538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报告期公司激励事项相关情况说明</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spacing w:line="240" w:lineRule="auto" w:before="0"/>
        <w:ind w:right="5380"/>
        <w:jc w:val="left"/>
        <w:rPr>
          <w:b w:val="0"/>
          <w:bCs w:val="0"/>
        </w:rPr>
      </w:pPr>
      <w:r>
        <w:rPr/>
        <w:t>十二、重大关联交易</w:t>
      </w:r>
      <w:r>
        <w:rPr>
          <w:b w:val="0"/>
          <w:bCs w:val="0"/>
        </w:rPr>
      </w:r>
    </w:p>
    <w:p>
      <w:pPr>
        <w:pStyle w:val="BodyText"/>
        <w:spacing w:line="240" w:lineRule="auto" w:before="58"/>
        <w:ind w:left="217" w:right="5380"/>
        <w:jc w:val="left"/>
      </w:pPr>
      <w:r>
        <w:rPr/>
        <w:t>√适用</w:t>
      </w:r>
      <w:r>
        <w:rPr>
          <w:spacing w:val="-1"/>
        </w:rPr>
        <w:t> </w:t>
      </w:r>
      <w:r>
        <w:rPr/>
        <w:t>□不适用</w:t>
      </w:r>
    </w:p>
    <w:p>
      <w:pPr>
        <w:pStyle w:val="Heading2"/>
        <w:spacing w:line="240" w:lineRule="auto" w:before="58"/>
        <w:ind w:right="53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5"/>
        <w:ind w:right="3451"/>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6517"/>
        <w:gridCol w:w="2307"/>
      </w:tblGrid>
      <w:tr>
        <w:trPr>
          <w:trHeight w:val="283" w:hRule="exact"/>
        </w:trPr>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34" w:hRule="exact"/>
        </w:trPr>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2015</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日召开的第五届董事会第四次会议上审议通过了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《关于支付公司二位股东担保费暨关联交易的议案》。截止</w:t>
            </w:r>
            <w:r>
              <w:rPr>
                <w:rFonts w:ascii="宋体" w:hAnsi="宋体" w:cs="宋体" w:eastAsia="宋体" w:hint="default"/>
                <w:spacing w:val="-37"/>
                <w:sz w:val="21"/>
                <w:szCs w:val="21"/>
              </w:rPr>
              <w:t> </w:t>
            </w:r>
            <w:r>
              <w:rPr>
                <w:rFonts w:ascii="宋体" w:hAnsi="宋体" w:cs="宋体" w:eastAsia="宋体" w:hint="default"/>
                <w:sz w:val="21"/>
                <w:szCs w:val="21"/>
              </w:rPr>
              <w:t>2015</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年向中国进出口银行借款的余额为人民币</w:t>
            </w:r>
            <w:r>
              <w:rPr>
                <w:rFonts w:ascii="宋体" w:hAnsi="宋体" w:cs="宋体" w:eastAsia="宋体" w:hint="default"/>
                <w:spacing w:val="-52"/>
                <w:sz w:val="21"/>
                <w:szCs w:val="21"/>
              </w:rPr>
              <w:t> </w:t>
            </w:r>
            <w:r>
              <w:rPr>
                <w:rFonts w:ascii="宋体" w:hAnsi="宋体" w:cs="宋体" w:eastAsia="宋体" w:hint="default"/>
                <w:sz w:val="21"/>
                <w:szCs w:val="21"/>
              </w:rPr>
              <w:t>8,000</w:t>
            </w:r>
            <w:r>
              <w:rPr>
                <w:rFonts w:ascii="宋体" w:hAnsi="宋体" w:cs="宋体" w:eastAsia="宋体" w:hint="default"/>
                <w:spacing w:val="-5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2"/>
                <w:sz w:val="21"/>
                <w:szCs w:val="21"/>
              </w:rPr>
              <w:t>元，公司的二位自然人股东（胡联奎、王维航）作为出质人分别将其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持有的本公司股票质押给中国进出口银行作为担保，担保期限自</w:t>
            </w:r>
            <w:r>
              <w:rPr>
                <w:rFonts w:ascii="宋体" w:hAnsi="宋体" w:cs="宋体" w:eastAsia="宋体" w:hint="default"/>
                <w:spacing w:val="3"/>
                <w:sz w:val="21"/>
                <w:szCs w:val="21"/>
              </w:rPr>
              <w:t> </w:t>
            </w:r>
            <w:r>
              <w:rPr>
                <w:rFonts w:ascii="宋体" w:hAnsi="宋体" w:cs="宋体" w:eastAsia="宋体" w:hint="default"/>
                <w:sz w:val="21"/>
                <w:szCs w:val="21"/>
              </w:rPr>
              <w:t>2010</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pacing w:val="-9"/>
                <w:sz w:val="21"/>
                <w:szCs w:val="21"/>
              </w:rPr>
              <w:t>日开始，有效期</w:t>
            </w:r>
            <w:r>
              <w:rPr>
                <w:rFonts w:ascii="宋体" w:hAnsi="宋体" w:cs="宋体" w:eastAsia="宋体" w:hint="default"/>
                <w:spacing w:val="-50"/>
                <w:sz w:val="21"/>
                <w:szCs w:val="21"/>
              </w:rPr>
              <w:t> </w:t>
            </w:r>
            <w:r>
              <w:rPr>
                <w:rFonts w:ascii="宋体" w:hAnsi="宋体" w:cs="宋体" w:eastAsia="宋体" w:hint="default"/>
                <w:sz w:val="21"/>
                <w:szCs w:val="21"/>
              </w:rPr>
              <w:t>72</w:t>
            </w:r>
            <w:r>
              <w:rPr>
                <w:rFonts w:ascii="宋体" w:hAnsi="宋体" w:cs="宋体" w:eastAsia="宋体" w:hint="default"/>
                <w:spacing w:val="-46"/>
                <w:sz w:val="21"/>
                <w:szCs w:val="21"/>
              </w:rPr>
              <w:t> </w:t>
            </w:r>
            <w:r>
              <w:rPr>
                <w:rFonts w:ascii="宋体" w:hAnsi="宋体" w:cs="宋体" w:eastAsia="宋体" w:hint="default"/>
                <w:spacing w:val="-10"/>
                <w:sz w:val="21"/>
                <w:szCs w:val="21"/>
              </w:rPr>
              <w:t>个月。根据公司《担保管理制度》的规定，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公司有关部门组成担保审核委员会审核并与担保人协商，以年度的方</w:t>
            </w:r>
            <w:r>
              <w:rPr>
                <w:rFonts w:ascii="宋体" w:hAnsi="宋体" w:cs="宋体" w:eastAsia="宋体" w:hint="default"/>
                <w:w w:val="100"/>
                <w:sz w:val="21"/>
                <w:szCs w:val="21"/>
              </w:rPr>
              <w:t> </w:t>
            </w:r>
            <w:r>
              <w:rPr>
                <w:rFonts w:ascii="宋体" w:hAnsi="宋体" w:cs="宋体" w:eastAsia="宋体" w:hint="default"/>
                <w:spacing w:val="-4"/>
                <w:sz w:val="21"/>
                <w:szCs w:val="21"/>
              </w:rPr>
              <w:t>式向二位担保人支付担保费，总金额为上年度借款余款的 </w:t>
            </w:r>
            <w:r>
              <w:rPr>
                <w:rFonts w:ascii="宋体" w:hAnsi="宋体" w:cs="宋体" w:eastAsia="宋体" w:hint="default"/>
                <w:spacing w:val="-10"/>
                <w:sz w:val="21"/>
                <w:szCs w:val="21"/>
              </w:rPr>
              <w:t>1%</w:t>
            </w:r>
            <w:r>
              <w:rPr>
                <w:rFonts w:ascii="宋体" w:hAnsi="宋体" w:cs="宋体" w:eastAsia="宋体" w:hint="default"/>
                <w:spacing w:val="-10"/>
                <w:sz w:val="21"/>
                <w:szCs w:val="21"/>
              </w:rPr>
              <w:t>。现申请</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向胡联奎、王维航分别支付</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年度担保费人民币</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pacing w:val="-56"/>
                <w:sz w:val="21"/>
                <w:szCs w:val="21"/>
              </w:rPr>
              <w:t> </w:t>
            </w:r>
            <w:r>
              <w:rPr>
                <w:rFonts w:ascii="宋体" w:hAnsi="宋体" w:cs="宋体" w:eastAsia="宋体" w:hint="default"/>
                <w:sz w:val="21"/>
                <w:szCs w:val="21"/>
              </w:rPr>
              <w:t>万元，共计人</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2"/>
                <w:sz w:val="21"/>
                <w:szCs w:val="21"/>
              </w:rPr>
              <w:t> </w:t>
            </w:r>
            <w:r>
              <w:rPr>
                <w:rFonts w:ascii="宋体" w:hAnsi="宋体" w:cs="宋体" w:eastAsia="宋体" w:hint="default"/>
                <w:sz w:val="21"/>
                <w:szCs w:val="21"/>
              </w:rPr>
              <w:t>80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73"/>
                <w:sz w:val="21"/>
                <w:szCs w:val="21"/>
              </w:rPr>
              <w:t> </w:t>
            </w:r>
            <w:r>
              <w:rPr>
                <w:rFonts w:ascii="宋体" w:hAnsi="宋体" w:cs="宋体" w:eastAsia="宋体" w:hint="default"/>
                <w:sz w:val="21"/>
                <w:szCs w:val="21"/>
              </w:rPr>
              <w:t>2015</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4</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10</w:t>
            </w:r>
            <w:r>
              <w:rPr>
                <w:rFonts w:ascii="宋体" w:hAnsi="宋体" w:cs="宋体" w:eastAsia="宋体" w:hint="default"/>
                <w:spacing w:val="-11"/>
                <w:sz w:val="21"/>
                <w:szCs w:val="21"/>
              </w:rPr>
              <w:t> </w:t>
            </w:r>
            <w:r>
              <w:rPr>
                <w:rFonts w:ascii="宋体" w:hAnsi="宋体" w:cs="宋体" w:eastAsia="宋体" w:hint="default"/>
                <w:sz w:val="21"/>
                <w:szCs w:val="21"/>
              </w:rPr>
              <w:t>日刊登在《中国</w:t>
            </w:r>
            <w:r>
              <w:rPr>
                <w:rFonts w:ascii="宋体" w:hAnsi="宋体" w:cs="宋体" w:eastAsia="宋体" w:hint="default"/>
                <w:w w:val="100"/>
                <w:sz w:val="21"/>
                <w:szCs w:val="21"/>
              </w:rPr>
              <w:t> </w:t>
            </w:r>
            <w:r>
              <w:rPr>
                <w:rFonts w:ascii="宋体" w:hAnsi="宋体" w:cs="宋体" w:eastAsia="宋体" w:hint="default"/>
                <w:spacing w:val="-3"/>
                <w:sz w:val="21"/>
                <w:szCs w:val="21"/>
              </w:rPr>
              <w:t>证券报》、《上海证券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报》上的相关公告。</w:t>
            </w:r>
          </w:p>
        </w:tc>
      </w:tr>
      <w:tr>
        <w:trPr>
          <w:trHeight w:val="322" w:hRule="exact"/>
        </w:trPr>
        <w:tc>
          <w:tcPr>
            <w:tcW w:w="6517"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3"/>
          <w:szCs w:val="23"/>
        </w:rPr>
      </w:pPr>
    </w:p>
    <w:p>
      <w:pPr>
        <w:pStyle w:val="Heading2"/>
        <w:spacing w:line="283" w:lineRule="auto"/>
        <w:ind w:right="3451"/>
        <w:jc w:val="left"/>
        <w:rPr>
          <w:rFonts w:ascii="宋体" w:hAnsi="宋体" w:cs="宋体" w:eastAsia="宋体" w:hint="default"/>
          <w:b w:val="0"/>
          <w:bCs w:val="0"/>
        </w:rPr>
      </w:pPr>
      <w:r>
        <w:rPr>
          <w:rFonts w:ascii="宋体" w:hAnsi="宋体" w:cs="宋体" w:eastAsia="宋体" w:hint="default"/>
        </w:rPr>
        <w:t>2</w:t>
      </w:r>
      <w:r>
        <w:rPr/>
        <w:t>、</w:t>
      </w:r>
      <w:r>
        <w:rPr>
          <w:spacing w:val="-67"/>
        </w:rPr>
        <w:t> </w:t>
      </w:r>
      <w:r>
        <w:rPr/>
        <w:t>已在临时公告披露，但有后续实施的进展或变化的事项</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60" w:right="960"/>
        </w:sectPr>
      </w:pPr>
    </w:p>
    <w:p>
      <w:pPr>
        <w:pStyle w:val="Heading2"/>
        <w:spacing w:line="240" w:lineRule="auto"/>
        <w:ind w:right="-18"/>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297" w:val="left" w:leader="none"/>
        </w:tabs>
        <w:spacing w:line="240" w:lineRule="auto"/>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960"/>
          <w:cols w:num="2" w:equalWidth="0">
            <w:col w:w="3046" w:space="3386"/>
            <w:col w:w="3458"/>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35"/>
        <w:gridCol w:w="710"/>
        <w:gridCol w:w="698"/>
        <w:gridCol w:w="286"/>
        <w:gridCol w:w="338"/>
        <w:gridCol w:w="329"/>
        <w:gridCol w:w="1330"/>
        <w:gridCol w:w="722"/>
        <w:gridCol w:w="572"/>
        <w:gridCol w:w="996"/>
        <w:gridCol w:w="857"/>
      </w:tblGrid>
      <w:tr>
        <w:trPr>
          <w:trHeight w:val="1879"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4" w:right="7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48" w:right="47"/>
              <w:jc w:val="both"/>
              <w:rPr>
                <w:rFonts w:ascii="宋体" w:hAnsi="宋体" w:cs="宋体" w:eastAsia="宋体" w:hint="default"/>
                <w:sz w:val="18"/>
                <w:szCs w:val="18"/>
              </w:rPr>
            </w:pPr>
            <w:r>
              <w:rPr>
                <w:rFonts w:ascii="宋体" w:hAnsi="宋体" w:cs="宋体" w:eastAsia="宋体" w:hint="default"/>
                <w:sz w:val="18"/>
                <w:szCs w:val="18"/>
              </w:rPr>
              <w:t>关 联 交 易 内 容</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1" w:right="0"/>
              <w:jc w:val="both"/>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237" w:lineRule="auto"/>
              <w:ind w:left="71" w:right="74"/>
              <w:jc w:val="both"/>
              <w:rPr>
                <w:rFonts w:ascii="宋体" w:hAnsi="宋体" w:cs="宋体" w:eastAsia="宋体" w:hint="default"/>
                <w:sz w:val="18"/>
                <w:szCs w:val="18"/>
              </w:rPr>
            </w:pPr>
            <w:r>
              <w:rPr>
                <w:rFonts w:ascii="宋体" w:hAnsi="宋体" w:cs="宋体" w:eastAsia="宋体" w:hint="default"/>
                <w:sz w:val="18"/>
                <w:szCs w:val="18"/>
              </w:rPr>
              <w:t>联 交 易 定 价 原 则</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69" w:right="67"/>
              <w:jc w:val="both"/>
              <w:rPr>
                <w:rFonts w:ascii="宋体" w:hAnsi="宋体" w:cs="宋体" w:eastAsia="宋体" w:hint="default"/>
                <w:sz w:val="18"/>
                <w:szCs w:val="18"/>
              </w:rPr>
            </w:pPr>
            <w:r>
              <w:rPr>
                <w:rFonts w:ascii="宋体" w:hAnsi="宋体" w:cs="宋体" w:eastAsia="宋体" w:hint="default"/>
                <w:sz w:val="18"/>
                <w:szCs w:val="18"/>
              </w:rPr>
              <w:t>关 联 交 易 价 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83" w:right="86"/>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p>
            <w:pPr>
              <w:pStyle w:val="TableParagraph"/>
              <w:spacing w:line="233" w:lineRule="exact"/>
              <w:ind w:right="0"/>
              <w:jc w:val="center"/>
              <w:rPr>
                <w:rFonts w:ascii="宋体" w:hAnsi="宋体" w:cs="宋体" w:eastAsia="宋体" w:hint="default"/>
                <w:sz w:val="18"/>
                <w:szCs w:val="18"/>
              </w:rPr>
            </w:pPr>
            <w:r>
              <w:rPr>
                <w:rFonts w:ascii="宋体"/>
                <w:sz w:val="18"/>
              </w:rPr>
              <w:t>(%)</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8" w:right="101"/>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11" w:right="312"/>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62" w:right="62"/>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1078"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INSystems(Macao)Limited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7" w:lineRule="auto"/>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3,441,321.79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0.0834</w:t>
            </w:r>
            <w:r>
              <w:rPr>
                <w:rFonts w:ascii="宋体"/>
                <w:sz w:val="18"/>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3,441,321.</w:t>
            </w:r>
          </w:p>
          <w:p>
            <w:pPr>
              <w:pStyle w:val="TableParagraph"/>
              <w:spacing w:line="234" w:lineRule="exact"/>
              <w:ind w:right="23"/>
              <w:jc w:val="right"/>
              <w:rPr>
                <w:rFonts w:ascii="宋体" w:hAnsi="宋体" w:cs="宋体" w:eastAsia="宋体" w:hint="default"/>
                <w:sz w:val="18"/>
                <w:szCs w:val="18"/>
              </w:rPr>
            </w:pPr>
            <w:r>
              <w:rPr>
                <w:rFonts w:ascii="宋体"/>
                <w:sz w:val="18"/>
              </w:rPr>
              <w:t>79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sz w:val="18"/>
              </w:rPr>
              <w:t>I-SprintInnovationsPteLtd.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场</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2,659,585.28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0.0645</w:t>
            </w:r>
            <w:r>
              <w:rPr>
                <w:rFonts w:ascii="宋体"/>
                <w:sz w:val="18"/>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2,659,585.</w:t>
            </w:r>
          </w:p>
          <w:p>
            <w:pPr>
              <w:pStyle w:val="TableParagraph"/>
              <w:spacing w:line="240" w:lineRule="auto"/>
              <w:ind w:right="23"/>
              <w:jc w:val="right"/>
              <w:rPr>
                <w:rFonts w:ascii="宋体" w:hAnsi="宋体" w:cs="宋体" w:eastAsia="宋体" w:hint="default"/>
                <w:sz w:val="18"/>
                <w:szCs w:val="18"/>
              </w:rPr>
            </w:pPr>
            <w:r>
              <w:rPr>
                <w:rFonts w:ascii="宋体"/>
                <w:sz w:val="18"/>
              </w:rPr>
              <w:t>28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06" w:lineRule="exact"/>
        <w:jc w:val="left"/>
        <w:rPr>
          <w:rFonts w:ascii="宋体" w:hAnsi="宋体" w:cs="宋体" w:eastAsia="宋体" w:hint="default"/>
          <w:sz w:val="18"/>
          <w:szCs w:val="18"/>
        </w:rPr>
        <w:sectPr>
          <w:type w:val="continuous"/>
          <w:pgSz w:w="11910" w:h="16840"/>
          <w:pgMar w:top="1120" w:bottom="1380" w:left="1060" w:right="960"/>
        </w:sectPr>
      </w:pPr>
    </w:p>
    <w:p>
      <w:pPr>
        <w:spacing w:line="240" w:lineRule="auto" w:before="3"/>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735"/>
        <w:gridCol w:w="710"/>
        <w:gridCol w:w="698"/>
        <w:gridCol w:w="286"/>
        <w:gridCol w:w="338"/>
        <w:gridCol w:w="329"/>
        <w:gridCol w:w="1330"/>
        <w:gridCol w:w="722"/>
        <w:gridCol w:w="572"/>
        <w:gridCol w:w="996"/>
        <w:gridCol w:w="857"/>
      </w:tblGrid>
      <w:tr>
        <w:trPr>
          <w:trHeight w:val="478" w:hRule="exact"/>
        </w:trPr>
        <w:tc>
          <w:tcPr>
            <w:tcW w:w="27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原</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7" w:lineRule="auto"/>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245,650.71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0.0060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245,650.71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北京悦享互联技术有限公司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7" w:lineRule="auto"/>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139,603.71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-0.0034</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139,603.71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I-SprintInnovations(HK)Limite</w:t>
            </w:r>
          </w:p>
          <w:p>
            <w:pPr>
              <w:pStyle w:val="TableParagraph"/>
              <w:spacing w:line="240" w:lineRule="auto"/>
              <w:ind w:left="26" w:right="0"/>
              <w:jc w:val="left"/>
              <w:rPr>
                <w:rFonts w:ascii="宋体" w:hAnsi="宋体" w:cs="宋体" w:eastAsia="宋体" w:hint="default"/>
                <w:sz w:val="18"/>
                <w:szCs w:val="18"/>
              </w:rPr>
            </w:pPr>
            <w:r>
              <w:rPr>
                <w:rFonts w:ascii="宋体"/>
                <w:sz w:val="18"/>
              </w:rPr>
              <w:t>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2" w:lineRule="exact" w:before="24"/>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260,819.21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0.0054</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260,819.21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I-SprintInnovationsPteLtd.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2" w:lineRule="exact" w:before="23"/>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175,693.57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0.0037</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175,693.57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深圳华胜均衡科技有限公司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7" w:lineRule="auto"/>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28,301.91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0.0006</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28,301.91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INSystem(Macao)Limited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286"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37" w:lineRule="auto"/>
              <w:ind w:left="23" w:right="122"/>
              <w:jc w:val="both"/>
              <w:rPr>
                <w:rFonts w:ascii="宋体" w:hAnsi="宋体" w:cs="宋体" w:eastAsia="宋体" w:hint="default"/>
                <w:sz w:val="18"/>
                <w:szCs w:val="18"/>
              </w:rPr>
            </w:pPr>
            <w:r>
              <w:rPr>
                <w:rFonts w:ascii="宋体" w:hAnsi="宋体" w:cs="宋体" w:eastAsia="宋体" w:hint="default"/>
                <w:sz w:val="18"/>
                <w:szCs w:val="18"/>
              </w:rPr>
              <w:t>场 原 则</w:t>
            </w:r>
          </w:p>
        </w:tc>
        <w:tc>
          <w:tcPr>
            <w:tcW w:w="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3,380.64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0.0001</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3,380.64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 w:hRule="exact"/>
        </w:trPr>
        <w:tc>
          <w:tcPr>
            <w:tcW w:w="44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6,954,356.82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2" w:hRule="exact"/>
        </w:trPr>
        <w:tc>
          <w:tcPr>
            <w:tcW w:w="47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48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 w:hRule="exact"/>
        </w:trPr>
        <w:tc>
          <w:tcPr>
            <w:tcW w:w="47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48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关联方购销商品基于市场价格解算。</w:t>
            </w:r>
          </w:p>
        </w:tc>
      </w:tr>
    </w:tbl>
    <w:p>
      <w:pPr>
        <w:spacing w:line="240" w:lineRule="auto" w:before="2"/>
        <w:rPr>
          <w:rFonts w:ascii="宋体" w:hAnsi="宋体" w:cs="宋体" w:eastAsia="宋体" w:hint="default"/>
          <w:sz w:val="23"/>
          <w:szCs w:val="23"/>
        </w:rPr>
      </w:pPr>
    </w:p>
    <w:p>
      <w:pPr>
        <w:pStyle w:val="Heading2"/>
        <w:tabs>
          <w:tab w:pos="1057" w:val="left" w:leader="none"/>
        </w:tabs>
        <w:spacing w:line="240" w:lineRule="auto"/>
        <w:ind w:right="3451"/>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b w:val="0"/>
          <w:bCs w:val="0"/>
        </w:rPr>
      </w:r>
    </w:p>
    <w:p>
      <w:pPr>
        <w:pStyle w:val="Heading2"/>
        <w:spacing w:line="240" w:lineRule="auto" w:before="58"/>
        <w:ind w:right="3451"/>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5521"/>
        <w:gridCol w:w="3529"/>
      </w:tblGrid>
      <w:tr>
        <w:trPr>
          <w:trHeight w:val="319"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事项概述</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查询索引</w:t>
            </w:r>
          </w:p>
        </w:tc>
      </w:tr>
      <w:tr>
        <w:trPr>
          <w:trHeight w:val="1373"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公司以全资子公司华胜信泰科技有限公司为出资方，与北</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京中域嘉盛投资管理有限公司以及其他出资方签署有限合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伙协议，共同设立高端计算产业基金。</w:t>
            </w:r>
            <w:r>
              <w:rPr>
                <w:rFonts w:ascii="宋体" w:hAnsi="宋体" w:cs="宋体" w:eastAsia="宋体" w:hint="default"/>
                <w:w w:val="100"/>
                <w:sz w:val="21"/>
                <w:szCs w:val="21"/>
              </w:rPr>
              <w:t> </w:t>
            </w:r>
            <w:r>
              <w:rPr>
                <w:rFonts w:ascii="宋体" w:hAnsi="宋体" w:cs="宋体" w:eastAsia="宋体" w:hint="default"/>
                <w:sz w:val="21"/>
                <w:szCs w:val="21"/>
              </w:rPr>
              <w:t>华胜信泰科技有限公司认缴计划出资 </w:t>
            </w:r>
            <w:r>
              <w:rPr>
                <w:rFonts w:ascii="宋体" w:hAnsi="宋体" w:cs="宋体" w:eastAsia="宋体" w:hint="default"/>
                <w:sz w:val="21"/>
                <w:szCs w:val="21"/>
              </w:rPr>
              <w:t>22,400</w:t>
            </w:r>
            <w:r>
              <w:rPr>
                <w:rFonts w:ascii="宋体" w:hAnsi="宋体" w:cs="宋体" w:eastAsia="宋体" w:hint="default"/>
                <w:spacing w:val="-57"/>
                <w:sz w:val="21"/>
                <w:szCs w:val="21"/>
              </w:rPr>
              <w:t> </w:t>
            </w:r>
            <w:r>
              <w:rPr>
                <w:rFonts w:ascii="宋体" w:hAnsi="宋体" w:cs="宋体" w:eastAsia="宋体" w:hint="default"/>
                <w:sz w:val="21"/>
                <w:szCs w:val="21"/>
              </w:rPr>
              <w:t>万元。截至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本报告期末完成出资</w:t>
            </w:r>
            <w:r>
              <w:rPr>
                <w:rFonts w:ascii="宋体" w:hAnsi="宋体" w:cs="宋体" w:eastAsia="宋体" w:hint="default"/>
                <w:spacing w:val="-55"/>
                <w:sz w:val="21"/>
                <w:szCs w:val="21"/>
              </w:rPr>
              <w:t> </w:t>
            </w:r>
            <w:r>
              <w:rPr>
                <w:rFonts w:ascii="宋体" w:hAnsi="宋体" w:cs="宋体" w:eastAsia="宋体" w:hint="default"/>
                <w:sz w:val="21"/>
                <w:szCs w:val="21"/>
              </w:rPr>
              <w:t>11,200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28</w:t>
            </w:r>
            <w:r>
              <w:rPr>
                <w:rFonts w:ascii="宋体" w:hAnsi="宋体" w:cs="宋体" w:eastAsia="宋体" w:hint="default"/>
                <w:spacing w:val="-44"/>
                <w:sz w:val="21"/>
                <w:szCs w:val="21"/>
              </w:rPr>
              <w:t> </w:t>
            </w:r>
            <w:r>
              <w:rPr>
                <w:rFonts w:ascii="宋体" w:hAnsi="宋体" w:cs="宋体" w:eastAsia="宋体" w:hint="default"/>
                <w:sz w:val="21"/>
                <w:szCs w:val="21"/>
              </w:rPr>
              <w:t>日、</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w w:val="100"/>
                <w:sz w:val="21"/>
                <w:szCs w:val="21"/>
              </w:rPr>
              <w:t>2015</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19</w:t>
            </w:r>
            <w:r>
              <w:rPr>
                <w:rFonts w:ascii="宋体" w:hAnsi="宋体" w:cs="宋体" w:eastAsia="宋体" w:hint="default"/>
                <w:spacing w:val="-53"/>
                <w:w w:val="100"/>
                <w:sz w:val="21"/>
                <w:szCs w:val="21"/>
              </w:rPr>
              <w:t> </w:t>
            </w:r>
            <w:r>
              <w:rPr>
                <w:rFonts w:ascii="宋体" w:hAnsi="宋体" w:cs="宋体" w:eastAsia="宋体" w:hint="default"/>
                <w:spacing w:val="-13"/>
                <w:w w:val="100"/>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11"/>
                <w:sz w:val="21"/>
                <w:szCs w:val="21"/>
              </w:rPr>
              <w:t>报》、《上海证券报》上的相关公告。</w:t>
            </w:r>
          </w:p>
        </w:tc>
      </w:tr>
      <w:tr>
        <w:trPr>
          <w:trHeight w:val="829"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公司控股子公司杭州沃趣网络科技有限公司</w:t>
            </w:r>
            <w:r>
              <w:rPr>
                <w:rFonts w:ascii="宋体" w:hAnsi="宋体" w:cs="宋体" w:eastAsia="宋体" w:hint="default"/>
                <w:spacing w:val="3"/>
                <w:sz w:val="21"/>
                <w:szCs w:val="21"/>
              </w:rPr>
              <w:t>,</w:t>
            </w:r>
            <w:r>
              <w:rPr>
                <w:rFonts w:ascii="宋体" w:hAnsi="宋体" w:cs="宋体" w:eastAsia="宋体" w:hint="default"/>
                <w:spacing w:val="3"/>
                <w:sz w:val="21"/>
                <w:szCs w:val="21"/>
              </w:rPr>
              <w:t>获得北京中</w:t>
            </w:r>
          </w:p>
          <w:p>
            <w:pPr>
              <w:pStyle w:val="TableParagraph"/>
              <w:spacing w:line="275" w:lineRule="exact"/>
              <w:ind w:left="103" w:right="-3"/>
              <w:jc w:val="left"/>
              <w:rPr>
                <w:rFonts w:ascii="宋体" w:hAnsi="宋体" w:cs="宋体" w:eastAsia="宋体" w:hint="default"/>
                <w:sz w:val="21"/>
                <w:szCs w:val="21"/>
              </w:rPr>
            </w:pPr>
            <w:r>
              <w:rPr>
                <w:rFonts w:ascii="宋体" w:hAnsi="宋体" w:cs="宋体" w:eastAsia="宋体" w:hint="default"/>
                <w:sz w:val="21"/>
                <w:szCs w:val="21"/>
              </w:rPr>
              <w:t>域昭拓股权投资中心（有限合伙）</w:t>
            </w:r>
            <w:r>
              <w:rPr>
                <w:rFonts w:ascii="宋体" w:hAnsi="宋体" w:cs="宋体" w:eastAsia="宋体" w:hint="default"/>
                <w:sz w:val="21"/>
                <w:szCs w:val="21"/>
              </w:rPr>
              <w:t>2,600</w:t>
            </w:r>
            <w:r>
              <w:rPr>
                <w:rFonts w:ascii="宋体" w:hAnsi="宋体" w:cs="宋体" w:eastAsia="宋体" w:hint="default"/>
                <w:spacing w:val="-58"/>
                <w:sz w:val="21"/>
                <w:szCs w:val="21"/>
              </w:rPr>
              <w:t> </w:t>
            </w:r>
            <w:r>
              <w:rPr>
                <w:rFonts w:ascii="宋体" w:hAnsi="宋体" w:cs="宋体" w:eastAsia="宋体" w:hint="default"/>
                <w:sz w:val="21"/>
                <w:szCs w:val="21"/>
              </w:rPr>
              <w:t>万元人民币增资。</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23</w:t>
            </w:r>
            <w:r>
              <w:rPr>
                <w:rFonts w:ascii="宋体" w:hAnsi="宋体" w:cs="宋体" w:eastAsia="宋体" w:hint="default"/>
                <w:spacing w:val="-44"/>
                <w:sz w:val="21"/>
                <w:szCs w:val="21"/>
              </w:rPr>
              <w:t> </w:t>
            </w:r>
            <w:r>
              <w:rPr>
                <w:rFonts w:ascii="宋体" w:hAnsi="宋体" w:cs="宋体" w:eastAsia="宋体" w:hint="default"/>
                <w:sz w:val="21"/>
                <w:szCs w:val="21"/>
              </w:rPr>
              <w:t>日刊</w:t>
            </w:r>
          </w:p>
          <w:p>
            <w:pPr>
              <w:pStyle w:val="TableParagraph"/>
              <w:spacing w:line="272" w:lineRule="exact" w:before="27"/>
              <w:ind w:left="103" w:right="-8"/>
              <w:jc w:val="left"/>
              <w:rPr>
                <w:rFonts w:ascii="宋体" w:hAnsi="宋体" w:cs="宋体" w:eastAsia="宋体" w:hint="default"/>
                <w:sz w:val="21"/>
                <w:szCs w:val="21"/>
              </w:rPr>
            </w:pPr>
            <w:r>
              <w:rPr>
                <w:rFonts w:ascii="宋体" w:hAnsi="宋体" w:cs="宋体" w:eastAsia="宋体" w:hint="default"/>
                <w:spacing w:val="-11"/>
                <w:sz w:val="21"/>
                <w:szCs w:val="21"/>
              </w:rPr>
              <w:t>登在《中国证券报》、《上海证券报》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上的相关公告。</w:t>
            </w:r>
          </w:p>
        </w:tc>
      </w:tr>
    </w:tbl>
    <w:p>
      <w:pPr>
        <w:spacing w:line="240" w:lineRule="auto" w:before="2"/>
        <w:rPr>
          <w:rFonts w:ascii="宋体" w:hAnsi="宋体" w:cs="宋体" w:eastAsia="宋体" w:hint="default"/>
          <w:b/>
          <w:bCs/>
          <w:sz w:val="23"/>
          <w:szCs w:val="23"/>
        </w:rPr>
      </w:pPr>
    </w:p>
    <w:p>
      <w:pPr>
        <w:pStyle w:val="Heading2"/>
        <w:spacing w:line="283" w:lineRule="auto"/>
        <w:ind w:right="3451"/>
        <w:jc w:val="left"/>
        <w:rPr>
          <w:rFonts w:ascii="宋体" w:hAnsi="宋体" w:cs="宋体" w:eastAsia="宋体" w:hint="default"/>
          <w:b w:val="0"/>
          <w:bCs w:val="0"/>
        </w:rPr>
      </w:pPr>
      <w:r>
        <w:rPr>
          <w:rFonts w:ascii="宋体" w:hAnsi="宋体" w:cs="宋体" w:eastAsia="宋体" w:hint="default"/>
        </w:rPr>
        <w:t>2</w:t>
      </w:r>
      <w:r>
        <w:rPr/>
        <w:t>、</w:t>
      </w:r>
      <w:r>
        <w:rPr>
          <w:spacing w:val="-67"/>
        </w:rPr>
        <w:t> </w:t>
      </w:r>
      <w:r>
        <w:rPr/>
        <w:t>已在临时公告披露，但有后续实施的进展或变化的事项</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40" w:lineRule="auto" w:before="0"/>
        <w:ind w:right="538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5"/>
        <w:ind w:left="217" w:right="5380"/>
        <w:jc w:val="left"/>
      </w:pPr>
      <w:r>
        <w:rPr/>
        <w:t>□适用</w:t>
      </w:r>
      <w:r>
        <w:rPr>
          <w:spacing w:val="-1"/>
        </w:rPr>
        <w:t> </w:t>
      </w:r>
      <w:r>
        <w:rPr/>
        <w:t>√不适用</w:t>
      </w:r>
    </w:p>
    <w:p>
      <w:pPr>
        <w:spacing w:after="0" w:line="240" w:lineRule="auto"/>
        <w:jc w:val="left"/>
        <w:sectPr>
          <w:pgSz w:w="11910" w:h="16840"/>
          <w:pgMar w:header="880" w:footer="1195" w:top="1120" w:bottom="1380" w:left="1060" w:right="960"/>
        </w:sectPr>
      </w:pPr>
    </w:p>
    <w:p>
      <w:pPr>
        <w:spacing w:line="240" w:lineRule="auto" w:before="2"/>
        <w:rPr>
          <w:rFonts w:ascii="宋体" w:hAnsi="宋体" w:cs="宋体" w:eastAsia="宋体" w:hint="default"/>
          <w:sz w:val="19"/>
          <w:szCs w:val="19"/>
        </w:rPr>
      </w:pPr>
    </w:p>
    <w:p>
      <w:pPr>
        <w:pStyle w:val="Heading2"/>
        <w:spacing w:line="283" w:lineRule="auto"/>
        <w:ind w:right="3113"/>
        <w:jc w:val="left"/>
        <w:rPr>
          <w:rFonts w:ascii="宋体" w:hAnsi="宋体" w:cs="宋体" w:eastAsia="宋体" w:hint="default"/>
          <w:b w:val="0"/>
          <w:bCs w:val="0"/>
        </w:rPr>
      </w:pPr>
      <w:r>
        <w:rPr>
          <w:rFonts w:ascii="宋体" w:hAnsi="宋体" w:cs="宋体" w:eastAsia="宋体" w:hint="default"/>
        </w:rPr>
        <w:t>4</w:t>
      </w:r>
      <w:r>
        <w:rPr/>
        <w:t>、</w:t>
      </w:r>
      <w:r>
        <w:rPr>
          <w:spacing w:val="-68"/>
        </w:rPr>
        <w:t> </w:t>
      </w:r>
      <w:r>
        <w:rPr/>
        <w:t>涉及业绩约定的，应当披露报告期内的业绩实现情况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40" w:lineRule="auto" w:before="0"/>
        <w:ind w:right="31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共同对外投资的重大关联交易</w:t>
      </w:r>
      <w:r>
        <w:rPr>
          <w:b w:val="0"/>
          <w:bCs w:val="0"/>
        </w:rPr>
      </w:r>
    </w:p>
    <w:p>
      <w:pPr>
        <w:pStyle w:val="Heading2"/>
        <w:spacing w:line="283" w:lineRule="auto" w:before="27"/>
        <w:ind w:right="2871"/>
        <w:jc w:val="left"/>
        <w:rPr>
          <w:rFonts w:ascii="宋体" w:hAnsi="宋体" w:cs="宋体" w:eastAsia="宋体" w:hint="default"/>
          <w:b w:val="0"/>
          <w:bCs w:val="0"/>
        </w:rPr>
      </w:pPr>
      <w:r>
        <w:rPr>
          <w:rFonts w:ascii="宋体" w:hAnsi="宋体" w:cs="宋体" w:eastAsia="宋体" w:hint="default"/>
        </w:rPr>
        <w:t>1</w:t>
      </w:r>
      <w:r>
        <w:rPr/>
        <w:t>、</w:t>
      </w:r>
      <w:r>
        <w:rPr>
          <w:spacing w:val="-67"/>
        </w:rPr>
        <w:t> </w:t>
      </w:r>
      <w:r>
        <w:rPr/>
        <w:t>已在临时公告披露，但有后续实施的进展或变化的事项</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40" w:lineRule="auto" w:before="0"/>
        <w:ind w:right="3113"/>
        <w:jc w:val="left"/>
        <w:rPr>
          <w:b w:val="0"/>
          <w:bCs w:val="0"/>
        </w:rPr>
      </w:pPr>
      <w:r>
        <w:rPr>
          <w:rFonts w:ascii="宋体" w:hAnsi="宋体" w:cs="宋体" w:eastAsia="宋体" w:hint="default"/>
        </w:rPr>
        <w:t>2</w:t>
      </w:r>
      <w:r>
        <w:rPr/>
        <w:t>、</w:t>
      </w:r>
      <w:r>
        <w:rPr>
          <w:spacing w:val="-66"/>
        </w:rPr>
        <w:t> </w:t>
      </w:r>
      <w:r>
        <w:rPr/>
        <w:t>临时公告未披露的事项</w:t>
      </w:r>
      <w:r>
        <w:rPr>
          <w:b w:val="0"/>
          <w:bCs w:val="0"/>
        </w:rPr>
      </w:r>
    </w:p>
    <w:p>
      <w:pPr>
        <w:pStyle w:val="BodyText"/>
        <w:spacing w:line="240" w:lineRule="auto" w:before="58"/>
        <w:ind w:left="217" w:right="311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right="311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83" w:lineRule="auto" w:before="27"/>
        <w:ind w:right="3352"/>
        <w:jc w:val="left"/>
        <w:rPr>
          <w:rFonts w:ascii="宋体" w:hAnsi="宋体" w:cs="宋体" w:eastAsia="宋体" w:hint="default"/>
          <w:b w:val="0"/>
          <w:bCs w:val="0"/>
        </w:rPr>
      </w:pPr>
      <w:r>
        <w:rPr>
          <w:rFonts w:ascii="宋体" w:hAnsi="宋体" w:cs="宋体" w:eastAsia="宋体" w:hint="default"/>
        </w:rPr>
        <w:t>1</w:t>
      </w:r>
      <w:r>
        <w:rPr/>
        <w:t>、</w:t>
      </w:r>
      <w:r>
        <w:rPr>
          <w:spacing w:val="-67"/>
        </w:rPr>
        <w:t> </w:t>
      </w:r>
      <w:r>
        <w:rPr/>
        <w:t>已在临时公告披露且后续实施无进展或变化的事项</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83" w:lineRule="auto" w:before="0"/>
        <w:ind w:right="2871"/>
        <w:jc w:val="left"/>
        <w:rPr>
          <w:rFonts w:ascii="宋体" w:hAnsi="宋体" w:cs="宋体" w:eastAsia="宋体" w:hint="default"/>
          <w:b w:val="0"/>
          <w:bCs w:val="0"/>
        </w:rPr>
      </w:pPr>
      <w:r>
        <w:rPr>
          <w:rFonts w:ascii="宋体" w:hAnsi="宋体" w:cs="宋体" w:eastAsia="宋体" w:hint="default"/>
        </w:rPr>
        <w:t>2</w:t>
      </w:r>
      <w:r>
        <w:rPr/>
        <w:t>、</w:t>
      </w:r>
      <w:r>
        <w:rPr>
          <w:spacing w:val="-67"/>
        </w:rPr>
        <w:t> </w:t>
      </w:r>
      <w:r>
        <w:rPr/>
        <w:t>已在临时公告披露，但有后续实施的进展或变化的事项</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60" w:right="1540"/>
        </w:sectPr>
      </w:pPr>
    </w:p>
    <w:p>
      <w:pPr>
        <w:pStyle w:val="Heading2"/>
        <w:spacing w:line="240" w:lineRule="auto"/>
        <w:ind w:right="-18"/>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40"/>
          <w:cols w:num="2" w:equalWidth="0">
            <w:col w:w="3046" w:space="3146"/>
            <w:col w:w="3118"/>
          </w:cols>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328"/>
        <w:gridCol w:w="1063"/>
        <w:gridCol w:w="1316"/>
        <w:gridCol w:w="382"/>
        <w:gridCol w:w="1472"/>
        <w:gridCol w:w="1152"/>
        <w:gridCol w:w="1145"/>
        <w:gridCol w:w="1039"/>
      </w:tblGrid>
      <w:tr>
        <w:trPr>
          <w:trHeight w:val="475" w:hRule="exact"/>
        </w:trPr>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9"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3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关联方向上市公司</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提供资金</w:t>
            </w:r>
          </w:p>
        </w:tc>
      </w:tr>
      <w:tr>
        <w:trPr>
          <w:trHeight w:val="710" w:hRule="exact"/>
        </w:trPr>
        <w:tc>
          <w:tcPr>
            <w:tcW w:w="132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3" w:right="47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2" w:lineRule="exact" w:before="23"/>
              <w:ind w:left="93" w:right="96"/>
              <w:jc w:val="left"/>
              <w:rPr>
                <w:rFonts w:ascii="宋体" w:hAnsi="宋体" w:cs="宋体" w:eastAsia="宋体" w:hint="default"/>
                <w:sz w:val="18"/>
                <w:szCs w:val="18"/>
              </w:rPr>
            </w:pPr>
            <w:r>
              <w:rPr>
                <w:rFonts w:ascii="宋体" w:hAnsi="宋体" w:cs="宋体" w:eastAsia="宋体" w:hint="default"/>
                <w:sz w:val="18"/>
                <w:szCs w:val="18"/>
              </w:rPr>
              <w:t>生 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49" w:right="550"/>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8" w:right="39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3" w:right="33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北京国研天成投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0</w:t>
            </w:r>
          </w:p>
        </w:tc>
        <w:tc>
          <w:tcPr>
            <w:tcW w:w="38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10,000,000.00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北京国研天成投</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c>
          <w:tcPr>
            <w:tcW w:w="38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北京国研天成投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c>
          <w:tcPr>
            <w:tcW w:w="38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55,000,000.00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c>
          <w:tcPr>
            <w:tcW w:w="38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90,000,000.00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r>
      <w:tr>
        <w:trPr>
          <w:trHeight w:val="243" w:hRule="exact"/>
        </w:trPr>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5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公司间业务往来</w:t>
            </w:r>
          </w:p>
        </w:tc>
      </w:tr>
      <w:tr>
        <w:trPr>
          <w:trHeight w:val="245" w:hRule="exact"/>
        </w:trPr>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关联债权债务对公司的影响</w:t>
            </w:r>
          </w:p>
        </w:tc>
        <w:tc>
          <w:tcPr>
            <w:tcW w:w="65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40"/>
        </w:sectPr>
      </w:pPr>
    </w:p>
    <w:p>
      <w:pPr>
        <w:pStyle w:val="Heading2"/>
        <w:spacing w:line="300" w:lineRule="auto"/>
        <w:ind w:right="33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6"/>
        </w:rPr>
        <w:t> </w:t>
      </w:r>
      <w:r>
        <w:rPr/>
        <w:t>其他</w:t>
      </w:r>
      <w:r>
        <w:rPr>
          <w:spacing w:val="-119"/>
        </w:rPr>
        <w:t> </w:t>
      </w:r>
      <w:r>
        <w:rPr/>
        <w:t>关联方应收应付款项</w:t>
      </w:r>
      <w:r>
        <w:rPr>
          <w:b w:val="0"/>
          <w:bCs w:val="0"/>
        </w:rPr>
      </w:r>
    </w:p>
    <w:p>
      <w:pPr>
        <w:pStyle w:val="Heading2"/>
        <w:spacing w:line="240" w:lineRule="auto" w:before="58"/>
        <w:ind w:left="637" w:right="-18"/>
        <w:jc w:val="left"/>
        <w:rPr>
          <w:b w:val="0"/>
          <w:bCs w:val="0"/>
        </w:rPr>
      </w:pPr>
      <w:r>
        <w:rPr>
          <w:rFonts w:ascii="宋体" w:hAnsi="宋体" w:cs="宋体" w:eastAsia="宋体" w:hint="default"/>
        </w:rPr>
        <w:t>1</w:t>
      </w:r>
      <w:r>
        <w:rPr/>
        <w:t>、</w:t>
      </w:r>
      <w:r>
        <w:rPr>
          <w:spacing w:val="-65"/>
        </w:rPr>
        <w:t> </w:t>
      </w:r>
      <w:r>
        <w:rPr/>
        <w:t>应收关联方款项</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8"/>
          <w:szCs w:val="28"/>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40"/>
          <w:cols w:num="2" w:equalWidth="0">
            <w:col w:w="2744" w:space="3449"/>
            <w:col w:w="3117"/>
          </w:cols>
        </w:sectPr>
      </w:pPr>
    </w:p>
    <w:p>
      <w:pPr>
        <w:spacing w:line="240" w:lineRule="auto" w:before="12"/>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560"/>
        <w:gridCol w:w="4254"/>
        <w:gridCol w:w="1699"/>
        <w:gridCol w:w="1561"/>
      </w:tblGrid>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北京国研天成投资管理有限公司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ASL AutomatedServices</w:t>
            </w:r>
            <w:r>
              <w:rPr>
                <w:rFonts w:ascii="宋体"/>
                <w:spacing w:val="-2"/>
                <w:sz w:val="21"/>
              </w:rPr>
              <w:t> </w:t>
            </w:r>
            <w:r>
              <w:rPr>
                <w:rFonts w:ascii="宋体"/>
                <w:sz w:val="21"/>
              </w:rPr>
              <w:t>(Thailand)</w:t>
            </w:r>
          </w:p>
          <w:p>
            <w:pPr>
              <w:pStyle w:val="TableParagraph"/>
              <w:spacing w:line="273" w:lineRule="exact"/>
              <w:ind w:left="100" w:right="0"/>
              <w:jc w:val="left"/>
              <w:rPr>
                <w:rFonts w:ascii="宋体" w:hAnsi="宋体" w:cs="宋体" w:eastAsia="宋体" w:hint="default"/>
                <w:sz w:val="21"/>
                <w:szCs w:val="21"/>
              </w:rPr>
            </w:pPr>
            <w:r>
              <w:rPr>
                <w:rFonts w:ascii="宋体"/>
                <w:sz w:val="21"/>
              </w:rPr>
              <w:t>Co</w:t>
            </w:r>
            <w:r>
              <w:rPr>
                <w:rFonts w:ascii="宋体"/>
                <w:spacing w:val="1"/>
                <w:sz w:val="21"/>
              </w:rPr>
              <w:t> </w:t>
            </w:r>
            <w:r>
              <w:rPr>
                <w:rFonts w:ascii="宋体"/>
                <w:sz w:val="21"/>
              </w:rPr>
              <w:t>.Ltd.</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1,331,558.07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27,938.66</w:t>
            </w:r>
          </w:p>
        </w:tc>
      </w:tr>
    </w:tbl>
    <w:p>
      <w:pPr>
        <w:spacing w:after="0" w:line="240" w:lineRule="auto"/>
        <w:jc w:val="right"/>
        <w:rPr>
          <w:rFonts w:ascii="宋体" w:hAnsi="宋体" w:cs="宋体" w:eastAsia="宋体" w:hint="default"/>
          <w:sz w:val="21"/>
          <w:szCs w:val="21"/>
        </w:rPr>
        <w:sectPr>
          <w:type w:val="continuous"/>
          <w:pgSz w:w="11910" w:h="16840"/>
          <w:pgMar w:top="1120" w:bottom="1380" w:left="1060" w:right="1540"/>
        </w:sectPr>
      </w:pPr>
    </w:p>
    <w:p>
      <w:pPr>
        <w:spacing w:line="240" w:lineRule="auto" w:before="3"/>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560"/>
        <w:gridCol w:w="4254"/>
        <w:gridCol w:w="1699"/>
        <w:gridCol w:w="1561"/>
      </w:tblGrid>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I-Sprint Innovations Pte</w:t>
            </w:r>
            <w:r>
              <w:rPr>
                <w:rFonts w:ascii="宋体"/>
                <w:spacing w:val="-3"/>
                <w:sz w:val="21"/>
              </w:rPr>
              <w:t> </w:t>
            </w:r>
            <w:r>
              <w:rPr>
                <w:rFonts w:ascii="宋体"/>
                <w:sz w:val="21"/>
              </w:rPr>
              <w:t>Ltd.</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5" w:right="0"/>
              <w:jc w:val="left"/>
              <w:rPr>
                <w:rFonts w:ascii="宋体" w:hAnsi="宋体" w:cs="宋体" w:eastAsia="宋体" w:hint="default"/>
                <w:sz w:val="21"/>
                <w:szCs w:val="21"/>
              </w:rPr>
            </w:pPr>
            <w:r>
              <w:rPr>
                <w:rFonts w:ascii="宋体"/>
                <w:sz w:val="21"/>
              </w:rPr>
              <w:t>172,601.12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7" w:right="0"/>
              <w:jc w:val="left"/>
              <w:rPr>
                <w:rFonts w:ascii="宋体" w:hAnsi="宋体" w:cs="宋体" w:eastAsia="宋体" w:hint="default"/>
                <w:sz w:val="21"/>
                <w:szCs w:val="21"/>
              </w:rPr>
            </w:pPr>
            <w:r>
              <w:rPr>
                <w:rFonts w:ascii="宋体"/>
                <w:sz w:val="21"/>
              </w:rPr>
              <w:t>1,437,826.21</w:t>
            </w:r>
          </w:p>
        </w:tc>
      </w:tr>
    </w:tbl>
    <w:p>
      <w:pPr>
        <w:pStyle w:val="Heading2"/>
        <w:spacing w:line="240" w:lineRule="auto" w:before="79"/>
        <w:ind w:left="637" w:right="6078"/>
        <w:jc w:val="left"/>
        <w:rPr>
          <w:b w:val="0"/>
          <w:bCs w:val="0"/>
        </w:rPr>
      </w:pPr>
      <w:r>
        <w:rPr>
          <w:rFonts w:ascii="宋体" w:hAnsi="宋体" w:cs="宋体" w:eastAsia="宋体" w:hint="default"/>
        </w:rPr>
        <w:t>2</w:t>
      </w:r>
      <w:r>
        <w:rPr/>
        <w:t>、</w:t>
      </w:r>
      <w:r>
        <w:rPr>
          <w:spacing w:val="-66"/>
        </w:rPr>
        <w:t> </w:t>
      </w:r>
      <w:r>
        <w:rPr/>
        <w:t>付关联方款项</w:t>
      </w:r>
      <w:r>
        <w:rPr>
          <w:b w:val="0"/>
          <w:bCs w:val="0"/>
        </w:rPr>
      </w:r>
    </w:p>
    <w:p>
      <w:pPr>
        <w:pStyle w:val="BodyText"/>
        <w:tabs>
          <w:tab w:pos="1199" w:val="left" w:leader="none"/>
        </w:tabs>
        <w:spacing w:line="240" w:lineRule="auto" w:before="115"/>
        <w:ind w:left="0" w:right="494"/>
        <w:jc w:val="right"/>
      </w:pPr>
      <w:r>
        <w:rPr/>
        <w:t>单位：元</w:t>
        <w:tab/>
        <w:t>币种：人民币</w:t>
      </w:r>
    </w:p>
    <w:p>
      <w:pPr>
        <w:spacing w:line="240" w:lineRule="auto" w:before="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60"/>
        <w:gridCol w:w="4110"/>
        <w:gridCol w:w="1702"/>
        <w:gridCol w:w="1702"/>
      </w:tblGrid>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杭州沃趣网络科技有限公司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7,901,831.44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IN Systems (Macao)</w:t>
            </w:r>
            <w:r>
              <w:rPr>
                <w:rFonts w:ascii="宋体"/>
                <w:spacing w:val="-3"/>
                <w:sz w:val="21"/>
              </w:rPr>
              <w:t> </w:t>
            </w:r>
            <w:r>
              <w:rPr>
                <w:rFonts w:ascii="宋体"/>
                <w:sz w:val="21"/>
              </w:rPr>
              <w:t>Limited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1,092,055.66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1,361,697.88</w:t>
            </w:r>
          </w:p>
        </w:tc>
      </w:tr>
      <w:tr>
        <w:trPr>
          <w:trHeight w:val="40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I-Sprint Innovations Pte</w:t>
            </w:r>
            <w:r>
              <w:rPr>
                <w:rFonts w:ascii="宋体"/>
                <w:spacing w:val="-3"/>
                <w:sz w:val="21"/>
              </w:rPr>
              <w:t> </w:t>
            </w:r>
            <w:r>
              <w:rPr>
                <w:rFonts w:ascii="宋体"/>
                <w:sz w:val="21"/>
              </w:rPr>
              <w:t>Ltd.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882,088.16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1,765,913.18</w:t>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798,914.32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559,287.65</w:t>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北京悦享互联技术有限公司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139,603.71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tabs>
          <w:tab w:pos="1057" w:val="left" w:leader="none"/>
        </w:tabs>
        <w:spacing w:line="283" w:lineRule="auto"/>
        <w:ind w:right="6078"/>
        <w:jc w:val="left"/>
        <w:rPr>
          <w:b w:val="0"/>
          <w:bCs w:val="0"/>
        </w:rPr>
      </w:pPr>
      <w:r>
        <w:rPr/>
        <w:t>十三、重大合同及其履行情况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b w:val="0"/>
          <w:bCs w:val="0"/>
        </w:rPr>
      </w:r>
    </w:p>
    <w:p>
      <w:pPr>
        <w:pStyle w:val="BodyText"/>
        <w:spacing w:line="240" w:lineRule="auto" w:before="14"/>
        <w:ind w:left="217" w:right="607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060" w:right="1300"/>
        </w:sectPr>
      </w:pPr>
    </w:p>
    <w:p>
      <w:pPr>
        <w:pStyle w:val="Heading2"/>
        <w:tabs>
          <w:tab w:pos="1057" w:val="left" w:leader="none"/>
        </w:tabs>
        <w:spacing w:line="240" w:lineRule="auto"/>
        <w:ind w:right="-2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left="21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657" w:val="left" w:leader="none"/>
        </w:tabs>
        <w:spacing w:line="240" w:lineRule="auto"/>
        <w:ind w:left="217" w:right="0"/>
        <w:jc w:val="left"/>
      </w:pPr>
      <w:r>
        <w:rPr/>
        <w:t>单位</w:t>
      </w:r>
      <w:r>
        <w:rPr>
          <w:rFonts w:ascii="宋体" w:hAnsi="宋体" w:cs="宋体" w:eastAsia="宋体" w:hint="default"/>
        </w:rPr>
        <w:t>: </w:t>
      </w:r>
      <w:r>
        <w:rPr/>
        <w:t>万元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060" w:right="1300"/>
          <w:cols w:num="2" w:equalWidth="0">
            <w:col w:w="2022" w:space="4291"/>
            <w:col w:w="3237"/>
          </w:cols>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665"/>
        <w:gridCol w:w="662"/>
        <w:gridCol w:w="660"/>
        <w:gridCol w:w="668"/>
        <w:gridCol w:w="638"/>
        <w:gridCol w:w="730"/>
        <w:gridCol w:w="686"/>
        <w:gridCol w:w="591"/>
        <w:gridCol w:w="691"/>
        <w:gridCol w:w="708"/>
        <w:gridCol w:w="708"/>
        <w:gridCol w:w="711"/>
        <w:gridCol w:w="706"/>
        <w:gridCol w:w="425"/>
      </w:tblGrid>
      <w:tr>
        <w:trPr>
          <w:trHeight w:val="30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1" w:right="11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50" w:right="4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5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 w:right="2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23"/>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31"/>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35"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8" w:right="31"/>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305"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78,682.08</w:t>
            </w:r>
          </w:p>
        </w:tc>
      </w:tr>
      <w:tr>
        <w:trPr>
          <w:trHeight w:val="317"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37,688.48</w:t>
            </w:r>
          </w:p>
        </w:tc>
      </w:tr>
      <w:tr>
        <w:trPr>
          <w:trHeight w:val="319"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24"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37,688.48</w:t>
            </w:r>
          </w:p>
        </w:tc>
      </w:tr>
      <w:tr>
        <w:trPr>
          <w:trHeight w:val="317"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15.99</w:t>
            </w:r>
          </w:p>
        </w:tc>
      </w:tr>
      <w:tr>
        <w:trPr>
          <w:trHeight w:val="319"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5"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300"/>
        </w:sectPr>
      </w:pPr>
    </w:p>
    <w:p>
      <w:pPr>
        <w:spacing w:line="240" w:lineRule="auto" w:before="3"/>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019"/>
        <w:gridCol w:w="5231"/>
      </w:tblGrid>
      <w:tr>
        <w:trPr>
          <w:trHeight w:val="555"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w:t>
            </w:r>
          </w:p>
        </w:tc>
      </w:tr>
      <w:tr>
        <w:trPr>
          <w:trHeight w:val="319"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w:t>
            </w:r>
          </w:p>
        </w:tc>
      </w:tr>
      <w:tr>
        <w:trPr>
          <w:trHeight w:val="319"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3" w:lineRule="exact" w:before="79"/>
        <w:ind w:right="0"/>
        <w:jc w:val="both"/>
      </w:pPr>
      <w:r>
        <w:rPr>
          <w:rFonts w:ascii="宋体" w:hAnsi="宋体" w:cs="宋体" w:eastAsia="宋体" w:hint="default"/>
          <w:spacing w:val="-14"/>
        </w:rPr>
        <w:t>1</w:t>
      </w:r>
      <w:r>
        <w:rPr>
          <w:spacing w:val="-14"/>
        </w:rPr>
        <w:t>、根据本公司 </w:t>
      </w:r>
      <w:r>
        <w:rPr>
          <w:rFonts w:ascii="宋体" w:hAnsi="宋体" w:cs="宋体" w:eastAsia="宋体" w:hint="default"/>
        </w:rPr>
        <w:t>2007</w:t>
      </w:r>
      <w:r>
        <w:rPr>
          <w:rFonts w:ascii="宋体" w:hAnsi="宋体" w:cs="宋体" w:eastAsia="宋体" w:hint="default"/>
          <w:spacing w:val="-94"/>
        </w:rPr>
        <w:t> </w:t>
      </w:r>
      <w:r>
        <w:rPr>
          <w:spacing w:val="-7"/>
        </w:rPr>
        <w:t>年第三次临时董事会会议决议，为本公司之全资子公司华胜天（香</w:t>
      </w:r>
    </w:p>
    <w:p>
      <w:pPr>
        <w:pStyle w:val="BodyText"/>
        <w:spacing w:line="313" w:lineRule="exact"/>
        <w:ind w:right="0"/>
        <w:jc w:val="both"/>
      </w:pPr>
      <w:r>
        <w:rPr/>
        <w:t>港）有限公司提供每年最高额人民币</w:t>
      </w:r>
      <w:r>
        <w:rPr>
          <w:spacing w:val="-60"/>
        </w:rPr>
        <w:t> </w:t>
      </w:r>
      <w:r>
        <w:rPr>
          <w:rFonts w:ascii="宋体" w:hAnsi="宋体" w:cs="宋体" w:eastAsia="宋体" w:hint="default"/>
        </w:rPr>
        <w:t>7,000</w:t>
      </w:r>
      <w:r>
        <w:rPr>
          <w:rFonts w:ascii="宋体" w:hAnsi="宋体" w:cs="宋体" w:eastAsia="宋体" w:hint="default"/>
          <w:spacing w:val="-60"/>
        </w:rPr>
        <w:t> </w:t>
      </w:r>
      <w:r>
        <w:rPr/>
        <w:t>万元或等值外币的采购付款担保；</w:t>
      </w:r>
    </w:p>
    <w:p>
      <w:pPr>
        <w:pStyle w:val="BodyText"/>
        <w:spacing w:line="312" w:lineRule="exact" w:before="118"/>
        <w:ind w:right="0"/>
        <w:jc w:val="both"/>
      </w:pPr>
      <w:r>
        <w:rPr>
          <w:rFonts w:ascii="宋体" w:hAnsi="宋体" w:cs="宋体" w:eastAsia="宋体" w:hint="default"/>
          <w:spacing w:val="-4"/>
        </w:rPr>
        <w:t>2</w:t>
      </w:r>
      <w:r>
        <w:rPr>
          <w:spacing w:val="-4"/>
        </w:rPr>
        <w:t>、根据本公司</w:t>
      </w:r>
      <w:r>
        <w:rPr>
          <w:spacing w:val="-71"/>
        </w:rPr>
        <w:t> </w:t>
      </w:r>
      <w:r>
        <w:rPr>
          <w:rFonts w:ascii="宋体" w:hAnsi="宋体" w:cs="宋体" w:eastAsia="宋体" w:hint="default"/>
        </w:rPr>
        <w:t>2007</w:t>
      </w:r>
      <w:r>
        <w:rPr>
          <w:rFonts w:ascii="宋体" w:hAnsi="宋体" w:cs="宋体" w:eastAsia="宋体" w:hint="default"/>
          <w:spacing w:val="-71"/>
        </w:rPr>
        <w:t> </w:t>
      </w:r>
      <w:r>
        <w:rPr/>
        <w:t>年第八次临时董事会会议决议，为本公司之全资子公司深圳华胜</w:t>
      </w:r>
    </w:p>
    <w:p>
      <w:pPr>
        <w:pStyle w:val="BodyText"/>
        <w:spacing w:line="312" w:lineRule="exact"/>
        <w:ind w:right="0"/>
        <w:jc w:val="both"/>
      </w:pPr>
      <w:r>
        <w:rPr/>
        <w:t>天成信息技术有限公司提供每年最高额美元</w:t>
      </w:r>
      <w:r>
        <w:rPr>
          <w:spacing w:val="-60"/>
        </w:rPr>
        <w:t> </w:t>
      </w:r>
      <w:r>
        <w:rPr>
          <w:rFonts w:ascii="宋体" w:hAnsi="宋体" w:cs="宋体" w:eastAsia="宋体" w:hint="default"/>
        </w:rPr>
        <w:t>800</w:t>
      </w:r>
      <w:r>
        <w:rPr>
          <w:rFonts w:ascii="宋体" w:hAnsi="宋体" w:cs="宋体" w:eastAsia="宋体" w:hint="default"/>
          <w:spacing w:val="-60"/>
        </w:rPr>
        <w:t> </w:t>
      </w:r>
      <w:r>
        <w:rPr/>
        <w:t>万元的采购额度的信用担保；</w:t>
      </w:r>
    </w:p>
    <w:p>
      <w:pPr>
        <w:pStyle w:val="BodyText"/>
        <w:spacing w:line="237" w:lineRule="auto" w:before="121"/>
        <w:ind w:right="495"/>
        <w:jc w:val="both"/>
      </w:pPr>
      <w:r>
        <w:rPr>
          <w:rFonts w:ascii="宋体" w:hAnsi="宋体" w:cs="宋体" w:eastAsia="宋体" w:hint="default"/>
          <w:spacing w:val="-4"/>
        </w:rPr>
        <w:t>3</w:t>
      </w:r>
      <w:r>
        <w:rPr>
          <w:spacing w:val="-4"/>
        </w:rPr>
        <w:t>、根据本公司</w:t>
      </w:r>
      <w:r>
        <w:rPr>
          <w:spacing w:val="-71"/>
        </w:rPr>
        <w:t> </w:t>
      </w:r>
      <w:r>
        <w:rPr>
          <w:rFonts w:ascii="宋体" w:hAnsi="宋体" w:cs="宋体" w:eastAsia="宋体" w:hint="default"/>
        </w:rPr>
        <w:t>2015</w:t>
      </w:r>
      <w:r>
        <w:rPr>
          <w:rFonts w:ascii="宋体" w:hAnsi="宋体" w:cs="宋体" w:eastAsia="宋体" w:hint="default"/>
          <w:spacing w:val="-70"/>
        </w:rPr>
        <w:t> </w:t>
      </w:r>
      <w:r>
        <w:rPr/>
        <w:t>年第五届董事会第四次会议决议，允许本公司之子公司北京华胜 </w:t>
      </w:r>
      <w:r>
        <w:rPr>
          <w:spacing w:val="-2"/>
        </w:rPr>
        <w:t>天成软件技术有限公司使用本公司在交通银行授信额度，并提供连带责任担保，金额</w:t>
      </w:r>
      <w:r>
        <w:rPr>
          <w:spacing w:val="-94"/>
        </w:rPr>
        <w:t> </w:t>
      </w:r>
      <w:r>
        <w:rPr>
          <w:spacing w:val="-94"/>
        </w:rPr>
      </w:r>
      <w:r>
        <w:rPr/>
        <w:t>为人民币</w:t>
      </w:r>
      <w:r>
        <w:rPr>
          <w:spacing w:val="-61"/>
        </w:rPr>
        <w:t> </w:t>
      </w:r>
      <w:r>
        <w:rPr>
          <w:rFonts w:ascii="宋体" w:hAnsi="宋体" w:cs="宋体" w:eastAsia="宋体" w:hint="default"/>
        </w:rPr>
        <w:t>2,000</w:t>
      </w:r>
      <w:r>
        <w:rPr>
          <w:rFonts w:ascii="宋体" w:hAnsi="宋体" w:cs="宋体" w:eastAsia="宋体" w:hint="default"/>
          <w:spacing w:val="-60"/>
        </w:rPr>
        <w:t> </w:t>
      </w:r>
      <w:r>
        <w:rPr/>
        <w:t>万元，期限一年；</w:t>
      </w:r>
    </w:p>
    <w:p>
      <w:pPr>
        <w:pStyle w:val="BodyText"/>
        <w:spacing w:line="237" w:lineRule="auto" w:before="121"/>
        <w:ind w:right="0"/>
        <w:jc w:val="left"/>
      </w:pPr>
      <w:r>
        <w:rPr>
          <w:rFonts w:ascii="宋体" w:hAnsi="宋体" w:cs="宋体" w:eastAsia="宋体" w:hint="default"/>
          <w:spacing w:val="-4"/>
        </w:rPr>
        <w:t>4</w:t>
      </w:r>
      <w:r>
        <w:rPr>
          <w:spacing w:val="-4"/>
        </w:rPr>
        <w:t>、根据本公司</w:t>
      </w:r>
      <w:r>
        <w:rPr>
          <w:spacing w:val="-65"/>
        </w:rPr>
        <w:t> </w:t>
      </w:r>
      <w:r>
        <w:rPr>
          <w:rFonts w:ascii="宋体" w:hAnsi="宋体" w:cs="宋体" w:eastAsia="宋体" w:hint="default"/>
        </w:rPr>
        <w:t>2014</w:t>
      </w:r>
      <w:r>
        <w:rPr>
          <w:rFonts w:ascii="宋体" w:hAnsi="宋体" w:cs="宋体" w:eastAsia="宋体" w:hint="default"/>
          <w:spacing w:val="-64"/>
        </w:rPr>
        <w:t> </w:t>
      </w:r>
      <w:r>
        <w:rPr/>
        <w:t>年第五届董事会第二次会议决议，允许本公司之间接控制子公司 </w:t>
      </w:r>
      <w:r>
        <w:rPr>
          <w:spacing w:val="-2"/>
        </w:rPr>
        <w:t>长天科技有限公司使用本公司在广发银行综合授信额度，由本公司承担连带责任担保，</w:t>
      </w:r>
      <w:r>
        <w:rPr>
          <w:spacing w:val="-92"/>
        </w:rPr>
        <w:t> </w:t>
      </w:r>
      <w:r>
        <w:rPr>
          <w:spacing w:val="-92"/>
        </w:rPr>
      </w:r>
      <w:r>
        <w:rPr/>
        <w:t>金额为人民币</w:t>
      </w:r>
      <w:r>
        <w:rPr>
          <w:spacing w:val="-61"/>
        </w:rPr>
        <w:t> </w:t>
      </w:r>
      <w:r>
        <w:rPr>
          <w:rFonts w:ascii="宋体" w:hAnsi="宋体" w:cs="宋体" w:eastAsia="宋体" w:hint="default"/>
        </w:rPr>
        <w:t>1,000</w:t>
      </w:r>
      <w:r>
        <w:rPr>
          <w:rFonts w:ascii="宋体" w:hAnsi="宋体" w:cs="宋体" w:eastAsia="宋体" w:hint="default"/>
          <w:spacing w:val="-60"/>
        </w:rPr>
        <w:t> </w:t>
      </w:r>
      <w:r>
        <w:rPr/>
        <w:t>万元，期限一年；</w:t>
      </w:r>
    </w:p>
    <w:p>
      <w:pPr>
        <w:pStyle w:val="BodyText"/>
        <w:spacing w:line="312" w:lineRule="exact" w:before="149"/>
        <w:ind w:right="495"/>
        <w:jc w:val="both"/>
      </w:pPr>
      <w:r>
        <w:rPr>
          <w:rFonts w:ascii="宋体" w:hAnsi="宋体" w:cs="宋体" w:eastAsia="宋体" w:hint="default"/>
          <w:spacing w:val="-4"/>
        </w:rPr>
        <w:t>5</w:t>
      </w:r>
      <w:r>
        <w:rPr>
          <w:spacing w:val="-4"/>
        </w:rPr>
        <w:t>、根据本公司</w:t>
      </w:r>
      <w:r>
        <w:rPr>
          <w:spacing w:val="-71"/>
        </w:rPr>
        <w:t> </w:t>
      </w:r>
      <w:r>
        <w:rPr>
          <w:rFonts w:ascii="宋体" w:hAnsi="宋体" w:cs="宋体" w:eastAsia="宋体" w:hint="default"/>
        </w:rPr>
        <w:t>2015</w:t>
      </w:r>
      <w:r>
        <w:rPr>
          <w:rFonts w:ascii="宋体" w:hAnsi="宋体" w:cs="宋体" w:eastAsia="宋体" w:hint="default"/>
          <w:spacing w:val="-70"/>
        </w:rPr>
        <w:t> </w:t>
      </w:r>
      <w:r>
        <w:rPr/>
        <w:t>年第五届董事会第四次会议决议，允许本公司之子公司北京飞杰 </w:t>
      </w:r>
      <w:r>
        <w:rPr>
          <w:spacing w:val="-2"/>
        </w:rPr>
        <w:t>信息技术有限公司使用本公司在中国民生银行综合授信额度，由本公司承担连带责任</w:t>
      </w:r>
      <w:r>
        <w:rPr>
          <w:spacing w:val="-94"/>
        </w:rPr>
        <w:t> </w:t>
      </w:r>
      <w:r>
        <w:rPr>
          <w:spacing w:val="-94"/>
        </w:rPr>
      </w:r>
      <w:r>
        <w:rPr/>
        <w:t>担保，金额为人民币</w:t>
      </w:r>
      <w:r>
        <w:rPr>
          <w:spacing w:val="-61"/>
        </w:rPr>
        <w:t> </w:t>
      </w:r>
      <w:r>
        <w:rPr>
          <w:rFonts w:ascii="宋体" w:hAnsi="宋体" w:cs="宋体" w:eastAsia="宋体" w:hint="default"/>
        </w:rPr>
        <w:t>1,000</w:t>
      </w:r>
      <w:r>
        <w:rPr>
          <w:rFonts w:ascii="宋体" w:hAnsi="宋体" w:cs="宋体" w:eastAsia="宋体" w:hint="default"/>
          <w:spacing w:val="-60"/>
        </w:rPr>
        <w:t> </w:t>
      </w:r>
      <w:r>
        <w:rPr/>
        <w:t>万元，期限两年；</w:t>
      </w:r>
    </w:p>
    <w:p>
      <w:pPr>
        <w:pStyle w:val="BodyText"/>
        <w:spacing w:line="312" w:lineRule="exact" w:before="118"/>
        <w:ind w:right="495"/>
        <w:jc w:val="both"/>
      </w:pPr>
      <w:r>
        <w:rPr>
          <w:rFonts w:ascii="宋体" w:hAnsi="宋体" w:cs="宋体" w:eastAsia="宋体" w:hint="default"/>
          <w:spacing w:val="-4"/>
        </w:rPr>
        <w:t>6</w:t>
      </w:r>
      <w:r>
        <w:rPr>
          <w:spacing w:val="-4"/>
        </w:rPr>
        <w:t>、根据本公司</w:t>
      </w:r>
      <w:r>
        <w:rPr>
          <w:spacing w:val="-71"/>
        </w:rPr>
        <w:t> </w:t>
      </w:r>
      <w:r>
        <w:rPr>
          <w:rFonts w:ascii="宋体" w:hAnsi="宋体" w:cs="宋体" w:eastAsia="宋体" w:hint="default"/>
        </w:rPr>
        <w:t>2015</w:t>
      </w:r>
      <w:r>
        <w:rPr>
          <w:rFonts w:ascii="宋体" w:hAnsi="宋体" w:cs="宋体" w:eastAsia="宋体" w:hint="default"/>
          <w:spacing w:val="-70"/>
        </w:rPr>
        <w:t> </w:t>
      </w:r>
      <w:r>
        <w:rPr/>
        <w:t>年第五届董事会第四次会议决议，允许本公司之全资子公司南京 </w:t>
      </w:r>
      <w:r>
        <w:rPr>
          <w:spacing w:val="-2"/>
        </w:rPr>
        <w:t>华胜天成信息技术有限公司使用本公司在中国民生银行的综合授信额度，由本公司承</w:t>
      </w:r>
      <w:r>
        <w:rPr>
          <w:spacing w:val="-94"/>
        </w:rPr>
        <w:t> </w:t>
      </w:r>
      <w:r>
        <w:rPr>
          <w:spacing w:val="-94"/>
        </w:rPr>
      </w:r>
      <w:r>
        <w:rPr/>
        <w:t>担连带责任担保，金额为不超过人民币</w:t>
      </w:r>
      <w:r>
        <w:rPr>
          <w:spacing w:val="-60"/>
        </w:rPr>
        <w:t> </w:t>
      </w:r>
      <w:r>
        <w:rPr>
          <w:rFonts w:ascii="宋体" w:hAnsi="宋体" w:cs="宋体" w:eastAsia="宋体" w:hint="default"/>
        </w:rPr>
        <w:t>5,000</w:t>
      </w:r>
      <w:r>
        <w:rPr>
          <w:rFonts w:ascii="宋体" w:hAnsi="宋体" w:cs="宋体" w:eastAsia="宋体" w:hint="default"/>
          <w:spacing w:val="-60"/>
        </w:rPr>
        <w:t> </w:t>
      </w:r>
      <w:r>
        <w:rPr/>
        <w:t>万元，期限两年；</w:t>
      </w:r>
    </w:p>
    <w:p>
      <w:pPr>
        <w:pStyle w:val="BodyText"/>
        <w:spacing w:line="312" w:lineRule="exact" w:before="117"/>
        <w:ind w:right="494"/>
        <w:jc w:val="both"/>
      </w:pPr>
      <w:r>
        <w:rPr>
          <w:rFonts w:ascii="宋体" w:hAnsi="宋体" w:cs="宋体" w:eastAsia="宋体" w:hint="default"/>
          <w:spacing w:val="-4"/>
        </w:rPr>
        <w:t>7</w:t>
      </w:r>
      <w:r>
        <w:rPr>
          <w:spacing w:val="-4"/>
        </w:rPr>
        <w:t>、根据本公司</w:t>
      </w:r>
      <w:r>
        <w:rPr>
          <w:spacing w:val="-71"/>
        </w:rPr>
        <w:t> </w:t>
      </w:r>
      <w:r>
        <w:rPr>
          <w:rFonts w:ascii="宋体" w:hAnsi="宋体" w:cs="宋体" w:eastAsia="宋体" w:hint="default"/>
        </w:rPr>
        <w:t>2015</w:t>
      </w:r>
      <w:r>
        <w:rPr>
          <w:rFonts w:ascii="宋体" w:hAnsi="宋体" w:cs="宋体" w:eastAsia="宋体" w:hint="default"/>
          <w:spacing w:val="-70"/>
        </w:rPr>
        <w:t> </w:t>
      </w:r>
      <w:r>
        <w:rPr/>
        <w:t>年第五届董事会第四次会议决议，本公司使用汇丰银行综合授信 </w:t>
      </w:r>
      <w:r>
        <w:rPr>
          <w:spacing w:val="-2"/>
        </w:rPr>
        <w:t>额度开立备用信用证为本公司之全资子公司华胜天成科技（香港）有限公司在汇丰银</w:t>
      </w:r>
      <w:r>
        <w:rPr>
          <w:spacing w:val="-94"/>
        </w:rPr>
        <w:t> </w:t>
      </w:r>
      <w:r>
        <w:rPr>
          <w:spacing w:val="-94"/>
        </w:rPr>
      </w:r>
      <w:r>
        <w:rPr/>
        <w:t>行申请贸易项下融资额度不超过人民币</w:t>
      </w:r>
      <w:r>
        <w:rPr>
          <w:spacing w:val="-60"/>
        </w:rPr>
        <w:t> </w:t>
      </w:r>
      <w:r>
        <w:rPr>
          <w:rFonts w:ascii="宋体" w:hAnsi="宋体" w:cs="宋体" w:eastAsia="宋体" w:hint="default"/>
        </w:rPr>
        <w:t>10,000</w:t>
      </w:r>
      <w:r>
        <w:rPr>
          <w:rFonts w:ascii="宋体" w:hAnsi="宋体" w:cs="宋体" w:eastAsia="宋体" w:hint="default"/>
          <w:spacing w:val="-60"/>
        </w:rPr>
        <w:t> </w:t>
      </w:r>
      <w:r>
        <w:rPr/>
        <w:t>万元；</w:t>
      </w:r>
    </w:p>
    <w:p>
      <w:pPr>
        <w:pStyle w:val="BodyText"/>
        <w:spacing w:line="312" w:lineRule="exact" w:before="117"/>
        <w:ind w:right="495"/>
        <w:jc w:val="both"/>
      </w:pPr>
      <w:r>
        <w:rPr>
          <w:rFonts w:ascii="宋体" w:hAnsi="宋体" w:cs="宋体" w:eastAsia="宋体" w:hint="default"/>
          <w:spacing w:val="-4"/>
        </w:rPr>
        <w:t>8</w:t>
      </w:r>
      <w:r>
        <w:rPr>
          <w:spacing w:val="-4"/>
        </w:rPr>
        <w:t>、根据本公司</w:t>
      </w:r>
      <w:r>
        <w:rPr>
          <w:spacing w:val="-71"/>
        </w:rPr>
        <w:t> </w:t>
      </w:r>
      <w:r>
        <w:rPr>
          <w:rFonts w:ascii="宋体" w:hAnsi="宋体" w:cs="宋体" w:eastAsia="宋体" w:hint="default"/>
        </w:rPr>
        <w:t>2015</w:t>
      </w:r>
      <w:r>
        <w:rPr>
          <w:rFonts w:ascii="宋体" w:hAnsi="宋体" w:cs="宋体" w:eastAsia="宋体" w:hint="default"/>
          <w:spacing w:val="-70"/>
        </w:rPr>
        <w:t> </w:t>
      </w:r>
      <w:r>
        <w:rPr/>
        <w:t>年第五届董事会第四次会议决议，本公司使用中国银行综合授信 </w:t>
      </w:r>
      <w:r>
        <w:rPr>
          <w:spacing w:val="-2"/>
        </w:rPr>
        <w:t>额度开立融资类保函为本公司之全资子公司华胜天成科技（香港）有限公司在中国银</w:t>
      </w:r>
      <w:r>
        <w:rPr>
          <w:spacing w:val="-94"/>
        </w:rPr>
        <w:t> </w:t>
      </w:r>
      <w:r>
        <w:rPr>
          <w:spacing w:val="-94"/>
        </w:rPr>
      </w:r>
      <w:r>
        <w:rPr/>
        <w:t>行（香港）有限公司申请贸易项下融资额度不超过美金</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pStyle w:val="BodyText"/>
        <w:spacing w:line="312" w:lineRule="exact" w:before="118"/>
        <w:ind w:right="493" w:firstLine="480"/>
        <w:jc w:val="both"/>
      </w:pPr>
      <w:r>
        <w:rPr>
          <w:spacing w:val="-3"/>
        </w:rPr>
        <w:t>截至本报告期末，公司累计对外担保发生额为：人民币</w:t>
      </w:r>
      <w:r>
        <w:rPr>
          <w:spacing w:val="-59"/>
        </w:rPr>
        <w:t> </w:t>
      </w:r>
      <w:r>
        <w:rPr>
          <w:rFonts w:ascii="宋体" w:hAnsi="宋体" w:cs="宋体" w:eastAsia="宋体" w:hint="default"/>
        </w:rPr>
        <w:t>60,500</w:t>
      </w:r>
      <w:r>
        <w:rPr>
          <w:rFonts w:ascii="宋体" w:hAnsi="宋体" w:cs="宋体" w:eastAsia="宋体" w:hint="default"/>
          <w:spacing w:val="-59"/>
        </w:rPr>
        <w:t> </w:t>
      </w:r>
      <w:r>
        <w:rPr>
          <w:spacing w:val="-8"/>
        </w:rPr>
        <w:t>万元，美元</w:t>
      </w:r>
      <w:r>
        <w:rPr>
          <w:spacing w:val="-59"/>
        </w:rPr>
        <w:t> </w:t>
      </w:r>
      <w:r>
        <w:rPr>
          <w:rFonts w:ascii="宋体" w:hAnsi="宋体" w:cs="宋体" w:eastAsia="宋体" w:hint="default"/>
        </w:rPr>
        <w:t>2,800 </w:t>
      </w:r>
      <w:r>
        <w:rPr>
          <w:spacing w:val="-2"/>
        </w:rPr>
        <w:t>万元。公司对外担保全部为对控股子公司及全资子公司。公司累计对外担保净额为人</w:t>
      </w:r>
      <w:r>
        <w:rPr>
          <w:spacing w:val="-94"/>
        </w:rPr>
        <w:t> </w:t>
      </w:r>
      <w:r>
        <w:rPr>
          <w:spacing w:val="-94"/>
        </w:rPr>
      </w:r>
      <w:r>
        <w:rPr/>
        <w:t>民币</w:t>
      </w:r>
      <w:r>
        <w:rPr>
          <w:spacing w:val="-58"/>
        </w:rPr>
        <w:t> </w:t>
      </w:r>
      <w:r>
        <w:rPr>
          <w:rFonts w:ascii="宋体" w:hAnsi="宋体" w:cs="宋体" w:eastAsia="宋体" w:hint="default"/>
          <w:spacing w:val="-1"/>
        </w:rPr>
        <w:t>26,000</w:t>
      </w:r>
      <w:r>
        <w:rPr>
          <w:rFonts w:ascii="宋体" w:hAnsi="宋体" w:cs="宋体" w:eastAsia="宋体" w:hint="default"/>
          <w:spacing w:val="-58"/>
        </w:rPr>
        <w:t> </w:t>
      </w:r>
      <w:r>
        <w:rPr>
          <w:spacing w:val="-24"/>
        </w:rPr>
        <w:t>万元，美元</w:t>
      </w:r>
      <w:r>
        <w:rPr>
          <w:spacing w:val="-58"/>
        </w:rPr>
        <w:t> </w:t>
      </w:r>
      <w:r>
        <w:rPr>
          <w:rFonts w:ascii="宋体" w:hAnsi="宋体" w:cs="宋体" w:eastAsia="宋体" w:hint="default"/>
        </w:rPr>
        <w:t>1,800</w:t>
      </w:r>
      <w:r>
        <w:rPr>
          <w:rFonts w:ascii="宋体" w:hAnsi="宋体" w:cs="宋体" w:eastAsia="宋体" w:hint="default"/>
          <w:spacing w:val="-58"/>
        </w:rPr>
        <w:t> </w:t>
      </w:r>
      <w:r>
        <w:rPr>
          <w:spacing w:val="-24"/>
        </w:rPr>
        <w:t>万元，共计</w:t>
      </w:r>
      <w:r>
        <w:rPr>
          <w:spacing w:val="-58"/>
        </w:rPr>
        <w:t> </w:t>
      </w:r>
      <w:r>
        <w:rPr>
          <w:rFonts w:ascii="宋体" w:hAnsi="宋体" w:cs="宋体" w:eastAsia="宋体" w:hint="default"/>
        </w:rPr>
        <w:t>37,450.34</w:t>
      </w:r>
      <w:r>
        <w:rPr>
          <w:rFonts w:ascii="宋体" w:hAnsi="宋体" w:cs="宋体" w:eastAsia="宋体" w:hint="default"/>
          <w:spacing w:val="-58"/>
        </w:rPr>
        <w:t> </w:t>
      </w:r>
      <w:r>
        <w:rPr>
          <w:spacing w:val="-22"/>
        </w:rPr>
        <w:t>万元。（美元折算汇率为</w:t>
      </w:r>
      <w:r>
        <w:rPr>
          <w:spacing w:val="-58"/>
        </w:rPr>
        <w:t> </w:t>
      </w:r>
      <w:r>
        <w:rPr>
          <w:rFonts w:ascii="宋体" w:hAnsi="宋体" w:cs="宋体" w:eastAsia="宋体" w:hint="default"/>
        </w:rPr>
        <w:t>6.4936</w:t>
      </w:r>
      <w:r>
        <w:rPr/>
        <w:t>）</w:t>
      </w:r>
    </w:p>
    <w:p>
      <w:pPr>
        <w:spacing w:line="240" w:lineRule="auto" w:before="12"/>
        <w:rPr>
          <w:rFonts w:ascii="宋体" w:hAnsi="宋体" w:cs="宋体" w:eastAsia="宋体" w:hint="default"/>
          <w:sz w:val="25"/>
          <w:szCs w:val="25"/>
        </w:rPr>
      </w:pPr>
    </w:p>
    <w:p>
      <w:pPr>
        <w:pStyle w:val="Heading2"/>
        <w:tabs>
          <w:tab w:pos="977" w:val="left" w:leader="none"/>
        </w:tabs>
        <w:spacing w:line="283" w:lineRule="auto" w:before="0"/>
        <w:ind w:left="137" w:right="487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委托他人进行现金资产管理的情况</w:t>
      </w:r>
      <w:r>
        <w:rPr>
          <w:w w:val="99"/>
        </w:rPr>
        <w:t> </w:t>
      </w:r>
      <w:r>
        <w:rPr>
          <w:rFonts w:ascii="宋体" w:hAnsi="宋体" w:cs="宋体" w:eastAsia="宋体" w:hint="default"/>
        </w:rPr>
        <w:t>1</w:t>
      </w:r>
      <w:r>
        <w:rPr/>
        <w:t>、</w:t>
      </w:r>
      <w:r>
        <w:rPr>
          <w:spacing w:val="-66"/>
        </w:rPr>
        <w:t> </w:t>
      </w:r>
      <w:r>
        <w:rPr/>
        <w:t>委托理财情况</w:t>
      </w:r>
      <w:r>
        <w:rPr>
          <w:b w:val="0"/>
          <w:bCs w:val="0"/>
        </w:rPr>
      </w:r>
    </w:p>
    <w:p>
      <w:pPr>
        <w:spacing w:line="283" w:lineRule="auto" w:before="14"/>
        <w:ind w:left="137" w:right="7446"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66"/>
          <w:sz w:val="24"/>
          <w:szCs w:val="24"/>
        </w:rPr>
        <w:t> </w:t>
      </w:r>
      <w:r>
        <w:rPr>
          <w:rFonts w:ascii="宋体" w:hAnsi="宋体" w:cs="宋体" w:eastAsia="宋体" w:hint="default"/>
          <w:b/>
          <w:bCs/>
          <w:sz w:val="24"/>
          <w:szCs w:val="24"/>
        </w:rPr>
        <w:t>委托贷款情况</w:t>
      </w:r>
      <w:r>
        <w:rPr>
          <w:rFonts w:ascii="宋体" w:hAnsi="宋体" w:cs="宋体" w:eastAsia="宋体" w:hint="default"/>
          <w:sz w:val="24"/>
          <w:szCs w:val="24"/>
        </w:rPr>
      </w:r>
    </w:p>
    <w:p>
      <w:pPr>
        <w:pStyle w:val="BodyText"/>
        <w:spacing w:line="240" w:lineRule="auto" w:before="14"/>
        <w:ind w:right="0"/>
        <w:jc w:val="both"/>
      </w:pPr>
      <w:r>
        <w:rPr/>
        <w:t>□适用</w:t>
      </w:r>
      <w:r>
        <w:rPr>
          <w:spacing w:val="-1"/>
        </w:rPr>
        <w:t> </w:t>
      </w:r>
      <w:r>
        <w:rPr/>
        <w:t>√不适用</w:t>
      </w:r>
    </w:p>
    <w:p>
      <w:pPr>
        <w:spacing w:after="0" w:line="240" w:lineRule="auto"/>
        <w:jc w:val="both"/>
        <w:sectPr>
          <w:pgSz w:w="11910" w:h="16840"/>
          <w:pgMar w:header="880" w:footer="1195" w:top="1120" w:bottom="1380" w:left="1140" w:right="13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040" w:right="1680"/>
        </w:sectPr>
      </w:pPr>
    </w:p>
    <w:p>
      <w:pPr>
        <w:pStyle w:val="Heading2"/>
        <w:spacing w:line="240" w:lineRule="auto"/>
        <w:ind w:left="237" w:right="-17"/>
        <w:jc w:val="left"/>
        <w:rPr>
          <w:b w:val="0"/>
          <w:bCs w:val="0"/>
        </w:rPr>
      </w:pPr>
      <w:r>
        <w:rPr>
          <w:rFonts w:ascii="宋体" w:hAnsi="宋体" w:cs="宋体" w:eastAsia="宋体" w:hint="default"/>
        </w:rPr>
        <w:t>3</w:t>
      </w:r>
      <w:r>
        <w:rPr/>
        <w:t>、</w:t>
      </w:r>
      <w:r>
        <w:rPr>
          <w:spacing w:val="-66"/>
        </w:rPr>
        <w:t> </w:t>
      </w:r>
      <w:r>
        <w:rPr/>
        <w:t>其他投资理财及衍生品投资情况</w:t>
      </w:r>
      <w:r>
        <w:rPr>
          <w:b w:val="0"/>
          <w:bCs w:val="0"/>
        </w:rPr>
      </w:r>
    </w:p>
    <w:p>
      <w:pPr>
        <w:pStyle w:val="BodyText"/>
        <w:spacing w:line="240" w:lineRule="auto" w:before="58"/>
        <w:ind w:left="23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1437" w:val="left" w:leader="none"/>
        </w:tabs>
        <w:spacing w:line="240" w:lineRule="auto" w:before="199"/>
        <w:ind w:left="237" w:right="0"/>
        <w:jc w:val="left"/>
      </w:pPr>
      <w:r>
        <w:rPr/>
        <w:t>单位：元</w:t>
        <w:tab/>
        <w:t>币种：人民币</w:t>
      </w:r>
    </w:p>
    <w:p>
      <w:pPr>
        <w:spacing w:after="0" w:line="240" w:lineRule="auto"/>
        <w:jc w:val="left"/>
        <w:sectPr>
          <w:type w:val="continuous"/>
          <w:pgSz w:w="11910" w:h="16840"/>
          <w:pgMar w:top="1120" w:bottom="1380" w:left="1040" w:right="1680"/>
          <w:cols w:num="2" w:equalWidth="0">
            <w:col w:w="4031" w:space="2162"/>
            <w:col w:w="2997"/>
          </w:cols>
        </w:sectPr>
      </w:pPr>
    </w:p>
    <w:p>
      <w:pPr>
        <w:spacing w:line="240" w:lineRule="auto" w:before="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708"/>
        <w:gridCol w:w="1957"/>
        <w:gridCol w:w="1560"/>
        <w:gridCol w:w="1133"/>
        <w:gridCol w:w="1702"/>
        <w:gridCol w:w="1700"/>
      </w:tblGrid>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理财期限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累计发生额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累计理财收益</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1</w:t>
            </w:r>
          </w:p>
        </w:tc>
        <w:tc>
          <w:tcPr>
            <w:tcW w:w="195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103" w:right="159"/>
              <w:jc w:val="left"/>
              <w:rPr>
                <w:rFonts w:ascii="宋体" w:hAnsi="宋体" w:cs="宋体" w:eastAsia="宋体" w:hint="default"/>
                <w:sz w:val="21"/>
                <w:szCs w:val="21"/>
              </w:rPr>
            </w:pPr>
            <w:r>
              <w:rPr>
                <w:rFonts w:ascii="宋体" w:hAnsi="宋体" w:cs="宋体" w:eastAsia="宋体" w:hint="default"/>
                <w:sz w:val="21"/>
                <w:szCs w:val="21"/>
              </w:rPr>
              <w:t>北京华胜天成科技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2,076,986.30</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2</w:t>
            </w:r>
          </w:p>
        </w:tc>
        <w:tc>
          <w:tcPr>
            <w:tcW w:w="1957"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诺亚正行信托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1,294,520.55</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3</w:t>
            </w:r>
          </w:p>
        </w:tc>
        <w:tc>
          <w:tcPr>
            <w:tcW w:w="1957"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方正东亚信托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3,287,671.23</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4</w:t>
            </w:r>
          </w:p>
        </w:tc>
        <w:tc>
          <w:tcPr>
            <w:tcW w:w="195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大业信托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3,910,684.93</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5</w:t>
            </w:r>
          </w:p>
        </w:tc>
        <w:tc>
          <w:tcPr>
            <w:tcW w:w="1957"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59"/>
              <w:jc w:val="left"/>
              <w:rPr>
                <w:rFonts w:ascii="宋体" w:hAnsi="宋体" w:cs="宋体" w:eastAsia="宋体" w:hint="default"/>
                <w:sz w:val="21"/>
                <w:szCs w:val="21"/>
              </w:rPr>
            </w:pPr>
            <w:r>
              <w:rPr>
                <w:rFonts w:ascii="宋体" w:hAnsi="宋体" w:cs="宋体" w:eastAsia="宋体" w:hint="default"/>
                <w:sz w:val="21"/>
                <w:szCs w:val="21"/>
              </w:rPr>
              <w:t>华胜信泰科技有限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212,000,000.00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591,493.16</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1957"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中国民生银行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111,745.35</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7</w:t>
            </w:r>
          </w:p>
        </w:tc>
        <w:tc>
          <w:tcPr>
            <w:tcW w:w="195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117,353.43</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8</w:t>
            </w:r>
          </w:p>
        </w:tc>
        <w:tc>
          <w:tcPr>
            <w:tcW w:w="1957"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浙江兰德纵横网络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302,420.70</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9</w:t>
            </w:r>
          </w:p>
        </w:tc>
        <w:tc>
          <w:tcPr>
            <w:tcW w:w="195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65,226.03</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北京交大思源科技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47,744.10</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w:t>
            </w:r>
          </w:p>
        </w:tc>
        <w:tc>
          <w:tcPr>
            <w:tcW w:w="1957"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59"/>
              <w:jc w:val="left"/>
              <w:rPr>
                <w:rFonts w:ascii="宋体" w:hAnsi="宋体" w:cs="宋体" w:eastAsia="宋体" w:hint="default"/>
                <w:sz w:val="21"/>
                <w:szCs w:val="21"/>
              </w:rPr>
            </w:pPr>
            <w:r>
              <w:rPr>
                <w:rFonts w:ascii="宋体" w:hAnsi="宋体" w:cs="宋体" w:eastAsia="宋体" w:hint="default"/>
                <w:sz w:val="21"/>
                <w:szCs w:val="21"/>
              </w:rPr>
              <w:t>广州石竹计算机软</w:t>
            </w:r>
            <w:r>
              <w:rPr>
                <w:rFonts w:ascii="宋体" w:hAnsi="宋体" w:cs="宋体" w:eastAsia="宋体" w:hint="default"/>
                <w:w w:val="100"/>
                <w:sz w:val="21"/>
                <w:szCs w:val="21"/>
              </w:rPr>
              <w:t> </w:t>
            </w:r>
            <w:r>
              <w:rPr>
                <w:rFonts w:ascii="宋体" w:hAnsi="宋体" w:cs="宋体" w:eastAsia="宋体" w:hint="default"/>
                <w:sz w:val="21"/>
                <w:szCs w:val="21"/>
              </w:rPr>
              <w:t>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402,971.22</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w:t>
            </w:r>
          </w:p>
        </w:tc>
        <w:tc>
          <w:tcPr>
            <w:tcW w:w="1957"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319,619.31</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13</w:t>
            </w:r>
          </w:p>
        </w:tc>
        <w:tc>
          <w:tcPr>
            <w:tcW w:w="195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36,098.63</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资租赁有限公司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146,700.39</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15</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南京华胜天成计算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机技术有限公司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10,200,000.00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62,007.70</w:t>
            </w:r>
          </w:p>
        </w:tc>
      </w:tr>
      <w:tr>
        <w:trPr>
          <w:trHeight w:val="5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16</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翰竺科技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81,300,000.00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237,572.58</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17</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北京新云东方系统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157,133.96</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南京智慧夫子庙文</w:t>
            </w:r>
          </w:p>
          <w:p>
            <w:pPr>
              <w:pStyle w:val="TableParagraph"/>
              <w:spacing w:line="272" w:lineRule="exact" w:before="27"/>
              <w:ind w:left="103" w:right="159"/>
              <w:jc w:val="left"/>
              <w:rPr>
                <w:rFonts w:ascii="宋体" w:hAnsi="宋体" w:cs="宋体" w:eastAsia="宋体" w:hint="default"/>
                <w:sz w:val="21"/>
                <w:szCs w:val="21"/>
              </w:rPr>
            </w:pPr>
            <w:r>
              <w:rPr>
                <w:rFonts w:ascii="宋体" w:hAnsi="宋体" w:cs="宋体" w:eastAsia="宋体" w:hint="default"/>
                <w:sz w:val="21"/>
                <w:szCs w:val="21"/>
              </w:rPr>
              <w:t>化旅游发展有限公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108,493.15</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天津华胜天成信息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77,132.98</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广州澳图美德信息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广州銀行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5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21</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南京华胜天成信息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徽商银行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半年内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773,117.81</w:t>
            </w:r>
          </w:p>
        </w:tc>
      </w:tr>
    </w:tbl>
    <w:p>
      <w:pPr>
        <w:pStyle w:val="BodyText"/>
        <w:spacing w:line="240" w:lineRule="auto" w:before="79"/>
        <w:ind w:left="717" w:right="2069"/>
        <w:jc w:val="left"/>
      </w:pPr>
      <w:r>
        <w:rPr/>
        <w:t>说明：</w:t>
      </w:r>
    </w:p>
    <w:p>
      <w:pPr>
        <w:pStyle w:val="BodyText"/>
        <w:spacing w:line="237" w:lineRule="auto" w:before="120"/>
        <w:ind w:left="237" w:right="111" w:firstLine="480"/>
        <w:jc w:val="both"/>
      </w:pPr>
      <w:r>
        <w:rPr>
          <w:spacing w:val="-17"/>
        </w:rPr>
        <w:t>（</w:t>
      </w:r>
      <w:r>
        <w:rPr>
          <w:rFonts w:ascii="宋体" w:hAnsi="宋体" w:cs="宋体" w:eastAsia="宋体" w:hint="default"/>
          <w:spacing w:val="-17"/>
        </w:rPr>
        <w:t>1</w:t>
      </w:r>
      <w:r>
        <w:rPr>
          <w:spacing w:val="-17"/>
        </w:rPr>
        <w:t>）</w:t>
      </w:r>
      <w:r>
        <w:rPr>
          <w:rFonts w:ascii="宋体" w:hAnsi="宋体" w:cs="宋体" w:eastAsia="宋体" w:hint="default"/>
          <w:spacing w:val="-17"/>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w:t>
      </w:r>
      <w:r>
        <w:rPr>
          <w:rFonts w:ascii="宋体" w:hAnsi="宋体" w:cs="宋体" w:eastAsia="宋体" w:hint="default"/>
        </w:rPr>
        <w:t>,</w:t>
      </w:r>
      <w:r>
        <w:rPr/>
        <w:t>公司召开</w:t>
      </w:r>
      <w:r>
        <w:rPr>
          <w:spacing w:val="-60"/>
        </w:rPr>
        <w:t> </w:t>
      </w:r>
      <w:r>
        <w:rPr>
          <w:rFonts w:ascii="宋体" w:hAnsi="宋体" w:cs="宋体" w:eastAsia="宋体" w:hint="default"/>
        </w:rPr>
        <w:t>2013</w:t>
      </w:r>
      <w:r>
        <w:rPr>
          <w:rFonts w:ascii="宋体" w:hAnsi="宋体" w:cs="宋体" w:eastAsia="宋体" w:hint="default"/>
          <w:spacing w:val="-60"/>
        </w:rPr>
        <w:t> </w:t>
      </w:r>
      <w:r>
        <w:rPr>
          <w:spacing w:val="-6"/>
        </w:rPr>
        <w:t>年第一次临时董事会会议</w:t>
      </w:r>
      <w:r>
        <w:rPr>
          <w:rFonts w:ascii="宋体" w:hAnsi="宋体" w:cs="宋体" w:eastAsia="宋体" w:hint="default"/>
          <w:spacing w:val="-6"/>
        </w:rPr>
        <w:t>,</w:t>
      </w:r>
      <w:r>
        <w:rPr>
          <w:spacing w:val="-6"/>
        </w:rPr>
        <w:t>审议通过了《关</w:t>
      </w:r>
      <w:r>
        <w:rPr/>
        <w:t> </w:t>
      </w:r>
      <w:r>
        <w:rPr>
          <w:spacing w:val="-2"/>
        </w:rPr>
        <w:t>于运用公司闲置资金进行现金管理》的议案。公司在保证主业正常经营，资金安全的</w:t>
      </w:r>
      <w:r>
        <w:rPr>
          <w:spacing w:val="-95"/>
        </w:rPr>
        <w:t> </w:t>
      </w:r>
      <w:r>
        <w:rPr>
          <w:spacing w:val="-95"/>
        </w:rPr>
      </w:r>
      <w:r>
        <w:rPr>
          <w:spacing w:val="-2"/>
        </w:rPr>
        <w:t>前提下，选择适当的时机利用闲置资金进行现金管理，并授权财务总监负责风险管理</w:t>
      </w:r>
      <w:r>
        <w:rPr>
          <w:spacing w:val="-94"/>
        </w:rPr>
        <w:t> </w:t>
      </w:r>
      <w:r>
        <w:rPr>
          <w:spacing w:val="-94"/>
        </w:rPr>
      </w:r>
      <w:r>
        <w:rPr/>
        <w:t>和控制。</w:t>
      </w:r>
    </w:p>
    <w:p>
      <w:pPr>
        <w:pStyle w:val="BodyText"/>
        <w:spacing w:line="240" w:lineRule="auto" w:before="118"/>
        <w:ind w:left="717" w:right="2069"/>
        <w:jc w:val="left"/>
      </w:pPr>
      <w:r>
        <w:rPr/>
        <w:t>（</w:t>
      </w:r>
      <w:r>
        <w:rPr>
          <w:rFonts w:ascii="宋体" w:hAnsi="宋体" w:cs="宋体" w:eastAsia="宋体" w:hint="default"/>
        </w:rPr>
        <w:t>2</w:t>
      </w:r>
      <w:r>
        <w:rPr/>
        <w:t>）理财投资本期累计发生额为滚动投资累计金额。</w:t>
      </w:r>
    </w:p>
    <w:p>
      <w:pPr>
        <w:spacing w:line="240" w:lineRule="auto" w:before="1"/>
        <w:rPr>
          <w:rFonts w:ascii="宋体" w:hAnsi="宋体" w:cs="宋体" w:eastAsia="宋体" w:hint="default"/>
          <w:sz w:val="28"/>
          <w:szCs w:val="28"/>
        </w:rPr>
      </w:pPr>
    </w:p>
    <w:p>
      <w:pPr>
        <w:pStyle w:val="Heading2"/>
        <w:tabs>
          <w:tab w:pos="1077" w:val="left" w:leader="none"/>
        </w:tabs>
        <w:spacing w:line="285" w:lineRule="auto" w:before="0"/>
        <w:ind w:left="237" w:right="6662"/>
        <w:jc w:val="left"/>
        <w:rPr>
          <w:rFonts w:ascii="宋体" w:hAnsi="宋体" w:cs="宋体" w:eastAsia="宋体" w:hint="default"/>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w w:val="99"/>
        </w:rPr>
        <w:t> </w:t>
      </w:r>
      <w:r>
        <w:rPr>
          <w:rFonts w:ascii="宋体" w:hAnsi="宋体" w:cs="宋体" w:eastAsia="宋体" w:hint="default"/>
          <w:b w:val="0"/>
          <w:bCs w:val="0"/>
        </w:rPr>
        <w:t>无</w:t>
      </w:r>
    </w:p>
    <w:p>
      <w:pPr>
        <w:spacing w:after="0" w:line="285" w:lineRule="auto"/>
        <w:jc w:val="left"/>
        <w:rPr>
          <w:rFonts w:ascii="宋体" w:hAnsi="宋体" w:cs="宋体" w:eastAsia="宋体" w:hint="default"/>
        </w:rPr>
        <w:sectPr>
          <w:type w:val="continuous"/>
          <w:pgSz w:w="11910" w:h="16840"/>
          <w:pgMar w:top="1120" w:bottom="1380" w:left="1040" w:right="1680"/>
        </w:sectPr>
      </w:pPr>
    </w:p>
    <w:p>
      <w:pPr>
        <w:spacing w:line="240" w:lineRule="auto" w:before="2"/>
        <w:rPr>
          <w:rFonts w:ascii="宋体" w:hAnsi="宋体" w:cs="宋体" w:eastAsia="宋体" w:hint="default"/>
          <w:sz w:val="19"/>
          <w:szCs w:val="19"/>
        </w:rPr>
      </w:pPr>
    </w:p>
    <w:p>
      <w:pPr>
        <w:pStyle w:val="Heading2"/>
        <w:spacing w:line="240" w:lineRule="auto"/>
        <w:ind w:left="237" w:right="0"/>
        <w:jc w:val="both"/>
        <w:rPr>
          <w:b w:val="0"/>
          <w:bCs w:val="0"/>
        </w:rPr>
      </w:pPr>
      <w:r>
        <w:rPr/>
        <w:t>十四、其他重大事项的说明</w:t>
      </w:r>
      <w:r>
        <w:rPr>
          <w:b w:val="0"/>
          <w:bCs w:val="0"/>
        </w:rPr>
      </w:r>
    </w:p>
    <w:p>
      <w:pPr>
        <w:spacing w:line="310" w:lineRule="exact" w:before="90"/>
        <w:ind w:left="237" w:right="6317"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、公司非公开发行股票事宜</w:t>
      </w:r>
      <w:r>
        <w:rPr>
          <w:rFonts w:ascii="宋体" w:hAnsi="宋体" w:cs="宋体" w:eastAsia="宋体" w:hint="default"/>
          <w:sz w:val="24"/>
          <w:szCs w:val="24"/>
        </w:rPr>
      </w:r>
    </w:p>
    <w:p>
      <w:pPr>
        <w:pStyle w:val="BodyText"/>
        <w:spacing w:line="313" w:lineRule="exact" w:before="89"/>
        <w:ind w:left="717" w:right="389"/>
        <w:jc w:val="left"/>
        <w:rPr>
          <w:rFonts w:ascii="宋体" w:hAnsi="宋体" w:cs="宋体" w:eastAsia="宋体" w:hint="default"/>
        </w:rPr>
      </w:pPr>
      <w:r>
        <w:rPr/>
        <w:t>公司于</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月份启动的非公开发行股票事宜。详情见公司</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5</w:t>
      </w:r>
      <w:r>
        <w:rPr>
          <w:rFonts w:ascii="宋体" w:hAnsi="宋体" w:cs="宋体" w:eastAsia="宋体" w:hint="default"/>
          <w:spacing w:val="-1"/>
        </w:rPr>
        <w:t> </w:t>
      </w:r>
      <w:r>
        <w:rPr/>
        <w:t>月</w:t>
      </w:r>
      <w:r>
        <w:rPr>
          <w:spacing w:val="-52"/>
        </w:rPr>
        <w:t> </w:t>
      </w:r>
      <w:r>
        <w:rPr>
          <w:rFonts w:ascii="宋体" w:hAnsi="宋体" w:cs="宋体" w:eastAsia="宋体" w:hint="default"/>
        </w:rPr>
        <w:t>28</w:t>
      </w:r>
    </w:p>
    <w:p>
      <w:pPr>
        <w:pStyle w:val="BodyText"/>
        <w:spacing w:line="237" w:lineRule="auto" w:before="1"/>
        <w:ind w:left="237" w:right="511"/>
        <w:jc w:val="both"/>
      </w:pPr>
      <w:r>
        <w:rPr>
          <w:spacing w:val="-4"/>
        </w:rPr>
        <w:t>日、</w:t>
      </w:r>
      <w:r>
        <w:rPr>
          <w:rFonts w:ascii="宋体" w:hAnsi="宋体" w:cs="宋体" w:eastAsia="宋体" w:hint="default"/>
          <w:spacing w:val="-4"/>
        </w:rPr>
        <w:t>2015</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4"/>
        </w:rPr>
        <w:t>日、</w:t>
      </w:r>
      <w:r>
        <w:rPr>
          <w:rFonts w:ascii="宋体" w:hAnsi="宋体" w:cs="宋体" w:eastAsia="宋体" w:hint="default"/>
          <w:spacing w:val="-4"/>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spacing w:val="-4"/>
        </w:rPr>
        <w:t>日、</w:t>
      </w:r>
      <w:r>
        <w:rPr>
          <w:rFonts w:ascii="宋体" w:hAnsi="宋体" w:cs="宋体" w:eastAsia="宋体" w:hint="default"/>
          <w:spacing w:val="-4"/>
        </w:rPr>
        <w:t>2015</w:t>
      </w:r>
      <w:r>
        <w:rPr>
          <w:rFonts w:ascii="宋体" w:hAnsi="宋体" w:cs="宋体" w:eastAsia="宋体" w:hint="default"/>
          <w:spacing w:val="1"/>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spacing w:val="-4"/>
        </w:rPr>
        <w:t>日、</w:t>
      </w:r>
      <w:r>
        <w:rPr>
          <w:rFonts w:ascii="宋体" w:hAnsi="宋体" w:cs="宋体" w:eastAsia="宋体" w:hint="default"/>
          <w:spacing w:val="-4"/>
        </w:rPr>
        <w:t>2015</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spacing w:val="-8"/>
        </w:rPr>
        <w:t>日，发</w:t>
      </w:r>
      <w:r>
        <w:rPr/>
        <w:t> 布的《重大事项停牌公告》（临</w:t>
      </w:r>
      <w:r>
        <w:rPr>
          <w:spacing w:val="-24"/>
        </w:rPr>
        <w:t> </w:t>
      </w:r>
      <w:r>
        <w:rPr>
          <w:rFonts w:ascii="宋体" w:hAnsi="宋体" w:cs="宋体" w:eastAsia="宋体" w:hint="default"/>
        </w:rPr>
        <w:t>2015-028</w:t>
      </w:r>
      <w:r>
        <w:rPr/>
        <w:t>）、《华胜天成</w:t>
      </w:r>
      <w:r>
        <w:rPr>
          <w:spacing w:val="-72"/>
        </w:rPr>
        <w:t> </w:t>
      </w:r>
      <w:r>
        <w:rPr>
          <w:rFonts w:ascii="宋体" w:hAnsi="宋体" w:cs="宋体" w:eastAsia="宋体" w:hint="default"/>
        </w:rPr>
        <w:t>2015</w:t>
      </w:r>
      <w:r>
        <w:rPr>
          <w:rFonts w:ascii="宋体" w:hAnsi="宋体" w:cs="宋体" w:eastAsia="宋体" w:hint="default"/>
          <w:spacing w:val="-72"/>
        </w:rPr>
        <w:t> </w:t>
      </w:r>
      <w:r>
        <w:rPr/>
        <w:t>年第四次临时董事会 </w:t>
      </w:r>
      <w:r>
        <w:rPr>
          <w:spacing w:val="-10"/>
        </w:rPr>
        <w:t>决议公告》（临</w:t>
      </w:r>
      <w:r>
        <w:rPr>
          <w:spacing w:val="-59"/>
        </w:rPr>
        <w:t> </w:t>
      </w:r>
      <w:r>
        <w:rPr>
          <w:rFonts w:ascii="宋体" w:hAnsi="宋体" w:cs="宋体" w:eastAsia="宋体" w:hint="default"/>
          <w:spacing w:val="-7"/>
        </w:rPr>
        <w:t>2015-032</w:t>
      </w:r>
      <w:r>
        <w:rPr>
          <w:spacing w:val="-7"/>
        </w:rPr>
        <w:t>）、《华胜天成</w:t>
      </w:r>
      <w:r>
        <w:rPr>
          <w:spacing w:val="-58"/>
        </w:rPr>
        <w:t> </w:t>
      </w:r>
      <w:r>
        <w:rPr>
          <w:rFonts w:ascii="宋体" w:hAnsi="宋体" w:cs="宋体" w:eastAsia="宋体" w:hint="default"/>
        </w:rPr>
        <w:t>2015</w:t>
      </w:r>
      <w:r>
        <w:rPr>
          <w:rFonts w:ascii="宋体" w:hAnsi="宋体" w:cs="宋体" w:eastAsia="宋体" w:hint="default"/>
          <w:spacing w:val="-56"/>
        </w:rPr>
        <w:t> </w:t>
      </w:r>
      <w:r>
        <w:rPr>
          <w:spacing w:val="-4"/>
        </w:rPr>
        <w:t>年第二次临时股东大会决议公告》（临</w:t>
      </w:r>
      <w:r>
        <w:rPr/>
        <w:t> </w:t>
      </w:r>
      <w:r>
        <w:rPr>
          <w:rFonts w:ascii="宋体" w:hAnsi="宋体" w:cs="宋体" w:eastAsia="宋体" w:hint="default"/>
          <w:spacing w:val="-6"/>
        </w:rPr>
        <w:t>2015-040</w:t>
      </w:r>
      <w:r>
        <w:rPr>
          <w:spacing w:val="-6"/>
        </w:rPr>
        <w:t>）、《华胜天成</w:t>
      </w:r>
      <w:r>
        <w:rPr>
          <w:spacing w:val="-55"/>
        </w:rPr>
        <w:t> </w:t>
      </w:r>
      <w:r>
        <w:rPr>
          <w:rFonts w:ascii="宋体" w:hAnsi="宋体" w:cs="宋体" w:eastAsia="宋体" w:hint="default"/>
        </w:rPr>
        <w:t>2015</w:t>
      </w:r>
      <w:r>
        <w:rPr>
          <w:rFonts w:ascii="宋体" w:hAnsi="宋体" w:cs="宋体" w:eastAsia="宋体" w:hint="default"/>
          <w:spacing w:val="-55"/>
        </w:rPr>
        <w:t> </w:t>
      </w:r>
      <w:r>
        <w:rPr>
          <w:spacing w:val="-4"/>
        </w:rPr>
        <w:t>年第五次临时董事会决议公告》（临</w:t>
      </w:r>
      <w:r>
        <w:rPr>
          <w:spacing w:val="-55"/>
        </w:rPr>
        <w:t> </w:t>
      </w:r>
      <w:r>
        <w:rPr>
          <w:rFonts w:ascii="宋体" w:hAnsi="宋体" w:cs="宋体" w:eastAsia="宋体" w:hint="default"/>
          <w:spacing w:val="-8"/>
        </w:rPr>
        <w:t>2015-045</w:t>
      </w:r>
      <w:r>
        <w:rPr>
          <w:spacing w:val="-8"/>
        </w:rPr>
        <w:t>），《华</w:t>
      </w:r>
      <w:r>
        <w:rPr/>
        <w:t> 胜天成</w:t>
      </w:r>
      <w:r>
        <w:rPr>
          <w:spacing w:val="-61"/>
        </w:rPr>
        <w:t> </w:t>
      </w:r>
      <w:r>
        <w:rPr>
          <w:rFonts w:ascii="宋体" w:hAnsi="宋体" w:cs="宋体" w:eastAsia="宋体" w:hint="default"/>
        </w:rPr>
        <w:t>2015</w:t>
      </w:r>
      <w:r>
        <w:rPr>
          <w:rFonts w:ascii="宋体" w:hAnsi="宋体" w:cs="宋体" w:eastAsia="宋体" w:hint="default"/>
          <w:spacing w:val="-60"/>
        </w:rPr>
        <w:t> </w:t>
      </w:r>
      <w:r>
        <w:rPr/>
        <w:t>年第三次临时股东大会决议公告》（临</w:t>
      </w:r>
      <w:r>
        <w:rPr>
          <w:spacing w:val="1"/>
        </w:rPr>
        <w:t> </w:t>
      </w:r>
      <w:r>
        <w:rPr>
          <w:rFonts w:ascii="宋体" w:hAnsi="宋体" w:cs="宋体" w:eastAsia="宋体" w:hint="default"/>
        </w:rPr>
        <w:t>2015-054</w:t>
      </w:r>
      <w:r>
        <w:rPr/>
        <w:t>）。</w:t>
      </w:r>
    </w:p>
    <w:p>
      <w:pPr>
        <w:pStyle w:val="BodyText"/>
        <w:spacing w:line="240" w:lineRule="auto" w:before="116"/>
        <w:ind w:left="237" w:right="496" w:firstLine="480"/>
        <w:jc w:val="left"/>
      </w:pPr>
      <w:r>
        <w:rPr/>
        <w:t>本次非公开发行</w:t>
      </w:r>
      <w:r>
        <w:rPr>
          <w:spacing w:val="-56"/>
        </w:rPr>
        <w:t> </w:t>
      </w:r>
      <w:r>
        <w:rPr>
          <w:rFonts w:ascii="宋体" w:hAnsi="宋体" w:cs="宋体" w:eastAsia="宋体" w:hint="default"/>
        </w:rPr>
        <w:t>A</w:t>
      </w:r>
      <w:r>
        <w:rPr>
          <w:rFonts w:ascii="宋体" w:hAnsi="宋体" w:cs="宋体" w:eastAsia="宋体" w:hint="default"/>
          <w:spacing w:val="-56"/>
        </w:rPr>
        <w:t> </w:t>
      </w:r>
      <w:r>
        <w:rPr/>
        <w:t>股股票数量不超过</w:t>
      </w:r>
      <w:r>
        <w:rPr>
          <w:spacing w:val="-55"/>
        </w:rPr>
        <w:t> </w:t>
      </w:r>
      <w:r>
        <w:rPr>
          <w:rFonts w:ascii="宋体" w:hAnsi="宋体" w:cs="宋体" w:eastAsia="宋体" w:hint="default"/>
        </w:rPr>
        <w:t>71,155,542 </w:t>
      </w:r>
      <w:r>
        <w:rPr/>
        <w:t>股，非公开发行股票拟募集资 金总额不超过</w:t>
      </w:r>
      <w:r>
        <w:rPr>
          <w:spacing w:val="-61"/>
        </w:rPr>
        <w:t> </w:t>
      </w:r>
      <w:r>
        <w:rPr>
          <w:rFonts w:ascii="宋体" w:hAnsi="宋体" w:cs="宋体" w:eastAsia="宋体" w:hint="default"/>
        </w:rPr>
        <w:t>24.20</w:t>
      </w:r>
      <w:r>
        <w:rPr>
          <w:rFonts w:ascii="宋体" w:hAnsi="宋体" w:cs="宋体" w:eastAsia="宋体" w:hint="default"/>
          <w:spacing w:val="-60"/>
        </w:rPr>
        <w:t> </w:t>
      </w:r>
      <w:r>
        <w:rPr/>
        <w:t>亿元，将用于以下投资项目：</w:t>
      </w:r>
    </w:p>
    <w:p>
      <w:pPr>
        <w:spacing w:line="240" w:lineRule="auto" w:before="1"/>
        <w:rPr>
          <w:rFonts w:ascii="宋体" w:hAnsi="宋体" w:cs="宋体" w:eastAsia="宋体" w:hint="default"/>
          <w:sz w:val="12"/>
          <w:szCs w:val="12"/>
        </w:rPr>
      </w:pPr>
    </w:p>
    <w:tbl>
      <w:tblPr>
        <w:tblW w:w="0" w:type="auto"/>
        <w:jc w:val="left"/>
        <w:tblInd w:w="232" w:type="dxa"/>
        <w:tblLayout w:type="fixed"/>
        <w:tblCellMar>
          <w:top w:w="0" w:type="dxa"/>
          <w:left w:w="0" w:type="dxa"/>
          <w:bottom w:w="0" w:type="dxa"/>
          <w:right w:w="0" w:type="dxa"/>
        </w:tblCellMar>
        <w:tblLook w:val="01E0"/>
      </w:tblPr>
      <w:tblGrid>
        <w:gridCol w:w="4112"/>
        <w:gridCol w:w="1844"/>
        <w:gridCol w:w="2835"/>
      </w:tblGrid>
      <w:tr>
        <w:trPr>
          <w:trHeight w:val="4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资金用途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4"/>
              <w:jc w:val="right"/>
              <w:rPr>
                <w:rFonts w:ascii="宋体" w:hAnsi="宋体" w:cs="宋体" w:eastAsia="宋体" w:hint="default"/>
                <w:sz w:val="21"/>
                <w:szCs w:val="21"/>
              </w:rPr>
            </w:pPr>
            <w:r>
              <w:rPr>
                <w:rFonts w:ascii="宋体" w:hAnsi="宋体" w:cs="宋体" w:eastAsia="宋体" w:hint="default"/>
                <w:spacing w:val="-2"/>
                <w:sz w:val="21"/>
                <w:szCs w:val="21"/>
              </w:rPr>
              <w:t>总投资额（万元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9" w:right="84"/>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拟投入募集资金额（万元）</w:t>
            </w:r>
          </w:p>
        </w:tc>
      </w:tr>
      <w:tr>
        <w:trPr>
          <w:trHeight w:val="44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可信开放高端计算系统研发与产业化项目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260,000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140,000</w:t>
            </w:r>
          </w:p>
        </w:tc>
      </w:tr>
      <w:tr>
        <w:trPr>
          <w:trHeight w:val="60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9"/>
              <w:ind w:left="103" w:right="46"/>
              <w:jc w:val="left"/>
              <w:rPr>
                <w:rFonts w:ascii="宋体" w:hAnsi="宋体" w:cs="宋体" w:eastAsia="宋体" w:hint="default"/>
                <w:sz w:val="21"/>
                <w:szCs w:val="21"/>
              </w:rPr>
            </w:pPr>
            <w:r>
              <w:rPr>
                <w:rFonts w:ascii="宋体" w:hAnsi="宋体" w:cs="宋体" w:eastAsia="宋体" w:hint="default"/>
                <w:spacing w:val="6"/>
                <w:sz w:val="21"/>
                <w:szCs w:val="21"/>
              </w:rPr>
              <w:t>大数据平台技术工程实验室建设及行业应</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用服务项目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35,912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30,000</w:t>
            </w:r>
          </w:p>
        </w:tc>
      </w:tr>
      <w:tr>
        <w:trPr>
          <w:trHeight w:val="487"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72,000</w:t>
            </w:r>
          </w:p>
        </w:tc>
      </w:tr>
      <w:tr>
        <w:trPr>
          <w:trHeight w:val="49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242,000</w:t>
            </w:r>
          </w:p>
        </w:tc>
      </w:tr>
    </w:tbl>
    <w:p>
      <w:pPr>
        <w:pStyle w:val="BodyText"/>
        <w:spacing w:line="237" w:lineRule="auto" w:before="82"/>
        <w:ind w:left="237" w:right="511" w:firstLine="480"/>
        <w:jc w:val="both"/>
      </w:pPr>
      <w:r>
        <w:rPr/>
        <w:t>本次非公开发行相关事项已经于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9"/>
        </w:rPr>
        <w:t> </w:t>
      </w:r>
      <w:r>
        <w:rPr>
          <w:rFonts w:ascii="宋体" w:hAnsi="宋体" w:cs="宋体" w:eastAsia="宋体" w:hint="default"/>
        </w:rPr>
        <w:t>8</w:t>
      </w:r>
      <w:r>
        <w:rPr>
          <w:rFonts w:ascii="宋体" w:hAnsi="宋体" w:cs="宋体" w:eastAsia="宋体" w:hint="default"/>
          <w:spacing w:val="-66"/>
        </w:rPr>
        <w:t> </w:t>
      </w:r>
      <w:r>
        <w:rPr/>
        <w:t>月</w:t>
      </w:r>
      <w:r>
        <w:rPr>
          <w:spacing w:val="-68"/>
        </w:rPr>
        <w:t> </w:t>
      </w:r>
      <w:r>
        <w:rPr>
          <w:rFonts w:ascii="宋体" w:hAnsi="宋体" w:cs="宋体" w:eastAsia="宋体" w:hint="default"/>
        </w:rPr>
        <w:t>7</w:t>
      </w:r>
      <w:r>
        <w:rPr>
          <w:rFonts w:ascii="宋体" w:hAnsi="宋体" w:cs="宋体" w:eastAsia="宋体" w:hint="default"/>
          <w:spacing w:val="-66"/>
        </w:rPr>
        <w:t> </w:t>
      </w:r>
      <w:r>
        <w:rPr/>
        <w:t>日召开的华胜天成</w:t>
      </w:r>
      <w:r>
        <w:rPr>
          <w:spacing w:val="-66"/>
        </w:rPr>
        <w:t> </w:t>
      </w:r>
      <w:r>
        <w:rPr>
          <w:rFonts w:ascii="宋体" w:hAnsi="宋体" w:cs="宋体" w:eastAsia="宋体" w:hint="default"/>
        </w:rPr>
        <w:t>2015</w:t>
      </w:r>
      <w:r>
        <w:rPr>
          <w:rFonts w:ascii="宋体" w:hAnsi="宋体" w:cs="宋体" w:eastAsia="宋体" w:hint="default"/>
          <w:spacing w:val="-66"/>
        </w:rPr>
        <w:t> </w:t>
      </w:r>
      <w:r>
        <w:rPr/>
        <w:t>年第三次 </w:t>
      </w:r>
      <w:r>
        <w:rPr>
          <w:spacing w:val="-2"/>
        </w:rPr>
        <w:t>临时股东大会审议通过。根据有关规定，本次非公开发行股票方案尚需报中国证监会</w:t>
      </w:r>
      <w:r>
        <w:rPr>
          <w:spacing w:val="-95"/>
        </w:rPr>
        <w:t> </w:t>
      </w:r>
      <w:r>
        <w:rPr>
          <w:spacing w:val="-95"/>
        </w:rPr>
      </w:r>
      <w:r>
        <w:rPr/>
        <w:t>核准。</w:t>
      </w:r>
    </w:p>
    <w:p>
      <w:pPr>
        <w:pStyle w:val="BodyText"/>
        <w:spacing w:line="237" w:lineRule="auto" w:before="121"/>
        <w:ind w:left="237" w:right="511" w:firstLine="480"/>
        <w:jc w:val="both"/>
      </w:pPr>
      <w:r>
        <w:rPr>
          <w:rFonts w:ascii="宋体" w:hAnsi="宋体" w:cs="宋体" w:eastAsia="宋体" w:hint="default"/>
        </w:rPr>
        <w:t>2015</w:t>
      </w:r>
      <w:r>
        <w:rPr>
          <w:rFonts w:ascii="宋体" w:hAnsi="宋体" w:cs="宋体" w:eastAsia="宋体" w:hint="default"/>
          <w:spacing w:val="-60"/>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9"/>
        </w:rPr>
        <w:t> </w:t>
      </w:r>
      <w:r>
        <w:rPr>
          <w:spacing w:val="-9"/>
        </w:rPr>
        <w:t>日，公司召开</w:t>
      </w:r>
      <w:r>
        <w:rPr>
          <w:spacing w:val="-59"/>
        </w:rPr>
        <w:t> </w:t>
      </w:r>
      <w:r>
        <w:rPr>
          <w:rFonts w:ascii="宋体" w:hAnsi="宋体" w:cs="宋体" w:eastAsia="宋体" w:hint="default"/>
        </w:rPr>
        <w:t>2015</w:t>
      </w:r>
      <w:r>
        <w:rPr>
          <w:rFonts w:ascii="宋体" w:hAnsi="宋体" w:cs="宋体" w:eastAsia="宋体" w:hint="default"/>
          <w:spacing w:val="-59"/>
        </w:rPr>
        <w:t> </w:t>
      </w:r>
      <w:r>
        <w:rPr>
          <w:spacing w:val="-3"/>
        </w:rPr>
        <w:t>年第六次临时董事会审议通过《关于公司符合</w:t>
      </w:r>
      <w:r>
        <w:rPr/>
        <w:t> </w:t>
      </w:r>
      <w:r>
        <w:rPr>
          <w:spacing w:val="-2"/>
        </w:rPr>
        <w:t>非公开发行股票条件的议案》、《关于调整公司非公开发行股票方案的议案》和《关</w:t>
      </w:r>
      <w:r>
        <w:rPr>
          <w:spacing w:val="-95"/>
        </w:rPr>
        <w:t> </w:t>
      </w:r>
      <w:r>
        <w:rPr>
          <w:spacing w:val="-95"/>
        </w:rPr>
      </w:r>
      <w:r>
        <w:rPr>
          <w:spacing w:val="-2"/>
        </w:rPr>
        <w:t>于调整公司非公开发行股票预案的议案》。公司将本次非公开发行的发行定价基准日</w:t>
      </w:r>
      <w:r>
        <w:rPr>
          <w:spacing w:val="-94"/>
        </w:rPr>
        <w:t> </w:t>
      </w:r>
      <w:r>
        <w:rPr>
          <w:spacing w:val="-94"/>
        </w:rPr>
      </w:r>
      <w:r>
        <w:rPr/>
        <w:t>为公司</w:t>
      </w:r>
      <w:r>
        <w:rPr>
          <w:spacing w:val="-58"/>
        </w:rPr>
        <w:t> </w:t>
      </w:r>
      <w:r>
        <w:rPr>
          <w:rFonts w:ascii="宋体" w:hAnsi="宋体" w:cs="宋体" w:eastAsia="宋体" w:hint="default"/>
        </w:rPr>
        <w:t>2015</w:t>
      </w:r>
      <w:r>
        <w:rPr>
          <w:rFonts w:ascii="宋体" w:hAnsi="宋体" w:cs="宋体" w:eastAsia="宋体" w:hint="default"/>
          <w:spacing w:val="-58"/>
        </w:rPr>
        <w:t> </w:t>
      </w:r>
      <w:r>
        <w:rPr/>
        <w:t>年第六次临时董事会会议决议公告日（即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60"/>
        </w:rPr>
        <w:t> </w:t>
      </w:r>
      <w:r>
        <w:rPr>
          <w:rFonts w:ascii="宋体" w:hAnsi="宋体" w:cs="宋体" w:eastAsia="宋体" w:hint="default"/>
        </w:rPr>
        <w:t>24</w:t>
      </w:r>
      <w:r>
        <w:rPr>
          <w:rFonts w:ascii="宋体" w:hAnsi="宋体" w:cs="宋体" w:eastAsia="宋体" w:hint="default"/>
          <w:spacing w:val="-58"/>
        </w:rPr>
        <w:t> </w:t>
      </w:r>
      <w:r>
        <w:rPr/>
        <w:t>日）。公司定</w:t>
      </w:r>
    </w:p>
    <w:p>
      <w:pPr>
        <w:pStyle w:val="BodyText"/>
        <w:spacing w:line="310" w:lineRule="exact"/>
        <w:ind w:left="237" w:right="389"/>
        <w:jc w:val="left"/>
      </w:pPr>
      <w:r>
        <w:rPr/>
        <w:t>价基准日前</w:t>
      </w:r>
      <w:r>
        <w:rPr>
          <w:spacing w:val="-61"/>
        </w:rPr>
        <w:t> </w:t>
      </w:r>
      <w:r>
        <w:rPr>
          <w:rFonts w:ascii="宋体" w:hAnsi="宋体" w:cs="宋体" w:eastAsia="宋体" w:hint="default"/>
        </w:rPr>
        <w:t>20</w:t>
      </w:r>
      <w:r>
        <w:rPr>
          <w:rFonts w:ascii="宋体" w:hAnsi="宋体" w:cs="宋体" w:eastAsia="宋体" w:hint="default"/>
          <w:spacing w:val="-60"/>
        </w:rPr>
        <w:t> </w:t>
      </w:r>
      <w:r>
        <w:rPr>
          <w:spacing w:val="-3"/>
        </w:rPr>
        <w:t>个交易日（</w:t>
      </w:r>
      <w:r>
        <w:rPr>
          <w:rFonts w:ascii="宋体" w:hAnsi="宋体" w:cs="宋体" w:eastAsia="宋体" w:hint="default"/>
          <w:spacing w:val="-3"/>
        </w:rPr>
        <w:t>2015</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4"/>
        </w:rPr>
        <w:t>日）股票均价的</w:t>
      </w:r>
      <w:r>
        <w:rPr>
          <w:spacing w:val="-60"/>
        </w:rPr>
        <w:t> </w:t>
      </w:r>
      <w:r>
        <w:rPr>
          <w:rFonts w:ascii="宋体" w:hAnsi="宋体" w:cs="宋体" w:eastAsia="宋体" w:hint="default"/>
        </w:rPr>
        <w:t>90%</w:t>
      </w:r>
      <w:r>
        <w:rPr/>
        <w:t>为</w:t>
      </w:r>
    </w:p>
    <w:p>
      <w:pPr>
        <w:pStyle w:val="BodyText"/>
        <w:spacing w:line="312" w:lineRule="exact"/>
        <w:ind w:left="237" w:right="389"/>
        <w:jc w:val="left"/>
      </w:pPr>
      <w:r>
        <w:rPr>
          <w:rFonts w:ascii="宋体" w:hAnsi="宋体" w:cs="宋体" w:eastAsia="宋体" w:hint="default"/>
        </w:rPr>
        <w:t>16.16</w:t>
      </w:r>
      <w:r>
        <w:rPr>
          <w:rFonts w:ascii="宋体" w:hAnsi="宋体" w:cs="宋体" w:eastAsia="宋体" w:hint="default"/>
          <w:spacing w:val="-61"/>
        </w:rPr>
        <w:t> </w:t>
      </w:r>
      <w:r>
        <w:rPr/>
        <w:t>元</w:t>
      </w:r>
      <w:r>
        <w:rPr>
          <w:rFonts w:ascii="宋体" w:hAnsi="宋体" w:cs="宋体" w:eastAsia="宋体" w:hint="default"/>
        </w:rPr>
        <w:t>/</w:t>
      </w:r>
      <w:r>
        <w:rPr/>
        <w:t>股；将本次非公开发行</w:t>
      </w:r>
      <w:r>
        <w:rPr>
          <w:spacing w:val="-1"/>
        </w:rPr>
        <w:t> </w:t>
      </w:r>
      <w:r>
        <w:rPr>
          <w:rFonts w:ascii="宋体" w:hAnsi="宋体" w:cs="宋体" w:eastAsia="宋体" w:hint="default"/>
        </w:rPr>
        <w:t>A</w:t>
      </w:r>
      <w:r>
        <w:rPr>
          <w:rFonts w:ascii="宋体" w:hAnsi="宋体" w:cs="宋体" w:eastAsia="宋体" w:hint="default"/>
          <w:spacing w:val="-1"/>
        </w:rPr>
        <w:t> </w:t>
      </w:r>
      <w:r>
        <w:rPr/>
        <w:t>股股票数量调整为不超过</w:t>
      </w:r>
      <w:r>
        <w:rPr>
          <w:spacing w:val="-61"/>
        </w:rPr>
        <w:t> </w:t>
      </w:r>
      <w:r>
        <w:rPr>
          <w:rFonts w:ascii="宋体" w:hAnsi="宋体" w:cs="宋体" w:eastAsia="宋体" w:hint="default"/>
        </w:rPr>
        <w:t>149,798,824</w:t>
      </w:r>
      <w:r>
        <w:rPr>
          <w:rFonts w:ascii="宋体" w:hAnsi="宋体" w:cs="宋体" w:eastAsia="宋体" w:hint="default"/>
          <w:spacing w:val="-1"/>
        </w:rPr>
        <w:t> </w:t>
      </w:r>
      <w:r>
        <w:rPr/>
        <w:t>股。</w:t>
      </w:r>
    </w:p>
    <w:p>
      <w:pPr>
        <w:pStyle w:val="BodyText"/>
        <w:spacing w:line="240" w:lineRule="auto" w:before="118"/>
        <w:ind w:left="237" w:right="513" w:firstLine="480"/>
        <w:jc w:val="both"/>
      </w:pPr>
      <w:r>
        <w:rPr/>
        <w:t>截至</w:t>
      </w:r>
      <w:r>
        <w:rPr>
          <w:spacing w:val="-49"/>
        </w:rPr>
        <w:t> </w:t>
      </w:r>
      <w:r>
        <w:rPr>
          <w:rFonts w:ascii="宋体" w:hAnsi="宋体" w:cs="宋体" w:eastAsia="宋体" w:hint="default"/>
        </w:rPr>
        <w:t>2016</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t>月</w:t>
      </w:r>
      <w:r>
        <w:rPr>
          <w:spacing w:val="-48"/>
        </w:rPr>
        <w:t> </w:t>
      </w:r>
      <w:r>
        <w:rPr>
          <w:rFonts w:ascii="宋体" w:hAnsi="宋体" w:cs="宋体" w:eastAsia="宋体" w:hint="default"/>
        </w:rPr>
        <w:t>2</w:t>
      </w:r>
      <w:r>
        <w:rPr>
          <w:rFonts w:ascii="宋体" w:hAnsi="宋体" w:cs="宋体" w:eastAsia="宋体" w:hint="default"/>
          <w:spacing w:val="-48"/>
        </w:rPr>
        <w:t> </w:t>
      </w:r>
      <w:r>
        <w:rPr/>
        <w:t>日，中国证券监督管理委员会发行审核委员会对本公司）非 公开发行股票申请审核通过。</w:t>
      </w:r>
    </w:p>
    <w:p>
      <w:pPr>
        <w:pStyle w:val="Heading2"/>
        <w:spacing w:line="240" w:lineRule="auto" w:before="118"/>
        <w:ind w:left="237" w:right="6317"/>
        <w:jc w:val="left"/>
        <w:rPr>
          <w:b w:val="0"/>
          <w:bCs w:val="0"/>
        </w:rPr>
      </w:pPr>
      <w:r>
        <w:rPr>
          <w:rFonts w:ascii="宋体" w:hAnsi="宋体" w:cs="宋体" w:eastAsia="宋体" w:hint="default"/>
        </w:rPr>
        <w:t>2</w:t>
      </w:r>
      <w:r>
        <w:rPr/>
        <w:t>、信息披露索引</w:t>
      </w:r>
      <w:r>
        <w:rPr>
          <w:b w:val="0"/>
          <w:bCs w:val="0"/>
        </w:rPr>
      </w:r>
    </w:p>
    <w:p>
      <w:pPr>
        <w:spacing w:line="240" w:lineRule="auto" w:before="10"/>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4254"/>
        <w:gridCol w:w="1844"/>
        <w:gridCol w:w="1133"/>
        <w:gridCol w:w="2108"/>
      </w:tblGrid>
      <w:tr>
        <w:trPr>
          <w:trHeight w:val="7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108"/>
              <w:jc w:val="left"/>
              <w:rPr>
                <w:rFonts w:ascii="宋体" w:hAnsi="宋体" w:cs="宋体" w:eastAsia="宋体" w:hint="default"/>
                <w:sz w:val="18"/>
                <w:szCs w:val="18"/>
              </w:rPr>
            </w:pPr>
            <w:r>
              <w:rPr>
                <w:rFonts w:ascii="宋体" w:hAnsi="宋体" w:cs="宋体" w:eastAsia="宋体" w:hint="default"/>
                <w:sz w:val="18"/>
                <w:szCs w:val="18"/>
              </w:rPr>
              <w:t>刊载的报刊名称及版 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194"/>
              <w:jc w:val="left"/>
              <w:rPr>
                <w:rFonts w:ascii="宋体" w:hAnsi="宋体" w:cs="宋体" w:eastAsia="宋体" w:hint="default"/>
                <w:sz w:val="18"/>
                <w:szCs w:val="18"/>
              </w:rPr>
            </w:pPr>
            <w:r>
              <w:rPr>
                <w:rFonts w:ascii="宋体" w:hAnsi="宋体" w:cs="宋体" w:eastAsia="宋体" w:hint="default"/>
                <w:sz w:val="18"/>
                <w:szCs w:val="18"/>
              </w:rPr>
              <w:t>刊载的互联网网站及检 索路径</w:t>
            </w:r>
          </w:p>
        </w:tc>
      </w:tr>
      <w:tr>
        <w:trPr>
          <w:trHeight w:val="51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华胜天成子公司对外投资公告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18"/>
                <w:szCs w:val="18"/>
              </w:rPr>
            </w:pPr>
            <w:r>
              <w:rPr>
                <w:rFonts w:ascii="宋体"/>
                <w:color w:val="333333"/>
                <w:spacing w:val="-1"/>
                <w:sz w:val="18"/>
              </w:rPr>
              <w:t>2015/1/8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年年度业绩预增公告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2015/1/31</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51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华胜天成关于股东部分股份解除质押的公告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18"/>
                <w:szCs w:val="18"/>
              </w:rPr>
            </w:pPr>
            <w:r>
              <w:rPr>
                <w:rFonts w:ascii="宋体"/>
                <w:color w:val="333333"/>
                <w:spacing w:val="-1"/>
                <w:sz w:val="18"/>
              </w:rPr>
              <w:t>2015/2/6</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华胜天成公司债券付息公告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2015/3/7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年第一次临时董事会会议决议公告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2015/3/19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880" w:footer="1195" w:top="1120" w:bottom="1380" w:left="1040" w:right="1280"/>
        </w:sectPr>
      </w:pPr>
    </w:p>
    <w:p>
      <w:pPr>
        <w:spacing w:line="240" w:lineRule="auto" w:before="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254"/>
        <w:gridCol w:w="1844"/>
        <w:gridCol w:w="1133"/>
        <w:gridCol w:w="2108"/>
      </w:tblGrid>
      <w:tr>
        <w:trPr>
          <w:trHeight w:val="473" w:hRule="exact"/>
        </w:trPr>
        <w:tc>
          <w:tcPr>
            <w:tcW w:w="4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华胜天成签署软件许可协议的公告</w:t>
            </w:r>
            <w:r>
              <w:rPr>
                <w:rFonts w:ascii="宋体" w:hAnsi="宋体" w:cs="宋体" w:eastAsia="宋体" w:hint="default"/>
                <w:sz w:val="18"/>
                <w:szCs w:val="18"/>
              </w:rPr>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color w:val="333333"/>
                <w:spacing w:val="-1"/>
                <w:sz w:val="18"/>
              </w:rPr>
              <w:t>2015/3/19</w:t>
            </w:r>
            <w:r>
              <w:rPr>
                <w:rFonts w:ascii="宋体"/>
                <w:spacing w:val="-1"/>
                <w:sz w:val="18"/>
              </w:rPr>
            </w:r>
          </w:p>
        </w:tc>
        <w:tc>
          <w:tcPr>
            <w:tcW w:w="2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华胜天成关于控股子公司与关联人共同出资设立公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司的关联交易公告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2015/3/19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51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华胜天成关于独立董事辞职的公告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color w:val="333333"/>
                <w:spacing w:val="-1"/>
                <w:sz w:val="18"/>
              </w:rPr>
              <w:t>2015/3/26</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华胜天成：第五届董事会第四次会议决议公告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2015/4/10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华胜天成：第五届监事会第四次会议决议公告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2015/4/10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华胜天成：关联交易公告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2015/4/10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54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华胜天成关于为子公司提供担保的公告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0"/>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color w:val="333333"/>
                <w:spacing w:val="-1"/>
                <w:sz w:val="18"/>
              </w:rPr>
              <w:t>2015/4/10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华胜天成关于召开</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年年度股东大会的通知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2015/4/10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华胜天成重大事项停牌公告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2015/4/25</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年第二次临时董事会会议决议公告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2015/4/28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年第一次临时监事会会议决议公告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2015/4/28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华胜天成复牌提示性公告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2015/4/28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年年度股东大会决议公告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2015/5/8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华胜天成关于召开</w:t>
            </w:r>
            <w:r>
              <w:rPr>
                <w:rFonts w:ascii="宋体" w:hAnsi="宋体" w:cs="宋体" w:eastAsia="宋体" w:hint="default"/>
                <w:color w:val="333333"/>
                <w:spacing w:val="-54"/>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53"/>
                <w:sz w:val="18"/>
                <w:szCs w:val="18"/>
              </w:rPr>
              <w:t> </w:t>
            </w:r>
            <w:r>
              <w:rPr>
                <w:rFonts w:ascii="宋体" w:hAnsi="宋体" w:cs="宋体" w:eastAsia="宋体" w:hint="default"/>
                <w:color w:val="333333"/>
                <w:sz w:val="18"/>
                <w:szCs w:val="18"/>
              </w:rPr>
              <w:t>年第一次临时股东大会的通</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2015/5/9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华胜天成独立董事征集投票权报告书</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2015/5/9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2012</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年公司债券跟踪评级结果公告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2015/5/9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年度利润分配公告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2015/5/26</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年第一次临时股东大会决议公告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2015/5/26</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年第三次临时董事会会议决议公告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2015/5/27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56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年第二次临时监事会会议决议公告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color w:val="333333"/>
                <w:spacing w:val="-1"/>
                <w:sz w:val="18"/>
              </w:rPr>
              <w:t>2015/5/27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hyperlink r:id="rId11">
              <w:r>
                <w:rPr>
                  <w:rFonts w:ascii="宋体"/>
                  <w:sz w:val="18"/>
                </w:rPr>
                <w:t>http://www.sse.com.cn</w:t>
              </w:r>
            </w:hyperlink>
          </w:p>
        </w:tc>
      </w:tr>
      <w:tr>
        <w:trPr>
          <w:trHeight w:val="567"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78"/>
              <w:jc w:val="left"/>
              <w:rPr>
                <w:rFonts w:ascii="宋体" w:hAnsi="宋体" w:cs="宋体" w:eastAsia="宋体" w:hint="default"/>
                <w:sz w:val="18"/>
                <w:szCs w:val="18"/>
              </w:rPr>
            </w:pPr>
            <w:r>
              <w:rPr>
                <w:rFonts w:ascii="宋体" w:hAnsi="宋体" w:cs="宋体" w:eastAsia="宋体" w:hint="default"/>
                <w:color w:val="333333"/>
                <w:sz w:val="18"/>
                <w:szCs w:val="18"/>
              </w:rPr>
              <w:t>华胜天成关于调整第二期股权激励计划授予对象及 数量的公告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color w:val="333333"/>
                <w:spacing w:val="-1"/>
                <w:sz w:val="18"/>
              </w:rPr>
              <w:t>2015/5/27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hyperlink r:id="rId11">
              <w:r>
                <w:rPr>
                  <w:rFonts w:ascii="宋体"/>
                  <w:sz w:val="18"/>
                </w:rPr>
                <w:t>http://www.sse.com.cn</w:t>
              </w:r>
            </w:hyperlink>
          </w:p>
        </w:tc>
      </w:tr>
      <w:tr>
        <w:trPr>
          <w:trHeight w:val="5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华胜天成关于向激励对象授予限制性股票的公告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color w:val="333333"/>
                <w:spacing w:val="-1"/>
                <w:sz w:val="18"/>
              </w:rPr>
              <w:t>2015/5/27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华胜天成重大事项停牌公告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2015/5/28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华胜天成关于调整第二期股权激励计划授予价格的</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2015/6/4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华胜天成关于筹划非公开发行股票事项继续停牌公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2015/6/4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华胜天成关于非公开发行股票事项进展暨延期复牌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2015/6/11</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华胜天成非公开发行股票事项进展暨第二次延期复</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牌公告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2015/6/18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w:t>
            </w:r>
            <w:r>
              <w:rPr>
                <w:rFonts w:ascii="宋体" w:hAnsi="宋体" w:cs="宋体" w:eastAsia="宋体" w:hint="default"/>
                <w:color w:val="333333"/>
                <w:spacing w:val="-47"/>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年第四次临时董事会会议决议公告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2015/6/18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bl>
    <w:p>
      <w:pPr>
        <w:spacing w:after="0" w:line="240" w:lineRule="auto"/>
        <w:jc w:val="center"/>
        <w:rPr>
          <w:rFonts w:ascii="宋体" w:hAnsi="宋体" w:cs="宋体" w:eastAsia="宋体" w:hint="default"/>
          <w:sz w:val="18"/>
          <w:szCs w:val="18"/>
        </w:rPr>
        <w:sectPr>
          <w:footerReference w:type="default" r:id="rId21"/>
          <w:pgSz w:w="11910" w:h="16840"/>
          <w:pgMar w:footer="1195" w:header="880" w:top="1120" w:bottom="1380" w:left="1040" w:right="1280"/>
        </w:sectPr>
      </w:pPr>
    </w:p>
    <w:p>
      <w:pPr>
        <w:spacing w:line="240" w:lineRule="auto" w:before="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254"/>
        <w:gridCol w:w="1844"/>
        <w:gridCol w:w="1133"/>
        <w:gridCol w:w="2108"/>
      </w:tblGrid>
      <w:tr>
        <w:trPr>
          <w:trHeight w:val="473" w:hRule="exact"/>
        </w:trPr>
        <w:tc>
          <w:tcPr>
            <w:tcW w:w="4254"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华胜天成关于召开</w:t>
            </w:r>
            <w:r>
              <w:rPr>
                <w:rFonts w:ascii="宋体" w:hAnsi="宋体" w:cs="宋体" w:eastAsia="宋体" w:hint="default"/>
                <w:color w:val="333333"/>
                <w:spacing w:val="-54"/>
                <w:sz w:val="18"/>
                <w:szCs w:val="18"/>
              </w:rPr>
              <w:t> </w:t>
            </w:r>
            <w:r>
              <w:rPr>
                <w:rFonts w:ascii="宋体" w:hAnsi="宋体" w:cs="宋体" w:eastAsia="宋体" w:hint="default"/>
                <w:color w:val="333333"/>
                <w:sz w:val="18"/>
                <w:szCs w:val="18"/>
              </w:rPr>
              <w:t>2015</w:t>
            </w:r>
            <w:r>
              <w:rPr>
                <w:rFonts w:ascii="宋体" w:hAnsi="宋体" w:cs="宋体" w:eastAsia="宋体" w:hint="default"/>
                <w:color w:val="333333"/>
                <w:spacing w:val="-53"/>
                <w:sz w:val="18"/>
                <w:szCs w:val="18"/>
              </w:rPr>
              <w:t> </w:t>
            </w:r>
            <w:r>
              <w:rPr>
                <w:rFonts w:ascii="宋体" w:hAnsi="宋体" w:cs="宋体" w:eastAsia="宋体" w:hint="default"/>
                <w:color w:val="333333"/>
                <w:sz w:val="18"/>
                <w:szCs w:val="18"/>
              </w:rPr>
              <w:t>年第二次临时股东大会的通</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知</w:t>
            </w:r>
            <w:r>
              <w:rPr>
                <w:rFonts w:ascii="宋体" w:hAnsi="宋体" w:cs="宋体" w:eastAsia="宋体" w:hint="default"/>
                <w:sz w:val="18"/>
                <w:szCs w:val="18"/>
              </w:rPr>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color w:val="333333"/>
                <w:spacing w:val="-1"/>
                <w:sz w:val="18"/>
              </w:rPr>
              <w:t>2015/6/18</w:t>
            </w:r>
            <w:r>
              <w:rPr>
                <w:rFonts w:ascii="宋体"/>
                <w:spacing w:val="-1"/>
                <w:sz w:val="18"/>
              </w:rPr>
            </w:r>
          </w:p>
        </w:tc>
        <w:tc>
          <w:tcPr>
            <w:tcW w:w="2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华胜天成关于控股子公司浙江兰德纵横网络技术有</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color w:val="333333"/>
                <w:sz w:val="18"/>
                <w:szCs w:val="18"/>
              </w:rPr>
              <w:t>限公司整体改制并申请在新三板挂牌的公告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2015/6/18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华胜天成参股子公司投资公告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2015/6/24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华胜天成关于筹划非公开发行股票停牌进展的公告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2015/6/25</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华胜天成关于公司收到政府补助的公告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2015/6/26</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56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color w:val="333333"/>
                <w:sz w:val="18"/>
                <w:szCs w:val="18"/>
              </w:rPr>
              <w:t>华胜天成关于筹划非公开发行股票停牌进展的公告</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color w:val="333333"/>
                <w:spacing w:val="-1"/>
                <w:sz w:val="18"/>
              </w:rPr>
              <w:t>2015/7/2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华胜天成关于筹划非公开发行股票进展暨第三次延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期复牌公告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color w:val="333333"/>
                <w:spacing w:val="-1"/>
                <w:sz w:val="18"/>
              </w:rPr>
              <w:t>2015/7/8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华胜天成关于维护公司股价稳定的公告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2015/7/11</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华胜天成关于限制性股票授予结果公告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2015/7/14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华胜天成关于筹划非公开发行股票停牌进展的公告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2015/7/15</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年第五次临时董事会会议决议公告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2015/7/22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年第三次临时监事会会议决议公告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2015/7/22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华胜天成非公开发行股票预案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2015/7/22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华胜天成关于非公开发行</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股股票摊薄即期回报及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填补措施的公告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2015/7/22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52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华胜天成股票复牌提示性公告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101"/>
              <w:jc w:val="left"/>
              <w:rPr>
                <w:rFonts w:ascii="宋体" w:hAnsi="宋体" w:cs="宋体" w:eastAsia="宋体" w:hint="default"/>
                <w:sz w:val="18"/>
                <w:szCs w:val="18"/>
              </w:rPr>
            </w:pPr>
            <w:r>
              <w:rPr>
                <w:rFonts w:ascii="宋体" w:hAnsi="宋体" w:cs="宋体" w:eastAsia="宋体" w:hint="default"/>
                <w:spacing w:val="-18"/>
                <w:sz w:val="18"/>
                <w:szCs w:val="18"/>
              </w:rPr>
              <w:t>《中国证券报》、《上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color w:val="333333"/>
                <w:spacing w:val="-1"/>
                <w:sz w:val="18"/>
              </w:rPr>
              <w:t>2015/7/22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年第三次临时股东大会的通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2015/7/22</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华胜天成关于注销已回购股权激励股份的公告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华胜天成股票交易异常波动公告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华胜天成关于第一大股东股票质押式回购交易的公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2015/7/31</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color w:val="333333"/>
                <w:spacing w:val="-1"/>
                <w:sz w:val="18"/>
              </w:rPr>
              <w:t>2015/8/7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华胜天成关于公司高级管理人员辞职的公告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2015/8/27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华胜天成关于第一大股东增持公司股份的公告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2015/8/28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华胜天成第五届董事会第五次会议决议公告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2015/8/28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华胜天成第五届监事会第五次会议决议公告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2015/8/28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华胜天成关于为子公司提供担保的公告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2015/8/28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华胜天成半年报摘要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2015/8/28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华胜天成关于控股子公司申请在全国中小企业股份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转让系统挂牌获得受理的公告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2015/8/29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bl>
    <w:p>
      <w:pPr>
        <w:spacing w:after="0" w:line="240" w:lineRule="auto"/>
        <w:jc w:val="center"/>
        <w:rPr>
          <w:rFonts w:ascii="宋体" w:hAnsi="宋体" w:cs="宋体" w:eastAsia="宋体" w:hint="default"/>
          <w:sz w:val="18"/>
          <w:szCs w:val="18"/>
        </w:rPr>
        <w:sectPr>
          <w:footerReference w:type="default" r:id="rId22"/>
          <w:pgSz w:w="11910" w:h="16840"/>
          <w:pgMar w:footer="1195" w:header="880" w:top="1120" w:bottom="1380" w:left="1040" w:right="1280"/>
          <w:pgNumType w:start="41"/>
        </w:sectPr>
      </w:pPr>
    </w:p>
    <w:p>
      <w:pPr>
        <w:spacing w:line="240" w:lineRule="auto" w:before="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254"/>
        <w:gridCol w:w="1844"/>
        <w:gridCol w:w="1133"/>
        <w:gridCol w:w="2108"/>
      </w:tblGrid>
      <w:tr>
        <w:trPr>
          <w:trHeight w:val="473" w:hRule="exact"/>
        </w:trPr>
        <w:tc>
          <w:tcPr>
            <w:tcW w:w="4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华胜天成股票交易异常波动公告</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color w:val="333333"/>
                <w:spacing w:val="-1"/>
                <w:sz w:val="18"/>
              </w:rPr>
              <w:t>2015/9/3</w:t>
            </w:r>
            <w:r>
              <w:rPr>
                <w:rFonts w:ascii="宋体"/>
                <w:spacing w:val="-1"/>
                <w:sz w:val="18"/>
              </w:rPr>
            </w:r>
          </w:p>
        </w:tc>
        <w:tc>
          <w:tcPr>
            <w:tcW w:w="2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华胜天成股票交易异常波动公告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2015/9/10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华胜天成股票交易异常波动公告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2015/9/19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年第六次临时董事会会议决议公告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2015/9/24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年第四次临时监事会会议决议公告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2015/9/24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华胜天成关于调整非公开发行股票预案的公告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2015/9/24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华胜天成非公开发行股票预案（修订稿）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2015/9/24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华胜天成关于非公开发行</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股股票摊薄即期回报及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填补措施（修订稿）的公告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color w:val="333333"/>
                <w:spacing w:val="-1"/>
                <w:sz w:val="18"/>
              </w:rPr>
              <w:t>2015/9/24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年第四次临时股东大会的通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2015/9/24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年第四次临时股东大会决议公告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2015/10/10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华胜天成关于收到《中国证监会行政许可申请受理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通知书》的公告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2015/10/17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年第七次临时董事会会议决议的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2015/10/28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年第五次临时监事会会议决议的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2015/10/28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华胜天成关于投资成立产业基金暨关联交易的公告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2015/10/28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华胜天成关于转让全资子公司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2015/10/28</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华胜天成关于转让全资子公司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股权的补充公告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2015/10/30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年第五次临时股东大会的通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2015/11/14</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华胜天成关于签署有限合伙协议暨产业基金进展的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2015/11/19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华胜天成关于控股子公司浙江兰德纵横网络技术股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份有限公司在“新三板”挂牌获批的公告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2015/11/19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华胜天成关于签署基金财产份额收购协议的公告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2015/11/26</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华胜天成关于第一大股东履行承诺增持公司股票的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2015/11/27</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年第五次临时股东大会决议公告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2015/12/1</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华胜天成关于控股子公司浙江兰德纵横网络技术股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份有限公司在“新三板”挂牌的公告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2015/12/9</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年第十次临时董事会决议公告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2015/12/10</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华胜天成关于收到《中国证监会行政许可项目审查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反馈意见通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2015/12/11</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华胜天成关于同华云数据控股（无锡）有限公司签</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署战略框架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2015/12/23</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年第十一次临时董事会决议公告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2015/12/23</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r>
        <w:trPr>
          <w:trHeight w:val="4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华胜天成</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年第六次临时监事会决议公告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color w:val="333333"/>
                <w:spacing w:val="-1"/>
                <w:sz w:val="18"/>
              </w:rPr>
              <w:t>2015/12/23</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hyperlink r:id="rId11">
              <w:r>
                <w:rPr>
                  <w:rFonts w:ascii="宋体"/>
                  <w:sz w:val="18"/>
                </w:rPr>
                <w:t>http://www.sse.com.cn</w:t>
              </w:r>
            </w:hyperlink>
          </w:p>
        </w:tc>
      </w:tr>
      <w:tr>
        <w:trPr>
          <w:trHeight w:val="47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华胜天成关于沃趣科技增资扩股暨关联交易的公告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2015/12/23</w:t>
            </w:r>
            <w:r>
              <w:rPr>
                <w:rFonts w:ascii="宋体"/>
                <w:spacing w:val="-1"/>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hyperlink r:id="rId11">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880" w:footer="1195" w:top="1120" w:bottom="1380" w:left="1040" w:right="1280"/>
        </w:sectPr>
      </w:pPr>
    </w:p>
    <w:p>
      <w:pPr>
        <w:spacing w:line="240" w:lineRule="auto" w:before="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254"/>
        <w:gridCol w:w="1844"/>
        <w:gridCol w:w="1133"/>
        <w:gridCol w:w="2108"/>
      </w:tblGrid>
      <w:tr>
        <w:trPr>
          <w:trHeight w:val="473" w:hRule="exact"/>
        </w:trPr>
        <w:tc>
          <w:tcPr>
            <w:tcW w:w="4254"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华胜天成关于召开</w:t>
            </w:r>
            <w:r>
              <w:rPr>
                <w:rFonts w:ascii="宋体" w:hAnsi="宋体" w:cs="宋体" w:eastAsia="宋体" w:hint="default"/>
                <w:spacing w:val="-54"/>
                <w:sz w:val="18"/>
                <w:szCs w:val="18"/>
              </w:rPr>
              <w:t> </w:t>
            </w: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年第一次临时股东大会的通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58"/>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海证券报》</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19" w:right="0"/>
              <w:jc w:val="left"/>
              <w:rPr>
                <w:rFonts w:ascii="宋体" w:hAnsi="宋体" w:cs="宋体" w:eastAsia="宋体" w:hint="default"/>
                <w:sz w:val="18"/>
                <w:szCs w:val="18"/>
              </w:rPr>
            </w:pPr>
            <w:r>
              <w:rPr>
                <w:rFonts w:ascii="宋体"/>
                <w:color w:val="333333"/>
                <w:sz w:val="18"/>
              </w:rPr>
              <w:t>2015/12/23</w:t>
            </w:r>
            <w:r>
              <w:rPr>
                <w:rFonts w:ascii="宋体"/>
                <w:sz w:val="18"/>
              </w:rPr>
            </w:r>
          </w:p>
        </w:tc>
        <w:tc>
          <w:tcPr>
            <w:tcW w:w="21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hyperlink r:id="rId11">
              <w:r>
                <w:rPr>
                  <w:rFonts w:ascii="宋体"/>
                  <w:sz w:val="18"/>
                </w:rPr>
                <w:t>http://www.sse.com.cn</w:t>
              </w:r>
            </w:hyperlink>
          </w:p>
        </w:tc>
      </w:tr>
    </w:tbl>
    <w:p>
      <w:pPr>
        <w:spacing w:line="240" w:lineRule="auto" w:before="4"/>
        <w:rPr>
          <w:rFonts w:ascii="Times New Roman" w:hAnsi="Times New Roman" w:cs="Times New Roman" w:eastAsia="Times New Roman" w:hint="default"/>
          <w:sz w:val="26"/>
          <w:szCs w:val="26"/>
        </w:rPr>
      </w:pPr>
    </w:p>
    <w:p>
      <w:pPr>
        <w:pStyle w:val="Heading2"/>
        <w:spacing w:line="283" w:lineRule="auto"/>
        <w:ind w:left="237" w:right="5474"/>
        <w:jc w:val="left"/>
        <w:rPr>
          <w:b w:val="0"/>
          <w:bCs w:val="0"/>
        </w:rPr>
      </w:pPr>
      <w:r>
        <w:rPr/>
        <w:t>十五、积极履行社会责任的工作情况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6"/>
        </w:rPr>
        <w:t> </w:t>
      </w:r>
      <w:r>
        <w:rPr/>
        <w:t>社会责任工作情况</w:t>
      </w:r>
      <w:r>
        <w:rPr>
          <w:b w:val="0"/>
          <w:bCs w:val="0"/>
        </w:rPr>
      </w:r>
    </w:p>
    <w:p>
      <w:pPr>
        <w:pStyle w:val="BodyText"/>
        <w:spacing w:line="310" w:lineRule="exact" w:before="107"/>
        <w:ind w:left="237" w:right="497" w:firstLine="480"/>
        <w:jc w:val="left"/>
      </w:pPr>
      <w:r>
        <w:rPr>
          <w:spacing w:val="-8"/>
        </w:rPr>
        <w:t>公司高度重视社会责任，加强与各利益相关方的交流互动，努力创造顾客、企业、</w:t>
      </w:r>
      <w:r>
        <w:rPr/>
        <w:t> 员工、股东、社会的多赢局面。</w:t>
      </w:r>
    </w:p>
    <w:p>
      <w:pPr>
        <w:pStyle w:val="BodyText"/>
        <w:spacing w:line="312" w:lineRule="exact" w:before="120"/>
        <w:ind w:left="237" w:right="389" w:firstLine="480"/>
        <w:jc w:val="left"/>
      </w:pPr>
      <w:r>
        <w:rPr>
          <w:spacing w:val="-2"/>
        </w:rPr>
        <w:t>公司在企业经营过程中，严格遵守中国法津法规、国际公约和所在国法律，规范</w:t>
      </w:r>
      <w:r>
        <w:rPr/>
        <w:t> 经营。</w:t>
      </w:r>
    </w:p>
    <w:p>
      <w:pPr>
        <w:pStyle w:val="BodyText"/>
        <w:spacing w:line="237" w:lineRule="auto" w:before="89"/>
        <w:ind w:left="237" w:right="389" w:firstLine="480"/>
        <w:jc w:val="left"/>
      </w:pPr>
      <w:r>
        <w:rPr>
          <w:spacing w:val="-5"/>
        </w:rPr>
        <w:t>同时高度重视对股东的现金分红，修订了现金分红政策；认真履行信息披露义务、</w:t>
      </w:r>
      <w:r>
        <w:rPr/>
        <w:t> 做好投资者关系管理工作，充分利用公司网站、投资者电话咨询和投资者现场咨询等 多种形式与投资者互动沟通，公司及时、全面、完整、准确地完成了全年的信息披露 工作。</w:t>
      </w:r>
    </w:p>
    <w:p>
      <w:pPr>
        <w:pStyle w:val="BodyText"/>
        <w:spacing w:line="237" w:lineRule="auto" w:before="118"/>
        <w:ind w:left="237" w:right="389" w:firstLine="480"/>
        <w:jc w:val="left"/>
      </w:pPr>
      <w:r>
        <w:rPr>
          <w:spacing w:val="-5"/>
        </w:rPr>
        <w:t>债权人权益保护方面：公司在保证财务状况稳定与公司资产、资金安全的基础上，</w:t>
      </w:r>
      <w:r>
        <w:rPr/>
        <w:t> </w:t>
      </w:r>
      <w:r>
        <w:rPr>
          <w:spacing w:val="-5"/>
        </w:rPr>
        <w:t>兼顾债权人的利益。公司在各项重大经营决策过程，均充分考虑了债权人的合法权益，</w:t>
      </w:r>
      <w:r>
        <w:rPr>
          <w:spacing w:val="-98"/>
        </w:rPr>
        <w:t> </w:t>
      </w:r>
      <w:r>
        <w:rPr>
          <w:spacing w:val="-98"/>
        </w:rPr>
      </w:r>
      <w:r>
        <w:rPr/>
        <w:t>及时向债权人回馈与其债权权益相关的重大信息，严格按照与债权人签订的合同履行</w:t>
      </w:r>
      <w:r>
        <w:rPr/>
        <w:t> 债务，实现公司与债权人利益的双赢。</w:t>
      </w:r>
    </w:p>
    <w:p>
      <w:pPr>
        <w:pStyle w:val="BodyText"/>
        <w:spacing w:line="237" w:lineRule="auto" w:before="121"/>
        <w:ind w:left="237" w:right="389" w:firstLine="480"/>
        <w:jc w:val="left"/>
      </w:pPr>
      <w:r>
        <w:rPr/>
        <w:t>保护供应商、客户权益方面：公司尊重并保护供应商、客户的著作权、商标权、</w:t>
      </w:r>
      <w:r>
        <w:rPr>
          <w:spacing w:val="2"/>
        </w:rPr>
        <w:t> </w:t>
      </w:r>
      <w:r>
        <w:rPr>
          <w:spacing w:val="-8"/>
        </w:rPr>
        <w:t>专利权等知识产权、商业机密，合法、合理且正当地使用相关方（包括供应商、客户、</w:t>
      </w:r>
      <w:r>
        <w:rPr>
          <w:spacing w:val="-106"/>
        </w:rPr>
        <w:t> </w:t>
      </w:r>
      <w:r>
        <w:rPr>
          <w:spacing w:val="-106"/>
        </w:rPr>
      </w:r>
      <w:r>
        <w:rPr/>
        <w:t>商务伙伴或竞争者）的信息、材料、产品。公司通过售前咨询、售中实施、售后服务</w:t>
      </w:r>
      <w:r>
        <w:rPr/>
        <w:t> 三段完备的业务环节为客户提专业化服务，实现客户价值的最大化。</w:t>
      </w:r>
    </w:p>
    <w:p>
      <w:pPr>
        <w:pStyle w:val="BodyText"/>
        <w:spacing w:line="310" w:lineRule="exact" w:before="150"/>
        <w:ind w:left="237" w:right="389" w:firstLine="480"/>
        <w:jc w:val="left"/>
      </w:pPr>
      <w:r>
        <w:rPr>
          <w:spacing w:val="-2"/>
        </w:rPr>
        <w:t>保护员工权益方面：公司坚持以人为本、依法治企的原则，始终把保障和维护员</w:t>
      </w:r>
      <w:r>
        <w:rPr/>
        <w:t> 工的合法权益放在第一位。</w:t>
      </w:r>
    </w:p>
    <w:p>
      <w:pPr>
        <w:spacing w:line="240" w:lineRule="auto" w:before="0"/>
        <w:rPr>
          <w:rFonts w:ascii="宋体" w:hAnsi="宋体" w:cs="宋体" w:eastAsia="宋体" w:hint="default"/>
          <w:sz w:val="24"/>
          <w:szCs w:val="24"/>
        </w:rPr>
      </w:pPr>
    </w:p>
    <w:p>
      <w:pPr>
        <w:pStyle w:val="Heading2"/>
        <w:spacing w:line="312" w:lineRule="exact" w:before="178"/>
        <w:ind w:left="657" w:right="389" w:hanging="42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6"/>
        </w:rPr>
        <w:t> </w:t>
      </w:r>
      <w:r>
        <w:rPr>
          <w:spacing w:val="7"/>
        </w:rPr>
        <w:t>属于国家环境保护部门规定的重污染行业的上市公司及其子公司的环保情况</w:t>
      </w:r>
      <w:r>
        <w:rPr>
          <w:w w:val="99"/>
        </w:rPr>
        <w:t> </w:t>
      </w:r>
      <w:r>
        <w:rPr/>
        <w:t>说明</w:t>
      </w:r>
      <w:r>
        <w:rPr>
          <w:b w:val="0"/>
          <w:bCs w:val="0"/>
        </w:rPr>
      </w:r>
    </w:p>
    <w:p>
      <w:pPr>
        <w:pStyle w:val="BodyText"/>
        <w:spacing w:line="240" w:lineRule="auto" w:before="27"/>
        <w:ind w:left="237" w:right="6317"/>
        <w:jc w:val="left"/>
      </w:pPr>
      <w:r>
        <w:rPr/>
        <w:t>无</w:t>
      </w:r>
    </w:p>
    <w:p>
      <w:pPr>
        <w:spacing w:line="240" w:lineRule="auto" w:before="4"/>
        <w:rPr>
          <w:rFonts w:ascii="宋体" w:hAnsi="宋体" w:cs="宋体" w:eastAsia="宋体" w:hint="default"/>
          <w:sz w:val="28"/>
          <w:szCs w:val="28"/>
        </w:rPr>
      </w:pPr>
    </w:p>
    <w:p>
      <w:pPr>
        <w:pStyle w:val="Heading2"/>
        <w:spacing w:line="240" w:lineRule="auto" w:before="0"/>
        <w:ind w:left="237" w:right="6317"/>
        <w:jc w:val="left"/>
        <w:rPr>
          <w:b w:val="0"/>
          <w:bCs w:val="0"/>
        </w:rPr>
      </w:pPr>
      <w:r>
        <w:rPr/>
        <w:t>十六、可转换公司债券情况</w:t>
      </w:r>
      <w:r>
        <w:rPr>
          <w:b w:val="0"/>
          <w:bCs w:val="0"/>
        </w:rPr>
      </w:r>
    </w:p>
    <w:p>
      <w:pPr>
        <w:pStyle w:val="BodyText"/>
        <w:spacing w:line="240" w:lineRule="auto" w:before="56"/>
        <w:ind w:left="237" w:right="6317"/>
        <w:jc w:val="left"/>
      </w:pPr>
      <w:r>
        <w:rPr/>
        <w:t>□适用</w:t>
      </w:r>
      <w:r>
        <w:rPr>
          <w:spacing w:val="-1"/>
        </w:rPr>
        <w:t> </w:t>
      </w:r>
      <w:r>
        <w:rPr/>
        <w:t>√不适用</w:t>
      </w:r>
    </w:p>
    <w:p>
      <w:pPr>
        <w:spacing w:after="0" w:line="240" w:lineRule="auto"/>
        <w:jc w:val="left"/>
        <w:sectPr>
          <w:pgSz w:w="11910" w:h="16840"/>
          <w:pgMar w:header="880" w:footer="1195" w:top="1120" w:bottom="1380" w:left="1040" w:right="1280"/>
        </w:sectPr>
      </w:pPr>
    </w:p>
    <w:p>
      <w:pPr>
        <w:spacing w:line="240" w:lineRule="auto" w:before="6"/>
        <w:rPr>
          <w:rFonts w:ascii="宋体" w:hAnsi="宋体" w:cs="宋体" w:eastAsia="宋体" w:hint="default"/>
          <w:sz w:val="19"/>
          <w:szCs w:val="19"/>
        </w:rPr>
      </w:pPr>
    </w:p>
    <w:p>
      <w:pPr>
        <w:pStyle w:val="Heading1"/>
        <w:tabs>
          <w:tab w:pos="4155" w:val="left" w:leader="none"/>
        </w:tabs>
        <w:spacing w:line="240" w:lineRule="auto"/>
        <w:ind w:left="2894"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480" w:right="1440"/>
        </w:sectPr>
      </w:pPr>
    </w:p>
    <w:p>
      <w:pPr>
        <w:pStyle w:val="Heading2"/>
        <w:spacing w:line="271" w:lineRule="auto"/>
        <w:ind w:left="797" w:right="0"/>
        <w:jc w:val="both"/>
        <w:rPr>
          <w:b w:val="0"/>
          <w:bCs w:val="0"/>
        </w:rPr>
      </w:pPr>
      <w:r>
        <w:rPr/>
        <w:t>一、</w:t>
      </w:r>
      <w:r>
        <w:rPr>
          <w:spacing w:val="114"/>
        </w:rPr>
        <w:t> </w:t>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Cambria" w:hAnsi="Cambria" w:cs="Cambria" w:eastAsia="Cambria" w:hint="default"/>
        </w:rPr>
        <w:t>1</w:t>
      </w:r>
      <w:r>
        <w:rPr/>
        <w:t>、</w:t>
      </w:r>
      <w:r>
        <w:rPr>
          <w:spacing w:val="-87"/>
        </w:rPr>
        <w:t> </w:t>
      </w:r>
      <w:r>
        <w:rPr/>
        <w:t>普通股股份变动情况表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7"/>
        <w:ind w:left="797" w:right="0"/>
        <w:jc w:val="left"/>
      </w:pPr>
      <w:r>
        <w:rPr/>
        <w:t>单位：股</w:t>
      </w:r>
    </w:p>
    <w:p>
      <w:pPr>
        <w:spacing w:after="0" w:line="240" w:lineRule="auto"/>
        <w:jc w:val="left"/>
        <w:sectPr>
          <w:type w:val="continuous"/>
          <w:pgSz w:w="11910" w:h="16840"/>
          <w:pgMar w:top="1120" w:bottom="1380" w:left="480" w:right="1440"/>
          <w:cols w:num="2" w:equalWidth="0">
            <w:col w:w="3807" w:space="4067"/>
            <w:col w:w="2116"/>
          </w:cols>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60"/>
        <w:gridCol w:w="1308"/>
        <w:gridCol w:w="720"/>
        <w:gridCol w:w="1150"/>
        <w:gridCol w:w="511"/>
        <w:gridCol w:w="511"/>
        <w:gridCol w:w="1234"/>
        <w:gridCol w:w="1078"/>
        <w:gridCol w:w="1345"/>
        <w:gridCol w:w="727"/>
      </w:tblGrid>
      <w:tr>
        <w:trPr>
          <w:trHeight w:val="204" w:hRule="exact"/>
        </w:trPr>
        <w:tc>
          <w:tcPr>
            <w:tcW w:w="1160" w:type="dxa"/>
            <w:vMerge w:val="restart"/>
            <w:tcBorders>
              <w:top w:val="single" w:sz="4" w:space="0" w:color="000000"/>
              <w:left w:val="single" w:sz="4" w:space="0" w:color="000000"/>
              <w:right w:val="single" w:sz="4" w:space="0" w:color="000000"/>
            </w:tcBorders>
          </w:tcPr>
          <w:p>
            <w:pP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33" w:right="0"/>
              <w:jc w:val="left"/>
              <w:rPr>
                <w:rFonts w:ascii="宋体" w:hAnsi="宋体" w:cs="宋体" w:eastAsia="宋体" w:hint="default"/>
                <w:sz w:val="15"/>
                <w:szCs w:val="15"/>
              </w:rPr>
            </w:pPr>
            <w:r>
              <w:rPr>
                <w:rFonts w:ascii="宋体" w:hAnsi="宋体" w:cs="宋体" w:eastAsia="宋体" w:hint="default"/>
                <w:sz w:val="15"/>
                <w:szCs w:val="15"/>
              </w:rPr>
              <w:t>本次变动前</w:t>
            </w:r>
          </w:p>
        </w:tc>
        <w:tc>
          <w:tcPr>
            <w:tcW w:w="4484" w:type="dxa"/>
            <w:gridSpan w:val="5"/>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09"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2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55" w:right="0"/>
              <w:jc w:val="left"/>
              <w:rPr>
                <w:rFonts w:ascii="宋体" w:hAnsi="宋体" w:cs="宋体" w:eastAsia="宋体" w:hint="default"/>
                <w:sz w:val="15"/>
                <w:szCs w:val="15"/>
              </w:rPr>
            </w:pPr>
            <w:r>
              <w:rPr>
                <w:rFonts w:ascii="宋体" w:hAnsi="宋体" w:cs="宋体" w:eastAsia="宋体" w:hint="default"/>
                <w:sz w:val="15"/>
                <w:szCs w:val="15"/>
              </w:rPr>
              <w:t>本次变动后</w:t>
            </w:r>
          </w:p>
        </w:tc>
      </w:tr>
      <w:tr>
        <w:trPr>
          <w:trHeight w:val="982" w:hRule="exact"/>
        </w:trPr>
        <w:tc>
          <w:tcPr>
            <w:tcW w:w="1160"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2" w:right="203"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发行新股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2" w:right="175"/>
              <w:jc w:val="center"/>
              <w:rPr>
                <w:rFonts w:ascii="宋体" w:hAnsi="宋体" w:cs="宋体" w:eastAsia="宋体" w:hint="default"/>
                <w:sz w:val="15"/>
                <w:szCs w:val="15"/>
              </w:rPr>
            </w:pPr>
            <w:r>
              <w:rPr>
                <w:rFonts w:ascii="宋体" w:hAnsi="宋体" w:cs="宋体" w:eastAsia="宋体" w:hint="default"/>
                <w:sz w:val="15"/>
                <w:szCs w:val="15"/>
              </w:rPr>
              <w:t>送</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w w:val="100"/>
                <w:sz w:val="15"/>
                <w:szCs w:val="15"/>
              </w:rPr>
              <w:t>公</w:t>
            </w:r>
          </w:p>
          <w:p>
            <w:pPr>
              <w:pStyle w:val="TableParagraph"/>
              <w:spacing w:line="240" w:lineRule="auto"/>
              <w:ind w:left="175" w:right="173"/>
              <w:jc w:val="both"/>
              <w:rPr>
                <w:rFonts w:ascii="宋体" w:hAnsi="宋体" w:cs="宋体" w:eastAsia="宋体" w:hint="default"/>
                <w:sz w:val="15"/>
                <w:szCs w:val="15"/>
              </w:rPr>
            </w:pPr>
            <w:r>
              <w:rPr>
                <w:rFonts w:ascii="宋体" w:hAnsi="宋体" w:cs="宋体" w:eastAsia="宋体" w:hint="default"/>
                <w:sz w:val="15"/>
                <w:szCs w:val="15"/>
              </w:rPr>
              <w:t>积</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转</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4" w:right="204"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r>
      <w:tr>
        <w:trPr>
          <w:trHeight w:val="401"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一、有限售条</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件股份</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3,878,389.00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0" w:right="0"/>
              <w:jc w:val="center"/>
              <w:rPr>
                <w:rFonts w:ascii="宋体" w:hAnsi="宋体" w:cs="宋体" w:eastAsia="宋体" w:hint="default"/>
                <w:sz w:val="15"/>
                <w:szCs w:val="15"/>
              </w:rPr>
            </w:pPr>
            <w:r>
              <w:rPr>
                <w:rFonts w:ascii="宋体"/>
                <w:sz w:val="15"/>
              </w:rPr>
              <w:t>4,280,000.00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3" w:right="0"/>
              <w:jc w:val="center"/>
              <w:rPr>
                <w:rFonts w:ascii="宋体" w:hAnsi="宋体" w:cs="宋体" w:eastAsia="宋体" w:hint="default"/>
                <w:sz w:val="15"/>
                <w:szCs w:val="15"/>
              </w:rPr>
            </w:pPr>
            <w:r>
              <w:rPr>
                <w:rFonts w:ascii="宋体"/>
                <w:sz w:val="15"/>
              </w:rPr>
              <w:t>-3,878,389.00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401,611.00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4,280,000.00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0.67</w:t>
            </w:r>
          </w:p>
        </w:tc>
      </w:tr>
      <w:tr>
        <w:trPr>
          <w:trHeight w:val="20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、国有法人持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、其他内资持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3,878,389.00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sz w:val="15"/>
              </w:rPr>
              <w:t>4,280,000.00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-3,878,389.00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401,611.00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4,280,000.00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0.67</w:t>
            </w:r>
          </w:p>
        </w:tc>
      </w:tr>
      <w:tr>
        <w:trPr>
          <w:trHeight w:val="401"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其中：境内非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国有法人持股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1" w:right="0"/>
              <w:jc w:val="left"/>
              <w:rPr>
                <w:rFonts w:ascii="宋体" w:hAnsi="宋体" w:cs="宋体" w:eastAsia="宋体" w:hint="default"/>
                <w:sz w:val="15"/>
                <w:szCs w:val="15"/>
              </w:rPr>
            </w:pPr>
            <w:r>
              <w:rPr>
                <w:rFonts w:ascii="宋体" w:hAnsi="宋体" w:cs="宋体" w:eastAsia="宋体" w:hint="default"/>
                <w:sz w:val="15"/>
                <w:szCs w:val="15"/>
              </w:rPr>
              <w:t>境内自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然人持股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3,878,389.00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sz w:val="15"/>
              </w:rPr>
              <w:t>4,280,000.00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-3,878,389.00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401,611.00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4,280,000.00</w:t>
            </w:r>
            <w:r>
              <w:rPr>
                <w:rFonts w:ascii="宋体"/>
                <w:sz w:val="15"/>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0.67</w:t>
            </w:r>
          </w:p>
        </w:tc>
      </w:tr>
      <w:tr>
        <w:trPr>
          <w:trHeight w:val="20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其中：境外法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人持股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551" w:right="0"/>
              <w:jc w:val="left"/>
              <w:rPr>
                <w:rFonts w:ascii="宋体" w:hAnsi="宋体" w:cs="宋体" w:eastAsia="宋体" w:hint="default"/>
                <w:sz w:val="15"/>
                <w:szCs w:val="15"/>
              </w:rPr>
            </w:pPr>
            <w:r>
              <w:rPr>
                <w:rFonts w:ascii="宋体" w:hAnsi="宋体" w:cs="宋体" w:eastAsia="宋体" w:hint="default"/>
                <w:sz w:val="15"/>
                <w:szCs w:val="15"/>
              </w:rPr>
              <w:t>境外自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然人持股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二、无限售条</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件流通股份</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637,445,496.00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99.40</w:t>
            </w: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637,445,496.00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99.33</w:t>
            </w:r>
          </w:p>
        </w:tc>
      </w:tr>
      <w:tr>
        <w:trPr>
          <w:trHeight w:val="39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1</w:t>
            </w:r>
            <w:r>
              <w:rPr>
                <w:rFonts w:ascii="宋体" w:hAnsi="宋体" w:cs="宋体" w:eastAsia="宋体" w:hint="default"/>
                <w:spacing w:val="-6"/>
                <w:sz w:val="15"/>
                <w:szCs w:val="15"/>
              </w:rPr>
              <w:t>、人民币普通</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637,445,496.00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99.40</w:t>
            </w: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637,445,496.00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99.33</w:t>
            </w:r>
          </w:p>
        </w:tc>
      </w:tr>
      <w:tr>
        <w:trPr>
          <w:trHeight w:val="401"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、境内上市的</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外资股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、境外上市的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外资股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三、普通股股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份总数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641,323,885.00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sz w:val="15"/>
              </w:rPr>
              <w:t>4,280,000.00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-3,878,389.00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401,611.00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641,725,496.00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w:t>
            </w:r>
          </w:p>
        </w:tc>
      </w:tr>
    </w:tbl>
    <w:p>
      <w:pPr>
        <w:spacing w:line="240" w:lineRule="auto" w:before="2"/>
        <w:rPr>
          <w:rFonts w:ascii="宋体" w:hAnsi="宋体" w:cs="宋体" w:eastAsia="宋体" w:hint="default"/>
          <w:sz w:val="23"/>
          <w:szCs w:val="23"/>
        </w:rPr>
      </w:pPr>
    </w:p>
    <w:p>
      <w:pPr>
        <w:pStyle w:val="Heading2"/>
        <w:spacing w:line="240" w:lineRule="auto"/>
        <w:ind w:left="797" w:right="0"/>
        <w:jc w:val="left"/>
        <w:rPr>
          <w:b w:val="0"/>
          <w:bCs w:val="0"/>
        </w:rPr>
      </w:pPr>
      <w:r>
        <w:rPr>
          <w:rFonts w:ascii="Cambria" w:hAnsi="Cambria" w:cs="Cambria" w:eastAsia="Cambria" w:hint="default"/>
        </w:rPr>
        <w:t>2</w:t>
      </w:r>
      <w:r>
        <w:rPr/>
        <w:t>、</w:t>
      </w:r>
      <w:r>
        <w:rPr>
          <w:spacing w:val="-88"/>
        </w:rPr>
        <w:t> </w:t>
      </w:r>
      <w:r>
        <w:rPr/>
        <w:t>普通股股份变动情况说明</w:t>
      </w:r>
      <w:r>
        <w:rPr>
          <w:b w:val="0"/>
          <w:bCs w:val="0"/>
        </w:rPr>
      </w:r>
    </w:p>
    <w:p>
      <w:pPr>
        <w:pStyle w:val="BodyText"/>
        <w:spacing w:line="313" w:lineRule="exact" w:before="98"/>
        <w:ind w:left="1277" w:right="0"/>
        <w:jc w:val="left"/>
        <w:rPr>
          <w:rFonts w:ascii="宋体" w:hAnsi="宋体" w:cs="宋体" w:eastAsia="宋体" w:hint="default"/>
        </w:rPr>
      </w:pPr>
      <w:r>
        <w:rPr/>
        <w:t>公司第二期股权激励股份第一批授予登记的股票共计</w:t>
      </w:r>
      <w:r>
        <w:rPr>
          <w:spacing w:val="-72"/>
        </w:rPr>
        <w:t> </w:t>
      </w:r>
      <w:r>
        <w:rPr>
          <w:rFonts w:ascii="宋体" w:hAnsi="宋体" w:cs="宋体" w:eastAsia="宋体" w:hint="default"/>
        </w:rPr>
        <w:t>4,280,000</w:t>
      </w:r>
      <w:r>
        <w:rPr>
          <w:rFonts w:ascii="宋体" w:hAnsi="宋体" w:cs="宋体" w:eastAsia="宋体" w:hint="default"/>
          <w:spacing w:val="-72"/>
        </w:rPr>
        <w:t> </w:t>
      </w:r>
      <w:r>
        <w:rPr/>
        <w:t>股</w:t>
      </w:r>
      <w:r>
        <w:rPr>
          <w:spacing w:val="-120"/>
        </w:rPr>
        <w:t>，</w:t>
      </w:r>
      <w:r>
        <w:rPr/>
        <w:t>于</w:t>
      </w:r>
      <w:r>
        <w:rPr>
          <w:spacing w:val="-72"/>
        </w:rPr>
        <w:t> </w:t>
      </w:r>
      <w:r>
        <w:rPr>
          <w:rFonts w:ascii="宋体" w:hAnsi="宋体" w:cs="宋体" w:eastAsia="宋体" w:hint="default"/>
        </w:rPr>
        <w:t>2015</w:t>
      </w:r>
      <w:r>
        <w:rPr>
          <w:rFonts w:ascii="宋体" w:hAnsi="宋体" w:cs="宋体" w:eastAsia="宋体" w:hint="default"/>
          <w:spacing w:val="-72"/>
        </w:rPr>
        <w:t> </w:t>
      </w:r>
      <w:r>
        <w:rPr/>
        <w:t>年 </w:t>
      </w:r>
      <w:r>
        <w:rPr>
          <w:rFonts w:ascii="宋体" w:hAnsi="宋体" w:cs="宋体" w:eastAsia="宋体" w:hint="default"/>
        </w:rPr>
        <w:t>7</w:t>
      </w:r>
    </w:p>
    <w:p>
      <w:pPr>
        <w:pStyle w:val="BodyText"/>
        <w:spacing w:line="313" w:lineRule="exact"/>
        <w:ind w:left="797" w:right="0"/>
        <w:jc w:val="left"/>
      </w:pP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日在中国证券登记结算有限责任公司上海分公司完成登记。</w:t>
      </w:r>
    </w:p>
    <w:p>
      <w:pPr>
        <w:pStyle w:val="BodyText"/>
        <w:spacing w:line="312" w:lineRule="exact" w:before="146"/>
        <w:ind w:left="797" w:right="347" w:firstLine="120"/>
        <w:jc w:val="center"/>
      </w:pPr>
      <w:r>
        <w:rPr/>
        <w:t>根据《北京华胜天成科技股份有限公司首期股票激励计划（草案修订稿）》有关条</w:t>
      </w:r>
      <w:r>
        <w:rPr>
          <w:spacing w:val="2"/>
        </w:rPr>
        <w:t> </w:t>
      </w:r>
      <w:r>
        <w:rPr/>
        <w:t>款及股东大会授权，公司于</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49"/>
        </w:rPr>
        <w:t> </w:t>
      </w:r>
      <w:r>
        <w:rPr>
          <w:rFonts w:ascii="宋体" w:hAnsi="宋体" w:cs="宋体" w:eastAsia="宋体" w:hint="default"/>
        </w:rPr>
        <w:t>4</w:t>
      </w:r>
      <w:r>
        <w:rPr>
          <w:rFonts w:ascii="宋体" w:hAnsi="宋体" w:cs="宋体" w:eastAsia="宋体" w:hint="default"/>
          <w:spacing w:val="-49"/>
        </w:rPr>
        <w:t> </w:t>
      </w:r>
      <w:r>
        <w:rPr/>
        <w:t>月</w:t>
      </w:r>
      <w:r>
        <w:rPr>
          <w:spacing w:val="-49"/>
        </w:rPr>
        <w:t> </w:t>
      </w:r>
      <w:r>
        <w:rPr>
          <w:rFonts w:ascii="宋体" w:hAnsi="宋体" w:cs="宋体" w:eastAsia="宋体" w:hint="default"/>
        </w:rPr>
        <w:t>8</w:t>
      </w:r>
      <w:r>
        <w:rPr>
          <w:rFonts w:ascii="宋体" w:hAnsi="宋体" w:cs="宋体" w:eastAsia="宋体" w:hint="default"/>
          <w:spacing w:val="-49"/>
        </w:rPr>
        <w:t> </w:t>
      </w:r>
      <w:r>
        <w:rPr/>
        <w:t>日召开的第五届董事会第四次会议上审议</w:t>
      </w:r>
    </w:p>
    <w:p>
      <w:pPr>
        <w:pStyle w:val="BodyText"/>
        <w:spacing w:line="281" w:lineRule="exact"/>
        <w:ind w:left="797" w:right="0"/>
        <w:jc w:val="left"/>
      </w:pPr>
      <w:r>
        <w:rPr>
          <w:spacing w:val="-4"/>
        </w:rPr>
        <w:t>通过了《关于回购并注销部分股权激励股票的议案》</w:t>
      </w:r>
      <w:r>
        <w:rPr>
          <w:rFonts w:ascii="宋体" w:hAnsi="宋体" w:cs="宋体" w:eastAsia="宋体" w:hint="default"/>
          <w:spacing w:val="-4"/>
        </w:rPr>
        <w:t>(</w:t>
      </w:r>
      <w:r>
        <w:rPr>
          <w:spacing w:val="-4"/>
        </w:rPr>
        <w:t>第八批</w:t>
      </w:r>
      <w:r>
        <w:rPr>
          <w:rFonts w:ascii="宋体" w:hAnsi="宋体" w:cs="宋体" w:eastAsia="宋体" w:hint="default"/>
          <w:spacing w:val="-4"/>
        </w:rPr>
        <w:t>),</w:t>
      </w:r>
      <w:r>
        <w:rPr>
          <w:spacing w:val="-4"/>
        </w:rPr>
        <w:t>因公司 </w:t>
      </w:r>
      <w:r>
        <w:rPr>
          <w:rFonts w:ascii="宋体" w:hAnsi="宋体" w:cs="宋体" w:eastAsia="宋体" w:hint="default"/>
        </w:rPr>
        <w:t>2014</w:t>
      </w:r>
      <w:r>
        <w:rPr>
          <w:rFonts w:ascii="宋体" w:hAnsi="宋体" w:cs="宋体" w:eastAsia="宋体" w:hint="default"/>
          <w:spacing w:val="-33"/>
        </w:rPr>
        <w:t> </w:t>
      </w:r>
      <w:r>
        <w:rPr/>
        <w:t>年的业绩</w:t>
      </w:r>
    </w:p>
    <w:p>
      <w:pPr>
        <w:pStyle w:val="BodyText"/>
        <w:spacing w:line="311" w:lineRule="exact"/>
        <w:ind w:left="797" w:right="0"/>
        <w:jc w:val="left"/>
      </w:pPr>
      <w:r>
        <w:rPr/>
        <w:t>未达到股权激励股票解锁的条件，公司董事会决定回购并注销杨俏丛等 </w:t>
      </w:r>
      <w:r>
        <w:rPr>
          <w:rFonts w:ascii="宋体" w:hAnsi="宋体" w:cs="宋体" w:eastAsia="宋体" w:hint="default"/>
        </w:rPr>
        <w:t>50</w:t>
      </w:r>
      <w:r>
        <w:rPr>
          <w:rFonts w:ascii="宋体" w:hAnsi="宋体" w:cs="宋体" w:eastAsia="宋体" w:hint="default"/>
          <w:spacing w:val="-48"/>
        </w:rPr>
        <w:t> </w:t>
      </w:r>
      <w:r>
        <w:rPr/>
        <w:t>人此批股</w:t>
      </w:r>
    </w:p>
    <w:p>
      <w:pPr>
        <w:pStyle w:val="BodyText"/>
        <w:spacing w:line="312" w:lineRule="exact"/>
        <w:ind w:left="797" w:right="0"/>
        <w:jc w:val="left"/>
        <w:rPr>
          <w:rFonts w:ascii="宋体" w:hAnsi="宋体" w:cs="宋体" w:eastAsia="宋体" w:hint="default"/>
        </w:rPr>
      </w:pPr>
      <w:r>
        <w:rPr/>
        <w:t>权激励股票，共计</w:t>
      </w:r>
      <w:r>
        <w:rPr>
          <w:spacing w:val="-56"/>
        </w:rPr>
        <w:t> </w:t>
      </w:r>
      <w:r>
        <w:rPr>
          <w:rFonts w:ascii="宋体" w:hAnsi="宋体" w:cs="宋体" w:eastAsia="宋体" w:hint="default"/>
        </w:rPr>
        <w:t>3,878,389</w:t>
      </w:r>
      <w:r>
        <w:rPr>
          <w:rFonts w:ascii="宋体" w:hAnsi="宋体" w:cs="宋体" w:eastAsia="宋体" w:hint="default"/>
          <w:spacing w:val="-55"/>
        </w:rPr>
        <w:t> </w:t>
      </w:r>
      <w:r>
        <w:rPr/>
        <w:t>股。上述需要回购并注销的限制性股票共计</w:t>
      </w:r>
      <w:r>
        <w:rPr>
          <w:spacing w:val="-55"/>
        </w:rPr>
        <w:t> </w:t>
      </w:r>
      <w:r>
        <w:rPr>
          <w:rFonts w:ascii="宋体" w:hAnsi="宋体" w:cs="宋体" w:eastAsia="宋体" w:hint="default"/>
        </w:rPr>
        <w:t>3,878,389</w:t>
      </w:r>
    </w:p>
    <w:p>
      <w:pPr>
        <w:pStyle w:val="BodyText"/>
        <w:spacing w:line="313" w:lineRule="exact"/>
        <w:ind w:left="797" w:right="0"/>
        <w:jc w:val="left"/>
      </w:pPr>
      <w:r>
        <w:rPr/>
        <w:t>股</w:t>
      </w:r>
      <w:r>
        <w:rPr>
          <w:rFonts w:ascii="宋体" w:hAnsi="宋体" w:cs="宋体" w:eastAsia="宋体" w:hint="default"/>
        </w:rPr>
        <w:t>,</w:t>
      </w:r>
      <w:r>
        <w:rPr/>
        <w:t>已过户至公司开立的回购专用证券账户</w:t>
      </w:r>
      <w:r>
        <w:rPr>
          <w:rFonts w:ascii="宋体" w:hAnsi="宋体" w:cs="宋体" w:eastAsia="宋体" w:hint="default"/>
        </w:rPr>
        <w:t>,</w:t>
      </w:r>
      <w:r>
        <w:rPr/>
        <w:t>并于</w:t>
      </w:r>
      <w:r>
        <w:rPr>
          <w:spacing w:val="-60"/>
        </w:rPr>
        <w:t> </w:t>
      </w:r>
      <w:r>
        <w:rPr>
          <w:rFonts w:ascii="宋体" w:hAnsi="宋体" w:cs="宋体" w:eastAsia="宋体" w:hint="default"/>
        </w:rPr>
        <w:t>2015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日注销。</w:t>
      </w:r>
    </w:p>
    <w:p>
      <w:pPr>
        <w:pStyle w:val="Heading2"/>
        <w:spacing w:line="323" w:lineRule="exact" w:before="55"/>
        <w:ind w:left="797" w:right="0"/>
        <w:jc w:val="left"/>
        <w:rPr>
          <w:b w:val="0"/>
          <w:bCs w:val="0"/>
        </w:rPr>
      </w:pPr>
      <w:r>
        <w:rPr>
          <w:rFonts w:ascii="Cambria" w:hAnsi="Cambria" w:cs="Cambria" w:eastAsia="Cambria" w:hint="default"/>
        </w:rPr>
        <w:t>3</w:t>
      </w:r>
      <w:r>
        <w:rPr/>
        <w:t>、</w:t>
      </w:r>
      <w:r>
        <w:rPr>
          <w:spacing w:val="-108"/>
        </w:rPr>
        <w:t> </w:t>
      </w:r>
      <w:r>
        <w:rPr/>
        <w:t>普通股股份变动对最近一年和最近一期每股收益、每股净资产等财务指标的影响</w:t>
      </w:r>
      <w:r>
        <w:rPr>
          <w:b w:val="0"/>
          <w:bCs w:val="0"/>
        </w:rPr>
      </w:r>
    </w:p>
    <w:p>
      <w:pPr>
        <w:pStyle w:val="Heading2"/>
        <w:spacing w:line="283" w:lineRule="auto" w:before="0"/>
        <w:ind w:left="797" w:right="8205"/>
        <w:jc w:val="left"/>
        <w:rPr>
          <w:rFonts w:ascii="宋体" w:hAnsi="宋体" w:cs="宋体" w:eastAsia="宋体" w:hint="default"/>
          <w:b w:val="0"/>
          <w:bCs w:val="0"/>
        </w:rPr>
      </w:pPr>
      <w:r>
        <w:rPr/>
        <w:t>（如有）</w:t>
      </w:r>
      <w:r>
        <w:rPr>
          <w:w w:val="99"/>
        </w:rPr>
        <w:t> </w:t>
      </w:r>
      <w:r>
        <w:rPr>
          <w:rFonts w:ascii="宋体" w:hAnsi="宋体" w:cs="宋体" w:eastAsia="宋体" w:hint="default"/>
          <w:b w:val="0"/>
          <w:bCs w:val="0"/>
        </w:rPr>
        <w:t>无</w:t>
      </w:r>
    </w:p>
    <w:p>
      <w:pPr>
        <w:pStyle w:val="Heading2"/>
        <w:spacing w:line="266" w:lineRule="auto" w:before="12"/>
        <w:ind w:left="797" w:right="3451"/>
        <w:jc w:val="left"/>
        <w:rPr>
          <w:rFonts w:ascii="宋体" w:hAnsi="宋体" w:cs="宋体" w:eastAsia="宋体" w:hint="default"/>
          <w:b w:val="0"/>
          <w:bCs w:val="0"/>
        </w:rPr>
      </w:pPr>
      <w:r>
        <w:rPr>
          <w:rFonts w:ascii="Cambria" w:hAnsi="Cambria" w:cs="Cambria" w:eastAsia="Cambria" w:hint="default"/>
        </w:rPr>
        <w:t>4</w:t>
      </w:r>
      <w:r>
        <w:rPr/>
        <w:t>、</w:t>
      </w:r>
      <w:r>
        <w:rPr>
          <w:spacing w:val="-87"/>
        </w:rPr>
        <w:t> </w:t>
      </w:r>
      <w:r>
        <w:rPr/>
        <w:t>公司认为必要或证券监管机构要求披露的其他内容</w:t>
      </w:r>
      <w:r>
        <w:rPr>
          <w:w w:val="99"/>
        </w:rPr>
        <w:t> </w:t>
      </w:r>
      <w:r>
        <w:rPr>
          <w:rFonts w:ascii="宋体" w:hAnsi="宋体" w:cs="宋体" w:eastAsia="宋体" w:hint="default"/>
          <w:b w:val="0"/>
          <w:bCs w:val="0"/>
        </w:rPr>
        <w:t>无</w:t>
      </w:r>
    </w:p>
    <w:p>
      <w:pPr>
        <w:spacing w:after="0" w:line="266" w:lineRule="auto"/>
        <w:jc w:val="left"/>
        <w:rPr>
          <w:rFonts w:ascii="宋体" w:hAnsi="宋体" w:cs="宋体" w:eastAsia="宋体" w:hint="default"/>
        </w:rPr>
        <w:sectPr>
          <w:type w:val="continuous"/>
          <w:pgSz w:w="11910" w:h="16840"/>
          <w:pgMar w:top="1120" w:bottom="1380" w:left="480" w:right="144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760" w:right="1560"/>
        </w:sectPr>
      </w:pPr>
    </w:p>
    <w:p>
      <w:pPr>
        <w:pStyle w:val="Heading2"/>
        <w:spacing w:line="240" w:lineRule="auto"/>
        <w:ind w:left="517" w:right="-1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27"/>
        <w:ind w:left="5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517" w:right="0"/>
        <w:jc w:val="left"/>
      </w:pPr>
      <w:r>
        <w:rPr/>
        <w:t>单位</w:t>
      </w:r>
      <w:r>
        <w:rPr>
          <w:rFonts w:ascii="宋体" w:hAnsi="宋体" w:cs="宋体" w:eastAsia="宋体" w:hint="default"/>
        </w:rPr>
        <w:t>: </w:t>
      </w:r>
      <w:r>
        <w:rPr/>
        <w:t>股</w:t>
      </w:r>
    </w:p>
    <w:p>
      <w:pPr>
        <w:spacing w:after="0" w:line="240" w:lineRule="auto"/>
        <w:jc w:val="left"/>
        <w:sectPr>
          <w:type w:val="continuous"/>
          <w:pgSz w:w="11910" w:h="16840"/>
          <w:pgMar w:top="1120" w:bottom="1380" w:left="760" w:right="1560"/>
          <w:cols w:num="2" w:equalWidth="0">
            <w:col w:w="3011" w:space="4863"/>
            <w:col w:w="1716"/>
          </w:cols>
        </w:sectPr>
      </w:pPr>
    </w:p>
    <w:p>
      <w:pPr>
        <w:spacing w:line="240" w:lineRule="auto" w:before="12"/>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1224"/>
        <w:gridCol w:w="1279"/>
        <w:gridCol w:w="1280"/>
        <w:gridCol w:w="1279"/>
        <w:gridCol w:w="1280"/>
        <w:gridCol w:w="1202"/>
        <w:gridCol w:w="1280"/>
      </w:tblGrid>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191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华胜天成</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37" w:lineRule="auto" w:before="2"/>
              <w:ind w:left="103" w:right="43"/>
              <w:jc w:val="both"/>
              <w:rPr>
                <w:rFonts w:ascii="宋体" w:hAnsi="宋体" w:cs="宋体" w:eastAsia="宋体" w:hint="default"/>
                <w:sz w:val="21"/>
                <w:szCs w:val="21"/>
              </w:rPr>
            </w:pPr>
            <w:r>
              <w:rPr>
                <w:rFonts w:ascii="宋体" w:hAnsi="宋体" w:cs="宋体" w:eastAsia="宋体" w:hint="default"/>
                <w:spacing w:val="40"/>
                <w:sz w:val="21"/>
                <w:szCs w:val="21"/>
              </w:rPr>
              <w:t>首期股权</w:t>
            </w:r>
            <w:r>
              <w:rPr>
                <w:rFonts w:ascii="宋体" w:hAnsi="宋体" w:cs="宋体" w:eastAsia="宋体" w:hint="default"/>
                <w:spacing w:val="-96"/>
                <w:sz w:val="21"/>
                <w:szCs w:val="21"/>
              </w:rPr>
              <w:t> </w:t>
            </w:r>
            <w:r>
              <w:rPr>
                <w:rFonts w:ascii="宋体" w:hAnsi="宋体" w:cs="宋体" w:eastAsia="宋体" w:hint="default"/>
                <w:spacing w:val="40"/>
                <w:sz w:val="21"/>
                <w:szCs w:val="21"/>
              </w:rPr>
              <w:t>激励计划</w:t>
            </w:r>
            <w:r>
              <w:rPr>
                <w:rFonts w:ascii="宋体" w:hAnsi="宋体" w:cs="宋体" w:eastAsia="宋体" w:hint="default"/>
                <w:spacing w:val="-96"/>
                <w:sz w:val="21"/>
                <w:szCs w:val="21"/>
              </w:rPr>
              <w:t> </w:t>
            </w:r>
            <w:r>
              <w:rPr>
                <w:rFonts w:ascii="宋体" w:hAnsi="宋体" w:cs="宋体" w:eastAsia="宋体" w:hint="default"/>
                <w:spacing w:val="40"/>
                <w:sz w:val="21"/>
                <w:szCs w:val="21"/>
              </w:rPr>
              <w:t>激励对象</w:t>
            </w:r>
            <w:r>
              <w:rPr>
                <w:rFonts w:ascii="宋体" w:hAnsi="宋体" w:cs="宋体" w:eastAsia="宋体" w:hint="default"/>
                <w:spacing w:val="-96"/>
                <w:sz w:val="21"/>
                <w:szCs w:val="21"/>
              </w:rPr>
              <w:t> </w:t>
            </w:r>
            <w:r>
              <w:rPr>
                <w:rFonts w:ascii="宋体" w:hAnsi="宋体" w:cs="宋体" w:eastAsia="宋体" w:hint="default"/>
                <w:spacing w:val="-10"/>
                <w:sz w:val="21"/>
                <w:szCs w:val="21"/>
              </w:rPr>
              <w:t>崔勇、杨俏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丛等共</w:t>
            </w:r>
            <w:r>
              <w:rPr>
                <w:rFonts w:ascii="宋体" w:hAnsi="宋体" w:cs="宋体" w:eastAsia="宋体" w:hint="default"/>
                <w:spacing w:val="27"/>
                <w:sz w:val="21"/>
                <w:szCs w:val="21"/>
              </w:rPr>
              <w:t> </w:t>
            </w:r>
            <w:r>
              <w:rPr>
                <w:rFonts w:ascii="宋体" w:hAnsi="宋体" w:cs="宋体" w:eastAsia="宋体" w:hint="default"/>
                <w:spacing w:val="-3"/>
                <w:sz w:val="21"/>
                <w:szCs w:val="21"/>
              </w:rPr>
              <w:t>50</w:t>
            </w:r>
            <w:r>
              <w:rPr>
                <w:rFonts w:ascii="宋体" w:hAnsi="宋体" w:cs="宋体" w:eastAsia="宋体" w:hint="default"/>
                <w:spacing w:val="-102"/>
                <w:sz w:val="21"/>
                <w:szCs w:val="21"/>
              </w:rPr>
              <w:t> </w:t>
            </w:r>
            <w:r>
              <w:rPr>
                <w:rFonts w:ascii="宋体" w:hAnsi="宋体" w:cs="宋体" w:eastAsia="宋体" w:hint="default"/>
                <w:sz w:val="21"/>
                <w:szCs w:val="21"/>
              </w:rPr>
              <w:t>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3,878,389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3,878,389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权</w:t>
            </w:r>
            <w:r>
              <w:rPr>
                <w:rFonts w:ascii="宋体" w:hAnsi="宋体" w:cs="宋体" w:eastAsia="宋体" w:hint="default"/>
                <w:spacing w:val="-57"/>
                <w:sz w:val="21"/>
                <w:szCs w:val="21"/>
              </w:rPr>
              <w:t> </w:t>
            </w:r>
            <w:r>
              <w:rPr>
                <w:rFonts w:ascii="宋体" w:hAnsi="宋体" w:cs="宋体" w:eastAsia="宋体" w:hint="default"/>
                <w:sz w:val="21"/>
                <w:szCs w:val="21"/>
              </w:rPr>
              <w:t>激</w:t>
            </w:r>
            <w:r>
              <w:rPr>
                <w:rFonts w:ascii="宋体" w:hAnsi="宋体" w:cs="宋体" w:eastAsia="宋体" w:hint="default"/>
                <w:spacing w:val="-54"/>
                <w:sz w:val="21"/>
                <w:szCs w:val="21"/>
              </w:rPr>
              <w:t> </w:t>
            </w:r>
            <w:r>
              <w:rPr>
                <w:rFonts w:ascii="宋体" w:hAnsi="宋体" w:cs="宋体" w:eastAsia="宋体" w:hint="default"/>
                <w:sz w:val="21"/>
                <w:szCs w:val="21"/>
              </w:rPr>
              <w:t>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center"/>
              <w:rPr>
                <w:rFonts w:ascii="宋体" w:hAnsi="宋体" w:cs="宋体" w:eastAsia="宋体" w:hint="default"/>
                <w:sz w:val="21"/>
                <w:szCs w:val="21"/>
              </w:rPr>
            </w:pPr>
            <w:r>
              <w:rPr>
                <w:rFonts w:ascii="宋体"/>
                <w:sz w:val="21"/>
              </w:rPr>
              <w:t>2015/7/27</w:t>
            </w:r>
          </w:p>
        </w:tc>
      </w:tr>
      <w:tr>
        <w:trPr>
          <w:trHeight w:val="1915"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华胜天成</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37" w:lineRule="auto"/>
              <w:ind w:left="103" w:right="43"/>
              <w:jc w:val="both"/>
              <w:rPr>
                <w:rFonts w:ascii="宋体" w:hAnsi="宋体" w:cs="宋体" w:eastAsia="宋体" w:hint="default"/>
                <w:sz w:val="21"/>
                <w:szCs w:val="21"/>
              </w:rPr>
            </w:pPr>
            <w:r>
              <w:rPr>
                <w:rFonts w:ascii="宋体" w:hAnsi="宋体" w:cs="宋体" w:eastAsia="宋体" w:hint="default"/>
                <w:spacing w:val="40"/>
                <w:sz w:val="21"/>
                <w:szCs w:val="21"/>
              </w:rPr>
              <w:t>第二期股</w:t>
            </w:r>
            <w:r>
              <w:rPr>
                <w:rFonts w:ascii="宋体" w:hAnsi="宋体" w:cs="宋体" w:eastAsia="宋体" w:hint="default"/>
                <w:spacing w:val="-96"/>
                <w:sz w:val="21"/>
                <w:szCs w:val="21"/>
              </w:rPr>
              <w:t> </w:t>
            </w:r>
            <w:r>
              <w:rPr>
                <w:rFonts w:ascii="宋体" w:hAnsi="宋体" w:cs="宋体" w:eastAsia="宋体" w:hint="default"/>
                <w:spacing w:val="40"/>
                <w:sz w:val="21"/>
                <w:szCs w:val="21"/>
              </w:rPr>
              <w:t>权激励计</w:t>
            </w:r>
            <w:r>
              <w:rPr>
                <w:rFonts w:ascii="宋体" w:hAnsi="宋体" w:cs="宋体" w:eastAsia="宋体" w:hint="default"/>
                <w:spacing w:val="-96"/>
                <w:sz w:val="21"/>
                <w:szCs w:val="21"/>
              </w:rPr>
              <w:t> </w:t>
            </w:r>
            <w:r>
              <w:rPr>
                <w:rFonts w:ascii="宋体" w:hAnsi="宋体" w:cs="宋体" w:eastAsia="宋体" w:hint="default"/>
                <w:spacing w:val="40"/>
                <w:sz w:val="21"/>
                <w:szCs w:val="21"/>
              </w:rPr>
              <w:t>划激励对</w:t>
            </w:r>
            <w:r>
              <w:rPr>
                <w:rFonts w:ascii="宋体" w:hAnsi="宋体" w:cs="宋体" w:eastAsia="宋体" w:hint="default"/>
                <w:spacing w:val="-96"/>
                <w:sz w:val="21"/>
                <w:szCs w:val="21"/>
              </w:rPr>
              <w:t> </w:t>
            </w:r>
            <w:r>
              <w:rPr>
                <w:rFonts w:ascii="宋体" w:hAnsi="宋体" w:cs="宋体" w:eastAsia="宋体" w:hint="default"/>
                <w:spacing w:val="-10"/>
                <w:sz w:val="21"/>
                <w:szCs w:val="21"/>
              </w:rPr>
              <w:t>象崔勇、陈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杰等共</w:t>
            </w:r>
            <w:r>
              <w:rPr>
                <w:rFonts w:ascii="宋体" w:hAnsi="宋体" w:cs="宋体" w:eastAsia="宋体" w:hint="default"/>
                <w:spacing w:val="25"/>
                <w:sz w:val="21"/>
                <w:szCs w:val="21"/>
              </w:rPr>
              <w:t> </w:t>
            </w:r>
            <w:r>
              <w:rPr>
                <w:rFonts w:ascii="宋体" w:hAnsi="宋体" w:cs="宋体" w:eastAsia="宋体" w:hint="default"/>
                <w:sz w:val="21"/>
                <w:szCs w:val="21"/>
              </w:rPr>
              <w:t>61</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权</w:t>
            </w:r>
            <w:r>
              <w:rPr>
                <w:rFonts w:ascii="宋体" w:hAnsi="宋体" w:cs="宋体" w:eastAsia="宋体" w:hint="default"/>
                <w:spacing w:val="-57"/>
                <w:sz w:val="21"/>
                <w:szCs w:val="21"/>
              </w:rPr>
              <w:t> </w:t>
            </w:r>
            <w:r>
              <w:rPr>
                <w:rFonts w:ascii="宋体" w:hAnsi="宋体" w:cs="宋体" w:eastAsia="宋体" w:hint="default"/>
                <w:sz w:val="21"/>
                <w:szCs w:val="21"/>
              </w:rPr>
              <w:t>激</w:t>
            </w:r>
            <w:r>
              <w:rPr>
                <w:rFonts w:ascii="宋体" w:hAnsi="宋体" w:cs="宋体" w:eastAsia="宋体" w:hint="default"/>
                <w:spacing w:val="-54"/>
                <w:sz w:val="21"/>
                <w:szCs w:val="21"/>
              </w:rPr>
              <w:t> </w:t>
            </w:r>
            <w:r>
              <w:rPr>
                <w:rFonts w:ascii="宋体" w:hAnsi="宋体" w:cs="宋体" w:eastAsia="宋体" w:hint="default"/>
                <w:sz w:val="21"/>
                <w:szCs w:val="21"/>
              </w:rPr>
              <w:t>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3,878,389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3,878,389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60" w:right="1560"/>
        </w:sectPr>
      </w:pPr>
    </w:p>
    <w:p>
      <w:pPr>
        <w:pStyle w:val="Heading2"/>
        <w:tabs>
          <w:tab w:pos="1357" w:val="left" w:leader="none"/>
        </w:tabs>
        <w:spacing w:line="240" w:lineRule="auto"/>
        <w:ind w:left="517" w:right="-15"/>
        <w:jc w:val="left"/>
        <w:rPr>
          <w:b w:val="0"/>
          <w:bCs w:val="0"/>
        </w:rPr>
      </w:pPr>
      <w:r>
        <w:rPr/>
        <w:t>二、</w:t>
        <w:tab/>
        <w:t>证券发行与上市情况</w:t>
      </w:r>
      <w:r>
        <w:rPr>
          <w:b w:val="0"/>
          <w:bCs w:val="0"/>
        </w:rPr>
      </w:r>
    </w:p>
    <w:p>
      <w:pPr>
        <w:pStyle w:val="Heading2"/>
        <w:spacing w:line="240" w:lineRule="auto" w:before="55"/>
        <w:ind w:left="517"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截至报告期内证券发行情况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717" w:val="left" w:leader="none"/>
        </w:tabs>
        <w:spacing w:line="240" w:lineRule="auto"/>
        <w:ind w:left="517" w:right="0"/>
        <w:jc w:val="left"/>
      </w:pPr>
      <w:r>
        <w:rPr/>
        <w:t>单位：股</w:t>
        <w:tab/>
        <w:t>币种：人民币</w:t>
      </w:r>
    </w:p>
    <w:p>
      <w:pPr>
        <w:spacing w:after="0" w:line="240" w:lineRule="auto"/>
        <w:jc w:val="left"/>
        <w:sectPr>
          <w:type w:val="continuous"/>
          <w:pgSz w:w="11910" w:h="16840"/>
          <w:pgMar w:top="1120" w:bottom="1380" w:left="760" w:right="1560"/>
          <w:cols w:num="2" w:equalWidth="0">
            <w:col w:w="3834" w:space="2359"/>
            <w:col w:w="339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08"/>
        <w:gridCol w:w="1162"/>
        <w:gridCol w:w="1143"/>
        <w:gridCol w:w="1370"/>
        <w:gridCol w:w="1162"/>
        <w:gridCol w:w="1370"/>
        <w:gridCol w:w="1162"/>
      </w:tblGrid>
      <w:tr>
        <w:trPr>
          <w:trHeight w:val="82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1" w:right="166"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发行日期</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ind w:left="250" w:right="247"/>
              <w:jc w:val="center"/>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上市日期</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4" w:right="151" w:hanging="212"/>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5" w:right="152" w:hanging="210"/>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283" w:hRule="exact"/>
        </w:trPr>
        <w:tc>
          <w:tcPr>
            <w:tcW w:w="89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137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华胜天成第二</w:t>
            </w:r>
          </w:p>
          <w:p>
            <w:pPr>
              <w:pStyle w:val="TableParagraph"/>
              <w:spacing w:line="237" w:lineRule="auto" w:before="2"/>
              <w:ind w:left="100" w:right="233"/>
              <w:jc w:val="both"/>
              <w:rPr>
                <w:rFonts w:ascii="宋体" w:hAnsi="宋体" w:cs="宋体" w:eastAsia="宋体" w:hint="default"/>
                <w:sz w:val="21"/>
                <w:szCs w:val="21"/>
              </w:rPr>
            </w:pPr>
            <w:r>
              <w:rPr>
                <w:rFonts w:ascii="宋体" w:hAnsi="宋体" w:cs="宋体" w:eastAsia="宋体" w:hint="default"/>
                <w:sz w:val="21"/>
                <w:szCs w:val="21"/>
              </w:rPr>
              <w:t>期股权激励计</w:t>
            </w:r>
            <w:r>
              <w:rPr>
                <w:rFonts w:ascii="宋体" w:hAnsi="宋体" w:cs="宋体" w:eastAsia="宋体" w:hint="default"/>
                <w:w w:val="100"/>
                <w:sz w:val="21"/>
                <w:szCs w:val="21"/>
              </w:rPr>
              <w:t> </w:t>
            </w:r>
            <w:r>
              <w:rPr>
                <w:rFonts w:ascii="宋体" w:hAnsi="宋体" w:cs="宋体" w:eastAsia="宋体" w:hint="default"/>
                <w:sz w:val="21"/>
                <w:szCs w:val="21"/>
              </w:rPr>
              <w:t>划激励对象崔</w:t>
            </w:r>
            <w:r>
              <w:rPr>
                <w:rFonts w:ascii="宋体" w:hAnsi="宋体" w:cs="宋体" w:eastAsia="宋体" w:hint="default"/>
                <w:w w:val="100"/>
                <w:sz w:val="21"/>
                <w:szCs w:val="21"/>
              </w:rPr>
              <w:t> </w:t>
            </w:r>
            <w:r>
              <w:rPr>
                <w:rFonts w:ascii="宋体" w:hAnsi="宋体" w:cs="宋体" w:eastAsia="宋体" w:hint="default"/>
                <w:sz w:val="21"/>
                <w:szCs w:val="21"/>
              </w:rPr>
              <w:t>勇、陈杰等共</w:t>
            </w:r>
            <w:r>
              <w:rPr>
                <w:rFonts w:ascii="宋体" w:hAnsi="宋体" w:cs="宋体" w:eastAsia="宋体" w:hint="default"/>
                <w:w w:val="100"/>
                <w:sz w:val="21"/>
                <w:szCs w:val="21"/>
              </w:rPr>
              <w:t> </w:t>
            </w:r>
            <w:r>
              <w:rPr>
                <w:rFonts w:ascii="宋体" w:hAnsi="宋体" w:cs="宋体" w:eastAsia="宋体" w:hint="default"/>
                <w:sz w:val="21"/>
                <w:szCs w:val="21"/>
              </w:rPr>
              <w:t>62</w:t>
            </w:r>
            <w:r>
              <w:rPr>
                <w:rFonts w:ascii="宋体" w:hAnsi="宋体" w:cs="宋体" w:eastAsia="宋体" w:hint="default"/>
                <w:spacing w:val="-51"/>
                <w:sz w:val="21"/>
                <w:szCs w:val="21"/>
              </w:rPr>
              <w:t> </w:t>
            </w:r>
            <w:r>
              <w:rPr>
                <w:rFonts w:ascii="宋体" w:hAnsi="宋体" w:cs="宋体" w:eastAsia="宋体" w:hint="default"/>
                <w:sz w:val="21"/>
                <w:szCs w:val="21"/>
              </w:rPr>
              <w:t>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2015-5-25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2015-7-10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4,280,000</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9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2013-3-13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2013-3-29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2018-3-13</w:t>
            </w: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9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517" w:right="389"/>
        <w:jc w:val="left"/>
      </w:pPr>
      <w:r>
        <w:rPr/>
        <w:t>截至报告期内证券发行情况的说明（存续期内利率不同的债券，请分别说明）：</w:t>
      </w:r>
    </w:p>
    <w:p>
      <w:pPr>
        <w:pStyle w:val="BodyText"/>
        <w:spacing w:line="237" w:lineRule="auto" w:before="1"/>
        <w:ind w:left="517" w:right="231" w:firstLine="480"/>
        <w:jc w:val="both"/>
      </w:pPr>
      <w:r>
        <w:rPr/>
        <w:t>华胜天成第二期股权激励计划计划授予</w:t>
      </w:r>
      <w:r>
        <w:rPr>
          <w:spacing w:val="-42"/>
        </w:rPr>
        <w:t> </w:t>
      </w:r>
      <w:r>
        <w:rPr>
          <w:rFonts w:ascii="宋体" w:hAnsi="宋体" w:cs="宋体" w:eastAsia="宋体" w:hint="default"/>
        </w:rPr>
        <w:t>4,430,000</w:t>
      </w:r>
      <w:r>
        <w:rPr>
          <w:rFonts w:ascii="宋体" w:hAnsi="宋体" w:cs="宋体" w:eastAsia="宋体" w:hint="default"/>
          <w:spacing w:val="-42"/>
        </w:rPr>
        <w:t> </w:t>
      </w:r>
      <w:r>
        <w:rPr/>
        <w:t>股，向</w:t>
      </w:r>
      <w:r>
        <w:rPr>
          <w:spacing w:val="-42"/>
        </w:rPr>
        <w:t> </w:t>
      </w:r>
      <w:r>
        <w:rPr>
          <w:rFonts w:ascii="宋体" w:hAnsi="宋体" w:cs="宋体" w:eastAsia="宋体" w:hint="default"/>
        </w:rPr>
        <w:t>62</w:t>
      </w:r>
      <w:r>
        <w:rPr>
          <w:rFonts w:ascii="宋体" w:hAnsi="宋体" w:cs="宋体" w:eastAsia="宋体" w:hint="default"/>
          <w:spacing w:val="-42"/>
        </w:rPr>
        <w:t> </w:t>
      </w:r>
      <w:r>
        <w:rPr/>
        <w:t>名激励对象进行授 </w:t>
      </w:r>
      <w:r>
        <w:rPr>
          <w:spacing w:val="-2"/>
        </w:rPr>
        <w:t>予，均为实施本计划时在公司的董事、高级管理人员、中层管理人员及核心技术（业</w:t>
      </w:r>
      <w:r>
        <w:rPr>
          <w:spacing w:val="-94"/>
        </w:rPr>
        <w:t> </w:t>
      </w:r>
      <w:r>
        <w:rPr>
          <w:spacing w:val="-94"/>
        </w:rPr>
      </w:r>
      <w:r>
        <w:rPr>
          <w:spacing w:val="-3"/>
        </w:rPr>
        <w:t>务）人员。公司高级管理人员杨俏丛的限制性股票</w:t>
      </w:r>
      <w:r>
        <w:rPr>
          <w:spacing w:val="-51"/>
        </w:rPr>
        <w:t> </w:t>
      </w:r>
      <w:r>
        <w:rPr>
          <w:rFonts w:ascii="宋体" w:hAnsi="宋体" w:cs="宋体" w:eastAsia="宋体" w:hint="default"/>
        </w:rPr>
        <w:t>150,000</w:t>
      </w:r>
      <w:r>
        <w:rPr>
          <w:rFonts w:ascii="宋体" w:hAnsi="宋体" w:cs="宋体" w:eastAsia="宋体" w:hint="default"/>
          <w:spacing w:val="-51"/>
        </w:rPr>
        <w:t> </w:t>
      </w:r>
      <w:r>
        <w:rPr/>
        <w:t>股将自其最后一次减持本</w:t>
      </w:r>
    </w:p>
    <w:p>
      <w:pPr>
        <w:pStyle w:val="BodyText"/>
        <w:spacing w:line="312" w:lineRule="exact"/>
        <w:ind w:left="517" w:right="0"/>
        <w:jc w:val="left"/>
      </w:pPr>
      <w:r>
        <w:rPr/>
        <w:t>公司股票之日起</w:t>
      </w:r>
      <w:r>
        <w:rPr>
          <w:spacing w:val="-48"/>
        </w:rPr>
        <w:t> </w:t>
      </w:r>
      <w:r>
        <w:rPr>
          <w:rFonts w:ascii="宋体" w:hAnsi="宋体" w:cs="宋体" w:eastAsia="宋体" w:hint="default"/>
        </w:rPr>
        <w:t>6</w:t>
      </w:r>
      <w:r>
        <w:rPr>
          <w:rFonts w:ascii="宋体" w:hAnsi="宋体" w:cs="宋体" w:eastAsia="宋体" w:hint="default"/>
          <w:spacing w:val="-47"/>
        </w:rPr>
        <w:t> </w:t>
      </w:r>
      <w:r>
        <w:rPr/>
        <w:t>个月后另行登记，因此本次实际授予登记的股票为</w:t>
      </w:r>
      <w:r>
        <w:rPr>
          <w:spacing w:val="-38"/>
        </w:rPr>
        <w:t> </w:t>
      </w:r>
      <w:r>
        <w:rPr>
          <w:rFonts w:ascii="宋体" w:hAnsi="宋体" w:cs="宋体" w:eastAsia="宋体" w:hint="default"/>
        </w:rPr>
        <w:t>4,280,000</w:t>
      </w:r>
      <w:r>
        <w:rPr>
          <w:rFonts w:ascii="宋体" w:hAnsi="宋体" w:cs="宋体" w:eastAsia="宋体" w:hint="default"/>
          <w:spacing w:val="-43"/>
        </w:rPr>
        <w:t> </w:t>
      </w:r>
      <w:r>
        <w:rPr/>
        <w:t>股。</w:t>
      </w:r>
    </w:p>
    <w:p>
      <w:pPr>
        <w:spacing w:after="0" w:line="312" w:lineRule="exact"/>
        <w:jc w:val="left"/>
        <w:sectPr>
          <w:type w:val="continuous"/>
          <w:pgSz w:w="11910" w:h="16840"/>
          <w:pgMar w:top="1120" w:bottom="1380" w:left="760" w:right="1560"/>
        </w:sectPr>
      </w:pPr>
    </w:p>
    <w:p>
      <w:pPr>
        <w:spacing w:line="240" w:lineRule="auto" w:before="2"/>
        <w:rPr>
          <w:rFonts w:ascii="宋体" w:hAnsi="宋体" w:cs="宋体" w:eastAsia="宋体" w:hint="default"/>
          <w:sz w:val="19"/>
          <w:szCs w:val="19"/>
        </w:rPr>
      </w:pPr>
    </w:p>
    <w:p>
      <w:pPr>
        <w:pStyle w:val="Heading2"/>
        <w:spacing w:line="259" w:lineRule="auto"/>
        <w:ind w:right="1041"/>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公司普通股股份总数及股东结构变动及公司资产和负债结构的变动情况</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spacing w:line="259" w:lineRule="auto" w:before="0"/>
        <w:ind w:right="6099"/>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4"/>
        </w:rPr>
        <w:t> </w:t>
      </w:r>
      <w:r>
        <w:rPr/>
        <w:t>现存的内部职工股情况</w:t>
      </w:r>
      <w:r>
        <w:rPr>
          <w:w w:val="99"/>
        </w:rPr>
        <w:t> </w:t>
      </w:r>
      <w:r>
        <w:rPr>
          <w:rFonts w:ascii="宋体" w:hAnsi="宋体" w:cs="宋体" w:eastAsia="宋体" w:hint="default"/>
          <w:b w:val="0"/>
          <w:bCs w:val="0"/>
        </w:rPr>
        <w:t>无</w:t>
      </w:r>
    </w:p>
    <w:p>
      <w:pPr>
        <w:pStyle w:val="Heading2"/>
        <w:tabs>
          <w:tab w:pos="1057" w:val="left" w:leader="none"/>
        </w:tabs>
        <w:spacing w:line="240" w:lineRule="auto" w:before="36"/>
        <w:ind w:right="1041"/>
        <w:jc w:val="left"/>
        <w:rPr>
          <w:b w:val="0"/>
          <w:bCs w:val="0"/>
        </w:rPr>
      </w:pPr>
      <w:r>
        <w:rPr/>
        <w:t>三、</w:t>
        <w:tab/>
        <w:t>股东和实际控制人情况</w:t>
      </w:r>
      <w:r>
        <w:rPr>
          <w:b w:val="0"/>
          <w:bCs w:val="0"/>
        </w:rPr>
      </w:r>
    </w:p>
    <w:p>
      <w:pPr>
        <w:pStyle w:val="Heading2"/>
        <w:spacing w:line="240" w:lineRule="auto" w:before="58"/>
        <w:ind w:right="104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2"/>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4424"/>
        <w:gridCol w:w="4400"/>
      </w:tblGrid>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86,519</w:t>
            </w:r>
          </w:p>
        </w:tc>
      </w:tr>
      <w:tr>
        <w:trPr>
          <w:trHeight w:val="557"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81,537</w:t>
            </w:r>
          </w:p>
        </w:tc>
      </w:tr>
    </w:tbl>
    <w:p>
      <w:pPr>
        <w:spacing w:line="240" w:lineRule="auto" w:before="3"/>
        <w:rPr>
          <w:rFonts w:ascii="宋体" w:hAnsi="宋体" w:cs="宋体" w:eastAsia="宋体" w:hint="default"/>
          <w:b/>
          <w:bCs/>
          <w:sz w:val="23"/>
          <w:szCs w:val="23"/>
        </w:rPr>
      </w:pP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pStyle w:val="BodyText"/>
        <w:spacing w:line="240" w:lineRule="auto" w:before="27"/>
        <w:ind w:left="0" w:right="113"/>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21"/>
        <w:gridCol w:w="1291"/>
        <w:gridCol w:w="1126"/>
        <w:gridCol w:w="1058"/>
        <w:gridCol w:w="994"/>
        <w:gridCol w:w="1010"/>
        <w:gridCol w:w="557"/>
        <w:gridCol w:w="560"/>
        <w:gridCol w:w="1116"/>
      </w:tblGrid>
      <w:tr>
        <w:trPr>
          <w:trHeight w:val="242" w:hRule="exact"/>
        </w:trPr>
        <w:tc>
          <w:tcPr>
            <w:tcW w:w="8834"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5" w:hRule="exact"/>
        </w:trPr>
        <w:tc>
          <w:tcPr>
            <w:tcW w:w="1121" w:type="dxa"/>
            <w:vMerge w:val="restart"/>
            <w:tcBorders>
              <w:top w:val="single" w:sz="4" w:space="0" w:color="000000"/>
              <w:left w:val="single" w:sz="4" w:space="0" w:color="000000"/>
              <w:right w:val="single" w:sz="4" w:space="0" w:color="000000"/>
            </w:tcBorders>
          </w:tcPr>
          <w:p>
            <w:pPr>
              <w:pStyle w:val="TableParagraph"/>
              <w:spacing w:line="234" w:lineRule="exact" w:before="92"/>
              <w:ind w:left="194"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291" w:type="dxa"/>
            <w:vMerge w:val="restart"/>
            <w:tcBorders>
              <w:top w:val="single" w:sz="4" w:space="0" w:color="000000"/>
              <w:left w:val="single" w:sz="4" w:space="0" w:color="000000"/>
              <w:right w:val="single" w:sz="4" w:space="0" w:color="000000"/>
            </w:tcBorders>
          </w:tcPr>
          <w:p>
            <w:pPr>
              <w:pStyle w:val="TableParagraph"/>
              <w:spacing w:line="232" w:lineRule="exact" w:before="116"/>
              <w:ind w:left="549" w:right="191"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126" w:type="dxa"/>
            <w:vMerge w:val="restart"/>
            <w:tcBorders>
              <w:top w:val="single" w:sz="4" w:space="0" w:color="000000"/>
              <w:left w:val="single" w:sz="4" w:space="0" w:color="000000"/>
              <w:right w:val="single" w:sz="4" w:space="0" w:color="000000"/>
            </w:tcBorders>
          </w:tcPr>
          <w:p>
            <w:pPr>
              <w:pStyle w:val="TableParagraph"/>
              <w:spacing w:line="232" w:lineRule="exact" w:before="116"/>
              <w:ind w:left="468" w:right="106" w:hanging="361"/>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94" w:type="dxa"/>
            <w:vMerge w:val="restart"/>
            <w:tcBorders>
              <w:top w:val="single" w:sz="4" w:space="0" w:color="000000"/>
              <w:left w:val="single" w:sz="4" w:space="0" w:color="000000"/>
              <w:right w:val="single" w:sz="4" w:space="0" w:color="000000"/>
            </w:tcBorders>
          </w:tcPr>
          <w:p>
            <w:pPr>
              <w:pStyle w:val="TableParagraph"/>
              <w:spacing w:line="210" w:lineRule="exact"/>
              <w:ind w:left="131" w:right="0"/>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232" w:lineRule="exact" w:before="24"/>
              <w:ind w:left="220" w:right="130" w:hanging="89"/>
              <w:jc w:val="left"/>
              <w:rPr>
                <w:rFonts w:ascii="宋体" w:hAnsi="宋体" w:cs="宋体" w:eastAsia="宋体" w:hint="default"/>
                <w:sz w:val="18"/>
                <w:szCs w:val="18"/>
              </w:rPr>
            </w:pPr>
            <w:r>
              <w:rPr>
                <w:rFonts w:ascii="宋体" w:hAnsi="宋体" w:cs="宋体" w:eastAsia="宋体" w:hint="default"/>
                <w:sz w:val="18"/>
                <w:szCs w:val="18"/>
              </w:rPr>
              <w:t>售条件股 份数量</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116" w:type="dxa"/>
            <w:vMerge w:val="restart"/>
            <w:tcBorders>
              <w:top w:val="single" w:sz="4" w:space="0" w:color="000000"/>
              <w:left w:val="single" w:sz="4" w:space="0" w:color="000000"/>
              <w:right w:val="single" w:sz="4" w:space="0" w:color="000000"/>
            </w:tcBorders>
          </w:tcPr>
          <w:p>
            <w:pPr>
              <w:pStyle w:val="TableParagraph"/>
              <w:spacing w:line="232" w:lineRule="exact" w:before="116"/>
              <w:ind w:left="369" w:right="374"/>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75" w:hRule="exact"/>
        </w:trPr>
        <w:tc>
          <w:tcPr>
            <w:tcW w:w="1121"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9"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319"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数量</w:t>
            </w:r>
          </w:p>
        </w:tc>
        <w:tc>
          <w:tcPr>
            <w:tcW w:w="1116" w:type="dxa"/>
            <w:vMerge/>
            <w:tcBorders>
              <w:left w:val="single" w:sz="4" w:space="0" w:color="000000"/>
              <w:bottom w:val="single" w:sz="4" w:space="0" w:color="000000"/>
              <w:right w:val="single" w:sz="4" w:space="0" w:color="000000"/>
            </w:tcBorders>
          </w:tcPr>
          <w:p>
            <w:pPr/>
          </w:p>
        </w:tc>
      </w:tr>
      <w:tr>
        <w:trPr>
          <w:trHeight w:val="245"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2,714,851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65,652,297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10.23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10.23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26,824,054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17,694,610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71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中央汇金资</w:t>
            </w:r>
          </w:p>
          <w:p>
            <w:pPr>
              <w:pStyle w:val="TableParagraph"/>
              <w:spacing w:line="232" w:lineRule="exact" w:before="24"/>
              <w:ind w:left="103" w:right="105"/>
              <w:jc w:val="left"/>
              <w:rPr>
                <w:rFonts w:ascii="宋体" w:hAnsi="宋体" w:cs="宋体" w:eastAsia="宋体" w:hint="default"/>
                <w:sz w:val="18"/>
                <w:szCs w:val="18"/>
              </w:rPr>
            </w:pPr>
            <w:r>
              <w:rPr>
                <w:rFonts w:ascii="宋体" w:hAnsi="宋体" w:cs="宋体" w:eastAsia="宋体" w:hint="default"/>
                <w:sz w:val="18"/>
                <w:szCs w:val="18"/>
              </w:rPr>
              <w:t>产管理有限 责任公司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12,970,700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12,970,700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5"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张仲华</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3,364,699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10,264,845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71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中国证券金</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6,217,654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6,217,654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富淑梅</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-1,236,807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5,829,921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5,824,054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5,824,054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5"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荆涛</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164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中国银行股</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份有限公司</w:t>
            </w:r>
          </w:p>
          <w:p>
            <w:pPr>
              <w:pStyle w:val="TableParagraph"/>
              <w:spacing w:line="237" w:lineRule="auto" w:before="2"/>
              <w:ind w:left="103" w:right="105"/>
              <w:jc w:val="both"/>
              <w:rPr>
                <w:rFonts w:ascii="宋体" w:hAnsi="宋体" w:cs="宋体" w:eastAsia="宋体" w:hint="default"/>
                <w:sz w:val="18"/>
                <w:szCs w:val="18"/>
              </w:rPr>
            </w:pPr>
            <w:r>
              <w:rPr>
                <w:rFonts w:ascii="宋体" w:hAnsi="宋体" w:cs="宋体" w:eastAsia="宋体" w:hint="default"/>
                <w:sz w:val="18"/>
                <w:szCs w:val="18"/>
              </w:rPr>
              <w:t>－华夏新经 济灵活配置 混合型发起 式证券投资 基金</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4,505,693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4,505,693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1177"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中国工商银</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行－浦银安 盛价值成长 混合型证券 投资基金</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4,018,901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4,018,901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5" w:hRule="exact"/>
        </w:trPr>
        <w:tc>
          <w:tcPr>
            <w:tcW w:w="8834" w:type="dxa"/>
            <w:gridSpan w:val="9"/>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2" w:hRule="exact"/>
        </w:trPr>
        <w:tc>
          <w:tcPr>
            <w:tcW w:w="2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79"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left="413"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2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4"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5" w:hRule="exact"/>
        </w:trPr>
        <w:tc>
          <w:tcPr>
            <w:tcW w:w="2412" w:type="dxa"/>
            <w:gridSpan w:val="2"/>
            <w:vMerge/>
            <w:tcBorders>
              <w:left w:val="single" w:sz="4" w:space="0" w:color="000000"/>
              <w:bottom w:val="single" w:sz="4" w:space="0" w:color="000000"/>
              <w:right w:val="single" w:sz="4" w:space="0" w:color="000000"/>
            </w:tcBorders>
          </w:tcPr>
          <w:p>
            <w:pPr/>
          </w:p>
        </w:tc>
        <w:tc>
          <w:tcPr>
            <w:tcW w:w="3179" w:type="dxa"/>
            <w:gridSpan w:val="3"/>
            <w:vMerge/>
            <w:tcBorders>
              <w:left w:val="single" w:sz="4" w:space="0" w:color="000000"/>
              <w:bottom w:val="single" w:sz="4" w:space="0" w:color="000000"/>
              <w:right w:val="single" w:sz="4" w:space="0" w:color="000000"/>
            </w:tcBorders>
          </w:tcPr>
          <w:p>
            <w:pP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2"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65,652,297</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0" w:right="0"/>
              <w:jc w:val="left"/>
              <w:rPr>
                <w:rFonts w:ascii="宋体" w:hAnsi="宋体" w:cs="宋体" w:eastAsia="宋体" w:hint="default"/>
                <w:sz w:val="18"/>
                <w:szCs w:val="18"/>
              </w:rPr>
            </w:pPr>
            <w:r>
              <w:rPr>
                <w:rFonts w:ascii="宋体"/>
                <w:sz w:val="18"/>
              </w:rPr>
              <w:t>65,652,297</w:t>
            </w:r>
          </w:p>
        </w:tc>
      </w:tr>
      <w:tr>
        <w:trPr>
          <w:trHeight w:val="24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17,694,610</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0" w:right="0"/>
              <w:jc w:val="left"/>
              <w:rPr>
                <w:rFonts w:ascii="宋体" w:hAnsi="宋体" w:cs="宋体" w:eastAsia="宋体" w:hint="default"/>
                <w:sz w:val="18"/>
                <w:szCs w:val="18"/>
              </w:rPr>
            </w:pPr>
            <w:r>
              <w:rPr>
                <w:rFonts w:ascii="宋体"/>
                <w:sz w:val="18"/>
              </w:rPr>
              <w:t>17,694,610</w:t>
            </w:r>
          </w:p>
        </w:tc>
      </w:tr>
      <w:tr>
        <w:trPr>
          <w:trHeight w:val="47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12,970,700</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0" w:right="0"/>
              <w:jc w:val="left"/>
              <w:rPr>
                <w:rFonts w:ascii="宋体" w:hAnsi="宋体" w:cs="宋体" w:eastAsia="宋体" w:hint="default"/>
                <w:sz w:val="18"/>
                <w:szCs w:val="18"/>
              </w:rPr>
            </w:pPr>
            <w:r>
              <w:rPr>
                <w:rFonts w:ascii="宋体"/>
                <w:sz w:val="18"/>
              </w:rPr>
              <w:t>12,970,700</w:t>
            </w:r>
          </w:p>
        </w:tc>
      </w:tr>
      <w:tr>
        <w:trPr>
          <w:trHeight w:val="24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张仲华</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10,264,845</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0" w:right="0"/>
              <w:jc w:val="left"/>
              <w:rPr>
                <w:rFonts w:ascii="宋体" w:hAnsi="宋体" w:cs="宋体" w:eastAsia="宋体" w:hint="default"/>
                <w:sz w:val="18"/>
                <w:szCs w:val="18"/>
              </w:rPr>
            </w:pPr>
            <w:r>
              <w:rPr>
                <w:rFonts w:ascii="宋体"/>
                <w:sz w:val="18"/>
              </w:rPr>
              <w:t>10,264,845</w:t>
            </w:r>
          </w:p>
        </w:tc>
      </w:tr>
      <w:tr>
        <w:trPr>
          <w:trHeight w:val="243"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6,217,654</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49" w:right="0"/>
              <w:jc w:val="left"/>
              <w:rPr>
                <w:rFonts w:ascii="宋体" w:hAnsi="宋体" w:cs="宋体" w:eastAsia="宋体" w:hint="default"/>
                <w:sz w:val="18"/>
                <w:szCs w:val="18"/>
              </w:rPr>
            </w:pPr>
            <w:r>
              <w:rPr>
                <w:rFonts w:ascii="宋体"/>
                <w:sz w:val="18"/>
              </w:rPr>
              <w:t>6,217,654</w:t>
            </w:r>
          </w:p>
        </w:tc>
      </w:tr>
      <w:tr>
        <w:trPr>
          <w:trHeight w:val="24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富淑梅</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5,829,921</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9" w:right="0"/>
              <w:jc w:val="left"/>
              <w:rPr>
                <w:rFonts w:ascii="宋体" w:hAnsi="宋体" w:cs="宋体" w:eastAsia="宋体" w:hint="default"/>
                <w:sz w:val="18"/>
                <w:szCs w:val="18"/>
              </w:rPr>
            </w:pPr>
            <w:r>
              <w:rPr>
                <w:rFonts w:ascii="宋体"/>
                <w:sz w:val="18"/>
              </w:rPr>
              <w:t>5,829,921</w:t>
            </w:r>
          </w:p>
        </w:tc>
      </w:tr>
      <w:tr>
        <w:trPr>
          <w:trHeight w:val="242"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3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5,824,054</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9" w:right="0"/>
              <w:jc w:val="left"/>
              <w:rPr>
                <w:rFonts w:ascii="宋体" w:hAnsi="宋体" w:cs="宋体" w:eastAsia="宋体" w:hint="default"/>
                <w:sz w:val="18"/>
                <w:szCs w:val="18"/>
              </w:rPr>
            </w:pPr>
            <w:r>
              <w:rPr>
                <w:rFonts w:ascii="宋体"/>
                <w:sz w:val="18"/>
              </w:rPr>
              <w:t>5,824,054</w:t>
            </w:r>
          </w:p>
        </w:tc>
      </w:tr>
    </w:tbl>
    <w:p>
      <w:pPr>
        <w:spacing w:after="0" w:line="205" w:lineRule="exact"/>
        <w:jc w:val="left"/>
        <w:rPr>
          <w:rFonts w:ascii="宋体" w:hAnsi="宋体" w:cs="宋体" w:eastAsia="宋体" w:hint="default"/>
          <w:sz w:val="18"/>
          <w:szCs w:val="18"/>
        </w:rPr>
        <w:sectPr>
          <w:pgSz w:w="11910" w:h="16840"/>
          <w:pgMar w:header="880" w:footer="1195" w:top="1120" w:bottom="1380" w:left="1060" w:right="168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12"/>
        <w:gridCol w:w="3179"/>
        <w:gridCol w:w="1567"/>
        <w:gridCol w:w="1676"/>
      </w:tblGrid>
      <w:tr>
        <w:trPr>
          <w:trHeight w:val="24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荆涛</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5,000,000</w:t>
            </w:r>
          </w:p>
        </w:tc>
      </w:tr>
      <w:tr>
        <w:trPr>
          <w:trHeight w:val="71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中国银行股份有限公司－华</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夏新经济灵活配置混合型发 起式证券投资基金</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4,505,693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4,505,693</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中国工商银行－浦银安盛价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值成长混合型证券投资基金</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4,018,901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4,018,901</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动的说明</w:t>
            </w:r>
          </w:p>
        </w:tc>
        <w:tc>
          <w:tcPr>
            <w:tcW w:w="64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未知股东之间是否存在《上市公司股东持股变动信息披露管理办法》中规定的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一致行动。</w:t>
            </w:r>
          </w:p>
        </w:tc>
      </w:tr>
    </w:tbl>
    <w:p>
      <w:pPr>
        <w:spacing w:line="240" w:lineRule="auto" w:before="6"/>
        <w:rPr>
          <w:rFonts w:ascii="宋体" w:hAnsi="宋体" w:cs="宋体" w:eastAsia="宋体" w:hint="default"/>
          <w:sz w:val="18"/>
          <w:szCs w:val="18"/>
        </w:rPr>
      </w:pPr>
    </w:p>
    <w:p>
      <w:pPr>
        <w:spacing w:line="273" w:lineRule="exact" w:before="36"/>
        <w:ind w:left="217" w:right="0" w:firstLine="0"/>
        <w:jc w:val="left"/>
        <w:rPr>
          <w:rFonts w:ascii="宋体" w:hAnsi="宋体" w:cs="宋体" w:eastAsia="宋体" w:hint="default"/>
          <w:sz w:val="21"/>
          <w:szCs w:val="21"/>
        </w:rPr>
      </w:pPr>
      <w:r>
        <w:rPr>
          <w:rFonts w:ascii="宋体" w:hAnsi="宋体" w:cs="宋体" w:eastAsia="宋体" w:hint="default"/>
          <w:sz w:val="21"/>
          <w:szCs w:val="21"/>
        </w:rPr>
        <w:t>前十名有限售条件股东持股数量及限售条件</w:t>
      </w:r>
    </w:p>
    <w:p>
      <w:pPr>
        <w:spacing w:line="273" w:lineRule="exact" w:before="0"/>
        <w:ind w:left="0" w:right="19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51"/>
        <w:gridCol w:w="946"/>
        <w:gridCol w:w="876"/>
        <w:gridCol w:w="1160"/>
        <w:gridCol w:w="871"/>
        <w:gridCol w:w="4508"/>
      </w:tblGrid>
      <w:tr>
        <w:trPr>
          <w:trHeight w:val="475" w:hRule="exact"/>
        </w:trPr>
        <w:tc>
          <w:tcPr>
            <w:tcW w:w="6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05" w:right="108"/>
              <w:jc w:val="center"/>
              <w:rPr>
                <w:rFonts w:ascii="宋体" w:hAnsi="宋体" w:cs="宋体" w:eastAsia="宋体" w:hint="default"/>
                <w:sz w:val="18"/>
                <w:szCs w:val="18"/>
              </w:rPr>
            </w:pPr>
            <w:r>
              <w:rPr>
                <w:rFonts w:ascii="宋体" w:hAnsi="宋体" w:cs="宋体" w:eastAsia="宋体" w:hint="default"/>
                <w:sz w:val="18"/>
                <w:szCs w:val="18"/>
              </w:rPr>
              <w:t>有限售条 件股东名 称</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60" w:right="163"/>
              <w:jc w:val="both"/>
              <w:rPr>
                <w:rFonts w:ascii="宋体" w:hAnsi="宋体" w:cs="宋体" w:eastAsia="宋体" w:hint="default"/>
                <w:sz w:val="18"/>
                <w:szCs w:val="18"/>
              </w:rPr>
            </w:pPr>
            <w:r>
              <w:rPr>
                <w:rFonts w:ascii="宋体" w:hAnsi="宋体" w:cs="宋体" w:eastAsia="宋体" w:hint="default"/>
                <w:sz w:val="18"/>
                <w:szCs w:val="18"/>
              </w:rPr>
              <w:t>持有的 有限售 条件股 份数量</w:t>
            </w:r>
          </w:p>
        </w:tc>
        <w:tc>
          <w:tcPr>
            <w:tcW w:w="2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有限售条件股份可上市</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交易情况</w:t>
            </w:r>
          </w:p>
        </w:tc>
        <w:tc>
          <w:tcPr>
            <w:tcW w:w="45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946" w:hRule="exact"/>
        </w:trPr>
        <w:tc>
          <w:tcPr>
            <w:tcW w:w="65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91" w:right="125" w:hanging="270"/>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both"/>
              <w:rPr>
                <w:rFonts w:ascii="宋体" w:hAnsi="宋体" w:cs="宋体" w:eastAsia="宋体" w:hint="default"/>
                <w:sz w:val="18"/>
                <w:szCs w:val="18"/>
              </w:rPr>
            </w:pPr>
            <w:r>
              <w:rPr>
                <w:rFonts w:ascii="宋体" w:hAnsi="宋体" w:cs="宋体" w:eastAsia="宋体" w:hint="default"/>
                <w:sz w:val="18"/>
                <w:szCs w:val="18"/>
              </w:rPr>
              <w:t>新增可</w:t>
            </w:r>
          </w:p>
          <w:p>
            <w:pPr>
              <w:pStyle w:val="TableParagraph"/>
              <w:spacing w:line="232" w:lineRule="exact" w:before="25"/>
              <w:ind w:left="160" w:right="158"/>
              <w:jc w:val="both"/>
              <w:rPr>
                <w:rFonts w:ascii="宋体" w:hAnsi="宋体" w:cs="宋体" w:eastAsia="宋体" w:hint="default"/>
                <w:sz w:val="18"/>
                <w:szCs w:val="18"/>
              </w:rPr>
            </w:pPr>
            <w:r>
              <w:rPr>
                <w:rFonts w:ascii="宋体" w:hAnsi="宋体" w:cs="宋体" w:eastAsia="宋体" w:hint="default"/>
                <w:sz w:val="18"/>
                <w:szCs w:val="18"/>
              </w:rPr>
              <w:t>上市交 易股份 数量</w:t>
            </w:r>
          </w:p>
        </w:tc>
        <w:tc>
          <w:tcPr>
            <w:tcW w:w="4508"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060" w:right="160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51"/>
        <w:gridCol w:w="946"/>
        <w:gridCol w:w="876"/>
        <w:gridCol w:w="1160"/>
        <w:gridCol w:w="871"/>
        <w:gridCol w:w="4508"/>
      </w:tblGrid>
      <w:tr>
        <w:trPr>
          <w:trHeight w:val="12151"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400,000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激励对象只有在同时满足下列条件时，才能获授限制性</w:t>
            </w:r>
          </w:p>
          <w:p>
            <w:pPr>
              <w:pStyle w:val="TableParagraph"/>
              <w:spacing w:line="240" w:lineRule="auto"/>
              <w:ind w:left="103" w:right="1962"/>
              <w:jc w:val="left"/>
              <w:rPr>
                <w:rFonts w:ascii="宋体" w:hAnsi="宋体" w:cs="宋体" w:eastAsia="宋体" w:hint="default"/>
                <w:sz w:val="18"/>
                <w:szCs w:val="18"/>
              </w:rPr>
            </w:pPr>
            <w:r>
              <w:rPr>
                <w:rFonts w:ascii="宋体" w:hAnsi="宋体" w:cs="宋体" w:eastAsia="宋体" w:hint="default"/>
                <w:sz w:val="18"/>
                <w:szCs w:val="18"/>
              </w:rPr>
              <w:t>股票： </w:t>
            </w:r>
            <w:r>
              <w:rPr>
                <w:rFonts w:ascii="宋体" w:hAnsi="宋体" w:cs="宋体" w:eastAsia="宋体" w:hint="default"/>
                <w:sz w:val="18"/>
                <w:szCs w:val="18"/>
              </w:rPr>
              <w:t>1</w:t>
            </w:r>
            <w:r>
              <w:rPr>
                <w:rFonts w:ascii="宋体" w:hAnsi="宋体" w:cs="宋体" w:eastAsia="宋体" w:hint="default"/>
                <w:sz w:val="18"/>
                <w:szCs w:val="18"/>
              </w:rPr>
              <w:t>、公司未发生以下任一情形：</w:t>
            </w:r>
          </w:p>
          <w:p>
            <w:pPr>
              <w:pStyle w:val="TableParagraph"/>
              <w:spacing w:line="232" w:lineRule="exact" w:before="22"/>
              <w:ind w:left="103"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）最近一个会计年度财务会计报告被注册会计师出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具否定意见或者无法表示意见的审计报告；</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）最近一年内因重大违法违规行为被中国证监会予</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以行政处罚；</w:t>
            </w:r>
          </w:p>
          <w:p>
            <w:pPr>
              <w:pStyle w:val="TableParagraph"/>
              <w:spacing w:line="232" w:lineRule="exact" w:before="23"/>
              <w:ind w:left="103" w:right="16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）中国证监会认定的其他情形。 </w:t>
            </w:r>
            <w:r>
              <w:rPr>
                <w:rFonts w:ascii="宋体" w:hAnsi="宋体" w:cs="宋体" w:eastAsia="宋体" w:hint="default"/>
                <w:sz w:val="18"/>
                <w:szCs w:val="18"/>
              </w:rPr>
              <w:t>2</w:t>
            </w:r>
            <w:r>
              <w:rPr>
                <w:rFonts w:ascii="宋体" w:hAnsi="宋体" w:cs="宋体" w:eastAsia="宋体" w:hint="default"/>
                <w:sz w:val="18"/>
                <w:szCs w:val="18"/>
              </w:rPr>
              <w:t>、激励对象未发生以下任一情形：</w:t>
            </w:r>
          </w:p>
          <w:p>
            <w:pPr>
              <w:pStyle w:val="TableParagraph"/>
              <w:spacing w:line="232" w:lineRule="exact" w:before="3"/>
              <w:ind w:left="103"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）最近三年内被证券交易所公开谴责或宣布为不适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当人员；</w:t>
            </w: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）最近三年内因重大违法违规行为被中国证监会予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以行政处罚；</w:t>
            </w:r>
          </w:p>
          <w:p>
            <w:pPr>
              <w:pStyle w:val="TableParagraph"/>
              <w:spacing w:line="234" w:lineRule="exact" w:before="1"/>
              <w:ind w:left="103"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）具有《公司法》规定的不得担任公司董事及高级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管理人员的情形；</w:t>
            </w:r>
          </w:p>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）公司董事会认定的其他严重违反公司有关规定的</w:t>
            </w:r>
            <w:r>
              <w:rPr>
                <w:rFonts w:ascii="宋体" w:hAnsi="宋体" w:cs="宋体" w:eastAsia="宋体" w:hint="default"/>
                <w:sz w:val="18"/>
                <w:szCs w:val="18"/>
              </w:rPr>
            </w:r>
          </w:p>
          <w:p>
            <w:pPr>
              <w:pStyle w:val="TableParagraph"/>
              <w:spacing w:line="240" w:lineRule="auto"/>
              <w:ind w:left="103" w:right="2322"/>
              <w:jc w:val="left"/>
              <w:rPr>
                <w:rFonts w:ascii="宋体" w:hAnsi="宋体" w:cs="宋体" w:eastAsia="宋体" w:hint="default"/>
                <w:sz w:val="18"/>
                <w:szCs w:val="18"/>
              </w:rPr>
            </w:pPr>
            <w:r>
              <w:rPr>
                <w:rFonts w:ascii="宋体" w:hAnsi="宋体" w:cs="宋体" w:eastAsia="宋体" w:hint="default"/>
                <w:sz w:val="18"/>
                <w:szCs w:val="18"/>
              </w:rPr>
              <w:t>情形。 </w:t>
            </w:r>
            <w:r>
              <w:rPr>
                <w:rFonts w:ascii="宋体" w:hAnsi="宋体" w:cs="宋体" w:eastAsia="宋体" w:hint="default"/>
                <w:sz w:val="18"/>
                <w:szCs w:val="18"/>
              </w:rPr>
              <w:t>3</w:t>
            </w:r>
            <w:r>
              <w:rPr>
                <w:rFonts w:ascii="宋体" w:hAnsi="宋体" w:cs="宋体" w:eastAsia="宋体" w:hint="default"/>
                <w:sz w:val="18"/>
                <w:szCs w:val="18"/>
              </w:rPr>
              <w:t>、公司层面业绩考核条件</w:t>
            </w:r>
          </w:p>
          <w:p>
            <w:pPr>
              <w:pStyle w:val="TableParagraph"/>
              <w:spacing w:line="232" w:lineRule="exact" w:before="22"/>
              <w:ind w:left="103" w:right="10"/>
              <w:jc w:val="left"/>
              <w:rPr>
                <w:rFonts w:ascii="宋体" w:hAnsi="宋体" w:cs="宋体" w:eastAsia="宋体" w:hint="default"/>
                <w:sz w:val="18"/>
                <w:szCs w:val="18"/>
              </w:rPr>
            </w:pPr>
            <w:r>
              <w:rPr>
                <w:rFonts w:ascii="宋体" w:hAnsi="宋体" w:cs="宋体" w:eastAsia="宋体" w:hint="default"/>
                <w:sz w:val="18"/>
                <w:szCs w:val="18"/>
              </w:rPr>
              <w:t>首次授予的限制性股票各年度业绩考核目标如下： </w:t>
            </w:r>
            <w:r>
              <w:rPr>
                <w:rFonts w:ascii="宋体" w:hAnsi="宋体" w:cs="宋体" w:eastAsia="宋体" w:hint="default"/>
                <w:spacing w:val="-8"/>
                <w:sz w:val="18"/>
                <w:szCs w:val="18"/>
              </w:rPr>
              <w:t>第一次解锁：以</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pacing w:val="-6"/>
                <w:sz w:val="18"/>
                <w:szCs w:val="18"/>
              </w:rPr>
              <w:t>年净利润（</w:t>
            </w:r>
            <w:r>
              <w:rPr>
                <w:rFonts w:ascii="宋体" w:hAnsi="宋体" w:cs="宋体" w:eastAsia="宋体" w:hint="default"/>
                <w:spacing w:val="-6"/>
                <w:sz w:val="18"/>
                <w:szCs w:val="18"/>
              </w:rPr>
              <w:t>4668.61</w:t>
            </w:r>
            <w:r>
              <w:rPr>
                <w:rFonts w:ascii="宋体" w:hAnsi="宋体" w:cs="宋体" w:eastAsia="宋体" w:hint="default"/>
                <w:spacing w:val="-40"/>
                <w:sz w:val="18"/>
                <w:szCs w:val="18"/>
              </w:rPr>
              <w:t> </w:t>
            </w:r>
            <w:r>
              <w:rPr>
                <w:rFonts w:ascii="宋体" w:hAnsi="宋体" w:cs="宋体" w:eastAsia="宋体" w:hint="default"/>
                <w:spacing w:val="-8"/>
                <w:sz w:val="18"/>
                <w:szCs w:val="18"/>
              </w:rPr>
              <w:t>万元）为基数，</w:t>
            </w:r>
            <w:r>
              <w:rPr>
                <w:rFonts w:ascii="宋体" w:hAnsi="宋体" w:cs="宋体" w:eastAsia="宋体" w:hint="default"/>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7"/>
                <w:sz w:val="18"/>
                <w:szCs w:val="18"/>
              </w:rPr>
              <w:t> </w:t>
            </w:r>
            <w:r>
              <w:rPr>
                <w:rFonts w:ascii="宋体" w:hAnsi="宋体" w:cs="宋体" w:eastAsia="宋体" w:hint="default"/>
                <w:sz w:val="18"/>
                <w:szCs w:val="18"/>
              </w:rPr>
              <w:t>61%</w:t>
            </w:r>
            <w:r>
              <w:rPr>
                <w:rFonts w:ascii="宋体" w:hAnsi="宋体" w:cs="宋体" w:eastAsia="宋体" w:hint="default"/>
                <w:sz w:val="18"/>
                <w:szCs w:val="18"/>
              </w:rPr>
              <w:t>；</w:t>
            </w:r>
          </w:p>
          <w:p>
            <w:pPr>
              <w:pStyle w:val="TableParagraph"/>
              <w:spacing w:line="232" w:lineRule="exact" w:before="3"/>
              <w:ind w:left="103" w:right="10"/>
              <w:jc w:val="left"/>
              <w:rPr>
                <w:rFonts w:ascii="宋体" w:hAnsi="宋体" w:cs="宋体" w:eastAsia="宋体" w:hint="default"/>
                <w:sz w:val="18"/>
                <w:szCs w:val="18"/>
              </w:rPr>
            </w:pPr>
            <w:r>
              <w:rPr>
                <w:rFonts w:ascii="宋体" w:hAnsi="宋体" w:cs="宋体" w:eastAsia="宋体" w:hint="default"/>
                <w:spacing w:val="-8"/>
                <w:sz w:val="18"/>
                <w:szCs w:val="18"/>
              </w:rPr>
              <w:t>第二次解锁：以</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pacing w:val="-6"/>
                <w:sz w:val="18"/>
                <w:szCs w:val="18"/>
              </w:rPr>
              <w:t>年净利润（</w:t>
            </w:r>
            <w:r>
              <w:rPr>
                <w:rFonts w:ascii="宋体" w:hAnsi="宋体" w:cs="宋体" w:eastAsia="宋体" w:hint="default"/>
                <w:spacing w:val="-6"/>
                <w:sz w:val="18"/>
                <w:szCs w:val="18"/>
              </w:rPr>
              <w:t>4668.61</w:t>
            </w:r>
            <w:r>
              <w:rPr>
                <w:rFonts w:ascii="宋体" w:hAnsi="宋体" w:cs="宋体" w:eastAsia="宋体" w:hint="default"/>
                <w:spacing w:val="-40"/>
                <w:sz w:val="18"/>
                <w:szCs w:val="18"/>
              </w:rPr>
              <w:t> </w:t>
            </w:r>
            <w:r>
              <w:rPr>
                <w:rFonts w:ascii="宋体" w:hAnsi="宋体" w:cs="宋体" w:eastAsia="宋体" w:hint="default"/>
                <w:spacing w:val="-8"/>
                <w:sz w:val="18"/>
                <w:szCs w:val="18"/>
              </w:rPr>
              <w:t>万元）为基数，</w:t>
            </w:r>
            <w:r>
              <w:rPr>
                <w:rFonts w:ascii="宋体" w:hAnsi="宋体" w:cs="宋体" w:eastAsia="宋体" w:hint="default"/>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7"/>
                <w:sz w:val="18"/>
                <w:szCs w:val="18"/>
              </w:rPr>
              <w:t> </w:t>
            </w:r>
            <w:r>
              <w:rPr>
                <w:rFonts w:ascii="宋体" w:hAnsi="宋体" w:cs="宋体" w:eastAsia="宋体" w:hint="default"/>
                <w:sz w:val="18"/>
                <w:szCs w:val="18"/>
              </w:rPr>
              <w:t>78%</w:t>
            </w:r>
            <w:r>
              <w:rPr>
                <w:rFonts w:ascii="宋体" w:hAnsi="宋体" w:cs="宋体" w:eastAsia="宋体" w:hint="default"/>
                <w:sz w:val="18"/>
                <w:szCs w:val="18"/>
              </w:rPr>
              <w:t>；</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第三次解锁：以</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pacing w:val="-6"/>
                <w:sz w:val="18"/>
                <w:szCs w:val="18"/>
              </w:rPr>
              <w:t>年净利润（</w:t>
            </w:r>
            <w:r>
              <w:rPr>
                <w:rFonts w:ascii="宋体" w:hAnsi="宋体" w:cs="宋体" w:eastAsia="宋体" w:hint="default"/>
                <w:spacing w:val="-6"/>
                <w:sz w:val="18"/>
                <w:szCs w:val="18"/>
              </w:rPr>
              <w:t>4668.61</w:t>
            </w:r>
            <w:r>
              <w:rPr>
                <w:rFonts w:ascii="宋体" w:hAnsi="宋体" w:cs="宋体" w:eastAsia="宋体" w:hint="default"/>
                <w:spacing w:val="-40"/>
                <w:sz w:val="18"/>
                <w:szCs w:val="18"/>
              </w:rPr>
              <w:t> </w:t>
            </w:r>
            <w:r>
              <w:rPr>
                <w:rFonts w:ascii="宋体" w:hAnsi="宋体" w:cs="宋体" w:eastAsia="宋体" w:hint="default"/>
                <w:spacing w:val="-8"/>
                <w:sz w:val="18"/>
                <w:szCs w:val="18"/>
              </w:rPr>
              <w:t>万元）为基数，</w:t>
            </w:r>
          </w:p>
          <w:p>
            <w:pPr>
              <w:pStyle w:val="TableParagraph"/>
              <w:spacing w:line="232" w:lineRule="exact" w:before="24"/>
              <w:ind w:left="103" w:right="97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7"/>
                <w:sz w:val="18"/>
                <w:szCs w:val="18"/>
              </w:rPr>
              <w:t> </w:t>
            </w:r>
            <w:r>
              <w:rPr>
                <w:rFonts w:ascii="宋体" w:hAnsi="宋体" w:cs="宋体" w:eastAsia="宋体" w:hint="default"/>
                <w:sz w:val="18"/>
                <w:szCs w:val="18"/>
              </w:rPr>
              <w:t>96%</w:t>
            </w:r>
            <w:r>
              <w:rPr>
                <w:rFonts w:ascii="宋体" w:hAnsi="宋体" w:cs="宋体" w:eastAsia="宋体" w:hint="default"/>
                <w:sz w:val="18"/>
                <w:szCs w:val="18"/>
              </w:rPr>
              <w:t>。 预留部分各年度限制性股票考核目标如下：</w:t>
            </w: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①若预留限制性股票于 </w:t>
            </w:r>
            <w:r>
              <w:rPr>
                <w:rFonts w:ascii="宋体" w:hAnsi="宋体" w:cs="宋体" w:eastAsia="宋体" w:hint="default"/>
                <w:sz w:val="18"/>
                <w:szCs w:val="18"/>
              </w:rPr>
              <w:t>2015</w:t>
            </w:r>
            <w:r>
              <w:rPr>
                <w:rFonts w:ascii="宋体" w:hAnsi="宋体" w:cs="宋体" w:eastAsia="宋体" w:hint="default"/>
                <w:spacing w:val="-31"/>
                <w:sz w:val="18"/>
                <w:szCs w:val="18"/>
              </w:rPr>
              <w:t> </w:t>
            </w:r>
            <w:r>
              <w:rPr>
                <w:rFonts w:ascii="宋体" w:hAnsi="宋体" w:cs="宋体" w:eastAsia="宋体" w:hint="default"/>
                <w:sz w:val="18"/>
                <w:szCs w:val="18"/>
              </w:rPr>
              <w:t>年度授出，则考核目标如 下：</w:t>
            </w:r>
          </w:p>
          <w:p>
            <w:pPr>
              <w:pStyle w:val="TableParagraph"/>
              <w:spacing w:line="232" w:lineRule="exact" w:before="3"/>
              <w:ind w:left="103" w:right="24"/>
              <w:jc w:val="left"/>
              <w:rPr>
                <w:rFonts w:ascii="宋体" w:hAnsi="宋体" w:cs="宋体" w:eastAsia="宋体" w:hint="default"/>
                <w:sz w:val="18"/>
                <w:szCs w:val="18"/>
              </w:rPr>
            </w:pPr>
            <w:r>
              <w:rPr>
                <w:rFonts w:ascii="宋体" w:hAnsi="宋体" w:cs="宋体" w:eastAsia="宋体" w:hint="default"/>
                <w:sz w:val="18"/>
                <w:szCs w:val="18"/>
              </w:rPr>
              <w:t>第一个预留解锁期：以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年净利润（</w:t>
            </w:r>
            <w:r>
              <w:rPr>
                <w:rFonts w:ascii="宋体" w:hAnsi="宋体" w:cs="宋体" w:eastAsia="宋体" w:hint="default"/>
                <w:sz w:val="18"/>
                <w:szCs w:val="18"/>
              </w:rPr>
              <w:t>4668.61</w:t>
            </w:r>
            <w:r>
              <w:rPr>
                <w:rFonts w:ascii="宋体" w:hAnsi="宋体" w:cs="宋体" w:eastAsia="宋体" w:hint="default"/>
                <w:spacing w:val="-45"/>
                <w:sz w:val="18"/>
                <w:szCs w:val="18"/>
              </w:rPr>
              <w:t> </w:t>
            </w:r>
            <w:r>
              <w:rPr>
                <w:rFonts w:ascii="宋体" w:hAnsi="宋体" w:cs="宋体" w:eastAsia="宋体" w:hint="default"/>
                <w:sz w:val="18"/>
                <w:szCs w:val="18"/>
              </w:rPr>
              <w:t>万元） 为基数，</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z w:val="18"/>
                <w:szCs w:val="18"/>
              </w:rPr>
              <w:t>； 第二个预留解锁期：以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年净利润（</w:t>
            </w:r>
            <w:r>
              <w:rPr>
                <w:rFonts w:ascii="宋体" w:hAnsi="宋体" w:cs="宋体" w:eastAsia="宋体" w:hint="default"/>
                <w:sz w:val="18"/>
                <w:szCs w:val="18"/>
              </w:rPr>
              <w:t>4668.61</w:t>
            </w:r>
            <w:r>
              <w:rPr>
                <w:rFonts w:ascii="宋体" w:hAnsi="宋体" w:cs="宋体" w:eastAsia="宋体" w:hint="default"/>
                <w:spacing w:val="-45"/>
                <w:sz w:val="18"/>
                <w:szCs w:val="18"/>
              </w:rPr>
              <w:t> </w:t>
            </w:r>
            <w:r>
              <w:rPr>
                <w:rFonts w:ascii="宋体" w:hAnsi="宋体" w:cs="宋体" w:eastAsia="宋体" w:hint="default"/>
                <w:sz w:val="18"/>
                <w:szCs w:val="18"/>
              </w:rPr>
              <w:t>万元） 为基数，</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7"/>
                <w:sz w:val="18"/>
                <w:szCs w:val="18"/>
              </w:rPr>
              <w:t> </w:t>
            </w:r>
            <w:r>
              <w:rPr>
                <w:rFonts w:ascii="宋体" w:hAnsi="宋体" w:cs="宋体" w:eastAsia="宋体" w:hint="default"/>
                <w:sz w:val="18"/>
                <w:szCs w:val="18"/>
              </w:rPr>
              <w:t>78%</w:t>
            </w:r>
            <w:r>
              <w:rPr>
                <w:rFonts w:ascii="宋体" w:hAnsi="宋体" w:cs="宋体" w:eastAsia="宋体" w:hint="default"/>
                <w:sz w:val="18"/>
                <w:szCs w:val="18"/>
              </w:rPr>
              <w:t>；</w:t>
            </w:r>
          </w:p>
          <w:p>
            <w:pPr>
              <w:pStyle w:val="TableParagraph"/>
              <w:spacing w:line="232" w:lineRule="exact" w:before="3"/>
              <w:ind w:left="103" w:right="24"/>
              <w:jc w:val="left"/>
              <w:rPr>
                <w:rFonts w:ascii="宋体" w:hAnsi="宋体" w:cs="宋体" w:eastAsia="宋体" w:hint="default"/>
                <w:sz w:val="18"/>
                <w:szCs w:val="18"/>
              </w:rPr>
            </w:pPr>
            <w:r>
              <w:rPr>
                <w:rFonts w:ascii="宋体" w:hAnsi="宋体" w:cs="宋体" w:eastAsia="宋体" w:hint="default"/>
                <w:sz w:val="18"/>
                <w:szCs w:val="18"/>
              </w:rPr>
              <w:t>第三个预留解锁期：以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年净利润（</w:t>
            </w:r>
            <w:r>
              <w:rPr>
                <w:rFonts w:ascii="宋体" w:hAnsi="宋体" w:cs="宋体" w:eastAsia="宋体" w:hint="default"/>
                <w:sz w:val="18"/>
                <w:szCs w:val="18"/>
              </w:rPr>
              <w:t>4668.61</w:t>
            </w:r>
            <w:r>
              <w:rPr>
                <w:rFonts w:ascii="宋体" w:hAnsi="宋体" w:cs="宋体" w:eastAsia="宋体" w:hint="default"/>
                <w:spacing w:val="-45"/>
                <w:sz w:val="18"/>
                <w:szCs w:val="18"/>
              </w:rPr>
              <w:t> </w:t>
            </w:r>
            <w:r>
              <w:rPr>
                <w:rFonts w:ascii="宋体" w:hAnsi="宋体" w:cs="宋体" w:eastAsia="宋体" w:hint="default"/>
                <w:sz w:val="18"/>
                <w:szCs w:val="18"/>
              </w:rPr>
              <w:t>万元） 为基数，</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7"/>
                <w:sz w:val="18"/>
                <w:szCs w:val="18"/>
              </w:rPr>
              <w:t> </w:t>
            </w:r>
            <w:r>
              <w:rPr>
                <w:rFonts w:ascii="宋体" w:hAnsi="宋体" w:cs="宋体" w:eastAsia="宋体" w:hint="default"/>
                <w:sz w:val="18"/>
                <w:szCs w:val="18"/>
              </w:rPr>
              <w:t>96%</w:t>
            </w:r>
            <w:r>
              <w:rPr>
                <w:rFonts w:ascii="宋体" w:hAnsi="宋体" w:cs="宋体" w:eastAsia="宋体" w:hint="default"/>
                <w:sz w:val="18"/>
                <w:szCs w:val="18"/>
              </w:rPr>
              <w:t>。</w:t>
            </w:r>
          </w:p>
          <w:p>
            <w:pPr>
              <w:pStyle w:val="TableParagraph"/>
              <w:spacing w:line="232" w:lineRule="exact" w:before="1"/>
              <w:ind w:left="103" w:right="104"/>
              <w:jc w:val="left"/>
              <w:rPr>
                <w:rFonts w:ascii="宋体" w:hAnsi="宋体" w:cs="宋体" w:eastAsia="宋体" w:hint="default"/>
                <w:sz w:val="18"/>
                <w:szCs w:val="18"/>
              </w:rPr>
            </w:pPr>
            <w:r>
              <w:rPr>
                <w:rFonts w:ascii="宋体" w:hAnsi="宋体" w:cs="宋体" w:eastAsia="宋体" w:hint="default"/>
                <w:sz w:val="18"/>
                <w:szCs w:val="18"/>
              </w:rPr>
              <w:t>②若预留限制性股票于 </w:t>
            </w:r>
            <w:r>
              <w:rPr>
                <w:rFonts w:ascii="宋体" w:hAnsi="宋体" w:cs="宋体" w:eastAsia="宋体" w:hint="default"/>
                <w:sz w:val="18"/>
                <w:szCs w:val="18"/>
              </w:rPr>
              <w:t>2016</w:t>
            </w:r>
            <w:r>
              <w:rPr>
                <w:rFonts w:ascii="宋体" w:hAnsi="宋体" w:cs="宋体" w:eastAsia="宋体" w:hint="default"/>
                <w:spacing w:val="-2"/>
                <w:sz w:val="18"/>
                <w:szCs w:val="18"/>
              </w:rPr>
              <w:t> </w:t>
            </w:r>
            <w:r>
              <w:rPr>
                <w:rFonts w:ascii="宋体" w:hAnsi="宋体" w:cs="宋体" w:eastAsia="宋体" w:hint="default"/>
                <w:spacing w:val="-3"/>
                <w:sz w:val="18"/>
                <w:szCs w:val="18"/>
              </w:rPr>
              <w:t>年度授出，则考核目标如</w:t>
            </w:r>
            <w:r>
              <w:rPr>
                <w:rFonts w:ascii="宋体" w:hAnsi="宋体" w:cs="宋体" w:eastAsia="宋体" w:hint="default"/>
                <w:sz w:val="18"/>
                <w:szCs w:val="18"/>
              </w:rPr>
              <w:t> 下：</w:t>
            </w:r>
          </w:p>
          <w:p>
            <w:pPr>
              <w:pStyle w:val="TableParagraph"/>
              <w:spacing w:line="232" w:lineRule="exact" w:before="3"/>
              <w:ind w:left="103" w:right="24"/>
              <w:jc w:val="left"/>
              <w:rPr>
                <w:rFonts w:ascii="宋体" w:hAnsi="宋体" w:cs="宋体" w:eastAsia="宋体" w:hint="default"/>
                <w:sz w:val="18"/>
                <w:szCs w:val="18"/>
              </w:rPr>
            </w:pPr>
            <w:r>
              <w:rPr>
                <w:rFonts w:ascii="宋体" w:hAnsi="宋体" w:cs="宋体" w:eastAsia="宋体" w:hint="default"/>
                <w:sz w:val="18"/>
                <w:szCs w:val="18"/>
              </w:rPr>
              <w:t>第一个预留解锁期：以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年净利润（</w:t>
            </w:r>
            <w:r>
              <w:rPr>
                <w:rFonts w:ascii="宋体" w:hAnsi="宋体" w:cs="宋体" w:eastAsia="宋体" w:hint="default"/>
                <w:sz w:val="18"/>
                <w:szCs w:val="18"/>
              </w:rPr>
              <w:t>4668.61</w:t>
            </w:r>
            <w:r>
              <w:rPr>
                <w:rFonts w:ascii="宋体" w:hAnsi="宋体" w:cs="宋体" w:eastAsia="宋体" w:hint="default"/>
                <w:spacing w:val="-45"/>
                <w:sz w:val="18"/>
                <w:szCs w:val="18"/>
              </w:rPr>
              <w:t> </w:t>
            </w:r>
            <w:r>
              <w:rPr>
                <w:rFonts w:ascii="宋体" w:hAnsi="宋体" w:cs="宋体" w:eastAsia="宋体" w:hint="default"/>
                <w:sz w:val="18"/>
                <w:szCs w:val="18"/>
              </w:rPr>
              <w:t>万元） 为基数，</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6"/>
                <w:sz w:val="18"/>
                <w:szCs w:val="18"/>
              </w:rPr>
              <w:t> </w:t>
            </w:r>
            <w:r>
              <w:rPr>
                <w:rFonts w:ascii="宋体" w:hAnsi="宋体" w:cs="宋体" w:eastAsia="宋体" w:hint="default"/>
                <w:sz w:val="18"/>
                <w:szCs w:val="18"/>
              </w:rPr>
              <w:t>78%</w:t>
            </w:r>
            <w:r>
              <w:rPr>
                <w:rFonts w:ascii="宋体" w:hAnsi="宋体" w:cs="宋体" w:eastAsia="宋体" w:hint="default"/>
                <w:sz w:val="18"/>
                <w:szCs w:val="18"/>
              </w:rPr>
              <w:t>； 第二个预留解锁期：以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年净利润（</w:t>
            </w:r>
            <w:r>
              <w:rPr>
                <w:rFonts w:ascii="宋体" w:hAnsi="宋体" w:cs="宋体" w:eastAsia="宋体" w:hint="default"/>
                <w:sz w:val="18"/>
                <w:szCs w:val="18"/>
              </w:rPr>
              <w:t>4668.61</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为基数，</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7"/>
                <w:sz w:val="18"/>
                <w:szCs w:val="18"/>
              </w:rPr>
              <w:t> </w:t>
            </w:r>
            <w:r>
              <w:rPr>
                <w:rFonts w:ascii="宋体" w:hAnsi="宋体" w:cs="宋体" w:eastAsia="宋体" w:hint="default"/>
                <w:sz w:val="18"/>
                <w:szCs w:val="18"/>
              </w:rPr>
              <w:t>96%</w:t>
            </w:r>
            <w:r>
              <w:rPr>
                <w:rFonts w:ascii="宋体" w:hAnsi="宋体" w:cs="宋体" w:eastAsia="宋体" w:hint="default"/>
                <w:sz w:val="18"/>
                <w:szCs w:val="18"/>
              </w:rPr>
              <w:t>。</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z w:val="18"/>
                <w:szCs w:val="18"/>
              </w:rPr>
              <w:t>以上</w:t>
            </w:r>
            <w:r>
              <w:rPr>
                <w:rFonts w:ascii="宋体" w:hAnsi="宋体" w:cs="宋体" w:eastAsia="宋体" w:hint="default"/>
                <w:spacing w:val="9"/>
                <w:sz w:val="18"/>
                <w:szCs w:val="18"/>
              </w:rPr>
              <w:t> </w:t>
            </w:r>
            <w:r>
              <w:rPr>
                <w:rFonts w:ascii="宋体" w:hAnsi="宋体" w:cs="宋体" w:eastAsia="宋体" w:hint="default"/>
                <w:spacing w:val="2"/>
                <w:sz w:val="18"/>
                <w:szCs w:val="18"/>
              </w:rPr>
              <w:t>“净利润”、“净利润增长率”指归属于上市公</w:t>
            </w:r>
            <w:r>
              <w:rPr>
                <w:rFonts w:ascii="宋体" w:hAnsi="宋体" w:cs="宋体" w:eastAsia="宋体" w:hint="default"/>
                <w:spacing w:val="2"/>
                <w:sz w:val="18"/>
                <w:szCs w:val="18"/>
              </w:rPr>
              <w:t> </w:t>
            </w:r>
            <w:r>
              <w:rPr>
                <w:rFonts w:ascii="宋体" w:hAnsi="宋体" w:cs="宋体" w:eastAsia="宋体" w:hint="default"/>
                <w:sz w:val="18"/>
                <w:szCs w:val="18"/>
              </w:rPr>
              <w:t>司股东的扣除非经常性损益的净利润为计算依据。</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锁定期内归属于上市公司股东的净利润及归属于上市</w:t>
            </w:r>
            <w:r>
              <w:rPr>
                <w:rFonts w:ascii="宋体" w:hAnsi="宋体" w:cs="宋体" w:eastAsia="宋体" w:hint="default"/>
                <w:sz w:val="18"/>
                <w:szCs w:val="18"/>
              </w:rPr>
            </w:r>
          </w:p>
          <w:p>
            <w:pPr>
              <w:pStyle w:val="TableParagraph"/>
              <w:spacing w:line="237" w:lineRule="auto" w:before="2"/>
              <w:ind w:left="103" w:right="73"/>
              <w:jc w:val="both"/>
              <w:rPr>
                <w:rFonts w:ascii="宋体" w:hAnsi="宋体" w:cs="宋体" w:eastAsia="宋体" w:hint="default"/>
                <w:sz w:val="18"/>
                <w:szCs w:val="18"/>
              </w:rPr>
            </w:pPr>
            <w:r>
              <w:rPr>
                <w:rFonts w:ascii="宋体" w:hAnsi="宋体" w:cs="宋体" w:eastAsia="宋体" w:hint="default"/>
                <w:spacing w:val="6"/>
                <w:sz w:val="18"/>
                <w:szCs w:val="18"/>
              </w:rPr>
              <w:t>公司股东的扣除非经常性损益的净利润均不得低于授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予日前最近三个会计年度的平均水平且不得为负。在满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足此前提之下，若第一、第二个解锁期内未达到公司业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绩考核目标时，这部分限制性股票可以递延到下一年， </w:t>
            </w:r>
            <w:r>
              <w:rPr>
                <w:rFonts w:ascii="宋体" w:hAnsi="宋体" w:cs="宋体" w:eastAsia="宋体" w:hint="default"/>
                <w:spacing w:val="-2"/>
                <w:sz w:val="18"/>
                <w:szCs w:val="18"/>
              </w:rPr>
              <w:t>在下一年达到业绩考核目标时一起解锁；若下一年仍未</w:t>
            </w:r>
          </w:p>
          <w:p>
            <w:pPr>
              <w:pStyle w:val="TableParagraph"/>
              <w:spacing w:line="237" w:lineRule="auto"/>
              <w:ind w:left="103" w:right="92"/>
              <w:jc w:val="both"/>
              <w:rPr>
                <w:rFonts w:ascii="宋体" w:hAnsi="宋体" w:cs="宋体" w:eastAsia="宋体" w:hint="default"/>
                <w:sz w:val="18"/>
                <w:szCs w:val="18"/>
              </w:rPr>
            </w:pPr>
            <w:r>
              <w:rPr>
                <w:rFonts w:ascii="宋体" w:hAnsi="宋体" w:cs="宋体" w:eastAsia="宋体" w:hint="default"/>
                <w:spacing w:val="6"/>
                <w:sz w:val="18"/>
                <w:szCs w:val="18"/>
              </w:rPr>
              <w:t>达到公司业绩考核目标时，该部分限制性股票不得解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锁，由公司回购注销。第三个解锁期内未达到公司业绩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考核目标时，该部分限制性股票不得解锁，由公司回购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注销。</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郝庄严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朱红仙</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250,000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05" w:lineRule="exact"/>
        <w:jc w:val="left"/>
        <w:rPr>
          <w:rFonts w:ascii="宋体" w:hAnsi="宋体" w:cs="宋体" w:eastAsia="宋体" w:hint="default"/>
          <w:sz w:val="18"/>
          <w:szCs w:val="18"/>
        </w:rPr>
        <w:sectPr>
          <w:pgSz w:w="11910" w:h="16840"/>
          <w:pgMar w:header="880" w:footer="1195" w:top="1120" w:bottom="1380" w:left="1060" w:right="160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51"/>
        <w:gridCol w:w="946"/>
        <w:gridCol w:w="876"/>
        <w:gridCol w:w="1160"/>
        <w:gridCol w:w="871"/>
        <w:gridCol w:w="4508"/>
      </w:tblGrid>
      <w:tr>
        <w:trPr>
          <w:trHeight w:val="356"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代双珠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200,000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任学英</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马东平</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190,000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150,000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710" w:hRule="exact"/>
        </w:trPr>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w:t>
            </w:r>
          </w:p>
          <w:p>
            <w:pPr>
              <w:pStyle w:val="TableParagraph"/>
              <w:spacing w:line="232" w:lineRule="exact" w:before="23"/>
              <w:ind w:left="103" w:right="221"/>
              <w:jc w:val="left"/>
              <w:rPr>
                <w:rFonts w:ascii="宋体" w:hAnsi="宋体" w:cs="宋体" w:eastAsia="宋体" w:hint="default"/>
                <w:sz w:val="18"/>
                <w:szCs w:val="18"/>
              </w:rPr>
            </w:pPr>
            <w:r>
              <w:rPr>
                <w:rFonts w:ascii="宋体" w:hAnsi="宋体" w:cs="宋体" w:eastAsia="宋体" w:hint="default"/>
                <w:sz w:val="18"/>
                <w:szCs w:val="18"/>
              </w:rPr>
              <w:t>系或一致行动的 说明</w:t>
            </w:r>
          </w:p>
        </w:tc>
        <w:tc>
          <w:tcPr>
            <w:tcW w:w="74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上述股东之间不存在《上市公司股东持股变动信息披露管理办法》中规定的一致行动。</w:t>
            </w:r>
          </w:p>
        </w:tc>
      </w:tr>
    </w:tbl>
    <w:p>
      <w:pPr>
        <w:pStyle w:val="BodyText"/>
        <w:spacing w:line="237" w:lineRule="auto" w:before="82"/>
        <w:ind w:left="217" w:right="213"/>
        <w:jc w:val="both"/>
      </w:pPr>
      <w:r>
        <w:rPr/>
        <w:t>注</w:t>
      </w:r>
      <w:r>
        <w:rPr>
          <w:spacing w:val="-75"/>
        </w:rPr>
        <w:t> </w:t>
      </w:r>
      <w:r>
        <w:rPr>
          <w:rFonts w:ascii="宋体" w:hAnsi="宋体" w:cs="宋体" w:eastAsia="宋体" w:hint="default"/>
          <w:spacing w:val="-3"/>
        </w:rPr>
        <w:t>1</w:t>
      </w:r>
      <w:r>
        <w:rPr>
          <w:spacing w:val="-3"/>
        </w:rPr>
        <w:t>：</w:t>
      </w:r>
      <w:r>
        <w:rPr>
          <w:rFonts w:ascii="宋体" w:hAnsi="宋体" w:cs="宋体" w:eastAsia="宋体" w:hint="default"/>
          <w:spacing w:val="-3"/>
        </w:rPr>
        <w:t>2015</w:t>
      </w:r>
      <w:r>
        <w:rPr>
          <w:rFonts w:ascii="宋体" w:hAnsi="宋体" w:cs="宋体" w:eastAsia="宋体" w:hint="default"/>
          <w:spacing w:val="-75"/>
        </w:rPr>
        <w:t> </w:t>
      </w:r>
      <w:r>
        <w:rPr/>
        <w:t>年度，公司业绩未满足《北京华胜天成科技股份有限公司第二期股权激励 </w:t>
      </w:r>
      <w:r>
        <w:rPr>
          <w:spacing w:val="-2"/>
        </w:rPr>
        <w:t>计划（草案）》规定的业绩条件，根据《北京华胜天成科技股份有限公司第二期股权</w:t>
      </w:r>
      <w:r>
        <w:rPr>
          <w:spacing w:val="-96"/>
        </w:rPr>
        <w:t> </w:t>
      </w:r>
      <w:r>
        <w:rPr>
          <w:spacing w:val="-96"/>
        </w:rPr>
      </w:r>
      <w:r>
        <w:rPr>
          <w:spacing w:val="-2"/>
        </w:rPr>
        <w:t>激励计划（草案）》相关规定，公司将回购并注销股权激励对象第一次解锁期所涉限</w:t>
      </w:r>
      <w:r>
        <w:rPr>
          <w:spacing w:val="-94"/>
        </w:rPr>
        <w:t> </w:t>
      </w:r>
      <w:r>
        <w:rPr>
          <w:spacing w:val="-94"/>
        </w:rPr>
      </w:r>
      <w:r>
        <w:rPr/>
        <w:t>制性股票。</w:t>
      </w:r>
    </w:p>
    <w:p>
      <w:pPr>
        <w:spacing w:line="240" w:lineRule="auto" w:before="5"/>
        <w:rPr>
          <w:rFonts w:ascii="宋体" w:hAnsi="宋体" w:cs="宋体" w:eastAsia="宋体" w:hint="default"/>
          <w:sz w:val="34"/>
          <w:szCs w:val="34"/>
        </w:rPr>
      </w:pPr>
    </w:p>
    <w:p>
      <w:pPr>
        <w:pStyle w:val="Heading2"/>
        <w:spacing w:line="240" w:lineRule="auto" w:before="0"/>
        <w:ind w:right="104"/>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战略投资者或一般法人因配售新股成为前</w:t>
      </w:r>
      <w:r>
        <w:rPr>
          <w:spacing w:val="-58"/>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spacing w:before="33"/>
        <w:ind w:left="217" w:right="104"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240" w:lineRule="auto" w:before="10"/>
        <w:rPr>
          <w:rFonts w:ascii="宋体" w:hAnsi="宋体" w:cs="宋体" w:eastAsia="宋体" w:hint="default"/>
          <w:sz w:val="24"/>
          <w:szCs w:val="24"/>
        </w:rPr>
      </w:pPr>
    </w:p>
    <w:p>
      <w:pPr>
        <w:pStyle w:val="Heading2"/>
        <w:tabs>
          <w:tab w:pos="1057" w:val="left" w:leader="none"/>
        </w:tabs>
        <w:spacing w:line="240" w:lineRule="auto" w:before="0"/>
        <w:ind w:right="104"/>
        <w:jc w:val="left"/>
        <w:rPr>
          <w:b w:val="0"/>
          <w:bCs w:val="0"/>
        </w:rPr>
      </w:pPr>
      <w:r>
        <w:rPr/>
        <w:t>四、</w:t>
        <w:tab/>
        <w:t>控股股东及实际控制人情况</w:t>
      </w:r>
      <w:r>
        <w:rPr>
          <w:b w:val="0"/>
          <w:bCs w:val="0"/>
        </w:rPr>
      </w:r>
    </w:p>
    <w:p>
      <w:pPr>
        <w:pStyle w:val="Heading2"/>
        <w:spacing w:line="240" w:lineRule="auto" w:before="55"/>
        <w:ind w:right="10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b w:val="0"/>
          <w:bCs w:val="0"/>
        </w:rPr>
      </w:r>
    </w:p>
    <w:p>
      <w:pPr>
        <w:tabs>
          <w:tab w:pos="637" w:val="left" w:leader="none"/>
        </w:tabs>
        <w:spacing w:line="331" w:lineRule="auto" w:before="27"/>
        <w:ind w:left="697" w:right="407"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公司不存在控股股东情况的特别说明</w:t>
      </w:r>
      <w:r>
        <w:rPr>
          <w:rFonts w:ascii="宋体" w:hAnsi="宋体" w:cs="宋体" w:eastAsia="宋体" w:hint="default"/>
          <w:b/>
          <w:bCs/>
          <w:w w:val="99"/>
          <w:sz w:val="24"/>
          <w:szCs w:val="24"/>
        </w:rPr>
        <w:t> </w:t>
      </w:r>
      <w:r>
        <w:rPr>
          <w:rFonts w:ascii="宋体" w:hAnsi="宋体" w:cs="宋体" w:eastAsia="宋体" w:hint="default"/>
          <w:sz w:val="24"/>
          <w:szCs w:val="24"/>
        </w:rPr>
        <w:t>公司不存在控股股东，主要原因是公司主要股东为自然人股东，且股权分散。</w:t>
      </w:r>
    </w:p>
    <w:p>
      <w:pPr>
        <w:spacing w:line="240" w:lineRule="auto" w:before="11"/>
        <w:rPr>
          <w:rFonts w:ascii="宋体" w:hAnsi="宋体" w:cs="宋体" w:eastAsia="宋体" w:hint="default"/>
          <w:sz w:val="34"/>
          <w:szCs w:val="34"/>
        </w:rPr>
      </w:pPr>
    </w:p>
    <w:p>
      <w:pPr>
        <w:pStyle w:val="Heading2"/>
        <w:tabs>
          <w:tab w:pos="637" w:val="left" w:leader="none"/>
        </w:tabs>
        <w:spacing w:line="283" w:lineRule="auto" w:before="0"/>
        <w:ind w:right="4533"/>
        <w:jc w:val="left"/>
        <w:rPr>
          <w:rFonts w:ascii="宋体" w:hAnsi="宋体" w:cs="宋体" w:eastAsia="宋体" w:hint="default"/>
          <w:b w:val="0"/>
          <w:bCs w:val="0"/>
        </w:rPr>
      </w:pPr>
      <w:r>
        <w:rPr>
          <w:rFonts w:ascii="宋体" w:hAnsi="宋体" w:cs="宋体" w:eastAsia="宋体" w:hint="default"/>
          <w:w w:val="95"/>
        </w:rPr>
        <w:t>2</w:t>
        <w:tab/>
      </w:r>
      <w:r>
        <w:rPr/>
        <w:t>报告期内控股股东变更情况索引及日期</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40" w:lineRule="auto" w:before="0"/>
        <w:ind w:right="10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tabs>
          <w:tab w:pos="641" w:val="left" w:leader="none"/>
        </w:tabs>
        <w:spacing w:line="328" w:lineRule="auto" w:before="27"/>
        <w:ind w:left="697" w:right="104"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公司不存在实际控制人情况的特别说明</w:t>
      </w:r>
      <w:r>
        <w:rPr>
          <w:rFonts w:ascii="宋体" w:hAnsi="宋体" w:cs="宋体" w:eastAsia="宋体" w:hint="default"/>
          <w:b/>
          <w:bCs/>
          <w:w w:val="99"/>
          <w:sz w:val="24"/>
          <w:szCs w:val="24"/>
        </w:rPr>
        <w:t> </w:t>
      </w:r>
      <w:r>
        <w:rPr>
          <w:rFonts w:ascii="宋体" w:hAnsi="宋体" w:cs="宋体" w:eastAsia="宋体" w:hint="default"/>
          <w:sz w:val="24"/>
          <w:szCs w:val="24"/>
        </w:rPr>
        <w:t>公司不存在实际控制人，主要原因是公司主要股东为自然人股东，且股权分散。</w:t>
      </w:r>
    </w:p>
    <w:p>
      <w:pPr>
        <w:spacing w:line="240" w:lineRule="auto" w:before="4"/>
        <w:rPr>
          <w:rFonts w:ascii="宋体" w:hAnsi="宋体" w:cs="宋体" w:eastAsia="宋体" w:hint="default"/>
          <w:sz w:val="35"/>
          <w:szCs w:val="35"/>
        </w:rPr>
      </w:pPr>
    </w:p>
    <w:p>
      <w:pPr>
        <w:pStyle w:val="Heading2"/>
        <w:tabs>
          <w:tab w:pos="641" w:val="left" w:leader="none"/>
        </w:tabs>
        <w:spacing w:line="283" w:lineRule="auto" w:before="0"/>
        <w:ind w:right="4287"/>
        <w:jc w:val="left"/>
        <w:rPr>
          <w:rFonts w:ascii="宋体" w:hAnsi="宋体" w:cs="宋体" w:eastAsia="宋体" w:hint="default"/>
          <w:b w:val="0"/>
          <w:bCs w:val="0"/>
        </w:rPr>
      </w:pPr>
      <w:r>
        <w:rPr>
          <w:rFonts w:ascii="宋体" w:hAnsi="宋体" w:cs="宋体" w:eastAsia="宋体" w:hint="default"/>
          <w:w w:val="95"/>
        </w:rPr>
        <w:t>2</w:t>
        <w:tab/>
      </w:r>
      <w:r>
        <w:rPr/>
        <w:t>报告期内实际控制人变更情况索引及日期</w:t>
      </w:r>
      <w:r>
        <w:rPr>
          <w:w w:val="99"/>
        </w:rPr>
        <w:t> </w:t>
      </w:r>
      <w:r>
        <w:rPr>
          <w:rFonts w:ascii="宋体" w:hAnsi="宋体" w:cs="宋体" w:eastAsia="宋体" w:hint="default"/>
          <w:b w:val="0"/>
          <w:bCs w:val="0"/>
        </w:rPr>
        <w:t>无</w:t>
      </w:r>
    </w:p>
    <w:p>
      <w:pPr>
        <w:spacing w:after="0" w:line="283" w:lineRule="auto"/>
        <w:jc w:val="left"/>
        <w:rPr>
          <w:rFonts w:ascii="宋体" w:hAnsi="宋体" w:cs="宋体" w:eastAsia="宋体" w:hint="default"/>
        </w:rPr>
        <w:sectPr>
          <w:pgSz w:w="11910" w:h="16840"/>
          <w:pgMar w:header="880" w:footer="1195" w:top="1120" w:bottom="1380" w:left="1060" w:right="1580"/>
        </w:sectPr>
      </w:pPr>
    </w:p>
    <w:p>
      <w:pPr>
        <w:spacing w:line="240" w:lineRule="auto" w:before="2"/>
        <w:rPr>
          <w:rFonts w:ascii="宋体" w:hAnsi="宋体" w:cs="宋体" w:eastAsia="宋体" w:hint="default"/>
          <w:sz w:val="19"/>
          <w:szCs w:val="19"/>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3</w:t>
        <w:tab/>
      </w:r>
      <w:r>
        <w:rPr/>
        <w:t>公司与实际控制人之间的产权及控制关系的方框图</w:t>
      </w:r>
      <w:r>
        <w:rPr>
          <w:b w:val="0"/>
          <w:bCs w:val="0"/>
        </w:rPr>
      </w:r>
    </w:p>
    <w:p>
      <w:pPr>
        <w:spacing w:line="240" w:lineRule="auto" w:before="6"/>
        <w:rPr>
          <w:rFonts w:ascii="宋体" w:hAnsi="宋体" w:cs="宋体" w:eastAsia="宋体" w:hint="default"/>
          <w:b/>
          <w:bCs/>
          <w:sz w:val="7"/>
          <w:szCs w:val="7"/>
        </w:rPr>
      </w:pPr>
    </w:p>
    <w:p>
      <w:pPr>
        <w:spacing w:line="3248" w:lineRule="exact"/>
        <w:ind w:left="136"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514616" cy="20629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4" cstate="print"/>
                    <a:stretch>
                      <a:fillRect/>
                    </a:stretch>
                  </pic:blipFill>
                  <pic:spPr>
                    <a:xfrm>
                      <a:off x="0" y="0"/>
                      <a:ext cx="3514616" cy="2062924"/>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2"/>
        <w:rPr>
          <w:rFonts w:ascii="宋体" w:hAnsi="宋体" w:cs="宋体" w:eastAsia="宋体" w:hint="default"/>
          <w:b/>
          <w:bCs/>
          <w:sz w:val="25"/>
          <w:szCs w:val="25"/>
        </w:rPr>
      </w:pPr>
    </w:p>
    <w:p>
      <w:pPr>
        <w:pStyle w:val="Heading2"/>
        <w:tabs>
          <w:tab w:pos="562" w:val="left" w:leader="none"/>
        </w:tabs>
        <w:spacing w:line="283" w:lineRule="auto" w:before="0"/>
        <w:ind w:left="137" w:right="3222"/>
        <w:jc w:val="left"/>
        <w:rPr>
          <w:rFonts w:ascii="宋体" w:hAnsi="宋体" w:cs="宋体" w:eastAsia="宋体" w:hint="default"/>
          <w:b w:val="0"/>
          <w:bCs w:val="0"/>
        </w:rPr>
      </w:pPr>
      <w:r>
        <w:rPr>
          <w:rFonts w:ascii="宋体" w:hAnsi="宋体" w:cs="宋体" w:eastAsia="宋体" w:hint="default"/>
          <w:w w:val="95"/>
        </w:rPr>
        <w:t>4</w:t>
        <w:tab/>
      </w:r>
      <w:r>
        <w:rPr/>
        <w:t>实际控制人通过信托或其他资产管理方式控制公司</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spacing w:line="256" w:lineRule="auto" w:before="0"/>
        <w:ind w:left="617" w:right="4658" w:hanging="48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三</w:t>
      </w:r>
      <w:r>
        <w:rPr>
          <w:rFonts w:ascii="Calibri" w:hAnsi="Calibri" w:cs="Calibri" w:eastAsia="Calibri" w:hint="default"/>
          <w:b/>
          <w:bCs/>
          <w:sz w:val="24"/>
          <w:szCs w:val="24"/>
        </w:rPr>
        <w:t>)</w:t>
      </w:r>
      <w:r>
        <w:rPr>
          <w:rFonts w:ascii="Calibri" w:hAnsi="Calibri" w:cs="Calibri" w:eastAsia="Calibri" w:hint="default"/>
          <w:b/>
          <w:bCs/>
          <w:spacing w:val="-29"/>
          <w:sz w:val="24"/>
          <w:szCs w:val="24"/>
        </w:rPr>
        <w:t> </w:t>
      </w:r>
      <w:r>
        <w:rPr>
          <w:rFonts w:ascii="宋体" w:hAnsi="宋体" w:cs="宋体" w:eastAsia="宋体" w:hint="default"/>
          <w:b/>
          <w:bCs/>
          <w:sz w:val="24"/>
          <w:szCs w:val="24"/>
        </w:rPr>
        <w:t>控股股东及实际控制人其他情况介绍</w:t>
      </w:r>
      <w:r>
        <w:rPr>
          <w:rFonts w:ascii="宋体" w:hAnsi="宋体" w:cs="宋体" w:eastAsia="宋体" w:hint="default"/>
          <w:b/>
          <w:bCs/>
          <w:w w:val="99"/>
          <w:sz w:val="24"/>
          <w:szCs w:val="24"/>
        </w:rPr>
        <w:t> </w:t>
      </w:r>
      <w:r>
        <w:rPr>
          <w:rFonts w:ascii="宋体" w:hAnsi="宋体" w:cs="宋体" w:eastAsia="宋体" w:hint="default"/>
          <w:sz w:val="24"/>
          <w:szCs w:val="24"/>
        </w:rPr>
        <w:t>公司第一大股东情况介绍：</w:t>
      </w:r>
    </w:p>
    <w:p>
      <w:pPr>
        <w:pStyle w:val="BodyText"/>
        <w:spacing w:line="294" w:lineRule="exact"/>
        <w:ind w:left="617" w:right="0"/>
        <w:jc w:val="left"/>
      </w:pPr>
      <w:r>
        <w:rPr>
          <w:spacing w:val="-5"/>
        </w:rPr>
        <w:t>王维航先生，</w:t>
      </w:r>
      <w:r>
        <w:rPr>
          <w:rFonts w:ascii="宋体" w:hAnsi="宋体" w:cs="宋体" w:eastAsia="宋体" w:hint="default"/>
          <w:spacing w:val="-5"/>
        </w:rPr>
        <w:t>49</w:t>
      </w:r>
      <w:r>
        <w:rPr>
          <w:rFonts w:ascii="宋体" w:hAnsi="宋体" w:cs="宋体" w:eastAsia="宋体" w:hint="default"/>
          <w:spacing w:val="-45"/>
        </w:rPr>
        <w:t> </w:t>
      </w:r>
      <w:r>
        <w:rPr>
          <w:spacing w:val="-3"/>
        </w:rPr>
        <w:t>岁，获浙江大学信息电子工程系微电子学专业硕士学位，清华大</w:t>
      </w:r>
    </w:p>
    <w:p>
      <w:pPr>
        <w:pStyle w:val="BodyText"/>
        <w:spacing w:line="310" w:lineRule="exact" w:before="31"/>
        <w:ind w:right="101"/>
        <w:jc w:val="left"/>
      </w:pPr>
      <w:r>
        <w:rPr/>
        <w:t>学经济管理学院</w:t>
      </w:r>
      <w:r>
        <w:rPr>
          <w:spacing w:val="-44"/>
        </w:rPr>
        <w:t> </w:t>
      </w:r>
      <w:r>
        <w:rPr>
          <w:rFonts w:ascii="宋体" w:hAnsi="宋体" w:cs="宋体" w:eastAsia="宋体" w:hint="default"/>
          <w:spacing w:val="-4"/>
        </w:rPr>
        <w:t>EMBA</w:t>
      </w:r>
      <w:r>
        <w:rPr>
          <w:spacing w:val="-4"/>
        </w:rPr>
        <w:t>。现任公司第五届董事会董事长兼总裁。曾任公司总经理、第一</w:t>
      </w:r>
      <w:r>
        <w:rPr>
          <w:spacing w:val="-118"/>
        </w:rPr>
        <w:t> </w:t>
      </w:r>
      <w:r>
        <w:rPr>
          <w:spacing w:val="-118"/>
        </w:rPr>
      </w:r>
      <w:r>
        <w:rPr/>
        <w:t>届董事会副董事长兼总经理，第二、三、四届董事会副董事长兼总裁。</w:t>
      </w:r>
    </w:p>
    <w:p>
      <w:pPr>
        <w:spacing w:line="240" w:lineRule="auto" w:before="2"/>
        <w:rPr>
          <w:rFonts w:ascii="宋体" w:hAnsi="宋体" w:cs="宋体" w:eastAsia="宋体" w:hint="default"/>
          <w:sz w:val="26"/>
          <w:szCs w:val="26"/>
        </w:rPr>
      </w:pPr>
    </w:p>
    <w:p>
      <w:pPr>
        <w:pStyle w:val="Heading2"/>
        <w:tabs>
          <w:tab w:pos="977" w:val="left" w:leader="none"/>
        </w:tabs>
        <w:spacing w:line="283" w:lineRule="auto" w:before="0"/>
        <w:ind w:left="137" w:right="4254"/>
        <w:jc w:val="left"/>
        <w:rPr>
          <w:rFonts w:ascii="宋体" w:hAnsi="宋体" w:cs="宋体" w:eastAsia="宋体" w:hint="default"/>
          <w:b w:val="0"/>
          <w:bCs w:val="0"/>
        </w:rPr>
      </w:pPr>
      <w:r>
        <w:rPr/>
        <w:t>五、</w:t>
        <w:tab/>
        <w:t>其他持股在百分之十以上的法人股东</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before="0"/>
        <w:ind w:left="137" w:right="0"/>
        <w:jc w:val="left"/>
        <w:rPr>
          <w:b w:val="0"/>
          <w:bCs w:val="0"/>
        </w:rPr>
      </w:pPr>
      <w:r>
        <w:rPr/>
        <w:t>六、</w:t>
        <w:tab/>
        <w:t>股份限制减持情况说明</w:t>
      </w:r>
      <w:r>
        <w:rPr>
          <w:b w:val="0"/>
          <w:bCs w:val="0"/>
        </w:rPr>
      </w:r>
    </w:p>
    <w:p>
      <w:pPr>
        <w:pStyle w:val="BodyText"/>
        <w:spacing w:line="240" w:lineRule="auto" w:before="58"/>
        <w:ind w:right="0"/>
        <w:jc w:val="left"/>
      </w:pPr>
      <w:r>
        <w:rPr/>
        <w:t>□适用√不适用</w:t>
      </w:r>
    </w:p>
    <w:p>
      <w:pPr>
        <w:spacing w:after="0" w:line="240" w:lineRule="auto"/>
        <w:jc w:val="left"/>
        <w:sectPr>
          <w:footerReference w:type="default" r:id="rId23"/>
          <w:pgSz w:w="11910" w:h="16840"/>
          <w:pgMar w:footer="1195" w:header="880" w:top="1120" w:bottom="1380" w:left="1140" w:right="16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1"/>
        <w:tabs>
          <w:tab w:pos="4198" w:val="left" w:leader="none"/>
        </w:tabs>
        <w:spacing w:line="240" w:lineRule="auto"/>
        <w:ind w:left="2938"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11"/>
        <w:rPr>
          <w:rFonts w:ascii="黑体" w:hAnsi="黑体" w:cs="黑体" w:eastAsia="黑体" w:hint="default"/>
          <w:b/>
          <w:bCs/>
          <w:sz w:val="16"/>
          <w:szCs w:val="16"/>
        </w:rPr>
      </w:pPr>
    </w:p>
    <w:p>
      <w:pPr>
        <w:pStyle w:val="BodyText"/>
        <w:spacing w:line="240" w:lineRule="auto" w:before="26"/>
        <w:ind w:right="0"/>
        <w:jc w:val="left"/>
      </w:pPr>
      <w:r>
        <w:rPr/>
        <w:t>□适用</w:t>
      </w:r>
      <w:r>
        <w:rPr>
          <w:spacing w:val="-1"/>
        </w:rPr>
        <w:t> </w:t>
      </w:r>
      <w:r>
        <w:rPr/>
        <w:t>√不适用</w:t>
      </w:r>
    </w:p>
    <w:p>
      <w:pPr>
        <w:spacing w:after="0" w:line="240" w:lineRule="auto"/>
        <w:jc w:val="left"/>
        <w:sectPr>
          <w:footerReference w:type="default" r:id="rId25"/>
          <w:pgSz w:w="11910" w:h="16840"/>
          <w:pgMar w:footer="1195" w:header="880" w:top="1120" w:bottom="1380" w:left="1140" w:right="1680"/>
        </w:sectPr>
      </w:pPr>
    </w:p>
    <w:p>
      <w:pPr>
        <w:pStyle w:val="Heading1"/>
        <w:tabs>
          <w:tab w:pos="5401" w:val="left" w:leader="none"/>
        </w:tabs>
        <w:spacing w:line="240" w:lineRule="auto" w:before="103"/>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2" w:footer="1195" w:top="1120" w:bottom="1380" w:left="1300" w:right="1200"/>
          <w:pgNumType w:start="52"/>
        </w:sectPr>
      </w:pPr>
    </w:p>
    <w:p>
      <w:pPr>
        <w:pStyle w:val="Heading2"/>
        <w:spacing w:line="240" w:lineRule="auto"/>
        <w:ind w:left="224" w:right="-15"/>
        <w:jc w:val="left"/>
        <w:rPr>
          <w:b w:val="0"/>
          <w:bCs w:val="0"/>
        </w:rPr>
      </w:pPr>
      <w:r>
        <w:rPr/>
        <w:t>一、持股变动情况及报酬情况</w:t>
      </w:r>
      <w:r>
        <w:rPr>
          <w:b w:val="0"/>
          <w:bCs w:val="0"/>
        </w:rPr>
      </w:r>
    </w:p>
    <w:p>
      <w:pPr>
        <w:pStyle w:val="Heading2"/>
        <w:spacing w:line="240" w:lineRule="auto" w:before="55"/>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2"/>
        </w:rPr>
        <w:t> </w:t>
      </w:r>
      <w:r>
        <w:rPr/>
        <w:t>现任及报告期内离任董事、监事和高级管理人员持股变动及报酬情况</w:t>
      </w:r>
      <w:r>
        <w:rPr>
          <w:b w:val="0"/>
          <w:bCs w:val="0"/>
        </w:rPr>
      </w:r>
    </w:p>
    <w:p>
      <w:pPr>
        <w:pStyle w:val="BodyText"/>
        <w:spacing w:line="240" w:lineRule="auto" w:before="27"/>
        <w:ind w:left="224"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7871" w:space="5043"/>
            <w:col w:w="142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0"/>
        <w:gridCol w:w="1138"/>
        <w:gridCol w:w="833"/>
        <w:gridCol w:w="836"/>
        <w:gridCol w:w="1217"/>
        <w:gridCol w:w="1219"/>
        <w:gridCol w:w="1265"/>
        <w:gridCol w:w="1267"/>
        <w:gridCol w:w="1352"/>
        <w:gridCol w:w="1150"/>
        <w:gridCol w:w="1397"/>
        <w:gridCol w:w="1395"/>
      </w:tblGrid>
      <w:tr>
        <w:trPr>
          <w:trHeight w:val="110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3" w:right="177"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6"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3" w:right="14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59" w:right="14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8" w:right="16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2" w:lineRule="exact" w:before="26"/>
              <w:ind w:left="482" w:right="163"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7"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董事长兼</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62,937,446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65,652,297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2,714,851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增持</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120.38</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549.50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25.03</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董事兼常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务副总裁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49,511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370,489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激励注销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110.74</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396,090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-396,090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60.40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监事会主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71.78</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31.93</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安耀华</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31.46</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邓昳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61.07</w:t>
            </w:r>
          </w:p>
        </w:tc>
        <w:tc>
          <w:tcPr>
            <w:tcW w:w="13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30"/>
        <w:gridCol w:w="1138"/>
        <w:gridCol w:w="833"/>
        <w:gridCol w:w="836"/>
        <w:gridCol w:w="1217"/>
        <w:gridCol w:w="1219"/>
        <w:gridCol w:w="1265"/>
        <w:gridCol w:w="1267"/>
        <w:gridCol w:w="1352"/>
        <w:gridCol w:w="1150"/>
        <w:gridCol w:w="1397"/>
        <w:gridCol w:w="1395"/>
      </w:tblGrid>
      <w:tr>
        <w:trPr>
          <w:trHeight w:val="1099"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343,278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-93,278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104.25</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865,277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-865,277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78.34</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676,660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326,780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-349,880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56.69</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黄华</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2015/8/11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63.53</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99,024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266,016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166,992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85.06</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董事会秘</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2017/3/13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33,008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316,504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283,496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激励注销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46.45</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65,400,294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67,431,597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2,031,303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1,528.61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1"/>
        <w:rPr>
          <w:rFonts w:ascii="Times New Roman" w:hAnsi="Times New Roman" w:cs="Times New Roman" w:eastAsia="Times New Roman"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366"/>
        <w:gridCol w:w="12499"/>
      </w:tblGrid>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王维航先生，</w:t>
            </w:r>
            <w:r>
              <w:rPr>
                <w:rFonts w:ascii="宋体" w:hAnsi="宋体" w:cs="宋体" w:eastAsia="宋体" w:hint="default"/>
                <w:spacing w:val="-2"/>
                <w:sz w:val="21"/>
                <w:szCs w:val="21"/>
              </w:rPr>
              <w:t>49</w:t>
            </w:r>
            <w:r>
              <w:rPr>
                <w:rFonts w:ascii="宋体" w:hAnsi="宋体" w:cs="宋体" w:eastAsia="宋体" w:hint="default"/>
                <w:sz w:val="21"/>
                <w:szCs w:val="21"/>
              </w:rPr>
              <w:t> </w:t>
            </w:r>
            <w:r>
              <w:rPr>
                <w:rFonts w:ascii="宋体" w:hAnsi="宋体" w:cs="宋体" w:eastAsia="宋体" w:hint="default"/>
                <w:spacing w:val="-2"/>
                <w:sz w:val="21"/>
                <w:szCs w:val="21"/>
              </w:rPr>
              <w:t>岁，获浙江大学信息电子工程系微电子学专业硕士学位，清华大学经济管理学院</w:t>
            </w:r>
            <w:r>
              <w:rPr>
                <w:rFonts w:ascii="宋体" w:hAnsi="宋体" w:cs="宋体" w:eastAsia="宋体" w:hint="default"/>
                <w:spacing w:val="-1"/>
                <w:sz w:val="21"/>
                <w:szCs w:val="21"/>
              </w:rPr>
              <w:t> </w:t>
            </w:r>
            <w:r>
              <w:rPr>
                <w:rFonts w:ascii="宋体" w:hAnsi="宋体" w:cs="宋体" w:eastAsia="宋体" w:hint="default"/>
                <w:spacing w:val="-2"/>
                <w:sz w:val="21"/>
                <w:szCs w:val="21"/>
              </w:rPr>
              <w:t>EMBA</w:t>
            </w:r>
            <w:r>
              <w:rPr>
                <w:rFonts w:ascii="宋体" w:hAnsi="宋体" w:cs="宋体" w:eastAsia="宋体" w:hint="default"/>
                <w:spacing w:val="-2"/>
                <w:sz w:val="21"/>
                <w:szCs w:val="21"/>
              </w:rPr>
              <w:t>。现任公司第五届董事会董事长</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兼总裁。曾任公司总经理、第一届董事会副董事长兼总经理，第二、三、四届董事会副董事长兼总裁。</w:t>
            </w:r>
          </w:p>
        </w:tc>
      </w:tr>
      <w:tr>
        <w:trPr>
          <w:trHeight w:val="203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00"/>
              <w:ind w:left="105" w:right="53" w:firstLine="31"/>
              <w:jc w:val="both"/>
              <w:rPr>
                <w:rFonts w:ascii="宋体" w:hAnsi="宋体" w:cs="宋体" w:eastAsia="宋体" w:hint="default"/>
                <w:sz w:val="21"/>
                <w:szCs w:val="21"/>
              </w:rPr>
            </w:pPr>
            <w:r>
              <w:rPr>
                <w:rFonts w:ascii="宋体" w:hAnsi="宋体" w:cs="宋体" w:eastAsia="宋体" w:hint="default"/>
                <w:spacing w:val="-2"/>
                <w:sz w:val="21"/>
                <w:szCs w:val="21"/>
              </w:rPr>
              <w:t>梁达光先生，</w:t>
            </w:r>
            <w:r>
              <w:rPr>
                <w:rFonts w:ascii="Arial" w:hAnsi="Arial" w:cs="Arial" w:eastAsia="Arial" w:hint="default"/>
                <w:spacing w:val="-2"/>
                <w:sz w:val="21"/>
                <w:szCs w:val="21"/>
              </w:rPr>
              <w:t>55</w:t>
            </w:r>
            <w:r>
              <w:rPr>
                <w:rFonts w:ascii="Arial" w:hAnsi="Arial" w:cs="Arial" w:eastAsia="Arial" w:hint="default"/>
                <w:sz w:val="21"/>
                <w:szCs w:val="21"/>
              </w:rPr>
              <w:t> </w:t>
            </w:r>
            <w:r>
              <w:rPr>
                <w:rFonts w:ascii="宋体" w:hAnsi="宋体" w:cs="宋体" w:eastAsia="宋体" w:hint="default"/>
                <w:spacing w:val="-2"/>
                <w:sz w:val="21"/>
                <w:szCs w:val="21"/>
              </w:rPr>
              <w:t>岁，获美国加州州立大学长滩分校颁发工商计算机法理学士学位及工商管理硕士学位。现任公司第五届董事会董事、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Arial" w:hAnsi="Arial" w:cs="Arial" w:eastAsia="Arial" w:hint="default"/>
                <w:sz w:val="21"/>
                <w:szCs w:val="21"/>
              </w:rPr>
              <w:t>ASL </w:t>
            </w:r>
            <w:r>
              <w:rPr>
                <w:rFonts w:ascii="宋体" w:hAnsi="宋体" w:cs="宋体" w:eastAsia="宋体" w:hint="default"/>
                <w:sz w:val="21"/>
                <w:szCs w:val="21"/>
              </w:rPr>
              <w:t>联营公司 </w:t>
            </w:r>
            <w:r>
              <w:rPr>
                <w:rFonts w:ascii="Arial" w:hAnsi="Arial" w:cs="Arial" w:eastAsia="Arial" w:hint="default"/>
                <w:sz w:val="21"/>
                <w:szCs w:val="21"/>
              </w:rPr>
              <w:t>i-Sprint Innovations Pte Ltd </w:t>
            </w:r>
            <w:r>
              <w:rPr>
                <w:rFonts w:ascii="宋体" w:hAnsi="宋体" w:cs="宋体" w:eastAsia="宋体" w:hint="default"/>
                <w:sz w:val="21"/>
                <w:szCs w:val="21"/>
              </w:rPr>
              <w:t>董事会主席以及其若干附属公司董事及</w:t>
            </w:r>
            <w:r>
              <w:rPr>
                <w:rFonts w:ascii="Arial" w:hAnsi="Arial" w:cs="Arial" w:eastAsia="Arial" w:hint="default"/>
                <w:sz w:val="21"/>
                <w:szCs w:val="21"/>
              </w:rPr>
              <w:t>/</w:t>
            </w:r>
            <w:r>
              <w:rPr>
                <w:rFonts w:ascii="宋体" w:hAnsi="宋体" w:cs="宋体" w:eastAsia="宋体" w:hint="default"/>
                <w:sz w:val="21"/>
                <w:szCs w:val="21"/>
              </w:rPr>
              <w:t>或主席，包括 </w:t>
            </w:r>
            <w:r>
              <w:rPr>
                <w:rFonts w:ascii="Arial" w:hAnsi="Arial" w:cs="Arial" w:eastAsia="Arial" w:hint="default"/>
                <w:sz w:val="21"/>
                <w:szCs w:val="21"/>
              </w:rPr>
              <w:t>i-Sprint Innovations Pte Ltd</w:t>
            </w:r>
            <w:r>
              <w:rPr>
                <w:rFonts w:ascii="Arial" w:hAnsi="Arial" w:cs="Arial" w:eastAsia="Arial" w:hint="default"/>
                <w:spacing w:val="24"/>
                <w:sz w:val="21"/>
                <w:szCs w:val="21"/>
              </w:rPr>
              <w:t> </w:t>
            </w:r>
            <w:r>
              <w:rPr>
                <w:rFonts w:ascii="宋体" w:hAnsi="宋体" w:cs="宋体" w:eastAsia="宋体" w:hint="default"/>
                <w:spacing w:val="-3"/>
                <w:sz w:val="21"/>
                <w:szCs w:val="21"/>
              </w:rPr>
              <w:t>董事、</w:t>
            </w:r>
            <w:r>
              <w:rPr>
                <w:rFonts w:ascii="宋体" w:hAnsi="宋体" w:cs="宋体" w:eastAsia="宋体" w:hint="default"/>
                <w:spacing w:val="-3"/>
                <w:w w:val="100"/>
                <w:sz w:val="21"/>
                <w:szCs w:val="21"/>
              </w:rPr>
              <w:t> </w:t>
            </w:r>
            <w:r>
              <w:rPr>
                <w:rFonts w:ascii="Arial" w:hAnsi="Arial" w:cs="Arial" w:eastAsia="Arial" w:hint="default"/>
                <w:sz w:val="21"/>
                <w:szCs w:val="21"/>
              </w:rPr>
              <w:t>I-Sprint</w:t>
            </w:r>
            <w:r>
              <w:rPr>
                <w:rFonts w:ascii="Arial" w:hAnsi="Arial" w:cs="Arial" w:eastAsia="Arial" w:hint="default"/>
                <w:spacing w:val="-8"/>
                <w:sz w:val="21"/>
                <w:szCs w:val="21"/>
              </w:rPr>
              <w:t> </w:t>
            </w:r>
            <w:r>
              <w:rPr>
                <w:rFonts w:ascii="Arial" w:hAnsi="Arial" w:cs="Arial" w:eastAsia="Arial" w:hint="default"/>
                <w:sz w:val="21"/>
                <w:szCs w:val="21"/>
              </w:rPr>
              <w:t>Technologies</w:t>
            </w:r>
            <w:r>
              <w:rPr>
                <w:rFonts w:ascii="Arial" w:hAnsi="Arial" w:cs="Arial" w:eastAsia="Arial" w:hint="default"/>
                <w:spacing w:val="-5"/>
                <w:sz w:val="21"/>
                <w:szCs w:val="21"/>
              </w:rPr>
              <w:t> </w:t>
            </w:r>
            <w:r>
              <w:rPr>
                <w:rFonts w:ascii="Arial" w:hAnsi="Arial" w:cs="Arial" w:eastAsia="Arial" w:hint="default"/>
                <w:sz w:val="21"/>
                <w:szCs w:val="21"/>
              </w:rPr>
              <w:t>Sdn</w:t>
            </w:r>
            <w:r>
              <w:rPr>
                <w:rFonts w:ascii="Arial" w:hAnsi="Arial" w:cs="Arial" w:eastAsia="Arial" w:hint="default"/>
                <w:spacing w:val="-7"/>
                <w:sz w:val="21"/>
                <w:szCs w:val="21"/>
              </w:rPr>
              <w:t> </w:t>
            </w:r>
            <w:r>
              <w:rPr>
                <w:rFonts w:ascii="Arial" w:hAnsi="Arial" w:cs="Arial" w:eastAsia="Arial" w:hint="default"/>
                <w:sz w:val="21"/>
                <w:szCs w:val="21"/>
              </w:rPr>
              <w:t>Bhd</w:t>
            </w:r>
            <w:r>
              <w:rPr>
                <w:rFonts w:ascii="Arial" w:hAnsi="Arial" w:cs="Arial" w:eastAsia="Arial" w:hint="default"/>
                <w:spacing w:val="-1"/>
                <w:sz w:val="21"/>
                <w:szCs w:val="21"/>
              </w:rPr>
              <w:t> </w:t>
            </w:r>
            <w:r>
              <w:rPr>
                <w:rFonts w:ascii="宋体" w:hAnsi="宋体" w:cs="宋体" w:eastAsia="宋体" w:hint="default"/>
                <w:spacing w:val="-10"/>
                <w:sz w:val="21"/>
                <w:szCs w:val="21"/>
              </w:rPr>
              <w:t>董事、安讯腾（北京）董事会主席及</w:t>
            </w:r>
            <w:r>
              <w:rPr>
                <w:rFonts w:ascii="宋体" w:hAnsi="宋体" w:cs="宋体" w:eastAsia="宋体" w:hint="default"/>
                <w:spacing w:val="-52"/>
                <w:sz w:val="21"/>
                <w:szCs w:val="21"/>
              </w:rPr>
              <w:t> </w:t>
            </w:r>
            <w:r>
              <w:rPr>
                <w:rFonts w:ascii="Arial" w:hAnsi="Arial" w:cs="Arial" w:eastAsia="Arial" w:hint="default"/>
                <w:sz w:val="21"/>
                <w:szCs w:val="21"/>
              </w:rPr>
              <w:t>I-Sprint</w:t>
            </w:r>
            <w:r>
              <w:rPr>
                <w:rFonts w:ascii="Arial" w:hAnsi="Arial" w:cs="Arial" w:eastAsia="Arial" w:hint="default"/>
                <w:spacing w:val="-6"/>
                <w:sz w:val="21"/>
                <w:szCs w:val="21"/>
              </w:rPr>
              <w:t> </w:t>
            </w:r>
            <w:r>
              <w:rPr>
                <w:rFonts w:ascii="Arial" w:hAnsi="Arial" w:cs="Arial" w:eastAsia="Arial" w:hint="default"/>
                <w:sz w:val="21"/>
                <w:szCs w:val="21"/>
              </w:rPr>
              <w:t>Innovations</w:t>
            </w:r>
            <w:r>
              <w:rPr>
                <w:rFonts w:ascii="Arial" w:hAnsi="Arial" w:cs="Arial" w:eastAsia="Arial" w:hint="default"/>
                <w:spacing w:val="-5"/>
                <w:sz w:val="21"/>
                <w:szCs w:val="21"/>
              </w:rPr>
              <w:t> </w:t>
            </w:r>
            <w:r>
              <w:rPr>
                <w:rFonts w:ascii="Arial" w:hAnsi="Arial" w:cs="Arial" w:eastAsia="Arial" w:hint="default"/>
                <w:sz w:val="21"/>
                <w:szCs w:val="21"/>
              </w:rPr>
              <w:t>(HK)</w:t>
            </w:r>
            <w:r>
              <w:rPr>
                <w:rFonts w:ascii="Arial" w:hAnsi="Arial" w:cs="Arial" w:eastAsia="Arial" w:hint="default"/>
                <w:spacing w:val="-6"/>
                <w:sz w:val="21"/>
                <w:szCs w:val="21"/>
              </w:rPr>
              <w:t> </w:t>
            </w:r>
            <w:r>
              <w:rPr>
                <w:rFonts w:ascii="Arial" w:hAnsi="Arial" w:cs="Arial" w:eastAsia="Arial" w:hint="default"/>
                <w:sz w:val="21"/>
                <w:szCs w:val="21"/>
              </w:rPr>
              <w:t>Ltd</w:t>
            </w:r>
            <w:r>
              <w:rPr>
                <w:rFonts w:ascii="Arial" w:hAnsi="Arial" w:cs="Arial" w:eastAsia="Arial" w:hint="default"/>
                <w:spacing w:val="-2"/>
                <w:sz w:val="21"/>
                <w:szCs w:val="21"/>
              </w:rPr>
              <w:t> </w:t>
            </w:r>
            <w:r>
              <w:rPr>
                <w:rFonts w:ascii="宋体" w:hAnsi="宋体" w:cs="宋体" w:eastAsia="宋体" w:hint="default"/>
                <w:spacing w:val="-7"/>
                <w:sz w:val="21"/>
                <w:szCs w:val="21"/>
              </w:rPr>
              <w:t>董事会主席。并任</w:t>
            </w:r>
            <w:r>
              <w:rPr>
                <w:rFonts w:ascii="宋体" w:hAnsi="宋体" w:cs="宋体" w:eastAsia="宋体" w:hint="default"/>
                <w:spacing w:val="-54"/>
                <w:sz w:val="21"/>
                <w:szCs w:val="21"/>
              </w:rPr>
              <w:t> </w:t>
            </w:r>
            <w:r>
              <w:rPr>
                <w:rFonts w:ascii="Arial" w:hAnsi="Arial" w:cs="Arial" w:eastAsia="Arial" w:hint="default"/>
                <w:sz w:val="21"/>
                <w:szCs w:val="21"/>
              </w:rPr>
              <w:t>AsiaSoft</w:t>
            </w:r>
            <w:r>
              <w:rPr>
                <w:rFonts w:ascii="Arial" w:hAnsi="Arial" w:cs="Arial" w:eastAsia="Arial" w:hint="default"/>
                <w:spacing w:val="-6"/>
                <w:sz w:val="21"/>
                <w:szCs w:val="21"/>
              </w:rPr>
              <w:t> </w:t>
            </w:r>
            <w:r>
              <w:rPr>
                <w:rFonts w:ascii="Arial" w:hAnsi="Arial" w:cs="Arial" w:eastAsia="Arial" w:hint="default"/>
                <w:sz w:val="21"/>
                <w:szCs w:val="21"/>
              </w:rPr>
              <w:t>Company</w:t>
            </w:r>
            <w:r>
              <w:rPr>
                <w:rFonts w:ascii="Arial" w:hAnsi="Arial" w:cs="Arial" w:eastAsia="Arial" w:hint="default"/>
                <w:spacing w:val="-55"/>
                <w:sz w:val="21"/>
                <w:szCs w:val="21"/>
              </w:rPr>
              <w:t> </w:t>
            </w:r>
            <w:r>
              <w:rPr>
                <w:rFonts w:ascii="Arial" w:hAnsi="Arial" w:cs="Arial" w:eastAsia="Arial" w:hint="default"/>
                <w:spacing w:val="-55"/>
                <w:sz w:val="21"/>
                <w:szCs w:val="21"/>
              </w:rPr>
            </w:r>
            <w:r>
              <w:rPr>
                <w:rFonts w:ascii="Arial" w:hAnsi="Arial" w:cs="Arial" w:eastAsia="Arial" w:hint="default"/>
                <w:spacing w:val="-3"/>
                <w:sz w:val="21"/>
                <w:szCs w:val="21"/>
              </w:rPr>
              <w:t>Limited</w:t>
            </w:r>
            <w:r>
              <w:rPr>
                <w:rFonts w:ascii="宋体" w:hAnsi="宋体" w:cs="宋体" w:eastAsia="宋体" w:hint="default"/>
                <w:spacing w:val="-3"/>
                <w:sz w:val="21"/>
                <w:szCs w:val="21"/>
              </w:rPr>
              <w:t>（永亚有限公司）董事兼共同创办人及曾任行政总裁。</w:t>
            </w:r>
            <w:r>
              <w:rPr>
                <w:rFonts w:ascii="Arial" w:hAnsi="Arial" w:cs="Arial" w:eastAsia="Arial" w:hint="default"/>
                <w:spacing w:val="-3"/>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pacing w:val="-3"/>
                <w:sz w:val="21"/>
                <w:szCs w:val="21"/>
              </w:rPr>
              <w:t>月至今任公司之附属公司长天科技董事，</w:t>
            </w:r>
            <w:r>
              <w:rPr>
                <w:rFonts w:ascii="Arial" w:hAnsi="Arial" w:cs="Arial" w:eastAsia="Arial" w:hint="default"/>
                <w:spacing w:val="-3"/>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月起代表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Arial" w:hAnsi="Arial" w:cs="Arial" w:eastAsia="Arial" w:hint="default"/>
                <w:sz w:val="21"/>
                <w:szCs w:val="21"/>
              </w:rPr>
              <w:t>ASL</w:t>
            </w:r>
            <w:r>
              <w:rPr>
                <w:rFonts w:ascii="Arial" w:hAnsi="Arial" w:cs="Arial" w:eastAsia="Arial" w:hint="default"/>
                <w:spacing w:val="-8"/>
                <w:sz w:val="21"/>
                <w:szCs w:val="21"/>
              </w:rPr>
              <w:t> </w:t>
            </w:r>
            <w:r>
              <w:rPr>
                <w:rFonts w:ascii="宋体" w:hAnsi="宋体" w:cs="宋体" w:eastAsia="宋体" w:hint="default"/>
                <w:sz w:val="21"/>
                <w:szCs w:val="21"/>
              </w:rPr>
              <w:t>担任公司高级顾问，</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月至今任北京理工大学珠海学院之兼职教授。曾于王安计算机有限公司、优利系统中国有限公司、</w:t>
            </w:r>
            <w:r>
              <w:rPr>
                <w:rFonts w:ascii="宋体" w:hAnsi="宋体" w:cs="宋体" w:eastAsia="宋体" w:hint="default"/>
                <w:w w:val="100"/>
                <w:sz w:val="21"/>
                <w:szCs w:val="21"/>
              </w:rPr>
              <w:t> </w:t>
            </w:r>
            <w:r>
              <w:rPr>
                <w:rFonts w:ascii="宋体" w:hAnsi="宋体" w:cs="宋体" w:eastAsia="宋体" w:hint="default"/>
                <w:sz w:val="21"/>
                <w:szCs w:val="21"/>
              </w:rPr>
              <w:t>菲利普莫里斯亚洲集团及</w:t>
            </w:r>
            <w:r>
              <w:rPr>
                <w:rFonts w:ascii="宋体" w:hAnsi="宋体" w:cs="宋体" w:eastAsia="宋体" w:hint="default"/>
                <w:spacing w:val="-48"/>
                <w:sz w:val="21"/>
                <w:szCs w:val="21"/>
              </w:rPr>
              <w:t> </w:t>
            </w:r>
            <w:r>
              <w:rPr>
                <w:rFonts w:ascii="Arial" w:hAnsi="Arial" w:cs="Arial" w:eastAsia="Arial" w:hint="default"/>
                <w:sz w:val="21"/>
                <w:szCs w:val="21"/>
              </w:rPr>
              <w:t>Exxon</w:t>
            </w:r>
            <w:r>
              <w:rPr>
                <w:rFonts w:ascii="Arial" w:hAnsi="Arial" w:cs="Arial" w:eastAsia="Arial" w:hint="default"/>
                <w:spacing w:val="-1"/>
                <w:sz w:val="21"/>
                <w:szCs w:val="21"/>
              </w:rPr>
              <w:t> </w:t>
            </w:r>
            <w:r>
              <w:rPr>
                <w:rFonts w:ascii="Arial" w:hAnsi="Arial" w:cs="Arial" w:eastAsia="Arial" w:hint="default"/>
                <w:sz w:val="21"/>
                <w:szCs w:val="21"/>
              </w:rPr>
              <w:t>Chemical Asia</w:t>
            </w:r>
            <w:r>
              <w:rPr>
                <w:rFonts w:ascii="Arial" w:hAnsi="Arial" w:cs="Arial" w:eastAsia="Arial" w:hint="default"/>
                <w:spacing w:val="-1"/>
                <w:sz w:val="21"/>
                <w:szCs w:val="21"/>
              </w:rPr>
              <w:t> </w:t>
            </w:r>
            <w:r>
              <w:rPr>
                <w:rFonts w:ascii="Arial" w:hAnsi="Arial" w:cs="Arial" w:eastAsia="Arial" w:hint="default"/>
                <w:sz w:val="21"/>
                <w:szCs w:val="21"/>
              </w:rPr>
              <w:t>Pacific</w:t>
            </w:r>
            <w:r>
              <w:rPr>
                <w:rFonts w:ascii="Arial" w:hAnsi="Arial" w:cs="Arial" w:eastAsia="Arial" w:hint="default"/>
                <w:spacing w:val="-1"/>
                <w:sz w:val="21"/>
                <w:szCs w:val="21"/>
              </w:rPr>
              <w:t> </w:t>
            </w:r>
            <w:r>
              <w:rPr>
                <w:rFonts w:ascii="Arial" w:hAnsi="Arial" w:cs="Arial" w:eastAsia="Arial" w:hint="default"/>
                <w:spacing w:val="-3"/>
                <w:sz w:val="21"/>
                <w:szCs w:val="21"/>
              </w:rPr>
              <w:t>Ltd.</w:t>
            </w:r>
            <w:r>
              <w:rPr>
                <w:rFonts w:ascii="宋体" w:hAnsi="宋体" w:cs="宋体" w:eastAsia="宋体" w:hint="default"/>
                <w:spacing w:val="-3"/>
                <w:sz w:val="21"/>
                <w:szCs w:val="21"/>
              </w:rPr>
              <w:t>等多家公司出任多个财务或销售职位，以及曾任太阳计算机系统有限公司大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中华董事总经理及企业董事。</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李伟先生，</w:t>
            </w:r>
            <w:r>
              <w:rPr>
                <w:rFonts w:ascii="Times New Roman" w:hAnsi="Times New Roman" w:cs="Times New Roman" w:eastAsia="Times New Roman" w:hint="default"/>
                <w:sz w:val="21"/>
                <w:szCs w:val="21"/>
              </w:rPr>
              <w:t>51 </w:t>
            </w:r>
            <w:r>
              <w:rPr>
                <w:rFonts w:ascii="宋体" w:hAnsi="宋体" w:cs="宋体" w:eastAsia="宋体" w:hint="default"/>
                <w:sz w:val="21"/>
                <w:szCs w:val="21"/>
              </w:rPr>
              <w:t>岁，长江商学院 </w:t>
            </w:r>
            <w:r>
              <w:rPr>
                <w:rFonts w:ascii="Times New Roman" w:hAnsi="Times New Roman" w:cs="Times New Roman" w:eastAsia="Times New Roman" w:hint="default"/>
                <w:sz w:val="21"/>
                <w:szCs w:val="21"/>
              </w:rPr>
              <w:t>EMBA</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硕士，南京师范大学硕士研究生。现任公司第五届董事会董事。曾任南京金陵科技大学讲师，江</w:t>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苏省证券公司江苏东方证券经纪有限公司经理，江苏有富远东集团有限公司董事长助理兼投资部总经理，南京伟中科技实业有限公司</w:t>
            </w:r>
          </w:p>
        </w:tc>
      </w:tr>
    </w:tbl>
    <w:p>
      <w:pPr>
        <w:spacing w:after="0" w:line="265" w:lineRule="exact"/>
        <w:jc w:val="left"/>
        <w:rPr>
          <w:rFonts w:ascii="宋体" w:hAnsi="宋体" w:cs="宋体" w:eastAsia="宋体" w:hint="default"/>
          <w:sz w:val="21"/>
          <w:szCs w:val="21"/>
        </w:rPr>
        <w:sectPr>
          <w:pgSz w:w="16840" w:h="11910" w:orient="landscape"/>
          <w:pgMar w:header="882" w:footer="1195" w:top="1120" w:bottom="13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6"/>
        <w:gridCol w:w="12499"/>
      </w:tblGrid>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总经理，银河科技（</w:t>
            </w:r>
            <w:r>
              <w:rPr>
                <w:rFonts w:ascii="Times New Roman" w:hAnsi="Times New Roman" w:cs="Times New Roman" w:eastAsia="Times New Roman" w:hint="default"/>
                <w:sz w:val="21"/>
                <w:szCs w:val="21"/>
              </w:rPr>
              <w:t>000806.SZ</w:t>
            </w:r>
            <w:r>
              <w:rPr>
                <w:rFonts w:ascii="宋体" w:hAnsi="宋体" w:cs="宋体" w:eastAsia="宋体" w:hint="default"/>
                <w:sz w:val="21"/>
                <w:szCs w:val="21"/>
              </w:rPr>
              <w:t>）银河南方软件有限公司总经理，中国风险投资研究院华东代表处主任，中国普天信息产业股份有限公</w:t>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司国际事业本部上海业务部总经理。</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王斌先生，</w:t>
            </w:r>
            <w:r>
              <w:rPr>
                <w:rFonts w:ascii="宋体" w:hAnsi="宋体" w:cs="宋体" w:eastAsia="宋体" w:hint="default"/>
                <w:spacing w:val="-1"/>
                <w:sz w:val="21"/>
                <w:szCs w:val="21"/>
              </w:rPr>
              <w:t>50</w:t>
            </w:r>
            <w:r>
              <w:rPr>
                <w:rFonts w:ascii="宋体" w:hAnsi="宋体" w:cs="宋体" w:eastAsia="宋体" w:hint="default"/>
                <w:spacing w:val="94"/>
                <w:sz w:val="21"/>
                <w:szCs w:val="21"/>
              </w:rPr>
              <w:t> </w:t>
            </w:r>
            <w:r>
              <w:rPr>
                <w:rFonts w:ascii="宋体" w:hAnsi="宋体" w:cs="宋体" w:eastAsia="宋体" w:hint="default"/>
                <w:spacing w:val="-2"/>
                <w:sz w:val="21"/>
                <w:szCs w:val="21"/>
              </w:rPr>
              <w:t>岁，毕业于北京商学院会计系（现北京工商大学商学院）、财政部财政科学研究所，分获会计学学士、会计学硕士、管</w:t>
            </w:r>
          </w:p>
          <w:p>
            <w:pPr>
              <w:pStyle w:val="TableParagraph"/>
              <w:spacing w:line="240" w:lineRule="auto"/>
              <w:ind w:left="105" w:right="99"/>
              <w:jc w:val="left"/>
              <w:rPr>
                <w:rFonts w:ascii="宋体" w:hAnsi="宋体" w:cs="宋体" w:eastAsia="宋体" w:hint="default"/>
                <w:sz w:val="21"/>
                <w:szCs w:val="21"/>
              </w:rPr>
            </w:pPr>
            <w:r>
              <w:rPr>
                <w:rFonts w:ascii="宋体" w:hAnsi="宋体" w:cs="宋体" w:eastAsia="宋体" w:hint="default"/>
                <w:sz w:val="21"/>
                <w:szCs w:val="21"/>
              </w:rPr>
              <w:t>理学博士学位。现任公司第五届董事会董事，并任北京翠微大厦股份有限公司独立董事及际华集团股份有限公司独立董事。现为北京</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工商大学商学院财务学教授、对外经济贸易大学国际商学院博士生导师。</w:t>
            </w: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朱红仙女士，</w:t>
            </w:r>
            <w:r>
              <w:rPr>
                <w:rFonts w:ascii="宋体" w:hAnsi="宋体" w:cs="宋体" w:eastAsia="宋体" w:hint="default"/>
                <w:spacing w:val="-1"/>
                <w:sz w:val="21"/>
                <w:szCs w:val="21"/>
              </w:rPr>
              <w:t>40</w:t>
            </w:r>
            <w:r>
              <w:rPr>
                <w:rFonts w:ascii="宋体" w:hAnsi="宋体" w:cs="宋体" w:eastAsia="宋体" w:hint="default"/>
                <w:spacing w:val="93"/>
                <w:sz w:val="21"/>
                <w:szCs w:val="21"/>
              </w:rPr>
              <w:t> </w:t>
            </w:r>
            <w:r>
              <w:rPr>
                <w:rFonts w:ascii="宋体" w:hAnsi="宋体" w:cs="宋体" w:eastAsia="宋体" w:hint="default"/>
                <w:spacing w:val="-2"/>
                <w:sz w:val="21"/>
                <w:szCs w:val="21"/>
              </w:rPr>
              <w:t>岁，四川省工商管理学院工商管理硕士。现任公司第五届董事会董事兼常务副总裁。历任公司存储及增值产品事业部</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西区总经理、区域总经理、事业部总经理、副总裁。</w:t>
            </w:r>
          </w:p>
        </w:tc>
      </w:tr>
      <w:tr>
        <w:trPr>
          <w:trHeight w:val="110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tabs>
                <w:tab w:pos="947" w:val="left" w:leader="none"/>
              </w:tabs>
              <w:spacing w:line="239" w:lineRule="exact"/>
              <w:ind w:left="105" w:right="-8"/>
              <w:jc w:val="left"/>
              <w:rPr>
                <w:rFonts w:ascii="宋体" w:hAnsi="宋体" w:cs="宋体" w:eastAsia="宋体" w:hint="default"/>
                <w:sz w:val="21"/>
                <w:szCs w:val="21"/>
              </w:rPr>
            </w:pPr>
            <w:r>
              <w:rPr>
                <w:rFonts w:ascii="宋体" w:hAnsi="宋体" w:cs="宋体" w:eastAsia="宋体" w:hint="default"/>
                <w:sz w:val="21"/>
                <w:szCs w:val="21"/>
              </w:rPr>
              <w:t>陈朝晖</w:t>
              <w:tab/>
              <w:t>现年 </w:t>
            </w:r>
            <w:r>
              <w:rPr>
                <w:rFonts w:ascii="宋体" w:hAnsi="宋体" w:cs="宋体" w:eastAsia="宋体" w:hint="default"/>
                <w:sz w:val="21"/>
                <w:szCs w:val="21"/>
              </w:rPr>
              <w:t>38</w:t>
            </w:r>
            <w:r>
              <w:rPr>
                <w:rFonts w:ascii="宋体" w:hAnsi="宋体" w:cs="宋体" w:eastAsia="宋体" w:hint="default"/>
                <w:spacing w:val="-23"/>
                <w:sz w:val="21"/>
                <w:szCs w:val="21"/>
              </w:rPr>
              <w:t> </w:t>
            </w:r>
            <w:r>
              <w:rPr>
                <w:rFonts w:ascii="宋体" w:hAnsi="宋体" w:cs="宋体" w:eastAsia="宋体" w:hint="default"/>
                <w:spacing w:val="-4"/>
                <w:sz w:val="21"/>
                <w:szCs w:val="21"/>
              </w:rPr>
              <w:t>岁，获北京大学工商管理硕士。曾任本公司财务部经理及财务总监，任职期间负责公司预算管理体系、信用管理体系、</w:t>
            </w:r>
          </w:p>
          <w:p>
            <w:pPr>
              <w:pStyle w:val="TableParagraph"/>
              <w:spacing w:line="237" w:lineRule="auto"/>
              <w:ind w:left="105" w:right="-8"/>
              <w:jc w:val="left"/>
              <w:rPr>
                <w:rFonts w:ascii="宋体" w:hAnsi="宋体" w:cs="宋体" w:eastAsia="宋体" w:hint="default"/>
                <w:sz w:val="21"/>
                <w:szCs w:val="21"/>
              </w:rPr>
            </w:pPr>
            <w:r>
              <w:rPr>
                <w:rFonts w:ascii="宋体" w:hAnsi="宋体" w:cs="宋体" w:eastAsia="宋体" w:hint="default"/>
                <w:sz w:val="21"/>
                <w:szCs w:val="21"/>
              </w:rPr>
              <w:t>资金管理以及投融资体系的工作，并负责公司新股发行以及定向增发等股权融资项目的财务协调工作。曾在哥伦比亚大学商学院进修</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EMBA</w:t>
            </w:r>
            <w:r>
              <w:rPr>
                <w:rFonts w:ascii="宋体" w:hAnsi="宋体" w:cs="宋体" w:eastAsia="宋体" w:hint="default"/>
                <w:spacing w:val="75"/>
                <w:sz w:val="21"/>
                <w:szCs w:val="21"/>
              </w:rPr>
              <w:t> </w:t>
            </w:r>
            <w:r>
              <w:rPr>
                <w:rFonts w:ascii="宋体" w:hAnsi="宋体" w:cs="宋体" w:eastAsia="宋体" w:hint="default"/>
                <w:spacing w:val="-4"/>
                <w:sz w:val="21"/>
                <w:szCs w:val="21"/>
              </w:rPr>
              <w:t>课程，在宾夕法尼亚大学沃顿商学院进修“并购与重组”、“公司财务”课程。现任华胜天成（中国）融资租赁有限公司董事长。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本公司第五届董事会董事。</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沈青华先生，</w:t>
            </w:r>
            <w:r>
              <w:rPr>
                <w:rFonts w:ascii="宋体" w:hAnsi="宋体" w:cs="宋体" w:eastAsia="宋体" w:hint="default"/>
                <w:spacing w:val="-1"/>
                <w:sz w:val="21"/>
                <w:szCs w:val="21"/>
              </w:rPr>
              <w:t>70</w:t>
            </w:r>
            <w:r>
              <w:rPr>
                <w:rFonts w:ascii="宋体" w:hAnsi="宋体" w:cs="宋体" w:eastAsia="宋体" w:hint="default"/>
                <w:spacing w:val="93"/>
                <w:sz w:val="21"/>
                <w:szCs w:val="21"/>
              </w:rPr>
              <w:t> </w:t>
            </w:r>
            <w:r>
              <w:rPr>
                <w:rFonts w:ascii="宋体" w:hAnsi="宋体" w:cs="宋体" w:eastAsia="宋体" w:hint="default"/>
                <w:spacing w:val="-2"/>
                <w:sz w:val="21"/>
                <w:szCs w:val="21"/>
              </w:rPr>
              <w:t>岁，硕士研究生，高级工程师。现任公司第五届董事会独立董事、中国信息协会特约副会长。曾任公司第四届董事会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独立董事、原国家统计局总工程师、原国务院信息化领导小组办公室重大课题专家组成员。</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仝允桓先生，</w:t>
            </w:r>
            <w:r>
              <w:rPr>
                <w:rFonts w:ascii="宋体" w:hAnsi="宋体" w:cs="宋体" w:eastAsia="宋体" w:hint="default"/>
                <w:spacing w:val="-1"/>
                <w:sz w:val="21"/>
                <w:szCs w:val="21"/>
              </w:rPr>
              <w:t>65</w:t>
            </w:r>
            <w:r>
              <w:rPr>
                <w:rFonts w:ascii="宋体" w:hAnsi="宋体" w:cs="宋体" w:eastAsia="宋体" w:hint="default"/>
                <w:spacing w:val="93"/>
                <w:sz w:val="21"/>
                <w:szCs w:val="21"/>
              </w:rPr>
              <w:t> </w:t>
            </w:r>
            <w:r>
              <w:rPr>
                <w:rFonts w:ascii="宋体" w:hAnsi="宋体" w:cs="宋体" w:eastAsia="宋体" w:hint="default"/>
                <w:spacing w:val="-2"/>
                <w:sz w:val="21"/>
                <w:szCs w:val="21"/>
              </w:rPr>
              <w:t>岁。清华大学经济管理学院创新、创业与战略系教授。现任清华大学经济管理学院创新、创业与战略系教授、公司第</w:t>
            </w:r>
          </w:p>
          <w:p>
            <w:pPr>
              <w:pStyle w:val="TableParagraph"/>
              <w:spacing w:line="240" w:lineRule="auto"/>
              <w:ind w:left="105" w:right="100"/>
              <w:jc w:val="left"/>
              <w:rPr>
                <w:rFonts w:ascii="宋体" w:hAnsi="宋体" w:cs="宋体" w:eastAsia="宋体" w:hint="default"/>
                <w:sz w:val="21"/>
                <w:szCs w:val="21"/>
              </w:rPr>
            </w:pPr>
            <w:r>
              <w:rPr>
                <w:rFonts w:ascii="宋体" w:hAnsi="宋体" w:cs="宋体" w:eastAsia="宋体" w:hint="default"/>
                <w:sz w:val="21"/>
                <w:szCs w:val="21"/>
              </w:rPr>
              <w:t>五届董事会独立董事，并任山东威达机械股份有限公司独立董事、浙江日发精密机械股份有限公司独立董事、威海广泰空港设备股份</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有限公司独立董事。曾任清华大学经济管理学院副院长、第一、二、三、四届全国工商管理硕士教育指导委员会秘书长。</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姜培维先生，</w:t>
            </w:r>
            <w:r>
              <w:rPr>
                <w:rFonts w:ascii="宋体" w:hAnsi="宋体" w:cs="宋体" w:eastAsia="宋体" w:hint="default"/>
                <w:spacing w:val="-1"/>
                <w:sz w:val="21"/>
                <w:szCs w:val="21"/>
              </w:rPr>
              <w:t>52</w:t>
            </w:r>
            <w:r>
              <w:rPr>
                <w:rFonts w:ascii="宋体" w:hAnsi="宋体" w:cs="宋体" w:eastAsia="宋体" w:hint="default"/>
                <w:spacing w:val="93"/>
                <w:sz w:val="21"/>
                <w:szCs w:val="21"/>
              </w:rPr>
              <w:t> </w:t>
            </w:r>
            <w:r>
              <w:rPr>
                <w:rFonts w:ascii="宋体" w:hAnsi="宋体" w:cs="宋体" w:eastAsia="宋体" w:hint="default"/>
                <w:spacing w:val="-2"/>
                <w:sz w:val="21"/>
                <w:szCs w:val="21"/>
              </w:rPr>
              <w:t>岁，中国社会科学院研究生院工业经济管理专业在职博士研究生，高级会计师。现任公司第五届董事会独立董事，并</w:t>
            </w:r>
          </w:p>
          <w:p>
            <w:pPr>
              <w:pStyle w:val="TableParagraph"/>
              <w:spacing w:line="272" w:lineRule="exact" w:before="27"/>
              <w:ind w:left="105" w:right="100"/>
              <w:jc w:val="left"/>
              <w:rPr>
                <w:rFonts w:ascii="宋体" w:hAnsi="宋体" w:cs="宋体" w:eastAsia="宋体" w:hint="default"/>
                <w:sz w:val="21"/>
                <w:szCs w:val="21"/>
              </w:rPr>
            </w:pPr>
            <w:r>
              <w:rPr>
                <w:rFonts w:ascii="宋体" w:hAnsi="宋体" w:cs="宋体" w:eastAsia="宋体" w:hint="default"/>
                <w:sz w:val="21"/>
                <w:szCs w:val="21"/>
              </w:rPr>
              <w:t>任大商股份有限公司独立董事、任道生国际融资租赁股份有限公司董事长。曾任轻工业部昆明三聚磷酸纳厂财务处副处长，中国工商</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银行总行华强科技开发实业公司副总经理，新华会计师事务所有限责任公司总经理，北京浩维投资有限公司董事长。</w:t>
            </w: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符全先生，</w:t>
            </w:r>
            <w:r>
              <w:rPr>
                <w:rFonts w:ascii="宋体" w:hAnsi="宋体" w:cs="宋体" w:eastAsia="宋体" w:hint="default"/>
                <w:spacing w:val="-3"/>
                <w:sz w:val="21"/>
                <w:szCs w:val="21"/>
              </w:rPr>
              <w:t>53</w:t>
            </w:r>
            <w:r>
              <w:rPr>
                <w:rFonts w:ascii="宋体" w:hAnsi="宋体" w:cs="宋体" w:eastAsia="宋体" w:hint="default"/>
                <w:spacing w:val="-38"/>
                <w:sz w:val="21"/>
                <w:szCs w:val="21"/>
              </w:rPr>
              <w:t> </w:t>
            </w:r>
            <w:r>
              <w:rPr>
                <w:rFonts w:ascii="宋体" w:hAnsi="宋体" w:cs="宋体" w:eastAsia="宋体" w:hint="default"/>
                <w:spacing w:val="-4"/>
                <w:sz w:val="21"/>
                <w:szCs w:val="21"/>
              </w:rPr>
              <w:t>岁，</w:t>
            </w:r>
            <w:r>
              <w:rPr>
                <w:rFonts w:ascii="宋体" w:hAnsi="宋体" w:cs="宋体" w:eastAsia="宋体" w:hint="default"/>
                <w:spacing w:val="-4"/>
                <w:sz w:val="21"/>
                <w:szCs w:val="21"/>
              </w:rPr>
              <w:t>1986</w:t>
            </w:r>
            <w:r>
              <w:rPr>
                <w:rFonts w:ascii="宋体" w:hAnsi="宋体" w:cs="宋体" w:eastAsia="宋体" w:hint="default"/>
                <w:spacing w:val="-37"/>
                <w:sz w:val="21"/>
                <w:szCs w:val="21"/>
              </w:rPr>
              <w:t> </w:t>
            </w:r>
            <w:r>
              <w:rPr>
                <w:rFonts w:ascii="宋体" w:hAnsi="宋体" w:cs="宋体" w:eastAsia="宋体" w:hint="default"/>
                <w:spacing w:val="-3"/>
                <w:sz w:val="21"/>
                <w:szCs w:val="21"/>
              </w:rPr>
              <w:t>年获清华大学工程物理系学士学位。现任公司第五届监事会主席，</w:t>
            </w:r>
            <w:r>
              <w:rPr>
                <w:rFonts w:ascii="宋体" w:hAnsi="宋体" w:cs="宋体" w:eastAsia="宋体" w:hint="default"/>
                <w:spacing w:val="-3"/>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月至今任公司负责集团管理中心的</w:t>
            </w:r>
          </w:p>
          <w:p>
            <w:pPr>
              <w:pStyle w:val="TableParagraph"/>
              <w:spacing w:line="272" w:lineRule="exact" w:before="27"/>
              <w:ind w:left="105" w:right="98"/>
              <w:jc w:val="both"/>
              <w:rPr>
                <w:rFonts w:ascii="宋体" w:hAnsi="宋体" w:cs="宋体" w:eastAsia="宋体" w:hint="default"/>
                <w:sz w:val="21"/>
                <w:szCs w:val="21"/>
              </w:rPr>
            </w:pPr>
            <w:r>
              <w:rPr>
                <w:rFonts w:ascii="宋体" w:hAnsi="宋体" w:cs="宋体" w:eastAsia="宋体" w:hint="default"/>
                <w:sz w:val="21"/>
                <w:szCs w:val="21"/>
              </w:rPr>
              <w:t>副总裁，兼广州石竹软件公司董事长，浙江兰德纵横网络技术有限公司董事。曾任美国安泰公司总经理，太阳计算机系统（中国）有</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限公司北方区副总经理、公司大中华区高级经理、全球</w:t>
            </w:r>
            <w:r>
              <w:rPr>
                <w:rFonts w:ascii="宋体" w:hAnsi="宋体" w:cs="宋体" w:eastAsia="宋体" w:hint="default"/>
                <w:spacing w:val="-18"/>
                <w:sz w:val="21"/>
                <w:szCs w:val="21"/>
              </w:rPr>
              <w:t> </w:t>
            </w:r>
            <w:r>
              <w:rPr>
                <w:rFonts w:ascii="宋体" w:hAnsi="宋体" w:cs="宋体" w:eastAsia="宋体" w:hint="default"/>
                <w:spacing w:val="-2"/>
                <w:sz w:val="21"/>
                <w:szCs w:val="21"/>
              </w:rPr>
              <w:t>16</w:t>
            </w:r>
            <w:r>
              <w:rPr>
                <w:rFonts w:ascii="宋体" w:hAnsi="宋体" w:cs="宋体" w:eastAsia="宋体" w:hint="default"/>
                <w:spacing w:val="-16"/>
                <w:sz w:val="21"/>
                <w:szCs w:val="21"/>
              </w:rPr>
              <w:t> </w:t>
            </w:r>
            <w:r>
              <w:rPr>
                <w:rFonts w:ascii="宋体" w:hAnsi="宋体" w:cs="宋体" w:eastAsia="宋体" w:hint="default"/>
                <w:spacing w:val="-2"/>
                <w:sz w:val="21"/>
                <w:szCs w:val="21"/>
              </w:rPr>
              <w:t>个客户运营中心总经理之一、亚太区高级经理等，并任甲骨文软件系统（中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国）有限公司亚太区高级经理，云基地北京天地云箱科技有限公司首席运营官，北京东方网信科技有限公司首席运营官。</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程亚光女士，</w:t>
            </w:r>
            <w:r>
              <w:rPr>
                <w:rFonts w:ascii="宋体" w:hAnsi="宋体" w:cs="宋体" w:eastAsia="宋体" w:hint="default"/>
                <w:sz w:val="21"/>
                <w:szCs w:val="21"/>
              </w:rPr>
              <w:t>46</w:t>
            </w:r>
            <w:r>
              <w:rPr>
                <w:rFonts w:ascii="宋体" w:hAnsi="宋体" w:cs="宋体" w:eastAsia="宋体" w:hint="default"/>
                <w:spacing w:val="-57"/>
                <w:sz w:val="21"/>
                <w:szCs w:val="21"/>
              </w:rPr>
              <w:t> </w:t>
            </w:r>
            <w:r>
              <w:rPr>
                <w:rFonts w:ascii="宋体" w:hAnsi="宋体" w:cs="宋体" w:eastAsia="宋体" w:hint="default"/>
                <w:sz w:val="21"/>
                <w:szCs w:val="21"/>
              </w:rPr>
              <w:t>岁，获中国人民大学信息资源管理学院学士学位。现任公司第五届监事会职工代表监事，</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月至今任公司企业</w:t>
            </w:r>
          </w:p>
          <w:p>
            <w:pPr>
              <w:pStyle w:val="TableParagraph"/>
              <w:spacing w:line="272" w:lineRule="exact" w:before="27"/>
              <w:ind w:left="105" w:right="100"/>
              <w:jc w:val="left"/>
              <w:rPr>
                <w:rFonts w:ascii="宋体" w:hAnsi="宋体" w:cs="宋体" w:eastAsia="宋体" w:hint="default"/>
                <w:sz w:val="21"/>
                <w:szCs w:val="21"/>
              </w:rPr>
            </w:pPr>
            <w:r>
              <w:rPr>
                <w:rFonts w:ascii="宋体" w:hAnsi="宋体" w:cs="宋体" w:eastAsia="宋体" w:hint="default"/>
                <w:sz w:val="21"/>
                <w:szCs w:val="21"/>
              </w:rPr>
              <w:t>规划部经理，负责公司投融资工作。曾任信息产业部电子六所所长秘书，北京六所华胜高技术股份有限公司企业规划部经理、董事会</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秘书、董事长助理、中国和平（北京）投资有限公司董事会秘书、投资经理。</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安耀华</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安耀华女士，</w:t>
            </w:r>
            <w:r>
              <w:rPr>
                <w:rFonts w:ascii="宋体" w:hAnsi="宋体" w:cs="宋体" w:eastAsia="宋体" w:hint="default"/>
                <w:spacing w:val="-1"/>
                <w:sz w:val="21"/>
                <w:szCs w:val="21"/>
              </w:rPr>
              <w:t>37</w:t>
            </w:r>
            <w:r>
              <w:rPr>
                <w:rFonts w:ascii="宋体" w:hAnsi="宋体" w:cs="宋体" w:eastAsia="宋体" w:hint="default"/>
                <w:spacing w:val="93"/>
                <w:sz w:val="21"/>
                <w:szCs w:val="21"/>
              </w:rPr>
              <w:t> </w:t>
            </w:r>
            <w:r>
              <w:rPr>
                <w:rFonts w:ascii="宋体" w:hAnsi="宋体" w:cs="宋体" w:eastAsia="宋体" w:hint="default"/>
                <w:spacing w:val="-2"/>
                <w:sz w:val="21"/>
                <w:szCs w:val="21"/>
              </w:rPr>
              <w:t>岁，中国注册会计师，美国注册管理会计师，获石家庄铁道学院管理学学士学位。现任公司第五届监事会职工代表监</w:t>
            </w:r>
          </w:p>
          <w:p>
            <w:pPr>
              <w:pStyle w:val="TableParagraph"/>
              <w:spacing w:line="240" w:lineRule="auto"/>
              <w:ind w:left="105" w:right="94"/>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39"/>
                <w:sz w:val="21"/>
                <w:szCs w:val="21"/>
              </w:rPr>
              <w:t> </w:t>
            </w:r>
            <w:r>
              <w:rPr>
                <w:rFonts w:ascii="宋体" w:hAnsi="宋体" w:cs="宋体" w:eastAsia="宋体" w:hint="default"/>
                <w:sz w:val="21"/>
                <w:szCs w:val="21"/>
              </w:rPr>
              <w:t>月至今任公司财务核算中心总经理。曾任北京西站科贸集团财务副经理，北京红日会计师事务所项目经理，北京信永中</w:t>
            </w:r>
            <w:r>
              <w:rPr>
                <w:rFonts w:ascii="宋体" w:hAnsi="宋体" w:cs="宋体" w:eastAsia="宋体" w:hint="default"/>
                <w:w w:val="100"/>
                <w:sz w:val="21"/>
                <w:szCs w:val="21"/>
              </w:rPr>
              <w:t> </w:t>
            </w:r>
            <w:r>
              <w:rPr>
                <w:rFonts w:ascii="宋体" w:hAnsi="宋体" w:cs="宋体" w:eastAsia="宋体" w:hint="default"/>
                <w:sz w:val="21"/>
                <w:szCs w:val="21"/>
              </w:rPr>
              <w:t>和会计师事务所项目经理，北京国研数通软件技术有限公司财务总监。</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邓昳</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邓昳女士，</w:t>
            </w:r>
            <w:r>
              <w:rPr>
                <w:rFonts w:ascii="宋体" w:hAnsi="宋体" w:cs="宋体" w:eastAsia="宋体" w:hint="default"/>
                <w:spacing w:val="-1"/>
                <w:sz w:val="21"/>
                <w:szCs w:val="21"/>
              </w:rPr>
              <w:t>51</w:t>
            </w:r>
            <w:r>
              <w:rPr>
                <w:rFonts w:ascii="宋体" w:hAnsi="宋体" w:cs="宋体" w:eastAsia="宋体" w:hint="default"/>
                <w:spacing w:val="94"/>
                <w:sz w:val="21"/>
                <w:szCs w:val="21"/>
              </w:rPr>
              <w:t> </w:t>
            </w:r>
            <w:r>
              <w:rPr>
                <w:rFonts w:ascii="宋体" w:hAnsi="宋体" w:cs="宋体" w:eastAsia="宋体" w:hint="default"/>
                <w:spacing w:val="-2"/>
                <w:sz w:val="21"/>
                <w:szCs w:val="21"/>
              </w:rPr>
              <w:t>岁，获北京航空航天大学计算机科学与工程系计算机应用人工智能专业硕士。现任公司副总裁。曾任联想集团手持业务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发展部副总经理、联想移动自主研发产品高级经理、联想移动业务拓展部总监、德国电信国际咨询公司，销售总监、客户总监、中国</w:t>
            </w:r>
          </w:p>
        </w:tc>
      </w:tr>
    </w:tbl>
    <w:p>
      <w:pPr>
        <w:spacing w:after="0" w:line="274" w:lineRule="exact"/>
        <w:jc w:val="left"/>
        <w:rPr>
          <w:rFonts w:ascii="宋体" w:hAnsi="宋体" w:cs="宋体" w:eastAsia="宋体" w:hint="default"/>
          <w:sz w:val="21"/>
          <w:szCs w:val="21"/>
        </w:rPr>
        <w:sectPr>
          <w:pgSz w:w="16840" w:h="11910" w:orient="landscape"/>
          <w:pgMar w:header="882" w:footer="1195" w:top="1120" w:bottom="1380" w:left="1300" w:right="13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6"/>
        <w:gridCol w:w="12499"/>
      </w:tblGrid>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区副总裁。</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崔勇先生，</w:t>
            </w:r>
            <w:r>
              <w:rPr>
                <w:rFonts w:ascii="宋体" w:hAnsi="宋体" w:cs="宋体" w:eastAsia="宋体" w:hint="default"/>
                <w:spacing w:val="-1"/>
                <w:sz w:val="21"/>
                <w:szCs w:val="21"/>
              </w:rPr>
              <w:t>48</w:t>
            </w:r>
            <w:r>
              <w:rPr>
                <w:rFonts w:ascii="宋体" w:hAnsi="宋体" w:cs="宋体" w:eastAsia="宋体" w:hint="default"/>
                <w:spacing w:val="94"/>
                <w:sz w:val="21"/>
                <w:szCs w:val="21"/>
              </w:rPr>
              <w:t> </w:t>
            </w:r>
            <w:r>
              <w:rPr>
                <w:rFonts w:ascii="宋体" w:hAnsi="宋体" w:cs="宋体" w:eastAsia="宋体" w:hint="default"/>
                <w:spacing w:val="-2"/>
                <w:sz w:val="21"/>
                <w:szCs w:val="21"/>
              </w:rPr>
              <w:t>岁，北京大学高级工商管理硕士。现任公司副总裁、公司系统信息产品一部总经理。曾任公司电信行业总经理，存储增</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值事业部总经理，系统产品事业部总经理</w:t>
            </w:r>
            <w:r>
              <w:rPr>
                <w:rFonts w:ascii="宋体" w:hAnsi="宋体" w:cs="宋体" w:eastAsia="宋体" w:hint="default"/>
                <w:sz w:val="21"/>
                <w:szCs w:val="21"/>
              </w:rPr>
              <w:t>,</w:t>
            </w:r>
            <w:r>
              <w:rPr>
                <w:rFonts w:ascii="宋体" w:hAnsi="宋体" w:cs="宋体" w:eastAsia="宋体" w:hint="default"/>
                <w:sz w:val="21"/>
                <w:szCs w:val="21"/>
              </w:rPr>
              <w:t>系统产品板块总经理。</w:t>
            </w: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杨俏丛先生，</w:t>
            </w:r>
            <w:r>
              <w:rPr>
                <w:rFonts w:ascii="宋体" w:hAnsi="宋体" w:cs="宋体" w:eastAsia="宋体" w:hint="default"/>
                <w:spacing w:val="-3"/>
                <w:sz w:val="21"/>
                <w:szCs w:val="21"/>
              </w:rPr>
              <w:t>46</w:t>
            </w:r>
            <w:r>
              <w:rPr>
                <w:rFonts w:ascii="宋体" w:hAnsi="宋体" w:cs="宋体" w:eastAsia="宋体" w:hint="default"/>
                <w:spacing w:val="-35"/>
                <w:sz w:val="21"/>
                <w:szCs w:val="21"/>
              </w:rPr>
              <w:t> </w:t>
            </w:r>
            <w:r>
              <w:rPr>
                <w:rFonts w:ascii="宋体" w:hAnsi="宋体" w:cs="宋体" w:eastAsia="宋体" w:hint="default"/>
                <w:spacing w:val="-3"/>
                <w:sz w:val="21"/>
                <w:szCs w:val="21"/>
              </w:rPr>
              <w:t>岁，获沈阳工业学院工业外贸专业学士学位。现任公司副总裁。于</w:t>
            </w:r>
            <w:r>
              <w:rPr>
                <w:rFonts w:ascii="宋体" w:hAnsi="宋体" w:cs="宋体" w:eastAsia="宋体" w:hint="default"/>
                <w:spacing w:val="-35"/>
                <w:sz w:val="21"/>
                <w:szCs w:val="21"/>
              </w:rPr>
              <w:t> </w:t>
            </w:r>
            <w:r>
              <w:rPr>
                <w:rFonts w:ascii="宋体" w:hAnsi="宋体" w:cs="宋体" w:eastAsia="宋体" w:hint="default"/>
                <w:sz w:val="21"/>
                <w:szCs w:val="21"/>
              </w:rPr>
              <w:t>2001</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4</w:t>
            </w:r>
            <w:r>
              <w:rPr>
                <w:rFonts w:ascii="宋体" w:hAnsi="宋体" w:cs="宋体" w:eastAsia="宋体" w:hint="default"/>
                <w:spacing w:val="-33"/>
                <w:sz w:val="21"/>
                <w:szCs w:val="21"/>
              </w:rPr>
              <w:t> </w:t>
            </w:r>
            <w:r>
              <w:rPr>
                <w:rFonts w:ascii="宋体" w:hAnsi="宋体" w:cs="宋体" w:eastAsia="宋体" w:hint="default"/>
                <w:spacing w:val="-3"/>
                <w:sz w:val="21"/>
                <w:szCs w:val="21"/>
              </w:rPr>
              <w:t>月加入华胜天成，曾任公司电信产品与集</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成事业部总经理。</w:t>
            </w:r>
            <w:r>
              <w:rPr>
                <w:rFonts w:ascii="宋体" w:hAnsi="宋体" w:cs="宋体" w:eastAsia="宋体" w:hint="default"/>
                <w:sz w:val="21"/>
                <w:szCs w:val="21"/>
              </w:rPr>
              <w:t>1999</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2001</w:t>
            </w:r>
            <w:r>
              <w:rPr>
                <w:rFonts w:ascii="宋体" w:hAnsi="宋体" w:cs="宋体" w:eastAsia="宋体" w:hint="default"/>
                <w:spacing w:val="-56"/>
                <w:sz w:val="21"/>
                <w:szCs w:val="21"/>
              </w:rPr>
              <w:t> </w:t>
            </w:r>
            <w:r>
              <w:rPr>
                <w:rFonts w:ascii="宋体" w:hAnsi="宋体" w:cs="宋体" w:eastAsia="宋体" w:hint="default"/>
                <w:sz w:val="21"/>
                <w:szCs w:val="21"/>
              </w:rPr>
              <w:t>年任北京地杰共为信息系统有限公司常务副总经理。</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杜欣女士，</w:t>
            </w:r>
            <w:r>
              <w:rPr>
                <w:rFonts w:ascii="宋体" w:hAnsi="宋体" w:cs="宋体" w:eastAsia="宋体" w:hint="default"/>
                <w:sz w:val="21"/>
                <w:szCs w:val="21"/>
              </w:rPr>
              <w:t>46</w:t>
            </w:r>
            <w:r>
              <w:rPr>
                <w:rFonts w:ascii="宋体" w:hAnsi="宋体" w:cs="宋体" w:eastAsia="宋体" w:hint="default"/>
                <w:spacing w:val="39"/>
                <w:sz w:val="21"/>
                <w:szCs w:val="21"/>
              </w:rPr>
              <w:t> </w:t>
            </w:r>
            <w:r>
              <w:rPr>
                <w:rFonts w:ascii="宋体" w:hAnsi="宋体" w:cs="宋体" w:eastAsia="宋体" w:hint="default"/>
                <w:spacing w:val="-3"/>
                <w:sz w:val="21"/>
                <w:szCs w:val="21"/>
              </w:rPr>
              <w:t>岁，获北京理工大学管理学硕士学位。现任公司副总裁、</w:t>
            </w:r>
            <w:r>
              <w:rPr>
                <w:rFonts w:ascii="宋体" w:hAnsi="宋体" w:cs="宋体" w:eastAsia="宋体" w:hint="default"/>
                <w:spacing w:val="-3"/>
                <w:sz w:val="21"/>
                <w:szCs w:val="21"/>
              </w:rPr>
              <w:t>CIO</w:t>
            </w:r>
            <w:r>
              <w:rPr>
                <w:rFonts w:ascii="宋体" w:hAnsi="宋体" w:cs="宋体" w:eastAsia="宋体" w:hint="default"/>
                <w:spacing w:val="-3"/>
                <w:sz w:val="21"/>
                <w:szCs w:val="21"/>
              </w:rPr>
              <w:t>。历任公司工程师、培训经理、服务交付总监、专业服务总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经理、系统集成事业部总经理等。</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任学英女士，</w:t>
            </w:r>
            <w:r>
              <w:rPr>
                <w:rFonts w:ascii="宋体" w:hAnsi="宋体" w:cs="宋体" w:eastAsia="宋体" w:hint="default"/>
                <w:spacing w:val="-2"/>
                <w:sz w:val="21"/>
                <w:szCs w:val="21"/>
              </w:rPr>
              <w:t>41</w:t>
            </w:r>
            <w:r>
              <w:rPr>
                <w:rFonts w:ascii="宋体" w:hAnsi="宋体" w:cs="宋体" w:eastAsia="宋体" w:hint="default"/>
                <w:sz w:val="21"/>
                <w:szCs w:val="21"/>
              </w:rPr>
              <w:t> </w:t>
            </w:r>
            <w:r>
              <w:rPr>
                <w:rFonts w:ascii="宋体" w:hAnsi="宋体" w:cs="宋体" w:eastAsia="宋体" w:hint="default"/>
                <w:spacing w:val="-2"/>
                <w:sz w:val="21"/>
                <w:szCs w:val="21"/>
              </w:rPr>
              <w:t>岁，工商管理硕士学历。现任公司财务总监，</w:t>
            </w:r>
            <w:r>
              <w:rPr>
                <w:rFonts w:ascii="宋体" w:hAnsi="宋体" w:cs="宋体" w:eastAsia="宋体" w:hint="default"/>
                <w:spacing w:val="-2"/>
                <w:sz w:val="21"/>
                <w:szCs w:val="21"/>
              </w:rPr>
              <w:t>2006</w:t>
            </w:r>
            <w:r>
              <w:rPr>
                <w:rFonts w:ascii="宋体" w:hAnsi="宋体" w:cs="宋体" w:eastAsia="宋体" w:hint="default"/>
                <w:spacing w:val="-6"/>
                <w:sz w:val="21"/>
                <w:szCs w:val="21"/>
              </w:rPr>
              <w:t> </w:t>
            </w:r>
            <w:r>
              <w:rPr>
                <w:rFonts w:ascii="宋体" w:hAnsi="宋体" w:cs="宋体" w:eastAsia="宋体" w:hint="default"/>
                <w:spacing w:val="-2"/>
                <w:sz w:val="21"/>
                <w:szCs w:val="21"/>
              </w:rPr>
              <w:t>年加盟华胜天成，历任会计部经理、财务中心总经理、事业群运营</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总监等职位。曾任联想集团财务部会计经理及神州数码控股有限公司集团财务部核算总监。</w:t>
            </w:r>
          </w:p>
        </w:tc>
      </w:tr>
      <w:tr>
        <w:trPr>
          <w:trHeight w:val="82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代双珠女士，</w:t>
            </w:r>
            <w:r>
              <w:rPr>
                <w:rFonts w:ascii="宋体" w:hAnsi="宋体" w:cs="宋体" w:eastAsia="宋体" w:hint="default"/>
                <w:sz w:val="21"/>
                <w:szCs w:val="21"/>
              </w:rPr>
              <w:t>36</w:t>
            </w:r>
            <w:r>
              <w:rPr>
                <w:rFonts w:ascii="宋体" w:hAnsi="宋体" w:cs="宋体" w:eastAsia="宋体" w:hint="default"/>
                <w:spacing w:val="-57"/>
                <w:sz w:val="21"/>
                <w:szCs w:val="21"/>
              </w:rPr>
              <w:t> </w:t>
            </w:r>
            <w:r>
              <w:rPr>
                <w:rFonts w:ascii="宋体" w:hAnsi="宋体" w:cs="宋体" w:eastAsia="宋体" w:hint="default"/>
                <w:sz w:val="21"/>
                <w:szCs w:val="21"/>
              </w:rPr>
              <w:t>岁，对外经贸大学资本运营专业</w:t>
            </w:r>
            <w:r>
              <w:rPr>
                <w:rFonts w:ascii="宋体" w:hAnsi="宋体" w:cs="宋体" w:eastAsia="宋体" w:hint="default"/>
                <w:spacing w:val="-7"/>
                <w:sz w:val="21"/>
                <w:szCs w:val="21"/>
              </w:rPr>
              <w:t> </w:t>
            </w:r>
            <w:r>
              <w:rPr>
                <w:rFonts w:ascii="宋体" w:hAnsi="宋体" w:cs="宋体" w:eastAsia="宋体" w:hint="default"/>
                <w:sz w:val="21"/>
                <w:szCs w:val="21"/>
              </w:rPr>
              <w:t>EMBA</w:t>
            </w:r>
            <w:r>
              <w:rPr>
                <w:rFonts w:ascii="宋体" w:hAnsi="宋体" w:cs="宋体" w:eastAsia="宋体" w:hint="default"/>
                <w:spacing w:val="-7"/>
                <w:sz w:val="21"/>
                <w:szCs w:val="21"/>
              </w:rPr>
              <w:t> </w:t>
            </w:r>
            <w:r>
              <w:rPr>
                <w:rFonts w:ascii="宋体" w:hAnsi="宋体" w:cs="宋体" w:eastAsia="宋体" w:hint="default"/>
                <w:sz w:val="21"/>
                <w:szCs w:val="21"/>
              </w:rPr>
              <w:t>在读，专业方向为企业融资、并购及重组。现任公司董事会秘书，</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年加入</w:t>
            </w:r>
          </w:p>
          <w:p>
            <w:pPr>
              <w:pStyle w:val="TableParagraph"/>
              <w:spacing w:line="240" w:lineRule="auto"/>
              <w:ind w:left="105" w:right="94"/>
              <w:jc w:val="left"/>
              <w:rPr>
                <w:rFonts w:ascii="宋体" w:hAnsi="宋体" w:cs="宋体" w:eastAsia="宋体" w:hint="default"/>
                <w:sz w:val="21"/>
                <w:szCs w:val="21"/>
              </w:rPr>
            </w:pPr>
            <w:r>
              <w:rPr>
                <w:rFonts w:ascii="宋体" w:hAnsi="宋体" w:cs="宋体" w:eastAsia="宋体" w:hint="default"/>
                <w:sz w:val="21"/>
                <w:szCs w:val="21"/>
              </w:rPr>
              <w:t>华胜天成，历任华南区销售总监、软件应用事业部副总经理、企通事业部总经理、南京华胜计算机公司总经理，</w:t>
            </w:r>
            <w:r>
              <w:rPr>
                <w:rFonts w:ascii="宋体" w:hAnsi="宋体" w:cs="宋体" w:eastAsia="宋体" w:hint="default"/>
                <w:sz w:val="21"/>
                <w:szCs w:val="21"/>
              </w:rPr>
              <w:t>2015</w:t>
            </w:r>
            <w:r>
              <w:rPr>
                <w:rFonts w:ascii="宋体" w:hAnsi="宋体" w:cs="宋体" w:eastAsia="宋体" w:hint="default"/>
                <w:spacing w:val="-14"/>
                <w:sz w:val="21"/>
                <w:szCs w:val="21"/>
              </w:rPr>
              <w:t> </w:t>
            </w:r>
            <w:r>
              <w:rPr>
                <w:rFonts w:ascii="宋体" w:hAnsi="宋体" w:cs="宋体" w:eastAsia="宋体" w:hint="default"/>
                <w:sz w:val="21"/>
                <w:szCs w:val="21"/>
              </w:rPr>
              <w:t>年开始担任华胜</w:t>
            </w:r>
            <w:r>
              <w:rPr>
                <w:rFonts w:ascii="宋体" w:hAnsi="宋体" w:cs="宋体" w:eastAsia="宋体" w:hint="default"/>
                <w:w w:val="100"/>
                <w:sz w:val="21"/>
                <w:szCs w:val="21"/>
              </w:rPr>
              <w:t> </w:t>
            </w:r>
            <w:r>
              <w:rPr>
                <w:rFonts w:ascii="宋体" w:hAnsi="宋体" w:cs="宋体" w:eastAsia="宋体" w:hint="default"/>
                <w:sz w:val="21"/>
                <w:szCs w:val="21"/>
              </w:rPr>
              <w:t>信泰信息产业发展有限公司董事兼首席运营官。</w:t>
            </w:r>
          </w:p>
        </w:tc>
      </w:tr>
    </w:tbl>
    <w:p>
      <w:pPr>
        <w:spacing w:line="240" w:lineRule="auto" w:before="2"/>
        <w:rPr>
          <w:rFonts w:ascii="Times New Roman" w:hAnsi="Times New Roman" w:cs="Times New Roman" w:eastAsia="Times New Roman" w:hint="default"/>
          <w:sz w:val="21"/>
          <w:szCs w:val="21"/>
        </w:rPr>
      </w:pPr>
    </w:p>
    <w:p>
      <w:pPr>
        <w:pStyle w:val="BodyText"/>
        <w:spacing w:line="313" w:lineRule="exact" w:before="26"/>
        <w:ind w:left="224" w:right="0"/>
        <w:jc w:val="left"/>
      </w:pPr>
      <w:r>
        <w:rPr/>
        <w:t>其它情况说明</w:t>
      </w:r>
    </w:p>
    <w:p>
      <w:pPr>
        <w:pStyle w:val="BodyText"/>
        <w:spacing w:line="313" w:lineRule="exact"/>
        <w:ind w:left="704" w:right="0"/>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300" w:right="1220"/>
        </w:sectPr>
      </w:pPr>
    </w:p>
    <w:p>
      <w:pPr>
        <w:pStyle w:val="Heading2"/>
        <w:spacing w:line="240" w:lineRule="auto"/>
        <w:ind w:left="224"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董事、监事、高级管理人员报告期内被授予的股权激励情况</w:t>
      </w:r>
      <w:r>
        <w:rPr>
          <w:b w:val="0"/>
          <w:bCs w:val="0"/>
        </w:rPr>
      </w:r>
    </w:p>
    <w:p>
      <w:pPr>
        <w:pStyle w:val="BodyText"/>
        <w:spacing w:line="240" w:lineRule="auto" w:before="27"/>
        <w:ind w:left="224" w:right="-17"/>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24"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300" w:right="1220"/>
          <w:cols w:num="2" w:equalWidth="0">
            <w:col w:w="6907" w:space="6127"/>
            <w:col w:w="128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48"/>
        <w:gridCol w:w="1512"/>
        <w:gridCol w:w="1705"/>
        <w:gridCol w:w="1697"/>
        <w:gridCol w:w="1560"/>
        <w:gridCol w:w="1702"/>
        <w:gridCol w:w="1702"/>
        <w:gridCol w:w="1558"/>
        <w:gridCol w:w="1508"/>
      </w:tblGrid>
      <w:tr>
        <w:trPr>
          <w:trHeight w:val="82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55"/>
              <w:jc w:val="right"/>
              <w:rPr>
                <w:rFonts w:ascii="宋体" w:hAnsi="宋体" w:cs="宋体" w:eastAsia="宋体" w:hint="default"/>
                <w:sz w:val="21"/>
                <w:szCs w:val="21"/>
              </w:rPr>
            </w:pPr>
            <w:r>
              <w:rPr>
                <w:rFonts w:ascii="宋体" w:hAnsi="宋体" w:cs="宋体" w:eastAsia="宋体" w:hint="default"/>
                <w:sz w:val="21"/>
                <w:szCs w:val="21"/>
              </w:rPr>
              <w:t>姓名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99,022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26.51</w:t>
            </w:r>
          </w:p>
        </w:tc>
      </w:tr>
      <w:tr>
        <w:trPr>
          <w:trHeight w:val="28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26.51</w:t>
            </w:r>
          </w:p>
        </w:tc>
      </w:tr>
      <w:tr>
        <w:trPr>
          <w:trHeight w:val="28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343,278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26.51</w:t>
            </w:r>
          </w:p>
        </w:tc>
      </w:tr>
      <w:tr>
        <w:trPr>
          <w:trHeight w:val="28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26.51</w:t>
            </w:r>
          </w:p>
        </w:tc>
      </w:tr>
      <w:tr>
        <w:trPr>
          <w:trHeight w:val="28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26.51</w:t>
            </w:r>
          </w:p>
        </w:tc>
      </w:tr>
      <w:tr>
        <w:trPr>
          <w:trHeight w:val="28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z w:val="21"/>
                <w:szCs w:val="21"/>
              </w:rPr>
              <w:t>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491,812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74" w:lineRule="exact"/>
        <w:ind w:left="224" w:right="0"/>
        <w:jc w:val="left"/>
      </w:pPr>
      <w:r>
        <w:rPr/>
        <w:t>注：</w:t>
      </w:r>
    </w:p>
    <w:p>
      <w:pPr>
        <w:spacing w:after="0" w:line="274" w:lineRule="exact"/>
        <w:jc w:val="left"/>
        <w:sectPr>
          <w:type w:val="continuous"/>
          <w:pgSz w:w="16840" w:h="11910" w:orient="landscape"/>
          <w:pgMar w:top="1120" w:bottom="1380" w:left="1300" w:right="1220"/>
        </w:sectPr>
      </w:pPr>
    </w:p>
    <w:p>
      <w:pPr>
        <w:pStyle w:val="BodyText"/>
        <w:spacing w:line="237" w:lineRule="auto" w:before="114"/>
        <w:ind w:left="144" w:right="118"/>
        <w:jc w:val="both"/>
      </w:pPr>
      <w:r>
        <w:rPr>
          <w:rFonts w:ascii="宋体" w:hAnsi="宋体" w:cs="宋体" w:eastAsia="宋体" w:hint="default"/>
        </w:rPr>
        <w:t>1</w:t>
      </w:r>
      <w:r>
        <w:rPr/>
        <w:t>、因激励对象杨俏丛在登记日前六个月内存在减持本公司股票情况，公司董事会依据《证券发》等法律、法规及规范性文件，暂缓 杨俏丛激励对象</w:t>
      </w:r>
      <w:r>
        <w:rPr>
          <w:spacing w:val="-63"/>
        </w:rPr>
        <w:t> </w:t>
      </w:r>
      <w:r>
        <w:rPr>
          <w:rFonts w:ascii="宋体" w:hAnsi="宋体" w:cs="宋体" w:eastAsia="宋体" w:hint="default"/>
        </w:rPr>
        <w:t>150,000</w:t>
      </w:r>
      <w:r>
        <w:rPr>
          <w:rFonts w:ascii="宋体" w:hAnsi="宋体" w:cs="宋体" w:eastAsia="宋体" w:hint="default"/>
          <w:spacing w:val="-63"/>
        </w:rPr>
        <w:t> </w:t>
      </w:r>
      <w:r>
        <w:rPr/>
        <w:t>股限制性股票登记。本次暂缓登记的限制性股票共计</w:t>
      </w:r>
      <w:r>
        <w:rPr>
          <w:spacing w:val="-62"/>
        </w:rPr>
        <w:t> </w:t>
      </w:r>
      <w:r>
        <w:rPr>
          <w:rFonts w:ascii="宋体" w:hAnsi="宋体" w:cs="宋体" w:eastAsia="宋体" w:hint="default"/>
        </w:rPr>
        <w:t>150,000</w:t>
      </w:r>
      <w:r>
        <w:rPr>
          <w:rFonts w:ascii="宋体" w:hAnsi="宋体" w:cs="宋体" w:eastAsia="宋体" w:hint="default"/>
          <w:spacing w:val="-63"/>
        </w:rPr>
        <w:t> </w:t>
      </w:r>
      <w:r>
        <w:rPr>
          <w:spacing w:val="-8"/>
        </w:rPr>
        <w:t>股，于</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18</w:t>
      </w:r>
      <w:r>
        <w:rPr>
          <w:rFonts w:ascii="宋体" w:hAnsi="宋体" w:cs="宋体" w:eastAsia="宋体" w:hint="default"/>
          <w:spacing w:val="-63"/>
        </w:rPr>
        <w:t> </w:t>
      </w:r>
      <w:r>
        <w:rPr/>
        <w:t>日在中国证券登记结算 有限责任公司上海分公司完成登记。</w:t>
      </w:r>
    </w:p>
    <w:p>
      <w:pPr>
        <w:spacing w:after="0" w:line="237" w:lineRule="auto"/>
        <w:jc w:val="both"/>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right="221"/>
        <w:jc w:val="left"/>
        <w:rPr>
          <w:b w:val="0"/>
          <w:bCs w:val="0"/>
        </w:rPr>
      </w:pPr>
      <w:r>
        <w:rPr/>
        <w:t>二、现任及报告期内离任董事、监事和高级管理人员的任职情况</w:t>
      </w:r>
      <w:r>
        <w:rPr>
          <w:b w:val="0"/>
          <w:bCs w:val="0"/>
        </w:rPr>
      </w:r>
    </w:p>
    <w:p>
      <w:pPr>
        <w:pStyle w:val="Heading2"/>
        <w:spacing w:line="240" w:lineRule="auto" w:before="55"/>
        <w:ind w:right="25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在股东单位任职情况</w:t>
      </w:r>
      <w:r>
        <w:rPr>
          <w:b w:val="0"/>
          <w:bCs w:val="0"/>
        </w:rPr>
      </w:r>
    </w:p>
    <w:p>
      <w:pPr>
        <w:pStyle w:val="BodyText"/>
        <w:spacing w:line="240" w:lineRule="auto" w:before="27"/>
        <w:ind w:left="217" w:right="2569"/>
        <w:jc w:val="left"/>
      </w:pPr>
      <w:r>
        <w:rPr/>
        <w:t>□适用</w:t>
      </w:r>
      <w:r>
        <w:rPr>
          <w:spacing w:val="-1"/>
        </w:rPr>
        <w:t> </w:t>
      </w:r>
      <w:r>
        <w:rPr/>
        <w:t>√不适用</w:t>
      </w:r>
    </w:p>
    <w:p>
      <w:pPr>
        <w:pStyle w:val="Heading2"/>
        <w:spacing w:line="240" w:lineRule="auto" w:before="58"/>
        <w:ind w:right="25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在其他单位任职情况</w:t>
      </w:r>
      <w:r>
        <w:rPr>
          <w:b w:val="0"/>
          <w:bCs w:val="0"/>
        </w:rPr>
      </w:r>
    </w:p>
    <w:p>
      <w:pPr>
        <w:pStyle w:val="BodyText"/>
        <w:spacing w:line="240" w:lineRule="auto" w:before="25"/>
        <w:ind w:left="217" w:right="25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00"/>
        <w:gridCol w:w="2681"/>
        <w:gridCol w:w="1707"/>
        <w:gridCol w:w="1464"/>
        <w:gridCol w:w="1472"/>
      </w:tblGrid>
      <w:tr>
        <w:trPr>
          <w:trHeight w:val="63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任职人员姓</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名</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14" w:right="0"/>
              <w:jc w:val="left"/>
              <w:rPr>
                <w:rFonts w:ascii="宋体" w:hAnsi="宋体" w:cs="宋体" w:eastAsia="宋体" w:hint="default"/>
                <w:sz w:val="24"/>
                <w:szCs w:val="24"/>
              </w:rPr>
            </w:pPr>
            <w:r>
              <w:rPr>
                <w:rFonts w:ascii="宋体" w:hAnsi="宋体" w:cs="宋体" w:eastAsia="宋体" w:hint="default"/>
                <w:sz w:val="24"/>
                <w:szCs w:val="24"/>
              </w:rPr>
              <w:t>其他单位名称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在其他单位担</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任的职务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任期起始日</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期</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任期终止日</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63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王维航</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北京道朴健正投资有限</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2015-4-30</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王维航</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北京健正投资有限公司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2015-4-30</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王维航</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北京中域绿色投资管理</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2015-4-01</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梁达光</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tabs>
                <w:tab w:pos="1727" w:val="left" w:leader="none"/>
              </w:tabs>
              <w:spacing w:line="272" w:lineRule="exact"/>
              <w:ind w:left="103" w:right="0"/>
              <w:jc w:val="left"/>
              <w:rPr>
                <w:rFonts w:ascii="宋体" w:hAnsi="宋体" w:cs="宋体" w:eastAsia="宋体" w:hint="default"/>
                <w:sz w:val="24"/>
                <w:szCs w:val="24"/>
              </w:rPr>
            </w:pPr>
            <w:r>
              <w:rPr>
                <w:rFonts w:ascii="宋体"/>
                <w:sz w:val="24"/>
              </w:rPr>
              <w:t>AsiaSoft</w:t>
              <w:tab/>
              <w:t>Company</w:t>
            </w:r>
          </w:p>
          <w:p>
            <w:pPr>
              <w:pStyle w:val="TableParagraph"/>
              <w:spacing w:line="312" w:lineRule="exact"/>
              <w:ind w:left="103" w:right="0"/>
              <w:jc w:val="left"/>
              <w:rPr>
                <w:rFonts w:ascii="宋体" w:hAnsi="宋体" w:cs="宋体" w:eastAsia="宋体" w:hint="default"/>
                <w:sz w:val="24"/>
                <w:szCs w:val="24"/>
              </w:rPr>
            </w:pPr>
            <w:r>
              <w:rPr>
                <w:rFonts w:ascii="宋体"/>
                <w:sz w:val="24"/>
              </w:rPr>
              <w:t>Limited</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2007-12-31</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王斌</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际华集团股份有限公司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2015-5-20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2018-5-19</w:t>
            </w:r>
          </w:p>
        </w:tc>
      </w:tr>
      <w:tr>
        <w:trPr>
          <w:trHeight w:val="63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王斌</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北京翠微大厦股份有限</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2013-9-16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2016-9-15</w:t>
            </w:r>
          </w:p>
        </w:tc>
      </w:tr>
      <w:tr>
        <w:trPr>
          <w:trHeight w:val="63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仝允桓</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山东威达机械股份有限</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2014-3-18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2016-1-29</w:t>
            </w:r>
          </w:p>
        </w:tc>
      </w:tr>
      <w:tr>
        <w:trPr>
          <w:trHeight w:val="63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仝允桓</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浙江日发精密机械股份</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2014-9-10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2016-1-29</w:t>
            </w:r>
          </w:p>
        </w:tc>
      </w:tr>
      <w:tr>
        <w:trPr>
          <w:trHeight w:val="63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仝允桓</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威海广泰空港设备股份</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2015-3-25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2018-3-24</w:t>
            </w:r>
          </w:p>
        </w:tc>
      </w:tr>
      <w:tr>
        <w:trPr>
          <w:trHeight w:val="32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姜培维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大商股份有限公司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2013-4-24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2016-4-23</w:t>
            </w:r>
          </w:p>
        </w:tc>
      </w:tr>
      <w:tr>
        <w:trPr>
          <w:trHeight w:val="63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姜培维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道生国际融资租赁股份</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2012-5-22</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姜培维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北京道信恒通投资中心</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（有限合伙）</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执行事务合伙</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人</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2012-1-21</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在其他单位</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312" w:lineRule="exact" w:before="30"/>
              <w:ind w:left="103" w:right="77"/>
              <w:jc w:val="left"/>
              <w:rPr>
                <w:rFonts w:ascii="宋体" w:hAnsi="宋体" w:cs="宋体" w:eastAsia="宋体" w:hint="default"/>
                <w:sz w:val="24"/>
                <w:szCs w:val="24"/>
              </w:rPr>
            </w:pPr>
            <w:r>
              <w:rPr>
                <w:rFonts w:ascii="宋体" w:hAnsi="宋体" w:cs="宋体" w:eastAsia="宋体" w:hint="default"/>
                <w:spacing w:val="16"/>
                <w:sz w:val="24"/>
                <w:szCs w:val="24"/>
              </w:rPr>
              <w:t>任职情况的</w:t>
            </w:r>
            <w:r>
              <w:rPr>
                <w:rFonts w:ascii="宋体" w:hAnsi="宋体" w:cs="宋体" w:eastAsia="宋体" w:hint="default"/>
                <w:spacing w:val="-116"/>
                <w:sz w:val="24"/>
                <w:szCs w:val="24"/>
              </w:rPr>
              <w:t> </w:t>
            </w:r>
            <w:r>
              <w:rPr>
                <w:rFonts w:ascii="宋体" w:hAnsi="宋体" w:cs="宋体" w:eastAsia="宋体" w:hint="default"/>
                <w:sz w:val="24"/>
                <w:szCs w:val="24"/>
              </w:rPr>
              <w:t>说明</w:t>
            </w:r>
          </w:p>
        </w:tc>
        <w:tc>
          <w:tcPr>
            <w:tcW w:w="73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right="2569"/>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850"/>
        <w:gridCol w:w="6200"/>
      </w:tblGrid>
      <w:tr>
        <w:trPr>
          <w:trHeight w:val="63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董事、监事、高级管理人</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员报酬的决策程序</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董事会对其实行基本年薪与年度业绩相结合的目标考核</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制度</w:t>
            </w:r>
          </w:p>
        </w:tc>
      </w:tr>
      <w:tr>
        <w:trPr>
          <w:trHeight w:val="9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董事、监事、高级管理人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员报酬确定依据</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8"/>
                <w:sz w:val="24"/>
                <w:szCs w:val="24"/>
              </w:rPr>
              <w:t>基本年薪由董事会根据不同岗位制定标准</w:t>
            </w:r>
            <w:r>
              <w:rPr>
                <w:rFonts w:ascii="宋体" w:hAnsi="宋体" w:cs="宋体" w:eastAsia="宋体" w:hint="default"/>
                <w:spacing w:val="8"/>
                <w:sz w:val="24"/>
                <w:szCs w:val="24"/>
              </w:rPr>
              <w:t>,</w:t>
            </w:r>
            <w:r>
              <w:rPr>
                <w:rFonts w:ascii="宋体" w:hAnsi="宋体" w:cs="宋体" w:eastAsia="宋体" w:hint="default"/>
                <w:spacing w:val="8"/>
                <w:sz w:val="24"/>
                <w:szCs w:val="24"/>
              </w:rPr>
              <w:t>按月发放</w:t>
            </w:r>
            <w:r>
              <w:rPr>
                <w:rFonts w:ascii="宋体" w:hAnsi="宋体" w:cs="宋体" w:eastAsia="宋体" w:hint="default"/>
                <w:spacing w:val="8"/>
                <w:sz w:val="24"/>
                <w:szCs w:val="24"/>
              </w:rPr>
              <w:t>;</w:t>
            </w:r>
            <w:r>
              <w:rPr>
                <w:rFonts w:ascii="宋体" w:hAnsi="宋体" w:cs="宋体" w:eastAsia="宋体" w:hint="default"/>
                <w:spacing w:val="8"/>
                <w:sz w:val="24"/>
                <w:szCs w:val="24"/>
              </w:rPr>
              <w:t>年</w:t>
            </w:r>
          </w:p>
          <w:p>
            <w:pPr>
              <w:pStyle w:val="TableParagraph"/>
              <w:spacing w:line="312" w:lineRule="exact" w:before="29"/>
              <w:ind w:left="103" w:right="100"/>
              <w:jc w:val="left"/>
              <w:rPr>
                <w:rFonts w:ascii="宋体" w:hAnsi="宋体" w:cs="宋体" w:eastAsia="宋体" w:hint="default"/>
                <w:sz w:val="24"/>
                <w:szCs w:val="24"/>
              </w:rPr>
            </w:pPr>
            <w:r>
              <w:rPr>
                <w:rFonts w:ascii="宋体" w:hAnsi="宋体" w:cs="宋体" w:eastAsia="宋体" w:hint="default"/>
                <w:spacing w:val="3"/>
                <w:sz w:val="24"/>
                <w:szCs w:val="24"/>
              </w:rPr>
              <w:t>度业绩奖励则按董事会年度经营目标分解</w:t>
            </w:r>
            <w:r>
              <w:rPr>
                <w:rFonts w:ascii="宋体" w:hAnsi="宋体" w:cs="宋体" w:eastAsia="宋体" w:hint="default"/>
                <w:spacing w:val="3"/>
                <w:sz w:val="24"/>
                <w:szCs w:val="24"/>
              </w:rPr>
              <w:t>,</w:t>
            </w:r>
            <w:r>
              <w:rPr>
                <w:rFonts w:ascii="宋体" w:hAnsi="宋体" w:cs="宋体" w:eastAsia="宋体" w:hint="default"/>
                <w:spacing w:val="3"/>
                <w:sz w:val="24"/>
                <w:szCs w:val="24"/>
              </w:rPr>
              <w:t>并形成《年度</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考核任务书》，年末根据实际考核结果统一结算。</w:t>
            </w:r>
          </w:p>
        </w:tc>
      </w:tr>
      <w:tr>
        <w:trPr>
          <w:trHeight w:val="634"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董事、监事和高级管理人</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员报酬的实际支付情况</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根据中国证监会发布的《关于在上市公司建立独立董事制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度的指导意见》的精神</w:t>
            </w:r>
            <w:r>
              <w:rPr>
                <w:rFonts w:ascii="宋体" w:hAnsi="宋体" w:cs="宋体" w:eastAsia="宋体" w:hint="default"/>
                <w:spacing w:val="3"/>
                <w:sz w:val="24"/>
                <w:szCs w:val="24"/>
              </w:rPr>
              <w:t>,</w:t>
            </w:r>
            <w:r>
              <w:rPr>
                <w:rFonts w:ascii="宋体" w:hAnsi="宋体" w:cs="宋体" w:eastAsia="宋体" w:hint="default"/>
                <w:spacing w:val="3"/>
                <w:sz w:val="24"/>
                <w:szCs w:val="24"/>
              </w:rPr>
              <w:t>为保证本公司独立董事有效行使</w:t>
            </w:r>
          </w:p>
        </w:tc>
      </w:tr>
    </w:tbl>
    <w:p>
      <w:pPr>
        <w:spacing w:after="0" w:line="312" w:lineRule="exact"/>
        <w:jc w:val="left"/>
        <w:rPr>
          <w:rFonts w:ascii="宋体" w:hAnsi="宋体" w:cs="宋体" w:eastAsia="宋体" w:hint="default"/>
          <w:sz w:val="24"/>
          <w:szCs w:val="24"/>
        </w:rPr>
        <w:sectPr>
          <w:headerReference w:type="default" r:id="rId28"/>
          <w:footerReference w:type="default" r:id="rId29"/>
          <w:pgSz w:w="11910" w:h="16840"/>
          <w:pgMar w:header="882" w:footer="1195" w:top="1120" w:bottom="1380" w:left="1060" w:right="1560"/>
          <w:pgNumType w:start="57"/>
        </w:sectPr>
      </w:pPr>
    </w:p>
    <w:p>
      <w:pPr>
        <w:spacing w:line="240" w:lineRule="auto" w:before="0"/>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850"/>
        <w:gridCol w:w="6200"/>
      </w:tblGrid>
      <w:tr>
        <w:trPr>
          <w:trHeight w:val="1568" w:hRule="exact"/>
        </w:trPr>
        <w:tc>
          <w:tcPr>
            <w:tcW w:w="2850" w:type="dxa"/>
            <w:tcBorders>
              <w:top w:val="single" w:sz="4" w:space="0" w:color="000000"/>
              <w:left w:val="single" w:sz="4" w:space="0" w:color="000000"/>
              <w:bottom w:val="single" w:sz="4" w:space="0" w:color="000000"/>
              <w:right w:val="single" w:sz="4" w:space="0" w:color="000000"/>
            </w:tcBorders>
          </w:tcPr>
          <w:p>
            <w:pP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职权</w:t>
            </w:r>
            <w:r>
              <w:rPr>
                <w:rFonts w:ascii="宋体" w:hAnsi="宋体" w:cs="宋体" w:eastAsia="宋体" w:hint="default"/>
                <w:spacing w:val="3"/>
                <w:sz w:val="24"/>
                <w:szCs w:val="24"/>
              </w:rPr>
              <w:t>,</w:t>
            </w:r>
            <w:r>
              <w:rPr>
                <w:rFonts w:ascii="宋体" w:hAnsi="宋体" w:cs="宋体" w:eastAsia="宋体" w:hint="default"/>
                <w:spacing w:val="3"/>
                <w:sz w:val="24"/>
                <w:szCs w:val="24"/>
              </w:rPr>
              <w:t>公司实行独立董事津贴制度。独立董事津贴按月发</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pacing w:val="-1"/>
                <w:sz w:val="24"/>
                <w:szCs w:val="24"/>
              </w:rPr>
              <w:t>放</w:t>
            </w:r>
            <w:r>
              <w:rPr>
                <w:rFonts w:ascii="宋体" w:hAnsi="宋体" w:cs="宋体" w:eastAsia="宋体" w:hint="default"/>
                <w:spacing w:val="-1"/>
                <w:sz w:val="24"/>
                <w:szCs w:val="24"/>
              </w:rPr>
              <w:t>,</w:t>
            </w:r>
            <w:r>
              <w:rPr>
                <w:rFonts w:ascii="宋体" w:hAnsi="宋体" w:cs="宋体" w:eastAsia="宋体" w:hint="default"/>
                <w:spacing w:val="-1"/>
                <w:sz w:val="24"/>
                <w:szCs w:val="24"/>
              </w:rPr>
              <w:t>由公司按国家有关规定代扣税款。在报告期内</w:t>
            </w:r>
            <w:r>
              <w:rPr>
                <w:rFonts w:ascii="宋体" w:hAnsi="宋体" w:cs="宋体" w:eastAsia="宋体" w:hint="default"/>
                <w:spacing w:val="-1"/>
                <w:sz w:val="24"/>
                <w:szCs w:val="24"/>
              </w:rPr>
              <w:t>,</w:t>
            </w:r>
            <w:r>
              <w:rPr>
                <w:rFonts w:ascii="宋体" w:hAnsi="宋体" w:cs="宋体" w:eastAsia="宋体" w:hint="default"/>
                <w:spacing w:val="-1"/>
                <w:sz w:val="24"/>
                <w:szCs w:val="24"/>
              </w:rPr>
              <w:t>公司内</w:t>
            </w:r>
            <w:r>
              <w:rPr>
                <w:rFonts w:ascii="宋体" w:hAnsi="宋体" w:cs="宋体" w:eastAsia="宋体" w:hint="default"/>
                <w:spacing w:val="-110"/>
                <w:sz w:val="24"/>
                <w:szCs w:val="24"/>
              </w:rPr>
              <w:t> </w:t>
            </w:r>
            <w:r>
              <w:rPr>
                <w:rFonts w:ascii="宋体" w:hAnsi="宋体" w:cs="宋体" w:eastAsia="宋体" w:hint="default"/>
                <w:spacing w:val="-1"/>
                <w:sz w:val="24"/>
                <w:szCs w:val="24"/>
              </w:rPr>
              <w:t>部董事梁达光先生、陈朝晖先生、朱红仙女士、李伟先生</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按照 </w:t>
            </w:r>
            <w:r>
              <w:rPr>
                <w:rFonts w:ascii="宋体" w:hAnsi="宋体" w:cs="宋体" w:eastAsia="宋体" w:hint="default"/>
                <w:sz w:val="24"/>
                <w:szCs w:val="24"/>
              </w:rPr>
              <w:t>5</w:t>
            </w:r>
            <w:r>
              <w:rPr>
                <w:rFonts w:ascii="宋体" w:hAnsi="宋体" w:cs="宋体" w:eastAsia="宋体" w:hint="default"/>
                <w:spacing w:val="-19"/>
                <w:sz w:val="24"/>
                <w:szCs w:val="24"/>
              </w:rPr>
              <w:t> </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含税</w:t>
            </w:r>
            <w:r>
              <w:rPr>
                <w:rFonts w:ascii="宋体" w:hAnsi="宋体" w:cs="宋体" w:eastAsia="宋体" w:hint="default"/>
                <w:sz w:val="24"/>
                <w:szCs w:val="24"/>
              </w:rPr>
              <w:t>)/</w:t>
            </w:r>
            <w:r>
              <w:rPr>
                <w:rFonts w:ascii="宋体" w:hAnsi="宋体" w:cs="宋体" w:eastAsia="宋体" w:hint="default"/>
                <w:sz w:val="24"/>
                <w:szCs w:val="24"/>
              </w:rPr>
              <w:t>年标准领取津贴，监事符全先生、程</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亚光女士、安耀华女士按照</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含税</w:t>
            </w:r>
            <w:r>
              <w:rPr>
                <w:rFonts w:ascii="宋体" w:hAnsi="宋体" w:cs="宋体" w:eastAsia="宋体" w:hint="default"/>
                <w:sz w:val="24"/>
                <w:szCs w:val="24"/>
              </w:rPr>
              <w:t>)/</w:t>
            </w:r>
            <w:r>
              <w:rPr>
                <w:rFonts w:ascii="宋体" w:hAnsi="宋体" w:cs="宋体" w:eastAsia="宋体" w:hint="default"/>
                <w:sz w:val="24"/>
                <w:szCs w:val="24"/>
              </w:rPr>
              <w:t>年领取津贴。</w:t>
            </w:r>
          </w:p>
        </w:tc>
      </w:tr>
      <w:tr>
        <w:trPr>
          <w:trHeight w:val="9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报告期末全体董事、监事</w:t>
            </w:r>
          </w:p>
          <w:p>
            <w:pPr>
              <w:pStyle w:val="TableParagraph"/>
              <w:spacing w:line="312" w:lineRule="exact" w:before="28"/>
              <w:ind w:left="103" w:right="103"/>
              <w:jc w:val="left"/>
              <w:rPr>
                <w:rFonts w:ascii="宋体" w:hAnsi="宋体" w:cs="宋体" w:eastAsia="宋体" w:hint="default"/>
                <w:sz w:val="24"/>
                <w:szCs w:val="24"/>
              </w:rPr>
            </w:pPr>
            <w:r>
              <w:rPr>
                <w:rFonts w:ascii="宋体" w:hAnsi="宋体" w:cs="宋体" w:eastAsia="宋体" w:hint="default"/>
                <w:spacing w:val="22"/>
                <w:sz w:val="24"/>
                <w:szCs w:val="24"/>
              </w:rPr>
              <w:t>和高级管理人员实际获</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得的报酬合计</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报告期内公司全体董事、监事和高管人员实际获得的薪酬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合计为 </w:t>
            </w:r>
            <w:r>
              <w:rPr>
                <w:rFonts w:ascii="宋体" w:hAnsi="宋体" w:cs="宋体" w:eastAsia="宋体" w:hint="default"/>
                <w:sz w:val="24"/>
                <w:szCs w:val="24"/>
              </w:rPr>
              <w:t>1,528.61</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22" w:hRule="exact"/>
        </w:trPr>
        <w:tc>
          <w:tcPr>
            <w:tcW w:w="2850" w:type="dxa"/>
            <w:tcBorders>
              <w:top w:val="single" w:sz="4" w:space="0" w:color="000000"/>
              <w:left w:val="single" w:sz="4" w:space="0" w:color="000000"/>
              <w:bottom w:val="single" w:sz="4" w:space="0" w:color="000000"/>
              <w:right w:val="single" w:sz="4" w:space="0" w:color="000000"/>
            </w:tcBorders>
          </w:tcPr>
          <w:p>
            <w:pPr/>
          </w:p>
        </w:tc>
        <w:tc>
          <w:tcPr>
            <w:tcW w:w="62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3"/>
          <w:szCs w:val="23"/>
        </w:rPr>
      </w:pPr>
    </w:p>
    <w:p>
      <w:pPr>
        <w:pStyle w:val="Heading2"/>
        <w:spacing w:line="240" w:lineRule="auto"/>
        <w:ind w:right="2569"/>
        <w:jc w:val="left"/>
        <w:rPr>
          <w:b w:val="0"/>
          <w:bCs w:val="0"/>
        </w:rPr>
      </w:pPr>
      <w:r>
        <w:rPr/>
        <w:t>四、公司董事、监事、高级管理人员变动情况</w:t>
      </w:r>
      <w:r>
        <w:rPr>
          <w:b w:val="0"/>
          <w:bCs w:val="0"/>
        </w:rPr>
      </w:r>
    </w:p>
    <w:p>
      <w:pPr>
        <w:spacing w:line="240" w:lineRule="auto" w:before="4"/>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206"/>
        <w:gridCol w:w="2206"/>
        <w:gridCol w:w="2206"/>
        <w:gridCol w:w="2206"/>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4"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6" w:right="0"/>
              <w:jc w:val="left"/>
              <w:rPr>
                <w:rFonts w:ascii="宋体" w:hAnsi="宋体" w:cs="宋体" w:eastAsia="宋体" w:hint="default"/>
                <w:sz w:val="24"/>
                <w:szCs w:val="24"/>
              </w:rPr>
            </w:pPr>
            <w:r>
              <w:rPr>
                <w:rFonts w:ascii="宋体" w:hAnsi="宋体" w:cs="宋体" w:eastAsia="宋体" w:hint="default"/>
                <w:sz w:val="24"/>
                <w:szCs w:val="24"/>
              </w:rPr>
              <w:t>变动情形</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6"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黄华</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个人原因</w:t>
            </w:r>
          </w:p>
        </w:tc>
      </w:tr>
    </w:tbl>
    <w:p>
      <w:pPr>
        <w:pStyle w:val="BodyText"/>
        <w:spacing w:line="237" w:lineRule="auto" w:before="82"/>
        <w:ind w:left="217" w:right="246"/>
        <w:jc w:val="both"/>
      </w:pPr>
      <w:r>
        <w:rPr/>
        <w:t>说明：</w:t>
      </w: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日，公司召开</w:t>
      </w:r>
      <w:r>
        <w:rPr>
          <w:spacing w:val="-60"/>
        </w:rPr>
        <w:t> </w:t>
      </w:r>
      <w:r>
        <w:rPr>
          <w:rFonts w:ascii="宋体" w:hAnsi="宋体" w:cs="宋体" w:eastAsia="宋体" w:hint="default"/>
        </w:rPr>
        <w:t>2015 </w:t>
      </w:r>
      <w:r>
        <w:rPr/>
        <w:t>年第十次临时董事会，审议通过了《关于 同意陈朝晖董事辞职的议案》和《关于聘任范宇先生担任公司执行董事的议案》</w:t>
      </w:r>
      <w:r>
        <w:rPr>
          <w:spacing w:val="1"/>
        </w:rPr>
        <w:t> </w:t>
      </w:r>
      <w:r>
        <w:rPr/>
        <w:t>。</w:t>
      </w:r>
      <w:r>
        <w:rPr/>
        <w:t> </w:t>
      </w:r>
      <w:r>
        <w:rPr>
          <w:rFonts w:ascii="宋体" w:hAnsi="宋体" w:cs="宋体" w:eastAsia="宋体" w:hint="default"/>
        </w:rPr>
        <w:t>2016</w:t>
      </w:r>
      <w:r>
        <w:rPr>
          <w:rFonts w:ascii="宋体" w:hAnsi="宋体" w:cs="宋体" w:eastAsia="宋体" w:hint="default"/>
          <w:spacing w:val="-60"/>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日公司召开的</w:t>
      </w:r>
      <w:r>
        <w:rPr>
          <w:spacing w:val="-60"/>
        </w:rPr>
        <w:t> </w:t>
      </w:r>
      <w:r>
        <w:rPr>
          <w:rFonts w:ascii="宋体" w:hAnsi="宋体" w:cs="宋体" w:eastAsia="宋体" w:hint="default"/>
        </w:rPr>
        <w:t>2016</w:t>
      </w:r>
      <w:r>
        <w:rPr>
          <w:rFonts w:ascii="宋体" w:hAnsi="宋体" w:cs="宋体" w:eastAsia="宋体" w:hint="default"/>
          <w:spacing w:val="-60"/>
        </w:rPr>
        <w:t> </w:t>
      </w:r>
      <w:r>
        <w:rPr/>
        <w:t>年第一次临股东大会审议通过了《关于聘任范宇先 生担任公司执行董事的议案》。</w:t>
      </w:r>
    </w:p>
    <w:p>
      <w:pPr>
        <w:spacing w:line="240" w:lineRule="auto" w:before="0"/>
        <w:rPr>
          <w:rFonts w:ascii="宋体" w:hAnsi="宋体" w:cs="宋体" w:eastAsia="宋体" w:hint="default"/>
          <w:sz w:val="24"/>
          <w:szCs w:val="24"/>
        </w:rPr>
      </w:pPr>
    </w:p>
    <w:p>
      <w:pPr>
        <w:pStyle w:val="Heading2"/>
        <w:spacing w:line="240" w:lineRule="auto" w:before="176"/>
        <w:ind w:right="0"/>
        <w:jc w:val="both"/>
        <w:rPr>
          <w:b w:val="0"/>
          <w:bCs w:val="0"/>
        </w:rPr>
      </w:pPr>
      <w:r>
        <w:rPr/>
        <w:t>五、近三年受证券监管机构处罚的情况说明</w:t>
      </w:r>
      <w:r>
        <w:rPr>
          <w:b w:val="0"/>
          <w:bCs w:val="0"/>
        </w:rPr>
      </w:r>
    </w:p>
    <w:p>
      <w:pPr>
        <w:pStyle w:val="BodyText"/>
        <w:spacing w:line="240" w:lineRule="auto" w:before="56"/>
        <w:ind w:left="217" w:right="0"/>
        <w:jc w:val="both"/>
      </w:pPr>
      <w:r>
        <w:rPr/>
        <w:t>□适用</w:t>
      </w:r>
      <w:r>
        <w:rPr>
          <w:spacing w:val="-1"/>
        </w:rPr>
        <w:t> </w:t>
      </w:r>
      <w:r>
        <w:rPr/>
        <w:t>√不适用</w:t>
      </w:r>
    </w:p>
    <w:p>
      <w:pPr>
        <w:spacing w:after="0" w:line="240" w:lineRule="auto"/>
        <w:jc w:val="both"/>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right="2569"/>
        <w:jc w:val="left"/>
        <w:rPr>
          <w:b w:val="0"/>
          <w:bCs w:val="0"/>
        </w:rPr>
      </w:pPr>
      <w:r>
        <w:rPr/>
        <w:t>六、母公司和主要子公司的员工情况</w:t>
      </w:r>
      <w:r>
        <w:rPr>
          <w:b w:val="0"/>
          <w:bCs w:val="0"/>
        </w:rPr>
      </w:r>
    </w:p>
    <w:p>
      <w:pPr>
        <w:pStyle w:val="Heading2"/>
        <w:spacing w:line="240" w:lineRule="auto" w:before="55"/>
        <w:ind w:right="25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员工情况</w:t>
      </w:r>
      <w:r>
        <w:rPr>
          <w:b w:val="0"/>
          <w:bCs w:val="0"/>
        </w:rPr>
      </w:r>
    </w:p>
    <w:p>
      <w:pPr>
        <w:spacing w:line="240" w:lineRule="auto" w:before="2"/>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994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3,547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4,541</w:t>
            </w:r>
          </w:p>
        </w:tc>
      </w:tr>
      <w:tr>
        <w:trPr>
          <w:trHeight w:val="63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母公司及主要子公司需承担费用的离退</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休职工人数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533</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3,357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531</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4,541</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22</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899</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2,377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816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4,541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2"/>
        <w:spacing w:line="240" w:lineRule="auto"/>
        <w:ind w:right="25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2"/>
        </w:rPr>
        <w:t> </w:t>
      </w:r>
      <w:r>
        <w:rPr/>
        <w:t>薪酬政策</w:t>
      </w:r>
      <w:r>
        <w:rPr>
          <w:b w:val="0"/>
          <w:bCs w:val="0"/>
        </w:rPr>
      </w:r>
    </w:p>
    <w:p>
      <w:pPr>
        <w:pStyle w:val="BodyText"/>
        <w:spacing w:line="237" w:lineRule="auto" w:before="30"/>
        <w:ind w:left="217" w:right="229" w:firstLine="480"/>
        <w:jc w:val="both"/>
      </w:pPr>
      <w:r>
        <w:rPr>
          <w:spacing w:val="-2"/>
        </w:rPr>
        <w:t>公司董事、监事、独立董事的薪酬按照《公司董事、监事薪酬及独立董事津贴的</w:t>
      </w:r>
      <w:r>
        <w:rPr/>
        <w:t> </w:t>
      </w:r>
      <w:r>
        <w:rPr>
          <w:spacing w:val="-2"/>
        </w:rPr>
        <w:t>议案》执行。职工薪酬包括：基本工资、奖金提成、津贴和补贴；医疗保险费、养老</w:t>
      </w:r>
      <w:r>
        <w:rPr>
          <w:spacing w:val="-102"/>
        </w:rPr>
        <w:t> </w:t>
      </w:r>
      <w:r>
        <w:rPr>
          <w:spacing w:val="-102"/>
        </w:rPr>
      </w:r>
      <w:r>
        <w:rPr>
          <w:spacing w:val="-2"/>
        </w:rPr>
        <w:t>保险费、失业保险费、工伤保险费和生育保险费等社会保险费；住房公积金；职工福</w:t>
      </w:r>
      <w:r>
        <w:rPr>
          <w:spacing w:val="-94"/>
        </w:rPr>
        <w:t> </w:t>
      </w:r>
      <w:r>
        <w:rPr>
          <w:spacing w:val="-94"/>
        </w:rPr>
      </w:r>
      <w:r>
        <w:rPr>
          <w:spacing w:val="-2"/>
        </w:rPr>
        <w:t>利费、工会经费和职工教育经费；因解除与职工的劳动关系给予的补偿；其他与获得</w:t>
      </w:r>
      <w:r>
        <w:rPr>
          <w:spacing w:val="-96"/>
        </w:rPr>
        <w:t> </w:t>
      </w:r>
      <w:r>
        <w:rPr>
          <w:spacing w:val="-96"/>
        </w:rPr>
      </w:r>
      <w:r>
        <w:rPr>
          <w:spacing w:val="-2"/>
        </w:rPr>
        <w:t>职工提供的服务相关的支出。职工工资主要由基本工资、浮动绩效工资、销售提成和</w:t>
      </w:r>
      <w:r>
        <w:rPr>
          <w:spacing w:val="-96"/>
        </w:rPr>
        <w:t> </w:t>
      </w:r>
      <w:r>
        <w:rPr>
          <w:spacing w:val="-96"/>
        </w:rPr>
      </w:r>
      <w:r>
        <w:rPr/>
        <w:t>各项奖金构成。公司执行“绩效付薪”理念</w:t>
      </w:r>
      <w:r>
        <w:rPr>
          <w:rFonts w:ascii="宋体" w:hAnsi="宋体" w:cs="宋体" w:eastAsia="宋体" w:hint="default"/>
        </w:rPr>
        <w:t>,</w:t>
      </w:r>
      <w:r>
        <w:rPr/>
        <w:t>执行全员范围绩效管理。对企业高级管</w:t>
      </w:r>
      <w:r>
        <w:rPr>
          <w:spacing w:val="-57"/>
        </w:rPr>
        <w:t> </w:t>
      </w:r>
      <w:r>
        <w:rPr>
          <w:spacing w:val="-57"/>
        </w:rPr>
      </w:r>
      <w:r>
        <w:rPr>
          <w:spacing w:val="-2"/>
        </w:rPr>
        <w:t>理者和关键、重要岗位人员执行股权激励政策；企业中高层员工执行年薪制并按照绩</w:t>
      </w:r>
      <w:r>
        <w:rPr>
          <w:spacing w:val="-93"/>
        </w:rPr>
        <w:t> </w:t>
      </w:r>
      <w:r>
        <w:rPr>
          <w:spacing w:val="-93"/>
        </w:rPr>
      </w:r>
      <w:r>
        <w:rPr/>
        <w:t>效考核的情况进行浮动绩效工资的发放。销售体系非管理层员工执行底薪提成制。</w:t>
      </w:r>
    </w:p>
    <w:p>
      <w:pPr>
        <w:spacing w:line="240" w:lineRule="auto" w:before="1"/>
        <w:rPr>
          <w:rFonts w:ascii="宋体" w:hAnsi="宋体" w:cs="宋体" w:eastAsia="宋体" w:hint="default"/>
          <w:sz w:val="28"/>
          <w:szCs w:val="28"/>
        </w:rPr>
      </w:pPr>
    </w:p>
    <w:p>
      <w:pPr>
        <w:pStyle w:val="Heading2"/>
        <w:spacing w:line="240" w:lineRule="auto" w:before="0"/>
        <w:ind w:right="25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培训计划</w:t>
      </w:r>
      <w:r>
        <w:rPr>
          <w:b w:val="0"/>
          <w:bCs w:val="0"/>
        </w:rPr>
      </w:r>
    </w:p>
    <w:p>
      <w:pPr>
        <w:pStyle w:val="BodyText"/>
        <w:spacing w:line="237" w:lineRule="auto" w:before="30"/>
        <w:ind w:left="217" w:right="235" w:firstLine="480"/>
        <w:jc w:val="both"/>
      </w:pPr>
      <w:r>
        <w:rPr>
          <w:spacing w:val="-2"/>
        </w:rPr>
        <w:t>为保证公司可持续性发展，实现企业的战略转型，根据集团战略发展布局，针对</w:t>
      </w:r>
      <w:r>
        <w:rPr/>
        <w:t> </w:t>
      </w:r>
      <w:r>
        <w:rPr>
          <w:spacing w:val="-2"/>
        </w:rPr>
        <w:t>未来业务发展中所需的人力资源配置与需求，公司有针对性地制订培训计划，并由人</w:t>
      </w:r>
      <w:r>
        <w:rPr>
          <w:spacing w:val="-94"/>
        </w:rPr>
        <w:t> </w:t>
      </w:r>
      <w:r>
        <w:rPr>
          <w:spacing w:val="-94"/>
        </w:rPr>
      </w:r>
      <w:r>
        <w:rPr>
          <w:spacing w:val="-8"/>
        </w:rPr>
        <w:t>力资源中心牵头组织培训。培训计划包含入职培训、在岗培训、技能培训、管理培训、</w:t>
      </w:r>
    </w:p>
    <w:p>
      <w:pPr>
        <w:spacing w:after="0" w:line="237" w:lineRule="auto"/>
        <w:jc w:val="both"/>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BodyText"/>
        <w:spacing w:line="312" w:lineRule="exact" w:before="56"/>
        <w:ind w:left="217" w:right="217"/>
        <w:jc w:val="left"/>
      </w:pPr>
      <w:r>
        <w:rPr/>
        <w:t>财务培训、</w:t>
      </w:r>
      <w:r>
        <w:rPr>
          <w:rFonts w:ascii="宋体" w:hAnsi="宋体" w:cs="宋体" w:eastAsia="宋体" w:hint="default"/>
        </w:rPr>
        <w:t>TMBA</w:t>
      </w:r>
      <w:r>
        <w:rPr>
          <w:rFonts w:ascii="宋体" w:hAnsi="宋体" w:cs="宋体" w:eastAsia="宋体" w:hint="default"/>
          <w:spacing w:val="54"/>
        </w:rPr>
        <w:t> </w:t>
      </w:r>
      <w:r>
        <w:rPr/>
        <w:t>培训、阿米巴经营管理培训，重大自主产品培训，企业文化与经营</w:t>
      </w:r>
      <w:r>
        <w:rPr>
          <w:spacing w:val="-113"/>
        </w:rPr>
        <w:t> </w:t>
      </w:r>
      <w:r>
        <w:rPr>
          <w:spacing w:val="-113"/>
        </w:rPr>
      </w:r>
      <w:r>
        <w:rPr>
          <w:rFonts w:ascii="宋体" w:hAnsi="宋体" w:cs="宋体" w:eastAsia="宋体" w:hint="default"/>
        </w:rPr>
        <w:t>12</w:t>
      </w:r>
      <w:r>
        <w:rPr>
          <w:rFonts w:ascii="宋体" w:hAnsi="宋体" w:cs="宋体" w:eastAsia="宋体" w:hint="default"/>
          <w:spacing w:val="-60"/>
        </w:rPr>
        <w:t> </w:t>
      </w:r>
      <w:r>
        <w:rPr>
          <w:spacing w:val="-3"/>
        </w:rPr>
        <w:t>条培训等。根据各类管理人员、技术人员和销售人员的特点，采取内训与外训相结</w:t>
      </w:r>
    </w:p>
    <w:p>
      <w:pPr>
        <w:pStyle w:val="BodyText"/>
        <w:spacing w:line="280" w:lineRule="exact"/>
        <w:ind w:left="217" w:right="102"/>
        <w:jc w:val="left"/>
      </w:pPr>
      <w:r>
        <w:rPr/>
        <w:t>合的形式，并对培训结果进行评估和跟踪，进一步推进培训成果的转化。与此同时，</w:t>
      </w:r>
    </w:p>
    <w:p>
      <w:pPr>
        <w:pStyle w:val="BodyText"/>
        <w:spacing w:line="312" w:lineRule="exact" w:before="29"/>
        <w:ind w:left="217" w:right="221"/>
        <w:jc w:val="left"/>
      </w:pPr>
      <w:r>
        <w:rPr>
          <w:spacing w:val="-2"/>
        </w:rPr>
        <w:t>公司积极创新培训模式，将外训成果成功转为内训成果，扩大培训覆盖面，提高员工</w:t>
      </w:r>
      <w:r>
        <w:rPr>
          <w:spacing w:val="-96"/>
        </w:rPr>
        <w:t> </w:t>
      </w:r>
      <w:r>
        <w:rPr>
          <w:spacing w:val="-96"/>
        </w:rPr>
      </w:r>
      <w:r>
        <w:rPr/>
        <w:t>素质</w:t>
      </w:r>
      <w:r>
        <w:rPr>
          <w:rFonts w:ascii="宋体" w:hAnsi="宋体" w:cs="宋体" w:eastAsia="宋体" w:hint="default"/>
        </w:rPr>
        <w:t>,</w:t>
      </w:r>
      <w:r>
        <w:rPr/>
        <w:t>为公司业务发展、经营目标的实现提供了有力的人才保障。</w:t>
      </w:r>
    </w:p>
    <w:p>
      <w:pPr>
        <w:spacing w:line="240" w:lineRule="auto" w:before="12"/>
        <w:rPr>
          <w:rFonts w:ascii="宋体" w:hAnsi="宋体" w:cs="宋体" w:eastAsia="宋体" w:hint="default"/>
          <w:sz w:val="25"/>
          <w:szCs w:val="25"/>
        </w:rPr>
      </w:pPr>
    </w:p>
    <w:p>
      <w:pPr>
        <w:pStyle w:val="Heading2"/>
        <w:spacing w:line="240" w:lineRule="auto" w:before="0"/>
        <w:ind w:right="256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4"/>
        </w:rPr>
        <w:t> </w:t>
      </w:r>
      <w:r>
        <w:rPr/>
        <w:t>劳务外包情况</w:t>
      </w:r>
      <w:r>
        <w:rPr>
          <w:b w:val="0"/>
          <w:bCs w:val="0"/>
        </w:rPr>
      </w:r>
    </w:p>
    <w:p>
      <w:pPr>
        <w:spacing w:line="240" w:lineRule="auto" w:before="2"/>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101,616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4,411,238</w:t>
            </w:r>
          </w:p>
        </w:tc>
      </w:tr>
    </w:tbl>
    <w:p>
      <w:pPr>
        <w:spacing w:line="240" w:lineRule="auto" w:before="3"/>
        <w:rPr>
          <w:rFonts w:ascii="宋体" w:hAnsi="宋体" w:cs="宋体" w:eastAsia="宋体" w:hint="default"/>
          <w:b/>
          <w:bCs/>
          <w:sz w:val="23"/>
          <w:szCs w:val="23"/>
        </w:rPr>
      </w:pPr>
    </w:p>
    <w:p>
      <w:pPr>
        <w:pStyle w:val="Heading2"/>
        <w:spacing w:line="283" w:lineRule="auto"/>
        <w:ind w:right="8085"/>
        <w:jc w:val="left"/>
        <w:rPr>
          <w:rFonts w:ascii="宋体" w:hAnsi="宋体" w:cs="宋体" w:eastAsia="宋体" w:hint="default"/>
          <w:b w:val="0"/>
          <w:bCs w:val="0"/>
        </w:rPr>
      </w:pPr>
      <w:r>
        <w:rPr/>
        <w:t>七、其他</w:t>
      </w:r>
      <w:r>
        <w:rPr>
          <w:spacing w:val="-119"/>
        </w:rPr>
        <w:t> </w:t>
      </w:r>
      <w:r>
        <w:rPr>
          <w:spacing w:val="-119"/>
        </w:rPr>
      </w:r>
      <w:r>
        <w:rPr>
          <w:rFonts w:ascii="宋体" w:hAnsi="宋体" w:cs="宋体" w:eastAsia="宋体" w:hint="default"/>
          <w:b w:val="0"/>
          <w:bCs w:val="0"/>
        </w:rPr>
        <w:t>无</w:t>
      </w:r>
    </w:p>
    <w:p>
      <w:pPr>
        <w:spacing w:after="0" w:line="283" w:lineRule="auto"/>
        <w:jc w:val="left"/>
        <w:rPr>
          <w:rFonts w:ascii="宋体" w:hAnsi="宋体" w:cs="宋体" w:eastAsia="宋体" w:hint="default"/>
        </w:rPr>
        <w:sectPr>
          <w:footerReference w:type="default" r:id="rId30"/>
          <w:pgSz w:w="11910" w:h="16840"/>
          <w:pgMar w:footer="1195" w:header="882" w:top="1120" w:bottom="1380" w:left="10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1259" w:val="left" w:leader="none"/>
        </w:tabs>
        <w:spacing w:line="240" w:lineRule="auto"/>
        <w:ind w:right="96"/>
        <w:jc w:val="center"/>
        <w:rPr>
          <w:b w:val="0"/>
          <w:bCs w:val="0"/>
        </w:rPr>
      </w:pPr>
      <w:bookmarkStart w:name="_TOC_250003" w:id="9"/>
      <w:r>
        <w:rPr>
          <w:w w:val="95"/>
        </w:rPr>
        <w:t>第九节</w:t>
        <w:tab/>
      </w:r>
      <w:r>
        <w:rPr/>
        <w:t>公司治理</w:t>
      </w:r>
      <w:bookmarkEnd w:id="9"/>
      <w:r>
        <w:rPr>
          <w:b w:val="0"/>
          <w:bCs w:val="0"/>
        </w:rPr>
      </w:r>
    </w:p>
    <w:p>
      <w:pPr>
        <w:tabs>
          <w:tab w:pos="977" w:val="left" w:leader="none"/>
        </w:tabs>
        <w:spacing w:line="328" w:lineRule="auto" w:before="246"/>
        <w:ind w:left="617" w:right="232" w:hanging="480"/>
        <w:jc w:val="left"/>
        <w:rPr>
          <w:rFonts w:ascii="宋体" w:hAnsi="宋体" w:cs="宋体" w:eastAsia="宋体" w:hint="default"/>
          <w:sz w:val="24"/>
          <w:szCs w:val="24"/>
        </w:rPr>
      </w:pPr>
      <w:r>
        <w:rPr>
          <w:rFonts w:ascii="宋体" w:hAnsi="宋体" w:cs="宋体" w:eastAsia="宋体" w:hint="default"/>
          <w:b/>
          <w:bCs/>
          <w:sz w:val="24"/>
          <w:szCs w:val="24"/>
        </w:rPr>
        <w:t>一、</w:t>
        <w:tab/>
        <w:t>公司治理相关情况说明</w:t>
      </w:r>
      <w:r>
        <w:rPr>
          <w:rFonts w:ascii="宋体" w:hAnsi="宋体" w:cs="宋体" w:eastAsia="宋体" w:hint="default"/>
          <w:b/>
          <w:bCs/>
          <w:w w:val="99"/>
          <w:sz w:val="24"/>
          <w:szCs w:val="24"/>
        </w:rPr>
        <w:t> </w:t>
      </w:r>
      <w:r>
        <w:rPr>
          <w:rFonts w:ascii="宋体" w:hAnsi="宋体" w:cs="宋体" w:eastAsia="宋体" w:hint="default"/>
          <w:spacing w:val="-2"/>
          <w:sz w:val="24"/>
          <w:szCs w:val="24"/>
        </w:rPr>
        <w:t>本报告期内，公司严格按照《公司法》、《证券法》等相关法律法规以及中国证</w:t>
      </w:r>
    </w:p>
    <w:p>
      <w:pPr>
        <w:pStyle w:val="BodyText"/>
        <w:spacing w:line="222" w:lineRule="exact"/>
        <w:ind w:right="119"/>
        <w:jc w:val="left"/>
      </w:pPr>
      <w:r>
        <w:rPr/>
        <w:t>监会、上海证券交易所的有关规章、制度以及相关规范治理文件等要求，不断完善、</w:t>
      </w:r>
    </w:p>
    <w:p>
      <w:pPr>
        <w:pStyle w:val="BodyText"/>
        <w:spacing w:line="310" w:lineRule="exact" w:before="31"/>
        <w:ind w:right="235"/>
        <w:jc w:val="both"/>
      </w:pPr>
      <w:r>
        <w:rPr>
          <w:spacing w:val="-2"/>
        </w:rPr>
        <w:t>规范公司治理。目前公司法人治理结构的实际情况符合现代企业制度和《上市公司治</w:t>
      </w:r>
      <w:r>
        <w:rPr>
          <w:spacing w:val="-94"/>
        </w:rPr>
        <w:t> </w:t>
      </w:r>
      <w:r>
        <w:rPr>
          <w:spacing w:val="-94"/>
        </w:rPr>
      </w:r>
      <w:r>
        <w:rPr/>
        <w:t>理准则》的要求，具体内容如下：</w:t>
      </w:r>
    </w:p>
    <w:p>
      <w:pPr>
        <w:pStyle w:val="BodyText"/>
        <w:spacing w:line="331" w:lineRule="auto" w:before="89"/>
        <w:ind w:left="617" w:right="217" w:hanging="480"/>
        <w:jc w:val="left"/>
      </w:pPr>
      <w:r>
        <w:rPr/>
        <w:t>（</w:t>
      </w:r>
      <w:r>
        <w:rPr>
          <w:rFonts w:ascii="宋体" w:hAnsi="宋体" w:cs="宋体" w:eastAsia="宋体" w:hint="default"/>
        </w:rPr>
        <w:t>1</w:t>
      </w:r>
      <w:r>
        <w:rPr/>
        <w:t>） 关于股东与股东大会 </w:t>
      </w:r>
      <w:r>
        <w:rPr>
          <w:spacing w:val="-8"/>
        </w:rPr>
        <w:t>报告期内，公司召开了一次年度股东大会，五次临时股东大会。公司严格按照《公</w:t>
      </w:r>
    </w:p>
    <w:p>
      <w:pPr>
        <w:pStyle w:val="BodyText"/>
        <w:spacing w:line="218" w:lineRule="exact"/>
        <w:ind w:right="119"/>
        <w:jc w:val="left"/>
      </w:pPr>
      <w:r>
        <w:rPr/>
        <w:t>司章程》、《股东大会议事规则》等有关要求，规范股东大会的召集、召开和议事程</w:t>
      </w:r>
    </w:p>
    <w:p>
      <w:pPr>
        <w:pStyle w:val="BodyText"/>
        <w:spacing w:line="237" w:lineRule="auto" w:before="1"/>
        <w:ind w:right="232"/>
        <w:jc w:val="both"/>
      </w:pPr>
      <w:r>
        <w:rPr>
          <w:spacing w:val="-2"/>
        </w:rPr>
        <w:t>序，确保所有股东，特别是中小股东享有平等地位和行使自己的权利，保证全体股东</w:t>
      </w:r>
      <w:r>
        <w:rPr>
          <w:spacing w:val="-95"/>
        </w:rPr>
        <w:t> </w:t>
      </w:r>
      <w:r>
        <w:rPr>
          <w:spacing w:val="-95"/>
        </w:rPr>
      </w:r>
      <w:r>
        <w:rPr>
          <w:spacing w:val="-2"/>
        </w:rPr>
        <w:t>的信息对称。报告期内，公司历次股东大会的召集、召开符合《上市公司股东大会规</w:t>
      </w:r>
      <w:r>
        <w:rPr>
          <w:spacing w:val="-95"/>
        </w:rPr>
        <w:t> </w:t>
      </w:r>
      <w:r>
        <w:rPr>
          <w:spacing w:val="-95"/>
        </w:rPr>
      </w:r>
      <w:r>
        <w:rPr>
          <w:spacing w:val="-2"/>
        </w:rPr>
        <w:t>范意见》、《公司章程》和《股东大会议事规则》的规定，并有律师现场见证，表决</w:t>
      </w:r>
      <w:r>
        <w:rPr>
          <w:spacing w:val="-95"/>
        </w:rPr>
        <w:t> </w:t>
      </w:r>
      <w:r>
        <w:rPr>
          <w:spacing w:val="-95"/>
        </w:rPr>
      </w:r>
      <w:r>
        <w:rPr/>
        <w:t>程序合法、有效。</w:t>
      </w:r>
    </w:p>
    <w:p>
      <w:pPr>
        <w:pStyle w:val="BodyText"/>
        <w:spacing w:line="331" w:lineRule="auto" w:before="118"/>
        <w:ind w:left="617" w:right="119" w:hanging="480"/>
        <w:jc w:val="left"/>
      </w:pPr>
      <w:r>
        <w:rPr/>
        <w:t>（</w:t>
      </w:r>
      <w:r>
        <w:rPr>
          <w:rFonts w:ascii="宋体" w:hAnsi="宋体" w:cs="宋体" w:eastAsia="宋体" w:hint="default"/>
        </w:rPr>
        <w:t>2</w:t>
      </w:r>
      <w:r>
        <w:rPr/>
        <w:t>）关于董事与董事会 </w:t>
      </w:r>
      <w:r>
        <w:rPr>
          <w:spacing w:val="-2"/>
        </w:rPr>
        <w:t>公司董事会根据《公司法》、公司《章程》、《董事会议事规则》等法律法规依</w:t>
      </w:r>
    </w:p>
    <w:p>
      <w:pPr>
        <w:pStyle w:val="BodyText"/>
        <w:spacing w:line="217" w:lineRule="exact"/>
        <w:ind w:right="119"/>
        <w:jc w:val="left"/>
      </w:pPr>
      <w:r>
        <w:rPr/>
        <w:t>法运作，董事会职责清晰，召开决策程序规范。董事会成员在技术、法律、会计、经</w:t>
      </w:r>
    </w:p>
    <w:p>
      <w:pPr>
        <w:pStyle w:val="BodyText"/>
        <w:spacing w:line="237" w:lineRule="auto" w:before="1"/>
        <w:ind w:right="234"/>
        <w:jc w:val="both"/>
      </w:pPr>
      <w:r>
        <w:rPr>
          <w:spacing w:val="-2"/>
        </w:rPr>
        <w:t>济、管理等方面都有较高专业素养。董事会成立了以独立董事为主要成员的发展战略</w:t>
      </w:r>
      <w:r>
        <w:rPr>
          <w:spacing w:val="-94"/>
        </w:rPr>
        <w:t> </w:t>
      </w:r>
      <w:r>
        <w:rPr>
          <w:spacing w:val="-94"/>
        </w:rPr>
      </w:r>
      <w:r>
        <w:rPr>
          <w:spacing w:val="-2"/>
        </w:rPr>
        <w:t>委员会、提名委员会、审计委员会、薪酬与考核委员会及关联交易控制委员会，在公</w:t>
      </w:r>
      <w:r>
        <w:rPr>
          <w:spacing w:val="-94"/>
        </w:rPr>
        <w:t> </w:t>
      </w:r>
      <w:r>
        <w:rPr>
          <w:spacing w:val="-94"/>
        </w:rPr>
      </w:r>
      <w:r>
        <w:rPr>
          <w:spacing w:val="-2"/>
        </w:rPr>
        <w:t>司的决策过程中发挥了重要的作用。各位董事勤勉尽职，在公司重大决策中提出专业</w:t>
      </w:r>
      <w:r>
        <w:rPr>
          <w:spacing w:val="-94"/>
        </w:rPr>
        <w:t> </w:t>
      </w:r>
      <w:r>
        <w:rPr>
          <w:spacing w:val="-94"/>
        </w:rPr>
      </w:r>
      <w:r>
        <w:rPr>
          <w:spacing w:val="-2"/>
        </w:rPr>
        <w:t>意见，发挥重要的咨询、参谋作用。公司独立董事能够独立地履行职责，不受公司主</w:t>
      </w:r>
      <w:r>
        <w:rPr>
          <w:spacing w:val="-94"/>
        </w:rPr>
        <w:t> </w:t>
      </w:r>
      <w:r>
        <w:rPr>
          <w:spacing w:val="-94"/>
        </w:rPr>
      </w:r>
      <w:r>
        <w:rPr>
          <w:spacing w:val="-2"/>
        </w:rPr>
        <w:t>要股东、实际控制人等的影响，并得到公司相关机构、人员积极配合，履行职责得到</w:t>
      </w:r>
      <w:r>
        <w:rPr>
          <w:spacing w:val="-94"/>
        </w:rPr>
        <w:t> </w:t>
      </w:r>
      <w:r>
        <w:rPr>
          <w:spacing w:val="-94"/>
        </w:rPr>
      </w:r>
      <w:r>
        <w:rPr>
          <w:spacing w:val="-2"/>
        </w:rPr>
        <w:t>了充分的保障。全体监事尽职尽责，依据相关规定对董事及高级管理人员履行职责的</w:t>
      </w:r>
      <w:r>
        <w:rPr>
          <w:spacing w:val="-94"/>
        </w:rPr>
        <w:t> </w:t>
      </w:r>
      <w:r>
        <w:rPr>
          <w:spacing w:val="-94"/>
        </w:rPr>
      </w:r>
      <w:r>
        <w:rPr/>
        <w:t>合法、合规性进行监督，维护公司和股东的合法权利。</w:t>
      </w:r>
    </w:p>
    <w:p>
      <w:pPr>
        <w:pStyle w:val="BodyText"/>
        <w:spacing w:line="240" w:lineRule="auto" w:before="118"/>
        <w:ind w:right="119"/>
        <w:jc w:val="left"/>
      </w:pPr>
      <w:r>
        <w:rPr/>
        <w:t>（</w:t>
      </w:r>
      <w:r>
        <w:rPr>
          <w:rFonts w:ascii="宋体" w:hAnsi="宋体" w:cs="宋体" w:eastAsia="宋体" w:hint="default"/>
        </w:rPr>
        <w:t>3</w:t>
      </w:r>
      <w:r>
        <w:rPr/>
        <w:t>）关于监事与监事会</w:t>
      </w:r>
    </w:p>
    <w:p>
      <w:pPr>
        <w:pStyle w:val="BodyText"/>
        <w:spacing w:line="237" w:lineRule="auto" w:before="118"/>
        <w:ind w:right="234" w:firstLine="480"/>
        <w:jc w:val="both"/>
      </w:pPr>
      <w:r>
        <w:rPr/>
        <w:t>公司共有</w:t>
      </w:r>
      <w:r>
        <w:rPr>
          <w:spacing w:val="-73"/>
        </w:rPr>
        <w:t> </w:t>
      </w:r>
      <w:r>
        <w:rPr>
          <w:rFonts w:ascii="宋体" w:hAnsi="宋体" w:cs="宋体" w:eastAsia="宋体" w:hint="default"/>
        </w:rPr>
        <w:t>3</w:t>
      </w:r>
      <w:r>
        <w:rPr>
          <w:rFonts w:ascii="宋体" w:hAnsi="宋体" w:cs="宋体" w:eastAsia="宋体" w:hint="default"/>
          <w:spacing w:val="-72"/>
        </w:rPr>
        <w:t> </w:t>
      </w:r>
      <w:r>
        <w:rPr/>
        <w:t>名监事，其中职工代表监事</w:t>
      </w:r>
      <w:r>
        <w:rPr>
          <w:spacing w:val="-72"/>
        </w:rPr>
        <w:t> </w:t>
      </w:r>
      <w:r>
        <w:rPr>
          <w:rFonts w:ascii="宋体" w:hAnsi="宋体" w:cs="宋体" w:eastAsia="宋体" w:hint="default"/>
        </w:rPr>
        <w:t>2</w:t>
      </w:r>
      <w:r>
        <w:rPr>
          <w:rFonts w:ascii="宋体" w:hAnsi="宋体" w:cs="宋体" w:eastAsia="宋体" w:hint="default"/>
          <w:spacing w:val="-72"/>
        </w:rPr>
        <w:t> </w:t>
      </w:r>
      <w:r>
        <w:rPr/>
        <w:t>名。监事人数和人员构成符合法律法规 </w:t>
      </w:r>
      <w:r>
        <w:rPr>
          <w:spacing w:val="-2"/>
        </w:rPr>
        <w:t>的要求；公司监事能够本着对股东负责的态度，认真履行其职责，对公司财务，对董</w:t>
      </w:r>
      <w:r>
        <w:rPr>
          <w:spacing w:val="-94"/>
        </w:rPr>
        <w:t> </w:t>
      </w:r>
      <w:r>
        <w:rPr>
          <w:spacing w:val="-94"/>
        </w:rPr>
      </w:r>
      <w:r>
        <w:rPr>
          <w:spacing w:val="-2"/>
        </w:rPr>
        <w:t>事、总裁和其他高级管理人员履行职责之合法性、合规性，进行监督。监事会会议符</w:t>
      </w:r>
      <w:r>
        <w:rPr>
          <w:spacing w:val="-94"/>
        </w:rPr>
        <w:t> </w:t>
      </w:r>
      <w:r>
        <w:rPr>
          <w:spacing w:val="-94"/>
        </w:rPr>
      </w:r>
      <w:r>
        <w:rPr/>
        <w:t>合相关规定，有完整、真实的会议记录。</w:t>
      </w:r>
    </w:p>
    <w:p>
      <w:pPr>
        <w:pStyle w:val="BodyText"/>
        <w:spacing w:line="331" w:lineRule="auto" w:before="116"/>
        <w:ind w:left="617" w:right="109" w:hanging="480"/>
        <w:jc w:val="left"/>
      </w:pPr>
      <w:r>
        <w:rPr/>
        <w:t>（</w:t>
      </w:r>
      <w:r>
        <w:rPr>
          <w:rFonts w:ascii="宋体" w:hAnsi="宋体" w:cs="宋体" w:eastAsia="宋体" w:hint="default"/>
        </w:rPr>
        <w:t>4</w:t>
      </w:r>
      <w:r>
        <w:rPr/>
        <w:t>）关于董事会与经营管理层 本报告期内，董事会对经营管理层授权明确、管理有效。 </w:t>
      </w:r>
      <w:r>
        <w:rPr>
          <w:spacing w:val="-5"/>
        </w:rPr>
        <w:t>公司经营管理层在《公司章程》及董事会规定的授权范围内实施公司经营和管理，</w:t>
      </w:r>
    </w:p>
    <w:p>
      <w:pPr>
        <w:pStyle w:val="BodyText"/>
        <w:spacing w:line="218" w:lineRule="exact"/>
        <w:ind w:right="119"/>
        <w:jc w:val="left"/>
      </w:pPr>
      <w:r>
        <w:rPr/>
        <w:t>推动了公司各项业务的快速发展。</w:t>
      </w:r>
    </w:p>
    <w:p>
      <w:pPr>
        <w:pStyle w:val="BodyText"/>
        <w:spacing w:line="331" w:lineRule="auto" w:before="118"/>
        <w:ind w:left="617" w:right="119" w:hanging="480"/>
        <w:jc w:val="left"/>
      </w:pPr>
      <w:r>
        <w:rPr/>
        <w:t>（</w:t>
      </w:r>
      <w:r>
        <w:rPr>
          <w:rFonts w:ascii="宋体" w:hAnsi="宋体" w:cs="宋体" w:eastAsia="宋体" w:hint="default"/>
        </w:rPr>
        <w:t>5</w:t>
      </w:r>
      <w:r>
        <w:rPr/>
        <w:t>）关于绩效评价和激励约束机制 </w:t>
      </w:r>
      <w:r>
        <w:rPr>
          <w:spacing w:val="-2"/>
        </w:rPr>
        <w:t>公司已建立了公正透明的董事、监事和高级管理人员绩效评价标准和激励约束机</w:t>
      </w:r>
    </w:p>
    <w:p>
      <w:pPr>
        <w:pStyle w:val="BodyText"/>
        <w:spacing w:line="218" w:lineRule="exact"/>
        <w:ind w:right="119"/>
        <w:jc w:val="left"/>
      </w:pPr>
      <w:r>
        <w:rPr/>
        <w:t>制，公司经理人员的选聘过程公开透明，符合法律法规规定。</w:t>
      </w:r>
    </w:p>
    <w:p>
      <w:pPr>
        <w:pStyle w:val="BodyText"/>
        <w:spacing w:line="240" w:lineRule="auto" w:before="118"/>
        <w:ind w:right="119"/>
        <w:jc w:val="left"/>
      </w:pPr>
      <w:r>
        <w:rPr/>
        <w:t>（</w:t>
      </w:r>
      <w:r>
        <w:rPr>
          <w:rFonts w:ascii="宋体" w:hAnsi="宋体" w:cs="宋体" w:eastAsia="宋体" w:hint="default"/>
        </w:rPr>
        <w:t>6</w:t>
      </w:r>
      <w:r>
        <w:rPr/>
        <w:t>）关于信息披露与透明度</w:t>
      </w:r>
    </w:p>
    <w:p>
      <w:pPr>
        <w:spacing w:after="0" w:line="240" w:lineRule="auto"/>
        <w:jc w:val="left"/>
        <w:sectPr>
          <w:footerReference w:type="default" r:id="rId31"/>
          <w:pgSz w:w="11910" w:h="16840"/>
          <w:pgMar w:footer="1195" w:header="882" w:top="1120" w:bottom="1380" w:left="1140" w:right="1560"/>
          <w:pgNumType w:start="61"/>
        </w:sectPr>
      </w:pPr>
    </w:p>
    <w:p>
      <w:pPr>
        <w:spacing w:line="240" w:lineRule="auto" w:before="13"/>
        <w:rPr>
          <w:rFonts w:ascii="宋体" w:hAnsi="宋体" w:cs="宋体" w:eastAsia="宋体" w:hint="default"/>
          <w:sz w:val="18"/>
          <w:szCs w:val="18"/>
        </w:rPr>
      </w:pPr>
    </w:p>
    <w:p>
      <w:pPr>
        <w:pStyle w:val="BodyText"/>
        <w:spacing w:line="313" w:lineRule="exact" w:before="26"/>
        <w:ind w:left="697" w:right="102"/>
        <w:jc w:val="left"/>
      </w:pPr>
      <w:r>
        <w:rPr/>
        <w:t>公司按照《公司法》、《上海证券交易所股票上市规则》及《公司章程》等相关</w:t>
      </w:r>
    </w:p>
    <w:p>
      <w:pPr>
        <w:pStyle w:val="BodyText"/>
        <w:spacing w:line="237" w:lineRule="auto" w:before="1"/>
        <w:ind w:left="217" w:right="110"/>
        <w:jc w:val="both"/>
      </w:pPr>
      <w:r>
        <w:rPr/>
        <w:t>规定，真实、准确、完整、及时、公平地披露信息。公司证券部通过接待股东来访、</w:t>
      </w:r>
      <w:r>
        <w:rPr>
          <w:spacing w:val="-57"/>
        </w:rPr>
        <w:t> </w:t>
      </w:r>
      <w:r>
        <w:rPr>
          <w:spacing w:val="-57"/>
        </w:rPr>
      </w:r>
      <w:r>
        <w:rPr/>
        <w:t>回答咨询等方式来增强信息披露的透明度，并指定《中国证券报》、《上海证券报》</w:t>
      </w:r>
      <w:r>
        <w:rPr>
          <w:spacing w:val="-57"/>
        </w:rPr>
        <w:t> </w:t>
      </w:r>
      <w:r>
        <w:rPr>
          <w:spacing w:val="-57"/>
        </w:rPr>
      </w:r>
      <w:r>
        <w:rPr/>
        <w:t>为公司信息披露的报纸，使所有股东都有平等的机会获得信息。</w:t>
      </w:r>
    </w:p>
    <w:p>
      <w:pPr>
        <w:pStyle w:val="BodyText"/>
        <w:spacing w:line="328" w:lineRule="auto" w:before="118"/>
        <w:ind w:left="697" w:right="221" w:hanging="480"/>
        <w:jc w:val="left"/>
      </w:pPr>
      <w:r>
        <w:rPr/>
        <w:t>（</w:t>
      </w:r>
      <w:r>
        <w:rPr>
          <w:rFonts w:ascii="宋体" w:hAnsi="宋体" w:cs="宋体" w:eastAsia="宋体" w:hint="default"/>
        </w:rPr>
        <w:t>7</w:t>
      </w:r>
      <w:r>
        <w:rPr/>
        <w:t>）公司制度建设情况 </w:t>
      </w:r>
      <w:r>
        <w:rPr>
          <w:spacing w:val="-2"/>
        </w:rPr>
        <w:t>报告期内，公司加强制度建设，修订了《公司章程》的相关条款，进一步规范了</w:t>
      </w:r>
    </w:p>
    <w:p>
      <w:pPr>
        <w:pStyle w:val="BodyText"/>
        <w:spacing w:line="222" w:lineRule="exact"/>
        <w:ind w:left="217" w:right="0"/>
        <w:jc w:val="both"/>
      </w:pPr>
      <w:r>
        <w:rPr/>
        <w:t>公司现金分红的具体条件、比例和期间间隔；公司利润分配方案的审议程序等内容。</w:t>
      </w:r>
    </w:p>
    <w:p>
      <w:pPr>
        <w:pStyle w:val="BodyText"/>
        <w:spacing w:line="237" w:lineRule="auto" w:before="1"/>
        <w:ind w:left="217" w:right="234"/>
        <w:jc w:val="both"/>
      </w:pPr>
      <w:r>
        <w:rPr>
          <w:spacing w:val="-2"/>
        </w:rPr>
        <w:t>为进一步规范公司行为</w:t>
      </w:r>
      <w:r>
        <w:rPr>
          <w:rFonts w:ascii="宋体" w:hAnsi="宋体" w:cs="宋体" w:eastAsia="宋体" w:hint="default"/>
          <w:spacing w:val="-2"/>
        </w:rPr>
        <w:t>,</w:t>
      </w:r>
      <w:r>
        <w:rPr>
          <w:spacing w:val="-2"/>
        </w:rPr>
        <w:t>保证股东大会依法行使职权</w:t>
      </w:r>
      <w:r>
        <w:rPr>
          <w:rFonts w:ascii="宋体" w:hAnsi="宋体" w:cs="宋体" w:eastAsia="宋体" w:hint="default"/>
          <w:spacing w:val="-2"/>
        </w:rPr>
        <w:t>,</w:t>
      </w:r>
      <w:r>
        <w:rPr>
          <w:spacing w:val="-2"/>
        </w:rPr>
        <w:t>报告期内，公司根据中国证监会</w:t>
      </w:r>
      <w:r>
        <w:rPr>
          <w:spacing w:val="-92"/>
        </w:rPr>
        <w:t> </w:t>
      </w:r>
      <w:r>
        <w:rPr>
          <w:spacing w:val="-92"/>
        </w:rPr>
      </w: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t>日发布的《上市公司股东大会规则（</w:t>
      </w:r>
      <w:r>
        <w:rPr>
          <w:rFonts w:ascii="宋体" w:hAnsi="宋体" w:cs="宋体" w:eastAsia="宋体" w:hint="default"/>
        </w:rPr>
        <w:t>2014</w:t>
      </w:r>
      <w:r>
        <w:rPr>
          <w:rFonts w:ascii="宋体" w:hAnsi="宋体" w:cs="宋体" w:eastAsia="宋体" w:hint="default"/>
          <w:spacing w:val="-48"/>
        </w:rPr>
        <w:t> </w:t>
      </w:r>
      <w:r>
        <w:rPr/>
        <w:t>年修订）》（中国证监会 公告</w:t>
      </w:r>
      <w:r>
        <w:rPr>
          <w:rFonts w:ascii="宋体" w:hAnsi="宋体" w:cs="宋体" w:eastAsia="宋体" w:hint="default"/>
        </w:rPr>
        <w:t>[2014]46</w:t>
      </w:r>
      <w:r>
        <w:rPr>
          <w:rFonts w:ascii="宋体" w:hAnsi="宋体" w:cs="宋体" w:eastAsia="宋体" w:hint="default"/>
          <w:spacing w:val="-49"/>
        </w:rPr>
        <w:t> </w:t>
      </w:r>
      <w:r>
        <w:rPr>
          <w:spacing w:val="-4"/>
        </w:rPr>
        <w:t>号）文件精神及《上市公司治理准则》、《上海证券交易所股票上市规</w:t>
      </w:r>
      <w:r>
        <w:rPr>
          <w:spacing w:val="-118"/>
        </w:rPr>
        <w:t> </w:t>
      </w:r>
      <w:r>
        <w:rPr>
          <w:spacing w:val="-118"/>
        </w:rPr>
      </w:r>
      <w:r>
        <w:rPr>
          <w:spacing w:val="-2"/>
        </w:rPr>
        <w:t>则》等有关规定，对公司《股东大会议事规则》、《董事会议事规则》部分条款进行</w:t>
      </w:r>
      <w:r>
        <w:rPr>
          <w:spacing w:val="-97"/>
        </w:rPr>
        <w:t> </w:t>
      </w:r>
      <w:r>
        <w:rPr>
          <w:spacing w:val="-97"/>
        </w:rPr>
      </w:r>
      <w:r>
        <w:rPr>
          <w:spacing w:val="-2"/>
        </w:rPr>
        <w:t>了修改。上述治理文件的修订和制定，为公司科学、规范决策，维护全体股东特别是</w:t>
      </w:r>
      <w:r>
        <w:rPr>
          <w:spacing w:val="-95"/>
        </w:rPr>
        <w:t> </w:t>
      </w:r>
      <w:r>
        <w:rPr>
          <w:spacing w:val="-95"/>
        </w:rPr>
      </w:r>
      <w:r>
        <w:rPr/>
        <w:t>中小股东权益提供了制度保证。</w:t>
      </w:r>
    </w:p>
    <w:p>
      <w:pPr>
        <w:pStyle w:val="BodyText"/>
        <w:spacing w:line="312" w:lineRule="exact" w:before="149"/>
        <w:ind w:left="217" w:right="221" w:firstLine="480"/>
        <w:jc w:val="left"/>
      </w:pPr>
      <w:r>
        <w:rPr>
          <w:spacing w:val="-2"/>
        </w:rPr>
        <w:t>公司将根据上市公司治理规范的相关要求，在今后的工作中，认真学习、对照国</w:t>
      </w:r>
      <w:r>
        <w:rPr/>
        <w:t> </w:t>
      </w:r>
      <w:r>
        <w:rPr>
          <w:spacing w:val="-2"/>
        </w:rPr>
        <w:t>家法律、法规、规章及相关规范性文件的要求，切实加强公司内部的管理制度和内控</w:t>
      </w:r>
    </w:p>
    <w:p>
      <w:pPr>
        <w:pStyle w:val="BodyText"/>
        <w:spacing w:line="280" w:lineRule="exact"/>
        <w:ind w:left="217" w:right="0"/>
        <w:jc w:val="both"/>
      </w:pPr>
      <w:r>
        <w:rPr/>
        <w:t>制度建设、不断规范公司股东大会和董事会、监事会的运作，进一步深化公司董事、</w:t>
      </w:r>
    </w:p>
    <w:p>
      <w:pPr>
        <w:pStyle w:val="BodyText"/>
        <w:spacing w:line="313" w:lineRule="exact"/>
        <w:ind w:left="217" w:right="0"/>
        <w:jc w:val="both"/>
      </w:pPr>
      <w:r>
        <w:rPr/>
        <w:t>监事的履职意识，促进和推动公司治理水平的提高。</w:t>
      </w:r>
    </w:p>
    <w:p>
      <w:pPr>
        <w:spacing w:line="240" w:lineRule="auto" w:before="0"/>
        <w:rPr>
          <w:rFonts w:ascii="宋体" w:hAnsi="宋体" w:cs="宋体" w:eastAsia="宋体" w:hint="default"/>
          <w:sz w:val="35"/>
          <w:szCs w:val="35"/>
        </w:rPr>
      </w:pPr>
    </w:p>
    <w:p>
      <w:pPr>
        <w:pStyle w:val="BodyText"/>
        <w:spacing w:line="312" w:lineRule="exact"/>
        <w:ind w:left="217" w:right="221"/>
        <w:jc w:val="left"/>
      </w:pPr>
      <w:r>
        <w:rPr>
          <w:spacing w:val="-2"/>
        </w:rPr>
        <w:t>公司治理与中国证监会相关规定的要求是否存在重大差异；如有重大差异，应当说明</w:t>
      </w:r>
      <w:r>
        <w:rPr>
          <w:spacing w:val="-94"/>
        </w:rPr>
        <w:t> </w:t>
      </w:r>
      <w:r>
        <w:rPr>
          <w:spacing w:val="-94"/>
        </w:rPr>
      </w:r>
      <w:r>
        <w:rPr/>
        <w:t>原因</w:t>
      </w:r>
    </w:p>
    <w:p>
      <w:pPr>
        <w:pStyle w:val="BodyText"/>
        <w:spacing w:line="310" w:lineRule="exact" w:before="122"/>
        <w:ind w:left="217" w:right="221" w:firstLine="480"/>
        <w:jc w:val="left"/>
      </w:pPr>
      <w:r>
        <w:rPr>
          <w:spacing w:val="-2"/>
        </w:rPr>
        <w:t>公司董事会认为公司法人治理结构的实际状况符合《公司法》、《上市公司治理</w:t>
      </w:r>
      <w:r>
        <w:rPr/>
        <w:t> 准则》和中国证监会相关规定的要求，不存在差异。</w:t>
      </w:r>
    </w:p>
    <w:p>
      <w:pPr>
        <w:spacing w:line="240" w:lineRule="auto" w:before="4"/>
        <w:rPr>
          <w:rFonts w:ascii="宋体" w:hAnsi="宋体" w:cs="宋体" w:eastAsia="宋体" w:hint="default"/>
          <w:sz w:val="35"/>
          <w:szCs w:val="35"/>
        </w:rPr>
      </w:pPr>
    </w:p>
    <w:p>
      <w:pPr>
        <w:pStyle w:val="Heading2"/>
        <w:spacing w:line="240" w:lineRule="auto" w:before="0"/>
        <w:ind w:right="0"/>
        <w:jc w:val="both"/>
        <w:rPr>
          <w:b w:val="0"/>
          <w:bCs w:val="0"/>
        </w:rPr>
      </w:pPr>
      <w:r>
        <w:rPr/>
        <w:t>二、 </w:t>
      </w:r>
      <w:r>
        <w:rPr>
          <w:spacing w:val="113"/>
        </w:rPr>
        <w:t> </w:t>
      </w:r>
      <w:r>
        <w:rPr/>
        <w:t>股东大会情况简介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3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1"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2">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2">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32">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2">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年第四次临时股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2">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年第五次临时股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2">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0"/>
        <w:rPr>
          <w:rFonts w:ascii="宋体" w:hAnsi="宋体" w:cs="宋体" w:eastAsia="宋体" w:hint="default"/>
          <w:b/>
          <w:bCs/>
          <w:sz w:val="18"/>
          <w:szCs w:val="18"/>
        </w:rPr>
      </w:pPr>
    </w:p>
    <w:p>
      <w:pPr>
        <w:pStyle w:val="BodyText"/>
        <w:spacing w:line="240" w:lineRule="auto" w:before="26"/>
        <w:ind w:left="217" w:right="2569"/>
        <w:jc w:val="left"/>
      </w:pPr>
      <w:r>
        <w:rPr/>
        <w:t>股东大会情况说明</w:t>
      </w:r>
    </w:p>
    <w:p>
      <w:pPr>
        <w:spacing w:line="240" w:lineRule="auto" w:before="8"/>
        <w:rPr>
          <w:rFonts w:ascii="宋体" w:hAnsi="宋体" w:cs="宋体" w:eastAsia="宋体" w:hint="default"/>
          <w:sz w:val="23"/>
          <w:szCs w:val="23"/>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Heading2"/>
        <w:tabs>
          <w:tab w:pos="1057" w:val="left" w:leader="none"/>
        </w:tabs>
        <w:spacing w:line="240" w:lineRule="auto"/>
        <w:ind w:right="2569"/>
        <w:jc w:val="left"/>
        <w:rPr>
          <w:b w:val="0"/>
          <w:bCs w:val="0"/>
        </w:rPr>
      </w:pPr>
      <w:r>
        <w:rPr/>
        <w:t>三、</w:t>
        <w:tab/>
        <w:t>董事履行职责情况</w:t>
      </w:r>
      <w:r>
        <w:rPr>
          <w:b w:val="0"/>
          <w:bCs w:val="0"/>
        </w:rPr>
      </w:r>
    </w:p>
    <w:p>
      <w:pPr>
        <w:pStyle w:val="Heading2"/>
        <w:spacing w:line="240" w:lineRule="auto" w:before="58"/>
        <w:ind w:right="25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13"/>
        <w:rPr>
          <w:rFonts w:ascii="宋体" w:hAnsi="宋体" w:cs="宋体" w:eastAsia="宋体" w:hint="default"/>
          <w:b/>
          <w:bCs/>
          <w:sz w:val="4"/>
          <w:szCs w:val="4"/>
        </w:rPr>
      </w:pPr>
    </w:p>
    <w:tbl>
      <w:tblPr>
        <w:tblW w:w="0" w:type="auto"/>
        <w:jc w:val="left"/>
        <w:tblInd w:w="103" w:type="dxa"/>
        <w:tblLayout w:type="fixed"/>
        <w:tblCellMar>
          <w:top w:w="0" w:type="dxa"/>
          <w:left w:w="0" w:type="dxa"/>
          <w:bottom w:w="0" w:type="dxa"/>
          <w:right w:w="0" w:type="dxa"/>
        </w:tblCellMar>
        <w:tblLook w:val="01E0"/>
      </w:tblPr>
      <w:tblGrid>
        <w:gridCol w:w="980"/>
        <w:gridCol w:w="847"/>
        <w:gridCol w:w="1100"/>
        <w:gridCol w:w="852"/>
        <w:gridCol w:w="970"/>
        <w:gridCol w:w="905"/>
        <w:gridCol w:w="845"/>
        <w:gridCol w:w="1292"/>
        <w:gridCol w:w="1260"/>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4"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4"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80"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1"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0"/>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pacing w:val="50"/>
                <w:sz w:val="21"/>
                <w:szCs w:val="21"/>
              </w:rPr>
              <w:t> </w:t>
            </w:r>
            <w:r>
              <w:rPr>
                <w:rFonts w:ascii="宋体" w:hAnsi="宋体" w:cs="宋体" w:eastAsia="宋体" w:hint="default"/>
                <w:sz w:val="21"/>
                <w:szCs w:val="21"/>
              </w:rPr>
              <w:t>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50"/>
                <w:sz w:val="21"/>
                <w:szCs w:val="21"/>
              </w:rPr>
              <w:t> </w:t>
            </w:r>
            <w:r>
              <w:rPr>
                <w:rFonts w:ascii="宋体" w:hAnsi="宋体" w:cs="宋体" w:eastAsia="宋体" w:hint="default"/>
                <w:sz w:val="21"/>
                <w:szCs w:val="21"/>
              </w:rPr>
              <w:t>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朱红仙</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0"/>
        <w:rPr>
          <w:rFonts w:ascii="宋体" w:hAnsi="宋体" w:cs="宋体" w:eastAsia="宋体" w:hint="default"/>
          <w:b/>
          <w:bCs/>
          <w:sz w:val="18"/>
          <w:szCs w:val="18"/>
        </w:rPr>
      </w:pPr>
    </w:p>
    <w:p>
      <w:pPr>
        <w:pStyle w:val="BodyText"/>
        <w:spacing w:line="310" w:lineRule="exact" w:before="58"/>
        <w:ind w:left="217" w:right="4969"/>
        <w:jc w:val="left"/>
      </w:pPr>
      <w:r>
        <w:rPr/>
        <w:t>连续两次未亲自出席董事会会议的说明 无</w:t>
      </w: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w:t>
            </w:r>
          </w:p>
        </w:tc>
      </w:tr>
    </w:tbl>
    <w:p>
      <w:pPr>
        <w:spacing w:line="240" w:lineRule="auto" w:before="5"/>
        <w:rPr>
          <w:rFonts w:ascii="宋体" w:hAnsi="宋体" w:cs="宋体" w:eastAsia="宋体" w:hint="default"/>
          <w:sz w:val="23"/>
          <w:szCs w:val="23"/>
        </w:rPr>
      </w:pPr>
    </w:p>
    <w:p>
      <w:pPr>
        <w:pStyle w:val="Heading2"/>
        <w:spacing w:line="259" w:lineRule="auto"/>
        <w:ind w:right="4292"/>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独立董事对公司有关事项提出异议的情况</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spacing w:line="259" w:lineRule="auto" w:before="0"/>
        <w:ind w:right="8143"/>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1"/>
        </w:rPr>
        <w:t> </w:t>
      </w:r>
      <w:r>
        <w:rPr/>
        <w:t>其他</w:t>
      </w:r>
      <w:r>
        <w:rPr>
          <w:spacing w:val="2"/>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tabs>
          <w:tab w:pos="1057" w:val="left" w:leader="none"/>
        </w:tabs>
        <w:spacing w:line="240" w:lineRule="auto" w:before="0"/>
        <w:ind w:left="642" w:right="235" w:hanging="425"/>
        <w:jc w:val="left"/>
        <w:rPr>
          <w:b w:val="0"/>
          <w:bCs w:val="0"/>
        </w:rPr>
      </w:pPr>
      <w:r>
        <w:rPr/>
        <w:t>四、</w:t>
        <w:tab/>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spacing w:line="240" w:lineRule="auto" w:before="55"/>
        <w:ind w:left="217" w:right="2569"/>
        <w:jc w:val="left"/>
      </w:pPr>
      <w:r>
        <w:rPr/>
        <w:t>无</w:t>
      </w:r>
    </w:p>
    <w:p>
      <w:pPr>
        <w:spacing w:line="240" w:lineRule="auto" w:before="4"/>
        <w:rPr>
          <w:rFonts w:ascii="宋体" w:hAnsi="宋体" w:cs="宋体" w:eastAsia="宋体" w:hint="default"/>
          <w:sz w:val="28"/>
          <w:szCs w:val="28"/>
        </w:rPr>
      </w:pPr>
    </w:p>
    <w:p>
      <w:pPr>
        <w:pStyle w:val="Heading2"/>
        <w:tabs>
          <w:tab w:pos="1057" w:val="left" w:leader="none"/>
        </w:tabs>
        <w:spacing w:line="283" w:lineRule="auto" w:before="0"/>
        <w:ind w:right="4854"/>
        <w:jc w:val="left"/>
        <w:rPr>
          <w:rFonts w:ascii="宋体" w:hAnsi="宋体" w:cs="宋体" w:eastAsia="宋体" w:hint="default"/>
          <w:b w:val="0"/>
          <w:bCs w:val="0"/>
        </w:rPr>
      </w:pPr>
      <w:r>
        <w:rPr/>
        <w:t>五、</w:t>
        <w:tab/>
        <w:t>监事会发现公司存在风险的说明</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27"/>
          <w:szCs w:val="27"/>
        </w:rPr>
      </w:pPr>
    </w:p>
    <w:p>
      <w:pPr>
        <w:pStyle w:val="Heading2"/>
        <w:tabs>
          <w:tab w:pos="1057" w:val="left" w:leader="none"/>
        </w:tabs>
        <w:spacing w:line="310" w:lineRule="exact" w:before="0"/>
        <w:ind w:left="642" w:right="235" w:hanging="425"/>
        <w:jc w:val="left"/>
        <w:rPr>
          <w:b w:val="0"/>
          <w:bCs w:val="0"/>
        </w:rPr>
      </w:pPr>
      <w:r>
        <w:rPr/>
        <w:t>六、</w:t>
        <w:tab/>
        <w:t>公司就其与控股股东在业务、人员、资产、机构、财务等方面存在的不能保</w:t>
      </w:r>
      <w:r>
        <w:rPr>
          <w:spacing w:val="-93"/>
        </w:rPr>
        <w:t> </w:t>
      </w:r>
      <w:r>
        <w:rPr>
          <w:spacing w:val="-93"/>
        </w:rPr>
      </w:r>
      <w:r>
        <w:rPr/>
        <w:t>证独立性、不能保持自主经营能力的情况说明</w:t>
      </w:r>
      <w:r>
        <w:rPr>
          <w:b w:val="0"/>
          <w:bCs w:val="0"/>
        </w:rPr>
      </w:r>
    </w:p>
    <w:p>
      <w:pPr>
        <w:pStyle w:val="BodyText"/>
        <w:spacing w:line="240" w:lineRule="auto" w:before="89"/>
        <w:ind w:left="217" w:right="221" w:firstLine="480"/>
        <w:jc w:val="left"/>
      </w:pPr>
      <w:r>
        <w:rPr>
          <w:spacing w:val="-2"/>
        </w:rPr>
        <w:t>公司不存在与控股股东在业务、人员、资产、机构、财务等方面的不能保证独立</w:t>
      </w:r>
      <w:r>
        <w:rPr/>
        <w:t> 性、不能保持自主经营能力的情况。</w:t>
      </w:r>
    </w:p>
    <w:p>
      <w:pPr>
        <w:spacing w:after="0" w:line="240" w:lineRule="auto"/>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10" w:lineRule="exact" w:before="58"/>
        <w:ind w:right="2069"/>
        <w:jc w:val="left"/>
      </w:pPr>
      <w:r>
        <w:rPr/>
        <w:t>存在同业竞争的，公司相应的解决措施、工作进度及后续工作计划 无</w:t>
      </w:r>
    </w:p>
    <w:p>
      <w:pPr>
        <w:spacing w:line="240" w:lineRule="auto" w:before="1"/>
        <w:rPr>
          <w:rFonts w:ascii="宋体" w:hAnsi="宋体" w:cs="宋体" w:eastAsia="宋体" w:hint="default"/>
          <w:sz w:val="26"/>
          <w:szCs w:val="26"/>
        </w:rPr>
      </w:pPr>
    </w:p>
    <w:p>
      <w:pPr>
        <w:tabs>
          <w:tab w:pos="977" w:val="left" w:leader="none"/>
        </w:tabs>
        <w:spacing w:line="328" w:lineRule="auto" w:before="0"/>
        <w:ind w:left="617" w:right="215" w:hanging="480"/>
        <w:jc w:val="left"/>
        <w:rPr>
          <w:rFonts w:ascii="宋体" w:hAnsi="宋体" w:cs="宋体" w:eastAsia="宋体" w:hint="default"/>
          <w:sz w:val="24"/>
          <w:szCs w:val="24"/>
        </w:rPr>
      </w:pPr>
      <w:r>
        <w:rPr>
          <w:rFonts w:ascii="宋体" w:hAnsi="宋体" w:cs="宋体" w:eastAsia="宋体" w:hint="default"/>
          <w:b/>
          <w:bCs/>
          <w:sz w:val="24"/>
          <w:szCs w:val="24"/>
        </w:rPr>
        <w:t>七、</w:t>
        <w:tab/>
        <w:t>报告期内对高级管理人员的考评机制，以及激励机制的建立、实施情况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公司进一步完善高级管理人员的绩效考评标准和流程，加大了对于高级管理人员</w:t>
      </w:r>
    </w:p>
    <w:p>
      <w:pPr>
        <w:pStyle w:val="BodyText"/>
        <w:spacing w:line="222" w:lineRule="exact"/>
        <w:ind w:right="104"/>
        <w:jc w:val="left"/>
      </w:pPr>
      <w:r>
        <w:rPr/>
        <w:t>考核利润指标完成情况的定期审核与评估，聚焦在经营业绩的达成，并考察管理管理</w:t>
      </w:r>
    </w:p>
    <w:p>
      <w:pPr>
        <w:pStyle w:val="BodyText"/>
        <w:spacing w:line="237" w:lineRule="auto" w:before="1"/>
        <w:ind w:right="213"/>
        <w:jc w:val="both"/>
      </w:pPr>
      <w:r>
        <w:rPr/>
        <w:t>人员对组织级别文化建设和干部培养的力度。其中对总体业绩目标完成率未达到</w:t>
      </w:r>
      <w:r>
        <w:rPr>
          <w:spacing w:val="-45"/>
        </w:rPr>
        <w:t> </w:t>
      </w:r>
      <w:r>
        <w:rPr>
          <w:rFonts w:ascii="宋体" w:hAnsi="宋体" w:cs="宋体" w:eastAsia="宋体" w:hint="default"/>
        </w:rPr>
        <w:t>60% </w:t>
      </w:r>
      <w:r>
        <w:rPr>
          <w:spacing w:val="-2"/>
        </w:rPr>
        <w:t>的被考核人员的高级干部，给予岗位的调整或淘汰。公司将进一步完善全面薪酬结构</w:t>
      </w:r>
      <w:r>
        <w:rPr>
          <w:spacing w:val="-94"/>
        </w:rPr>
        <w:t> </w:t>
      </w:r>
      <w:r>
        <w:rPr>
          <w:spacing w:val="-94"/>
        </w:rPr>
      </w:r>
      <w:r>
        <w:rPr>
          <w:spacing w:val="-2"/>
        </w:rPr>
        <w:t>体系和激励机制，通过股权激励机制使高级管理人员及核心员工的薪酬收入与公司业</w:t>
      </w:r>
      <w:r>
        <w:rPr>
          <w:spacing w:val="-94"/>
        </w:rPr>
        <w:t> </w:t>
      </w:r>
      <w:r>
        <w:rPr>
          <w:spacing w:val="-94"/>
        </w:rPr>
      </w:r>
      <w:r>
        <w:rPr>
          <w:spacing w:val="-2"/>
        </w:rPr>
        <w:t>绩表现更加紧密的结合起来，使激励对象的行为与公司的战略目标保持一致，促进公</w:t>
      </w:r>
      <w:r>
        <w:rPr>
          <w:spacing w:val="-94"/>
        </w:rPr>
        <w:t> </w:t>
      </w:r>
      <w:r>
        <w:rPr>
          <w:spacing w:val="-94"/>
        </w:rPr>
      </w:r>
      <w:r>
        <w:rPr/>
        <w:t>司长远战略目标的实现。</w:t>
      </w:r>
    </w:p>
    <w:p>
      <w:pPr>
        <w:spacing w:line="240" w:lineRule="auto" w:before="0"/>
        <w:rPr>
          <w:rFonts w:ascii="宋体" w:hAnsi="宋体" w:cs="宋体" w:eastAsia="宋体" w:hint="default"/>
          <w:sz w:val="24"/>
          <w:szCs w:val="24"/>
        </w:rPr>
      </w:pPr>
    </w:p>
    <w:p>
      <w:pPr>
        <w:pStyle w:val="Heading2"/>
        <w:tabs>
          <w:tab w:pos="977" w:val="left" w:leader="none"/>
        </w:tabs>
        <w:spacing w:line="240" w:lineRule="auto" w:before="174"/>
        <w:ind w:left="137" w:right="2069"/>
        <w:jc w:val="left"/>
        <w:rPr>
          <w:b w:val="0"/>
          <w:bCs w:val="0"/>
        </w:rPr>
      </w:pPr>
      <w:r>
        <w:rPr/>
        <w:t>八、</w:t>
        <w:tab/>
        <w:t>是否披露内部控制自我评价报告</w:t>
      </w:r>
      <w:r>
        <w:rPr>
          <w:b w:val="0"/>
          <w:bCs w:val="0"/>
        </w:rPr>
      </w:r>
    </w:p>
    <w:p>
      <w:pPr>
        <w:pStyle w:val="BodyText"/>
        <w:spacing w:line="328" w:lineRule="auto" w:before="58"/>
        <w:ind w:left="617" w:right="1829" w:hanging="480"/>
        <w:jc w:val="left"/>
      </w:pPr>
      <w:r>
        <w:rPr/>
        <w:t>√适用</w:t>
      </w:r>
      <w:r>
        <w:rPr>
          <w:spacing w:val="-1"/>
        </w:rPr>
        <w:t> </w:t>
      </w:r>
      <w:r>
        <w:rPr/>
        <w:t>□不适用</w:t>
      </w:r>
      <w:r>
        <w:rPr/>
        <w:t> 本公司于年度报告披露日同时披露《内部控制自我评价报告》。</w:t>
      </w:r>
    </w:p>
    <w:p>
      <w:pPr>
        <w:spacing w:line="240" w:lineRule="auto" w:before="1"/>
        <w:rPr>
          <w:rFonts w:ascii="宋体" w:hAnsi="宋体" w:cs="宋体" w:eastAsia="宋体" w:hint="default"/>
          <w:sz w:val="26"/>
          <w:szCs w:val="26"/>
        </w:rPr>
      </w:pPr>
    </w:p>
    <w:p>
      <w:pPr>
        <w:pStyle w:val="BodyText"/>
        <w:spacing w:line="312" w:lineRule="exact"/>
        <w:ind w:right="2069"/>
        <w:jc w:val="left"/>
      </w:pPr>
      <w:r>
        <w:rPr/>
        <w:t>报告期内部控制存在重大缺陷情况的说明</w:t>
      </w:r>
    </w:p>
    <w:p>
      <w:pPr>
        <w:pStyle w:val="BodyText"/>
        <w:spacing w:line="312" w:lineRule="exact"/>
        <w:ind w:right="206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tabs>
          <w:tab w:pos="977" w:val="left" w:leader="none"/>
        </w:tabs>
        <w:spacing w:line="328" w:lineRule="auto" w:before="0"/>
        <w:ind w:left="617" w:right="104" w:hanging="480"/>
        <w:jc w:val="left"/>
        <w:rPr>
          <w:rFonts w:ascii="宋体" w:hAnsi="宋体" w:cs="宋体" w:eastAsia="宋体" w:hint="default"/>
          <w:sz w:val="24"/>
          <w:szCs w:val="24"/>
        </w:rPr>
      </w:pPr>
      <w:r>
        <w:rPr>
          <w:rFonts w:ascii="宋体" w:hAnsi="宋体" w:cs="宋体" w:eastAsia="宋体" w:hint="default"/>
          <w:b/>
          <w:bCs/>
          <w:sz w:val="24"/>
          <w:szCs w:val="24"/>
        </w:rPr>
        <w:t>九、</w:t>
        <w:tab/>
        <w:t>内部控制审计报告的相关情况说明</w:t>
      </w:r>
      <w:r>
        <w:rPr>
          <w:rFonts w:ascii="宋体" w:hAnsi="宋体" w:cs="宋体" w:eastAsia="宋体" w:hint="default"/>
          <w:b/>
          <w:bCs/>
          <w:w w:val="99"/>
          <w:sz w:val="24"/>
          <w:szCs w:val="24"/>
        </w:rPr>
        <w:t> </w:t>
      </w:r>
      <w:r>
        <w:rPr>
          <w:rFonts w:ascii="宋体" w:hAnsi="宋体" w:cs="宋体" w:eastAsia="宋体" w:hint="default"/>
          <w:sz w:val="24"/>
          <w:szCs w:val="24"/>
        </w:rPr>
        <w:t>致同会计师事务所对公司内部控制进行审计，并出具了《内部控制审计报告》。</w:t>
      </w:r>
    </w:p>
    <w:p>
      <w:pPr>
        <w:pStyle w:val="BodyText"/>
        <w:spacing w:line="240" w:lineRule="auto" w:before="29"/>
        <w:ind w:right="2069"/>
        <w:jc w:val="left"/>
      </w:pPr>
      <w:r>
        <w:rPr/>
        <w:t>是否披露内部控制审计报告：是</w:t>
      </w:r>
    </w:p>
    <w:p>
      <w:pPr>
        <w:spacing w:line="240" w:lineRule="auto" w:before="0"/>
        <w:rPr>
          <w:rFonts w:ascii="宋体" w:hAnsi="宋体" w:cs="宋体" w:eastAsia="宋体" w:hint="default"/>
          <w:sz w:val="24"/>
          <w:szCs w:val="24"/>
        </w:rPr>
      </w:pPr>
    </w:p>
    <w:p>
      <w:pPr>
        <w:pStyle w:val="Heading2"/>
        <w:tabs>
          <w:tab w:pos="977" w:val="left" w:leader="none"/>
        </w:tabs>
        <w:spacing w:line="283" w:lineRule="auto" w:before="176"/>
        <w:ind w:left="137" w:right="7722"/>
        <w:jc w:val="left"/>
        <w:rPr>
          <w:rFonts w:ascii="宋体" w:hAnsi="宋体" w:cs="宋体" w:eastAsia="宋体" w:hint="default"/>
          <w:b w:val="0"/>
          <w:bCs w:val="0"/>
        </w:rPr>
      </w:pPr>
      <w:r>
        <w:rPr/>
        <w:t>十、</w:t>
        <w:tab/>
        <w:t>其他</w:t>
      </w:r>
      <w:r>
        <w:rPr>
          <w:spacing w:val="-119"/>
        </w:rPr>
        <w:t> </w:t>
      </w:r>
      <w:r>
        <w:rPr>
          <w:spacing w:val="-119"/>
        </w:rPr>
      </w:r>
      <w:r>
        <w:rPr>
          <w:rFonts w:ascii="宋体" w:hAnsi="宋体" w:cs="宋体" w:eastAsia="宋体" w:hint="default"/>
          <w:b w:val="0"/>
          <w:bCs w:val="0"/>
        </w:rPr>
        <w:t>无</w:t>
      </w:r>
    </w:p>
    <w:p>
      <w:pPr>
        <w:spacing w:after="0" w:line="283" w:lineRule="auto"/>
        <w:jc w:val="left"/>
        <w:rPr>
          <w:rFonts w:ascii="宋体" w:hAnsi="宋体" w:cs="宋体" w:eastAsia="宋体" w:hint="default"/>
        </w:rPr>
        <w:sectPr>
          <w:pgSz w:w="11910" w:h="16840"/>
          <w:pgMar w:header="882" w:footer="1195" w:top="1120" w:bottom="1380" w:left="114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1"/>
        <w:tabs>
          <w:tab w:pos="4139" w:val="left" w:leader="none"/>
        </w:tabs>
        <w:spacing w:line="240" w:lineRule="auto"/>
        <w:ind w:left="2879" w:right="2569"/>
        <w:jc w:val="left"/>
        <w:rPr>
          <w:b w:val="0"/>
          <w:bCs w:val="0"/>
        </w:rPr>
      </w:pPr>
      <w:bookmarkStart w:name="_TOC_250002" w:id="10"/>
      <w:r>
        <w:rPr>
          <w:w w:val="95"/>
        </w:rPr>
        <w:t>第十节</w:t>
        <w:tab/>
      </w:r>
      <w:r>
        <w:rPr/>
        <w:t>公司债券相关情况</w:t>
      </w:r>
      <w:bookmarkEnd w:id="10"/>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5" w:top="1120" w:bottom="1380" w:left="1060" w:right="1560"/>
        </w:sectPr>
      </w:pPr>
    </w:p>
    <w:p>
      <w:pPr>
        <w:pStyle w:val="BodyText"/>
        <w:spacing w:line="240" w:lineRule="auto" w:before="26"/>
        <w:ind w:left="217" w:right="0"/>
        <w:jc w:val="left"/>
      </w:pPr>
      <w:r>
        <w:rPr/>
        <w:t>√适用</w:t>
      </w:r>
      <w:r>
        <w:rPr>
          <w:spacing w:val="-1"/>
        </w:rPr>
        <w:t> </w:t>
      </w:r>
      <w:r>
        <w:rPr/>
        <w:t>□不适用</w:t>
      </w:r>
    </w:p>
    <w:p>
      <w:pPr>
        <w:pStyle w:val="Heading2"/>
        <w:tabs>
          <w:tab w:pos="1057" w:val="left" w:leader="none"/>
        </w:tabs>
        <w:spacing w:line="240" w:lineRule="auto" w:before="55"/>
        <w:ind w:right="0"/>
        <w:jc w:val="left"/>
        <w:rPr>
          <w:b w:val="0"/>
          <w:bCs w:val="0"/>
        </w:rPr>
      </w:pPr>
      <w:r>
        <w:rPr/>
        <w:t>一、</w:t>
        <w:tab/>
      </w:r>
      <w:r>
        <w:rPr>
          <w:w w:val="95"/>
        </w:rPr>
        <w:t>公司债券基本情况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537" w:val="left" w:leader="none"/>
        </w:tabs>
        <w:spacing w:line="240" w:lineRule="auto"/>
        <w:ind w:left="21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560"/>
          <w:cols w:num="2" w:equalWidth="0">
            <w:col w:w="2984" w:space="3209"/>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60"/>
        <w:gridCol w:w="960"/>
        <w:gridCol w:w="958"/>
        <w:gridCol w:w="1162"/>
        <w:gridCol w:w="1164"/>
        <w:gridCol w:w="962"/>
        <w:gridCol w:w="749"/>
        <w:gridCol w:w="1275"/>
        <w:gridCol w:w="859"/>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2"/>
              <w:jc w:val="right"/>
              <w:rPr>
                <w:rFonts w:ascii="宋体" w:hAnsi="宋体" w:cs="宋体" w:eastAsia="宋体" w:hint="default"/>
                <w:sz w:val="21"/>
                <w:szCs w:val="21"/>
              </w:rPr>
            </w:pPr>
            <w:r>
              <w:rPr>
                <w:rFonts w:ascii="宋体" w:hAnsi="宋体" w:cs="宋体" w:eastAsia="宋体" w:hint="default"/>
                <w:sz w:val="21"/>
                <w:szCs w:val="21"/>
              </w:rPr>
              <w:t>代码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债券余</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还本付息方</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式</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所</w:t>
            </w:r>
          </w:p>
        </w:tc>
      </w:tr>
      <w:tr>
        <w:trPr>
          <w:trHeight w:val="2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7"/>
                <w:sz w:val="21"/>
                <w:szCs w:val="21"/>
              </w:rPr>
              <w:t> </w:t>
            </w:r>
            <w:r>
              <w:rPr>
                <w:rFonts w:ascii="宋体" w:hAnsi="宋体" w:cs="宋体" w:eastAsia="宋体" w:hint="default"/>
                <w:sz w:val="21"/>
                <w:szCs w:val="21"/>
              </w:rPr>
              <w:t>京</w:t>
            </w:r>
            <w:r>
              <w:rPr>
                <w:rFonts w:ascii="宋体" w:hAnsi="宋体" w:cs="宋体" w:eastAsia="宋体" w:hint="default"/>
                <w:spacing w:val="-50"/>
                <w:sz w:val="21"/>
                <w:szCs w:val="21"/>
              </w:rPr>
              <w:t> </w:t>
            </w:r>
            <w:r>
              <w:rPr>
                <w:rFonts w:ascii="宋体" w:hAnsi="宋体" w:cs="宋体" w:eastAsia="宋体" w:hint="default"/>
                <w:sz w:val="21"/>
                <w:szCs w:val="21"/>
              </w:rPr>
              <w:t>华</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spacing w:val="-47"/>
                <w:sz w:val="21"/>
                <w:szCs w:val="21"/>
              </w:rPr>
              <w:t> </w:t>
            </w:r>
            <w:r>
              <w:rPr>
                <w:rFonts w:ascii="宋体" w:hAnsi="宋体" w:cs="宋体" w:eastAsia="宋体" w:hint="default"/>
                <w:sz w:val="21"/>
                <w:szCs w:val="21"/>
              </w:rPr>
              <w:t>天</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47"/>
                <w:sz w:val="21"/>
                <w:szCs w:val="21"/>
              </w:rPr>
              <w:t> </w:t>
            </w:r>
            <w:r>
              <w:rPr>
                <w:rFonts w:ascii="宋体" w:hAnsi="宋体" w:cs="宋体" w:eastAsia="宋体" w:hint="default"/>
                <w:sz w:val="21"/>
                <w:szCs w:val="21"/>
              </w:rPr>
              <w:t>技</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47"/>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1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10"/>
                <w:sz w:val="21"/>
                <w:szCs w:val="21"/>
              </w:rPr>
              <w:t> </w:t>
            </w:r>
            <w:r>
              <w:rPr>
                <w:rFonts w:ascii="宋体" w:hAnsi="宋体" w:cs="宋体" w:eastAsia="宋体" w:hint="default"/>
                <w:sz w:val="21"/>
                <w:szCs w:val="21"/>
              </w:rPr>
              <w:t>年</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47"/>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pacing w:val="-25"/>
                <w:w w:val="100"/>
                <w:sz w:val="21"/>
                <w:szCs w:val="21"/>
              </w:rPr>
              <w:t>券（第一</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8"/>
                <w:sz w:val="21"/>
                <w:szCs w:val="21"/>
              </w:rPr>
              <w:t> </w:t>
            </w:r>
            <w:r>
              <w:rPr>
                <w:rFonts w:ascii="宋体" w:hAnsi="宋体" w:cs="宋体" w:eastAsia="宋体" w:hint="default"/>
                <w:spacing w:val="3"/>
                <w:sz w:val="21"/>
                <w:szCs w:val="21"/>
              </w:rPr>
              <w:t>华胜</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2"/>
              <w:jc w:val="right"/>
              <w:rPr>
                <w:rFonts w:ascii="宋体" w:hAnsi="宋体" w:cs="宋体" w:eastAsia="宋体" w:hint="default"/>
                <w:sz w:val="21"/>
                <w:szCs w:val="21"/>
              </w:rPr>
            </w:pPr>
            <w:r>
              <w:rPr>
                <w:rFonts w:ascii="宋体"/>
                <w:sz w:val="21"/>
              </w:rPr>
              <w:t>122197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2013-3-13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2018-3-12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采用单利按</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年计息，不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计复利。每</w:t>
            </w:r>
          </w:p>
          <w:p>
            <w:pPr>
              <w:pStyle w:val="TableParagraph"/>
              <w:spacing w:line="237" w:lineRule="auto"/>
              <w:ind w:left="103" w:right="27"/>
              <w:jc w:val="left"/>
              <w:rPr>
                <w:rFonts w:ascii="宋体" w:hAnsi="宋体" w:cs="宋体" w:eastAsia="宋体" w:hint="default"/>
                <w:sz w:val="21"/>
                <w:szCs w:val="21"/>
              </w:rPr>
            </w:pPr>
            <w:r>
              <w:rPr>
                <w:rFonts w:ascii="宋体" w:hAnsi="宋体" w:cs="宋体" w:eastAsia="宋体" w:hint="default"/>
                <w:spacing w:val="53"/>
                <w:sz w:val="21"/>
                <w:szCs w:val="21"/>
              </w:rPr>
              <w:t>年付息一</w:t>
            </w:r>
            <w:r>
              <w:rPr>
                <w:rFonts w:ascii="宋体" w:hAnsi="宋体" w:cs="宋体" w:eastAsia="宋体" w:hint="default"/>
                <w:spacing w:val="-97"/>
                <w:sz w:val="21"/>
                <w:szCs w:val="21"/>
              </w:rPr>
              <w:t> </w:t>
            </w:r>
            <w:r>
              <w:rPr>
                <w:rFonts w:ascii="宋体" w:hAnsi="宋体" w:cs="宋体" w:eastAsia="宋体" w:hint="default"/>
                <w:sz w:val="21"/>
                <w:szCs w:val="21"/>
              </w:rPr>
              <w:t>次，到期一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次还本，最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后一期利息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随本金的兑</w:t>
            </w:r>
          </w:p>
          <w:p>
            <w:pPr>
              <w:pStyle w:val="TableParagraph"/>
              <w:spacing w:line="272" w:lineRule="exact" w:before="26"/>
              <w:ind w:left="103" w:right="27"/>
              <w:jc w:val="left"/>
              <w:rPr>
                <w:rFonts w:ascii="宋体" w:hAnsi="宋体" w:cs="宋体" w:eastAsia="宋体" w:hint="default"/>
                <w:sz w:val="21"/>
                <w:szCs w:val="21"/>
              </w:rPr>
            </w:pPr>
            <w:r>
              <w:rPr>
                <w:rFonts w:ascii="宋体" w:hAnsi="宋体" w:cs="宋体" w:eastAsia="宋体" w:hint="default"/>
                <w:spacing w:val="53"/>
                <w:sz w:val="21"/>
                <w:szCs w:val="21"/>
              </w:rPr>
              <w:t>付一起支</w:t>
            </w:r>
            <w:r>
              <w:rPr>
                <w:rFonts w:ascii="宋体" w:hAnsi="宋体" w:cs="宋体" w:eastAsia="宋体" w:hint="default"/>
                <w:spacing w:val="-97"/>
                <w:sz w:val="21"/>
                <w:szCs w:val="21"/>
              </w:rPr>
              <w:t> </w:t>
            </w:r>
            <w:r>
              <w:rPr>
                <w:rFonts w:ascii="宋体" w:hAnsi="宋体" w:cs="宋体" w:eastAsia="宋体" w:hint="default"/>
                <w:sz w:val="21"/>
                <w:szCs w:val="21"/>
              </w:rPr>
              <w:t>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z w:val="21"/>
                <w:szCs w:val="21"/>
              </w:rPr>
            </w:r>
          </w:p>
          <w:p>
            <w:pPr>
              <w:pStyle w:val="TableParagraph"/>
              <w:spacing w:line="240" w:lineRule="auto"/>
              <w:ind w:left="100" w:right="91"/>
              <w:jc w:val="left"/>
              <w:rPr>
                <w:rFonts w:ascii="宋体" w:hAnsi="宋体" w:cs="宋体" w:eastAsia="宋体" w:hint="default"/>
                <w:sz w:val="21"/>
                <w:szCs w:val="21"/>
              </w:rPr>
            </w:pPr>
            <w:r>
              <w:rPr>
                <w:rFonts w:ascii="宋体" w:hAnsi="宋体" w:cs="宋体" w:eastAsia="宋体" w:hint="default"/>
                <w:spacing w:val="6"/>
                <w:sz w:val="21"/>
                <w:szCs w:val="21"/>
              </w:rPr>
              <w:t>券交易</w:t>
            </w:r>
            <w:r>
              <w:rPr>
                <w:rFonts w:ascii="宋体" w:hAnsi="宋体" w:cs="宋体" w:eastAsia="宋体" w:hint="default"/>
                <w:spacing w:val="-99"/>
                <w:sz w:val="21"/>
                <w:szCs w:val="21"/>
              </w:rPr>
              <w:t> </w:t>
            </w:r>
            <w:r>
              <w:rPr>
                <w:rFonts w:ascii="宋体" w:hAnsi="宋体" w:cs="宋体" w:eastAsia="宋体" w:hint="default"/>
                <w:sz w:val="21"/>
                <w:szCs w:val="21"/>
              </w:rPr>
              <w:t>所</w:t>
            </w:r>
          </w:p>
        </w:tc>
      </w:tr>
      <w:tr>
        <w:trPr>
          <w:trHeight w:val="25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6"/>
          <w:szCs w:val="16"/>
        </w:rPr>
      </w:pPr>
    </w:p>
    <w:p>
      <w:pPr>
        <w:pStyle w:val="BodyText"/>
        <w:spacing w:line="240" w:lineRule="auto" w:before="26"/>
        <w:ind w:left="217" w:right="2569"/>
        <w:jc w:val="left"/>
      </w:pPr>
      <w:r>
        <w:rPr/>
        <w:t>公司债券其他情况的说明</w:t>
      </w:r>
    </w:p>
    <w:p>
      <w:pPr>
        <w:pStyle w:val="BodyText"/>
        <w:spacing w:line="312" w:lineRule="exact" w:before="146"/>
        <w:ind w:left="217" w:right="231" w:firstLine="480"/>
        <w:jc w:val="both"/>
      </w:pPr>
      <w:r>
        <w:rPr/>
        <w:t>公司</w:t>
      </w:r>
      <w:r>
        <w:rPr>
          <w:spacing w:val="-60"/>
        </w:rPr>
        <w:t> </w:t>
      </w:r>
      <w:r>
        <w:rPr>
          <w:rFonts w:ascii="宋体" w:hAnsi="宋体" w:cs="宋体" w:eastAsia="宋体" w:hint="default"/>
        </w:rPr>
        <w:t>2012</w:t>
      </w:r>
      <w:r>
        <w:rPr>
          <w:rFonts w:ascii="宋体" w:hAnsi="宋体" w:cs="宋体" w:eastAsia="宋体" w:hint="default"/>
          <w:spacing w:val="-59"/>
        </w:rPr>
        <w:t> </w:t>
      </w:r>
      <w:r>
        <w:rPr/>
        <w:t>年正式启动的发行公司债券项目于</w:t>
      </w:r>
      <w:r>
        <w:rPr>
          <w:spacing w:val="-58"/>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spacing w:val="-5"/>
        </w:rPr>
        <w:t>月发行完毕。本次发行公</w:t>
      </w:r>
      <w:r>
        <w:rPr/>
        <w:t> 司债券募集资金共为人民币</w:t>
      </w:r>
      <w:r>
        <w:rPr>
          <w:spacing w:val="-58"/>
        </w:rPr>
        <w:t> </w:t>
      </w:r>
      <w:r>
        <w:rPr>
          <w:rFonts w:ascii="宋体" w:hAnsi="宋体" w:cs="宋体" w:eastAsia="宋体" w:hint="default"/>
        </w:rPr>
        <w:t>900,000,000</w:t>
      </w:r>
      <w:r>
        <w:rPr>
          <w:rFonts w:ascii="宋体" w:hAnsi="宋体" w:cs="宋体" w:eastAsia="宋体" w:hint="default"/>
          <w:spacing w:val="-58"/>
        </w:rPr>
        <w:t> </w:t>
      </w:r>
      <w:r>
        <w:rPr>
          <w:spacing w:val="-9"/>
        </w:rPr>
        <w:t>元，票面利率</w:t>
      </w:r>
      <w:r>
        <w:rPr>
          <w:spacing w:val="-58"/>
        </w:rPr>
        <w:t> </w:t>
      </w:r>
      <w:r>
        <w:rPr>
          <w:rFonts w:ascii="宋体" w:hAnsi="宋体" w:cs="宋体" w:eastAsia="宋体" w:hint="default"/>
          <w:spacing w:val="-4"/>
        </w:rPr>
        <w:t>5.8%</w:t>
      </w:r>
      <w:r>
        <w:rPr>
          <w:spacing w:val="-4"/>
        </w:rPr>
        <w:t>。扣除应支付给主承销商</w:t>
      </w:r>
      <w:r>
        <w:rPr/>
        <w:t> 的发行费用</w:t>
      </w:r>
      <w:r>
        <w:rPr>
          <w:spacing w:val="-61"/>
        </w:rPr>
        <w:t> </w:t>
      </w:r>
      <w:r>
        <w:rPr>
          <w:rFonts w:ascii="宋体" w:hAnsi="宋体" w:cs="宋体" w:eastAsia="宋体" w:hint="default"/>
        </w:rPr>
        <w:t>8,100,000</w:t>
      </w:r>
      <w:r>
        <w:rPr>
          <w:rFonts w:ascii="宋体" w:hAnsi="宋体" w:cs="宋体" w:eastAsia="宋体" w:hint="default"/>
          <w:spacing w:val="-60"/>
        </w:rPr>
        <w:t> </w:t>
      </w:r>
      <w:r>
        <w:rPr/>
        <w:t>元后实际收到资金净额为人民币</w:t>
      </w:r>
      <w:r>
        <w:rPr>
          <w:spacing w:val="-59"/>
        </w:rPr>
        <w:t> </w:t>
      </w:r>
      <w:r>
        <w:rPr>
          <w:rFonts w:ascii="宋体" w:hAnsi="宋体" w:cs="宋体" w:eastAsia="宋体" w:hint="default"/>
        </w:rPr>
        <w:t>891,900,000</w:t>
      </w:r>
      <w:r>
        <w:rPr>
          <w:rFonts w:ascii="宋体" w:hAnsi="宋体" w:cs="宋体" w:eastAsia="宋体" w:hint="default"/>
          <w:spacing w:val="-60"/>
        </w:rPr>
        <w:t> </w:t>
      </w:r>
      <w:r>
        <w:rPr>
          <w:spacing w:val="-7"/>
        </w:rPr>
        <w:t>元，本次发行的</w:t>
      </w:r>
    </w:p>
    <w:p>
      <w:pPr>
        <w:pStyle w:val="BodyText"/>
        <w:spacing w:line="280" w:lineRule="exact"/>
        <w:ind w:left="217" w:right="102"/>
        <w:jc w:val="left"/>
      </w:pPr>
      <w:r>
        <w:rPr>
          <w:spacing w:val="-3"/>
        </w:rPr>
        <w:t>债券为固定利率债券，第</w:t>
      </w:r>
      <w:r>
        <w:rPr>
          <w:spacing w:val="-68"/>
        </w:rPr>
        <w:t> </w:t>
      </w:r>
      <w:r>
        <w:rPr>
          <w:rFonts w:ascii="宋体" w:hAnsi="宋体" w:cs="宋体" w:eastAsia="宋体" w:hint="default"/>
        </w:rPr>
        <w:t>3</w:t>
      </w:r>
      <w:r>
        <w:rPr>
          <w:rFonts w:ascii="宋体" w:hAnsi="宋体" w:cs="宋体" w:eastAsia="宋体" w:hint="default"/>
          <w:spacing w:val="-68"/>
        </w:rPr>
        <w:t> </w:t>
      </w:r>
      <w:r>
        <w:rPr/>
        <w:t>年末发行人上调票面利率选择权及投资者回售选择权。还</w:t>
      </w:r>
    </w:p>
    <w:p>
      <w:pPr>
        <w:pStyle w:val="BodyText"/>
        <w:spacing w:line="312" w:lineRule="exact" w:before="29"/>
        <w:ind w:left="217" w:right="220"/>
        <w:jc w:val="left"/>
      </w:pPr>
      <w:r>
        <w:rPr>
          <w:spacing w:val="-2"/>
        </w:rPr>
        <w:t>本付息的期限和方式为到期一次还本。即利息每年支付一次，最后一期利息随本金一</w:t>
      </w:r>
      <w:r>
        <w:rPr>
          <w:spacing w:val="-94"/>
        </w:rPr>
        <w:t> </w:t>
      </w:r>
      <w:r>
        <w:rPr>
          <w:spacing w:val="-94"/>
        </w:rPr>
      </w:r>
      <w:r>
        <w:rPr>
          <w:spacing w:val="-3"/>
        </w:rPr>
        <w:t>起支付。上述款项业经致同会计师事务所于</w:t>
      </w:r>
      <w:r>
        <w:rPr>
          <w:spacing w:val="-59"/>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t>日出具致同验字</w:t>
      </w:r>
      <w:r>
        <w:rPr>
          <w:rFonts w:ascii="宋体" w:hAnsi="宋体" w:cs="宋体" w:eastAsia="宋体" w:hint="default"/>
        </w:rPr>
        <w:t>[2013]</w:t>
      </w:r>
      <w:r>
        <w:rPr/>
        <w:t>第</w:t>
      </w:r>
    </w:p>
    <w:p>
      <w:pPr>
        <w:pStyle w:val="BodyText"/>
        <w:spacing w:line="281" w:lineRule="exact"/>
        <w:ind w:left="217" w:right="102"/>
        <w:jc w:val="left"/>
      </w:pPr>
      <w:r>
        <w:rPr>
          <w:rFonts w:ascii="宋体" w:hAnsi="宋体" w:cs="宋体" w:eastAsia="宋体" w:hint="default"/>
        </w:rPr>
        <w:t>110za0037</w:t>
      </w:r>
      <w:r>
        <w:rPr>
          <w:rFonts w:ascii="宋体" w:hAnsi="宋体" w:cs="宋体" w:eastAsia="宋体" w:hint="default"/>
          <w:spacing w:val="-59"/>
        </w:rPr>
        <w:t> </w:t>
      </w:r>
      <w:r>
        <w:rPr/>
        <w:t>号验资报告验证。详见公司于</w:t>
      </w:r>
      <w:r>
        <w:rPr>
          <w:spacing w:val="-58"/>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59"/>
        </w:rPr>
        <w:t> </w:t>
      </w:r>
      <w:r>
        <w:rPr/>
        <w:t>日在上海证券交易所披露的</w:t>
      </w:r>
    </w:p>
    <w:p>
      <w:pPr>
        <w:pStyle w:val="BodyText"/>
        <w:spacing w:line="311" w:lineRule="exact"/>
        <w:ind w:left="217" w:right="102"/>
        <w:jc w:val="left"/>
      </w:pPr>
      <w:r>
        <w:rPr/>
        <w:t>《华胜天成 </w:t>
      </w:r>
      <w:r>
        <w:rPr>
          <w:rFonts w:ascii="宋体" w:hAnsi="宋体" w:cs="宋体" w:eastAsia="宋体" w:hint="default"/>
        </w:rPr>
        <w:t>2012</w:t>
      </w:r>
      <w:r>
        <w:rPr>
          <w:rFonts w:ascii="宋体" w:hAnsi="宋体" w:cs="宋体" w:eastAsia="宋体" w:hint="default"/>
          <w:spacing w:val="-49"/>
        </w:rPr>
        <w:t> </w:t>
      </w:r>
      <w:r>
        <w:rPr/>
        <w:t>年公司债券（第一期）发行公告》、《华胜天成公开发行公司债券</w:t>
      </w:r>
    </w:p>
    <w:p>
      <w:pPr>
        <w:pStyle w:val="BodyText"/>
        <w:spacing w:line="312" w:lineRule="exact" w:before="29"/>
        <w:ind w:left="217" w:right="221"/>
        <w:jc w:val="left"/>
      </w:pPr>
      <w:r>
        <w:rPr>
          <w:spacing w:val="-4"/>
        </w:rPr>
        <w:t>募集说明书》，</w:t>
      </w:r>
      <w:r>
        <w:rPr>
          <w:rFonts w:ascii="宋体" w:hAnsi="宋体" w:cs="宋体" w:eastAsia="宋体" w:hint="default"/>
          <w:spacing w:val="-4"/>
        </w:rPr>
        <w:t>2013</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3"/>
        </w:rPr>
        <w:t>日披露的《华胜天成</w:t>
      </w:r>
      <w:r>
        <w:rPr>
          <w:spacing w:val="-59"/>
        </w:rPr>
        <w:t> </w:t>
      </w:r>
      <w:r>
        <w:rPr>
          <w:rFonts w:ascii="宋体" w:hAnsi="宋体" w:cs="宋体" w:eastAsia="宋体" w:hint="default"/>
        </w:rPr>
        <w:t>2012</w:t>
      </w:r>
      <w:r>
        <w:rPr>
          <w:rFonts w:ascii="宋体" w:hAnsi="宋体" w:cs="宋体" w:eastAsia="宋体" w:hint="default"/>
          <w:spacing w:val="-59"/>
        </w:rPr>
        <w:t> </w:t>
      </w:r>
      <w:r>
        <w:rPr>
          <w:spacing w:val="-4"/>
        </w:rPr>
        <w:t>年公司债券（第一期）上市</w:t>
      </w:r>
      <w:r>
        <w:rPr/>
        <w:t> 公告书》。</w:t>
      </w:r>
    </w:p>
    <w:p>
      <w:pPr>
        <w:spacing w:line="240" w:lineRule="auto" w:before="1"/>
        <w:rPr>
          <w:rFonts w:ascii="宋体" w:hAnsi="宋体" w:cs="宋体" w:eastAsia="宋体" w:hint="default"/>
          <w:sz w:val="35"/>
          <w:szCs w:val="35"/>
        </w:rPr>
      </w:pPr>
    </w:p>
    <w:p>
      <w:pPr>
        <w:pStyle w:val="Heading2"/>
        <w:tabs>
          <w:tab w:pos="1057" w:val="left" w:leader="none"/>
        </w:tabs>
        <w:spacing w:line="240" w:lineRule="auto" w:before="0"/>
        <w:ind w:right="221"/>
        <w:jc w:val="left"/>
        <w:rPr>
          <w:b w:val="0"/>
          <w:bCs w:val="0"/>
        </w:rPr>
      </w:pPr>
      <w:r>
        <w:rPr/>
        <w:t>二、</w:t>
        <w:tab/>
        <w:t>公司债券受托管理联系人、联系方式及资信评级机构联系方式</w:t>
      </w:r>
      <w:r>
        <w:rPr>
          <w:b w:val="0"/>
          <w:bCs w:val="0"/>
        </w:rPr>
      </w:r>
    </w:p>
    <w:p>
      <w:pPr>
        <w:spacing w:line="240" w:lineRule="auto" w:before="8"/>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北京西城区阜外大街</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号外经贸大厦</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孙树波</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010-68784297</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5"/>
                <w:sz w:val="21"/>
                <w:szCs w:val="21"/>
              </w:rPr>
              <w:t> </w:t>
            </w:r>
            <w:r>
              <w:rPr>
                <w:rFonts w:ascii="宋体" w:hAnsi="宋体" w:cs="宋体" w:eastAsia="宋体" w:hint="default"/>
                <w:sz w:val="21"/>
                <w:szCs w:val="21"/>
              </w:rPr>
              <w:t>760</w:t>
            </w:r>
            <w:r>
              <w:rPr>
                <w:rFonts w:ascii="宋体" w:hAnsi="宋体" w:cs="宋体" w:eastAsia="宋体" w:hint="default"/>
                <w:spacing w:val="-55"/>
                <w:sz w:val="21"/>
                <w:szCs w:val="21"/>
              </w:rPr>
              <w:t> </w:t>
            </w:r>
            <w:r>
              <w:rPr>
                <w:rFonts w:ascii="宋体" w:hAnsi="宋体" w:cs="宋体" w:eastAsia="宋体" w:hint="default"/>
                <w:sz w:val="21"/>
                <w:szCs w:val="21"/>
              </w:rPr>
              <w:t>号安基大厦</w:t>
            </w:r>
            <w:r>
              <w:rPr>
                <w:rFonts w:ascii="宋体" w:hAnsi="宋体" w:cs="宋体" w:eastAsia="宋体" w:hint="default"/>
                <w:spacing w:val="-54"/>
                <w:sz w:val="21"/>
                <w:szCs w:val="21"/>
              </w:rPr>
              <w:t> </w:t>
            </w:r>
            <w:r>
              <w:rPr>
                <w:rFonts w:ascii="宋体" w:hAnsi="宋体" w:cs="宋体" w:eastAsia="宋体" w:hint="default"/>
                <w:sz w:val="21"/>
                <w:szCs w:val="21"/>
              </w:rPr>
              <w:t>8</w:t>
            </w:r>
          </w:p>
        </w:tc>
      </w:tr>
    </w:tbl>
    <w:p>
      <w:pPr>
        <w:pStyle w:val="BodyText"/>
        <w:spacing w:line="272" w:lineRule="exact"/>
        <w:ind w:left="217" w:right="2569"/>
        <w:jc w:val="left"/>
      </w:pPr>
      <w:r>
        <w:rPr/>
        <w:t>其他说明：</w:t>
      </w:r>
    </w:p>
    <w:p>
      <w:pPr>
        <w:pStyle w:val="BodyText"/>
        <w:spacing w:line="312" w:lineRule="exact"/>
        <w:ind w:left="217" w:right="2569"/>
        <w:jc w:val="left"/>
      </w:pPr>
      <w:r>
        <w:rPr/>
        <w:t>无</w:t>
      </w:r>
    </w:p>
    <w:p>
      <w:pPr>
        <w:spacing w:after="0" w:line="312" w:lineRule="exact"/>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Heading2"/>
        <w:tabs>
          <w:tab w:pos="977" w:val="left" w:leader="none"/>
        </w:tabs>
        <w:spacing w:line="240" w:lineRule="auto"/>
        <w:ind w:left="137" w:right="119"/>
        <w:jc w:val="left"/>
        <w:rPr>
          <w:b w:val="0"/>
          <w:bCs w:val="0"/>
        </w:rPr>
      </w:pPr>
      <w:r>
        <w:rPr/>
        <w:t>三、</w:t>
        <w:tab/>
        <w:t>公司债券募集资金使用情况</w:t>
      </w:r>
      <w:r>
        <w:rPr>
          <w:b w:val="0"/>
          <w:bCs w:val="0"/>
        </w:rPr>
      </w:r>
    </w:p>
    <w:p>
      <w:pPr>
        <w:pStyle w:val="BodyText"/>
        <w:tabs>
          <w:tab w:pos="7441" w:val="left" w:leader="none"/>
        </w:tabs>
        <w:spacing w:line="240" w:lineRule="auto" w:before="58"/>
        <w:ind w:left="6121" w:right="119"/>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080"/>
        <w:gridCol w:w="1611"/>
        <w:gridCol w:w="1982"/>
        <w:gridCol w:w="1844"/>
        <w:gridCol w:w="2269"/>
      </w:tblGrid>
      <w:tr>
        <w:trPr>
          <w:trHeight w:val="85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6"/>
              <w:ind w:left="103" w:right="302"/>
              <w:jc w:val="left"/>
              <w:rPr>
                <w:rFonts w:ascii="宋体" w:hAnsi="宋体" w:cs="宋体" w:eastAsia="宋体" w:hint="default"/>
                <w:sz w:val="22"/>
                <w:szCs w:val="22"/>
              </w:rPr>
            </w:pPr>
            <w:r>
              <w:rPr>
                <w:rFonts w:ascii="宋体" w:hAnsi="宋体" w:cs="宋体" w:eastAsia="宋体" w:hint="default"/>
                <w:sz w:val="22"/>
                <w:szCs w:val="22"/>
              </w:rPr>
              <w:t>募集资</w:t>
            </w:r>
            <w:r>
              <w:rPr>
                <w:rFonts w:ascii="宋体" w:hAnsi="宋体" w:cs="宋体" w:eastAsia="宋体" w:hint="default"/>
                <w:spacing w:val="-108"/>
                <w:sz w:val="22"/>
                <w:szCs w:val="22"/>
              </w:rPr>
              <w:t> </w:t>
            </w:r>
            <w:r>
              <w:rPr>
                <w:rFonts w:ascii="宋体" w:hAnsi="宋体" w:cs="宋体" w:eastAsia="宋体" w:hint="default"/>
                <w:sz w:val="22"/>
                <w:szCs w:val="22"/>
              </w:rPr>
              <w:t>金总额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6"/>
              <w:ind w:left="103" w:right="173"/>
              <w:jc w:val="left"/>
              <w:rPr>
                <w:rFonts w:ascii="宋体" w:hAnsi="宋体" w:cs="宋体" w:eastAsia="宋体" w:hint="default"/>
                <w:sz w:val="22"/>
                <w:szCs w:val="22"/>
              </w:rPr>
            </w:pPr>
            <w:r>
              <w:rPr>
                <w:rFonts w:ascii="宋体" w:hAnsi="宋体" w:cs="宋体" w:eastAsia="宋体" w:hint="default"/>
                <w:sz w:val="22"/>
                <w:szCs w:val="22"/>
              </w:rPr>
              <w:t>本年度已使用</w:t>
            </w:r>
            <w:r>
              <w:rPr>
                <w:rFonts w:ascii="宋体" w:hAnsi="宋体" w:cs="宋体" w:eastAsia="宋体" w:hint="default"/>
                <w:w w:val="100"/>
                <w:sz w:val="22"/>
                <w:szCs w:val="22"/>
              </w:rPr>
              <w:t> </w:t>
            </w:r>
            <w:r>
              <w:rPr>
                <w:rFonts w:ascii="宋体" w:hAnsi="宋体" w:cs="宋体" w:eastAsia="宋体" w:hint="default"/>
                <w:sz w:val="22"/>
                <w:szCs w:val="22"/>
              </w:rPr>
              <w:t>募集资金总额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6"/>
              <w:ind w:left="100" w:right="108"/>
              <w:jc w:val="left"/>
              <w:rPr>
                <w:rFonts w:ascii="宋体" w:hAnsi="宋体" w:cs="宋体" w:eastAsia="宋体" w:hint="default"/>
                <w:sz w:val="22"/>
                <w:szCs w:val="22"/>
              </w:rPr>
            </w:pPr>
            <w:r>
              <w:rPr>
                <w:rFonts w:ascii="宋体" w:hAnsi="宋体" w:cs="宋体" w:eastAsia="宋体" w:hint="default"/>
                <w:sz w:val="22"/>
                <w:szCs w:val="22"/>
              </w:rPr>
              <w:t>已累计使用募集资</w:t>
            </w:r>
            <w:r>
              <w:rPr>
                <w:rFonts w:ascii="宋体" w:hAnsi="宋体" w:cs="宋体" w:eastAsia="宋体" w:hint="default"/>
                <w:w w:val="100"/>
                <w:sz w:val="22"/>
                <w:szCs w:val="22"/>
              </w:rPr>
              <w:t> </w:t>
            </w:r>
            <w:r>
              <w:rPr>
                <w:rFonts w:ascii="宋体" w:hAnsi="宋体" w:cs="宋体" w:eastAsia="宋体" w:hint="default"/>
                <w:sz w:val="22"/>
                <w:szCs w:val="22"/>
              </w:rPr>
              <w:t>金总额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尚未使用募集资</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金总额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6"/>
              <w:ind w:left="103" w:right="171"/>
              <w:jc w:val="left"/>
              <w:rPr>
                <w:rFonts w:ascii="宋体" w:hAnsi="宋体" w:cs="宋体" w:eastAsia="宋体" w:hint="default"/>
                <w:sz w:val="22"/>
                <w:szCs w:val="22"/>
              </w:rPr>
            </w:pPr>
            <w:r>
              <w:rPr>
                <w:rFonts w:ascii="宋体" w:hAnsi="宋体" w:cs="宋体" w:eastAsia="宋体" w:hint="default"/>
                <w:sz w:val="22"/>
                <w:szCs w:val="22"/>
              </w:rPr>
              <w:t>尚未使用募集资金用</w:t>
            </w:r>
            <w:r>
              <w:rPr>
                <w:rFonts w:ascii="宋体" w:hAnsi="宋体" w:cs="宋体" w:eastAsia="宋体" w:hint="default"/>
                <w:w w:val="100"/>
                <w:sz w:val="22"/>
                <w:szCs w:val="22"/>
              </w:rPr>
              <w:t> </w:t>
            </w:r>
            <w:r>
              <w:rPr>
                <w:rFonts w:ascii="宋体" w:hAnsi="宋体" w:cs="宋体" w:eastAsia="宋体" w:hint="default"/>
                <w:sz w:val="22"/>
                <w:szCs w:val="22"/>
              </w:rPr>
              <w:t>途及去向</w:t>
            </w:r>
          </w:p>
        </w:tc>
      </w:tr>
      <w:tr>
        <w:trPr>
          <w:trHeight w:val="41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sz w:val="22"/>
              </w:rPr>
              <w:t>89,190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w w:val="100"/>
                <w:sz w:val="22"/>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sz w:val="22"/>
              </w:rPr>
              <w:t>89,190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c>
          <w:tcPr>
            <w:tcW w:w="22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110"/>
        <w:ind w:right="235" w:firstLine="480"/>
        <w:jc w:val="both"/>
      </w:pPr>
      <w:r>
        <w:rPr>
          <w:spacing w:val="-2"/>
        </w:rPr>
        <w:t>根据公司公开发行公司债券募集资说明书中募资金运用计划安排，主要用于补充</w:t>
      </w:r>
      <w:r>
        <w:rPr/>
        <w:t> 流动资金。已于 </w:t>
      </w:r>
      <w:r>
        <w:rPr>
          <w:rFonts w:ascii="宋体" w:hAnsi="宋体" w:cs="宋体" w:eastAsia="宋体" w:hint="default"/>
        </w:rPr>
        <w:t>2013</w:t>
      </w:r>
      <w:r>
        <w:rPr>
          <w:rFonts w:ascii="宋体" w:hAnsi="宋体" w:cs="宋体" w:eastAsia="宋体" w:hint="default"/>
          <w:spacing w:val="-61"/>
        </w:rPr>
        <w:t> </w:t>
      </w:r>
      <w:r>
        <w:rPr/>
        <w:t>年度全部使用完毕。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3"/>
          <w:szCs w:val="23"/>
        </w:rPr>
      </w:pPr>
    </w:p>
    <w:p>
      <w:pPr>
        <w:pStyle w:val="Heading2"/>
        <w:tabs>
          <w:tab w:pos="977" w:val="left" w:leader="none"/>
        </w:tabs>
        <w:spacing w:line="240" w:lineRule="auto" w:before="0"/>
        <w:ind w:left="137" w:right="119"/>
        <w:jc w:val="left"/>
        <w:rPr>
          <w:b w:val="0"/>
          <w:bCs w:val="0"/>
        </w:rPr>
      </w:pPr>
      <w:r>
        <w:rPr/>
        <w:t>四、</w:t>
        <w:tab/>
        <w:t>公司债券资信评级机构情况</w:t>
      </w:r>
      <w:r>
        <w:rPr>
          <w:b w:val="0"/>
          <w:bCs w:val="0"/>
        </w:rPr>
      </w:r>
    </w:p>
    <w:p>
      <w:pPr>
        <w:pStyle w:val="BodyText"/>
        <w:spacing w:line="237" w:lineRule="auto" w:before="120"/>
        <w:ind w:right="231" w:firstLine="480"/>
        <w:jc w:val="both"/>
      </w:pP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spacing w:val="-4"/>
        </w:rPr>
        <w:t>月本期公司债券的信用评级机构中诚信证评出具了《北京华胜天成科技</w:t>
      </w:r>
      <w:r>
        <w:rPr/>
        <w:t> 股份有限公司</w:t>
      </w:r>
      <w:r>
        <w:rPr>
          <w:spacing w:val="-70"/>
        </w:rPr>
        <w:t> </w:t>
      </w:r>
      <w:r>
        <w:rPr>
          <w:rFonts w:ascii="宋体" w:hAnsi="宋体" w:cs="宋体" w:eastAsia="宋体" w:hint="default"/>
        </w:rPr>
        <w:t>2012</w:t>
      </w:r>
      <w:r>
        <w:rPr>
          <w:rFonts w:ascii="宋体" w:hAnsi="宋体" w:cs="宋体" w:eastAsia="宋体" w:hint="default"/>
          <w:spacing w:val="-69"/>
        </w:rPr>
        <w:t> </w:t>
      </w:r>
      <w:r>
        <w:rPr/>
        <w:t>年公司债券跟踪评级报告》。评级报告的主要结论如下：</w:t>
      </w:r>
      <w:r>
        <w:rPr>
          <w:spacing w:val="-30"/>
        </w:rPr>
        <w:t> </w:t>
      </w:r>
      <w:r>
        <w:rPr/>
        <w:t>经中诚</w:t>
      </w:r>
      <w:r>
        <w:rPr/>
        <w:t> </w:t>
      </w:r>
      <w:r>
        <w:rPr>
          <w:spacing w:val="-4"/>
        </w:rPr>
        <w:t>信证评信用评级委员会表决，华胜天成</w:t>
      </w:r>
      <w:r>
        <w:rPr>
          <w:spacing w:val="-57"/>
        </w:rPr>
        <w:t> </w:t>
      </w:r>
      <w:r>
        <w:rPr>
          <w:rFonts w:ascii="宋体" w:hAnsi="宋体" w:cs="宋体" w:eastAsia="宋体" w:hint="default"/>
        </w:rPr>
        <w:t>2015</w:t>
      </w:r>
      <w:r>
        <w:rPr>
          <w:rFonts w:ascii="宋体" w:hAnsi="宋体" w:cs="宋体" w:eastAsia="宋体" w:hint="default"/>
          <w:spacing w:val="-57"/>
        </w:rPr>
        <w:t> </w:t>
      </w:r>
      <w:r>
        <w:rPr/>
        <w:t>年跟踪评级主体信用等</w:t>
      </w:r>
      <w:r>
        <w:rPr>
          <w:spacing w:val="6"/>
        </w:rPr>
        <w:t> </w:t>
      </w:r>
      <w:r>
        <w:rPr/>
        <w:t>级为</w:t>
      </w:r>
      <w:r>
        <w:rPr>
          <w:spacing w:val="-57"/>
        </w:rPr>
        <w:t> </w:t>
      </w:r>
      <w:r>
        <w:rPr>
          <w:rFonts w:ascii="宋体" w:hAnsi="宋体" w:cs="宋体" w:eastAsia="宋体" w:hint="default"/>
          <w:spacing w:val="-9"/>
        </w:rPr>
        <w:t>AA</w:t>
      </w:r>
      <w:r>
        <w:rPr>
          <w:spacing w:val="-9"/>
        </w:rPr>
        <w:t>，评级展</w:t>
      </w:r>
      <w:r>
        <w:rPr/>
        <w:t> 望稳定，债项信用等级为</w:t>
      </w:r>
      <w:r>
        <w:rPr>
          <w:spacing w:val="-60"/>
        </w:rPr>
        <w:t> </w:t>
      </w:r>
      <w:r>
        <w:rPr>
          <w:rFonts w:ascii="宋体" w:hAnsi="宋体" w:cs="宋体" w:eastAsia="宋体" w:hint="default"/>
        </w:rPr>
        <w:t>AA</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5"/>
          <w:szCs w:val="25"/>
        </w:rPr>
      </w:pPr>
    </w:p>
    <w:p>
      <w:pPr>
        <w:pStyle w:val="Heading2"/>
        <w:tabs>
          <w:tab w:pos="977" w:val="left" w:leader="none"/>
        </w:tabs>
        <w:spacing w:line="240" w:lineRule="auto" w:before="0"/>
        <w:ind w:left="137" w:right="119"/>
        <w:jc w:val="left"/>
        <w:rPr>
          <w:b w:val="0"/>
          <w:bCs w:val="0"/>
        </w:rPr>
      </w:pPr>
      <w:r>
        <w:rPr/>
        <w:t>五、</w:t>
        <w:tab/>
        <w:t>报告期内公司债券增信机制、偿债计划及其他相关情况</w:t>
      </w:r>
      <w:r>
        <w:rPr>
          <w:b w:val="0"/>
          <w:bCs w:val="0"/>
        </w:rPr>
      </w:r>
    </w:p>
    <w:p>
      <w:pPr>
        <w:pStyle w:val="BodyText"/>
        <w:spacing w:line="310" w:lineRule="exact" w:before="150"/>
        <w:ind w:right="231" w:firstLine="480"/>
        <w:jc w:val="both"/>
      </w:pPr>
      <w:r>
        <w:rPr/>
        <w:t>本期债券按年付息、到期一次还本。利息每年支付一次，最后一期利息随本</w:t>
      </w:r>
      <w:r>
        <w:rPr>
          <w:spacing w:val="56"/>
        </w:rPr>
        <w:t> </w:t>
      </w:r>
      <w:r>
        <w:rPr/>
        <w:t>金</w:t>
      </w:r>
      <w:r>
        <w:rPr/>
        <w:t> 一起支付。本期债券的起息日为</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13</w:t>
      </w:r>
      <w:r>
        <w:rPr>
          <w:rFonts w:ascii="宋体" w:hAnsi="宋体" w:cs="宋体" w:eastAsia="宋体" w:hint="default"/>
          <w:spacing w:val="62"/>
        </w:rPr>
        <w:t> </w:t>
      </w:r>
      <w:r>
        <w:rPr/>
        <w:t>日。</w:t>
      </w:r>
      <w:r>
        <w:rPr>
          <w:rFonts w:ascii="宋体" w:hAnsi="宋体" w:cs="宋体" w:eastAsia="宋体" w:hint="default"/>
        </w:rPr>
        <w:t>2014</w:t>
      </w:r>
      <w:r>
        <w:rPr/>
        <w:t>年至</w:t>
      </w:r>
      <w:r>
        <w:rPr>
          <w:rFonts w:ascii="宋体" w:hAnsi="宋体" w:cs="宋体" w:eastAsia="宋体" w:hint="default"/>
        </w:rPr>
        <w:t>2018</w:t>
      </w:r>
      <w:r>
        <w:rPr/>
        <w:t>年每年的</w:t>
      </w:r>
      <w:r>
        <w:rPr>
          <w:rFonts w:ascii="宋体" w:hAnsi="宋体" w:cs="宋体" w:eastAsia="宋体" w:hint="default"/>
        </w:rPr>
        <w:t>3</w:t>
      </w:r>
      <w:r>
        <w:rPr/>
        <w:t>月</w:t>
      </w:r>
      <w:r>
        <w:rPr>
          <w:rFonts w:ascii="宋体" w:hAnsi="宋体" w:cs="宋体" w:eastAsia="宋体" w:hint="default"/>
        </w:rPr>
        <w:t>13</w:t>
      </w:r>
      <w:r>
        <w:rPr/>
        <w:t>日为</w:t>
      </w:r>
    </w:p>
    <w:p>
      <w:pPr>
        <w:pStyle w:val="BodyText"/>
        <w:spacing w:line="283" w:lineRule="exact"/>
        <w:ind w:right="0"/>
        <w:jc w:val="left"/>
      </w:pPr>
      <w:r>
        <w:rPr>
          <w:spacing w:val="-8"/>
        </w:rPr>
        <w:t>上一个计息年度的付息日（如遇法定节假日或休息日，则顺延至其后的第</w:t>
      </w:r>
      <w:r>
        <w:rPr>
          <w:rFonts w:ascii="宋体" w:hAnsi="宋体" w:cs="宋体" w:eastAsia="宋体" w:hint="default"/>
          <w:spacing w:val="-8"/>
        </w:rPr>
        <w:t>1</w:t>
      </w:r>
      <w:r>
        <w:rPr>
          <w:spacing w:val="-8"/>
        </w:rPr>
        <w:t>个工作日）。</w:t>
      </w:r>
    </w:p>
    <w:p>
      <w:pPr>
        <w:pStyle w:val="BodyText"/>
        <w:spacing w:line="310" w:lineRule="exact" w:before="31"/>
        <w:ind w:right="119"/>
        <w:jc w:val="left"/>
      </w:pPr>
      <w:r>
        <w:rPr/>
        <w:t>如投资者选择回售，则</w:t>
      </w:r>
      <w:r>
        <w:rPr>
          <w:rFonts w:ascii="宋体" w:hAnsi="宋体" w:cs="宋体" w:eastAsia="宋体" w:hint="default"/>
        </w:rPr>
        <w:t>2014</w:t>
      </w:r>
      <w:r>
        <w:rPr/>
        <w:t>年至</w:t>
      </w:r>
      <w:r>
        <w:rPr>
          <w:rFonts w:ascii="宋体" w:hAnsi="宋体" w:cs="宋体" w:eastAsia="宋体" w:hint="default"/>
        </w:rPr>
        <w:t>2016</w:t>
      </w:r>
      <w:r>
        <w:rPr/>
        <w:t>年每年的</w:t>
      </w:r>
      <w:r>
        <w:rPr>
          <w:rFonts w:ascii="宋体" w:hAnsi="宋体" w:cs="宋体" w:eastAsia="宋体" w:hint="default"/>
        </w:rPr>
        <w:t>3</w:t>
      </w:r>
      <w:r>
        <w:rPr/>
        <w:t>月</w:t>
      </w:r>
      <w:r>
        <w:rPr>
          <w:rFonts w:ascii="宋体" w:hAnsi="宋体" w:cs="宋体" w:eastAsia="宋体" w:hint="default"/>
        </w:rPr>
        <w:t>13</w:t>
      </w:r>
      <w:r>
        <w:rPr/>
        <w:t>日为回售部分债券上一个计息年</w:t>
      </w:r>
      <w:r>
        <w:rPr>
          <w:spacing w:val="-59"/>
        </w:rPr>
        <w:t> </w:t>
      </w:r>
      <w:r>
        <w:rPr>
          <w:spacing w:val="-59"/>
        </w:rPr>
      </w:r>
      <w:r>
        <w:rPr/>
        <w:t>度的付息日（如遇法定节假日或休息日，则顺延 至其后的第</w:t>
      </w:r>
      <w:r>
        <w:rPr>
          <w:rFonts w:ascii="宋体" w:hAnsi="宋体" w:cs="宋体" w:eastAsia="宋体" w:hint="default"/>
        </w:rPr>
        <w:t>1</w:t>
      </w:r>
      <w:r>
        <w:rPr/>
        <w:t>个工作日）。</w:t>
      </w:r>
    </w:p>
    <w:p>
      <w:pPr>
        <w:pStyle w:val="BodyText"/>
        <w:spacing w:line="237" w:lineRule="auto" w:before="92"/>
        <w:ind w:right="233" w:firstLine="480"/>
        <w:jc w:val="both"/>
      </w:pPr>
      <w:r>
        <w:rPr>
          <w:spacing w:val="-2"/>
        </w:rPr>
        <w:t>报告期内，公司债券增信机制、偿债计划及其他偿债保障措施未发生变更。为充</w:t>
      </w:r>
      <w:r>
        <w:rPr/>
        <w:t> </w:t>
      </w:r>
      <w:r>
        <w:rPr>
          <w:spacing w:val="-2"/>
        </w:rPr>
        <w:t>分、有效地维护债券持有人的利益，公司已为本期债券的按时、足额偿付做出一系列</w:t>
      </w:r>
      <w:r>
        <w:rPr>
          <w:spacing w:val="-94"/>
        </w:rPr>
        <w:t> </w:t>
      </w:r>
      <w:r>
        <w:rPr>
          <w:spacing w:val="-94"/>
        </w:rPr>
      </w:r>
      <w:r>
        <w:rPr>
          <w:spacing w:val="-2"/>
        </w:rPr>
        <w:t>安排，包括确定专门部门与人员、安排偿债资金、制定并严格执行资金管理计划、做</w:t>
      </w:r>
      <w:r>
        <w:rPr>
          <w:spacing w:val="-94"/>
        </w:rPr>
        <w:t> </w:t>
      </w:r>
      <w:r>
        <w:rPr>
          <w:spacing w:val="-94"/>
        </w:rPr>
      </w:r>
      <w:r>
        <w:rPr>
          <w:spacing w:val="-2"/>
        </w:rPr>
        <w:t>好组织协调、充分发挥债券受托管理人的作用和严格履行信息披露义务等，形成了一</w:t>
      </w:r>
      <w:r>
        <w:rPr>
          <w:spacing w:val="-95"/>
        </w:rPr>
        <w:t> </w:t>
      </w:r>
      <w:r>
        <w:rPr>
          <w:spacing w:val="-95"/>
        </w:rPr>
      </w:r>
      <w:r>
        <w:rPr/>
        <w:t>套确保债券安全付息、兑付的保障措施。</w:t>
      </w:r>
    </w:p>
    <w:p>
      <w:pPr>
        <w:pStyle w:val="BodyText"/>
        <w:spacing w:line="237" w:lineRule="auto" w:before="118"/>
        <w:ind w:right="231" w:firstLine="480"/>
        <w:jc w:val="both"/>
      </w:pPr>
      <w:r>
        <w:rPr>
          <w:rFonts w:ascii="宋体" w:hAnsi="宋体" w:cs="宋体" w:eastAsia="宋体" w:hint="default"/>
          <w:spacing w:val="-8"/>
        </w:rPr>
        <w:t>2015</w:t>
      </w:r>
      <w:r>
        <w:rPr>
          <w:spacing w:val="-8"/>
        </w:rPr>
        <w:t>年</w:t>
      </w:r>
      <w:r>
        <w:rPr>
          <w:rFonts w:ascii="宋体" w:hAnsi="宋体" w:cs="宋体" w:eastAsia="宋体" w:hint="default"/>
          <w:spacing w:val="-8"/>
        </w:rPr>
        <w:t>3</w:t>
      </w:r>
      <w:r>
        <w:rPr>
          <w:spacing w:val="-8"/>
        </w:rPr>
        <w:t>月</w:t>
      </w:r>
      <w:r>
        <w:rPr>
          <w:rFonts w:ascii="宋体" w:hAnsi="宋体" w:cs="宋体" w:eastAsia="宋体" w:hint="default"/>
          <w:spacing w:val="-8"/>
        </w:rPr>
        <w:t>7</w:t>
      </w:r>
      <w:r>
        <w:rPr>
          <w:spacing w:val="-8"/>
        </w:rPr>
        <w:t>日，公司发布《北京华胜天成科技股份有限公司公司债券付息公告》，</w:t>
      </w:r>
      <w:r>
        <w:rPr/>
        <w:t> 付息方案为：每手“12</w:t>
      </w:r>
      <w:r>
        <w:rPr>
          <w:spacing w:val="55"/>
        </w:rPr>
        <w:t> </w:t>
      </w:r>
      <w:r>
        <w:rPr/>
        <w:t>华天成”面值</w:t>
      </w:r>
      <w:r>
        <w:rPr>
          <w:rFonts w:ascii="宋体" w:hAnsi="宋体" w:cs="宋体" w:eastAsia="宋体" w:hint="default"/>
        </w:rPr>
        <w:t>1000</w:t>
      </w:r>
      <w:r>
        <w:rPr/>
        <w:t>元，派发利息为人民币</w:t>
      </w:r>
      <w:r>
        <w:rPr>
          <w:rFonts w:ascii="宋体" w:hAnsi="宋体" w:cs="宋体" w:eastAsia="宋体" w:hint="default"/>
        </w:rPr>
        <w:t>58</w:t>
      </w:r>
      <w:r>
        <w:rPr/>
        <w:t>元（含税），扣</w:t>
      </w:r>
      <w:r>
        <w:rPr>
          <w:spacing w:val="-112"/>
        </w:rPr>
        <w:t> </w:t>
      </w:r>
      <w:r>
        <w:rPr>
          <w:spacing w:val="-2"/>
        </w:rPr>
        <w:t>税后个人债券持有人实际每</w:t>
      </w:r>
      <w:r>
        <w:rPr>
          <w:rFonts w:ascii="宋体" w:hAnsi="宋体" w:cs="宋体" w:eastAsia="宋体" w:hint="default"/>
          <w:spacing w:val="-2"/>
        </w:rPr>
        <w:t>1000</w:t>
      </w:r>
      <w:r>
        <w:rPr>
          <w:spacing w:val="-2"/>
        </w:rPr>
        <w:t>元派发利息为人民币</w:t>
      </w:r>
      <w:r>
        <w:rPr>
          <w:rFonts w:ascii="宋体" w:hAnsi="宋体" w:cs="宋体" w:eastAsia="宋体" w:hint="default"/>
          <w:spacing w:val="-2"/>
        </w:rPr>
        <w:t>46.40</w:t>
      </w:r>
      <w:r>
        <w:rPr>
          <w:spacing w:val="-2"/>
        </w:rPr>
        <w:t>元。付息日为</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13</w:t>
      </w:r>
      <w:r>
        <w:rPr>
          <w:rFonts w:ascii="宋体" w:hAnsi="宋体" w:cs="宋体" w:eastAsia="宋体" w:hint="default"/>
          <w:spacing w:val="-78"/>
        </w:rPr>
        <w:t> </w:t>
      </w:r>
      <w:r>
        <w:rPr/>
        <w:t>日。</w:t>
      </w:r>
    </w:p>
    <w:p>
      <w:pPr>
        <w:pStyle w:val="BodyText"/>
        <w:spacing w:line="312" w:lineRule="exact" w:before="146"/>
        <w:ind w:right="233" w:firstLine="480"/>
        <w:jc w:val="both"/>
      </w:pP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13</w:t>
      </w:r>
      <w:r>
        <w:rPr/>
        <w:t>日，公司已按时兑付本期公司债券应付利息。（详见</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7</w:t>
      </w:r>
      <w:r>
        <w:rPr/>
        <w:t>日 上海证券交易所网站</w:t>
      </w:r>
      <w:hyperlink r:id="rId33">
        <w:r>
          <w:rPr>
            <w:rFonts w:ascii="宋体" w:hAnsi="宋体" w:cs="宋体" w:eastAsia="宋体" w:hint="default"/>
          </w:rPr>
          <w:t>www.sse.com.cn</w:t>
        </w:r>
        <w:r>
          <w:rPr/>
          <w:t>相关公告）</w:t>
        </w:r>
      </w:hyperlink>
      <w:r>
        <w:rPr/>
        <w:t>。</w:t>
      </w:r>
    </w:p>
    <w:p>
      <w:pPr>
        <w:spacing w:line="240" w:lineRule="auto" w:before="1"/>
        <w:rPr>
          <w:rFonts w:ascii="宋体" w:hAnsi="宋体" w:cs="宋体" w:eastAsia="宋体" w:hint="default"/>
          <w:sz w:val="35"/>
          <w:szCs w:val="35"/>
        </w:rPr>
      </w:pPr>
    </w:p>
    <w:p>
      <w:pPr>
        <w:tabs>
          <w:tab w:pos="977" w:val="left" w:leader="none"/>
        </w:tabs>
        <w:spacing w:line="331" w:lineRule="auto" w:before="0"/>
        <w:ind w:left="617" w:right="4267" w:hanging="480"/>
        <w:jc w:val="left"/>
        <w:rPr>
          <w:rFonts w:ascii="宋体" w:hAnsi="宋体" w:cs="宋体" w:eastAsia="宋体" w:hint="default"/>
          <w:sz w:val="24"/>
          <w:szCs w:val="24"/>
        </w:rPr>
      </w:pPr>
      <w:r>
        <w:rPr>
          <w:rFonts w:ascii="宋体" w:hAnsi="宋体" w:cs="宋体" w:eastAsia="宋体" w:hint="default"/>
          <w:b/>
          <w:bCs/>
          <w:sz w:val="24"/>
          <w:szCs w:val="24"/>
        </w:rPr>
        <w:t>六、</w:t>
        <w:tab/>
        <w:t>公司债券持有人会议召开情况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报告期内，公司未召开债券持有人会议。</w:t>
      </w:r>
    </w:p>
    <w:p>
      <w:pPr>
        <w:spacing w:after="0" w:line="331" w:lineRule="auto"/>
        <w:jc w:val="left"/>
        <w:rPr>
          <w:rFonts w:ascii="宋体" w:hAnsi="宋体" w:cs="宋体" w:eastAsia="宋体" w:hint="default"/>
          <w:sz w:val="24"/>
          <w:szCs w:val="24"/>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tabs>
          <w:tab w:pos="1357" w:val="left" w:leader="none"/>
        </w:tabs>
        <w:spacing w:line="331" w:lineRule="auto" w:before="26"/>
        <w:ind w:left="997" w:right="195" w:hanging="480"/>
        <w:jc w:val="left"/>
        <w:rPr>
          <w:rFonts w:ascii="宋体" w:hAnsi="宋体" w:cs="宋体" w:eastAsia="宋体" w:hint="default"/>
          <w:sz w:val="24"/>
          <w:szCs w:val="24"/>
        </w:rPr>
      </w:pPr>
      <w:r>
        <w:rPr>
          <w:rFonts w:ascii="宋体" w:hAnsi="宋体" w:cs="宋体" w:eastAsia="宋体" w:hint="default"/>
          <w:b/>
          <w:bCs/>
          <w:sz w:val="24"/>
          <w:szCs w:val="24"/>
        </w:rPr>
        <w:t>七、</w:t>
        <w:tab/>
        <w:t>公司债券受托管理人履职情况</w:t>
      </w:r>
      <w:r>
        <w:rPr>
          <w:rFonts w:ascii="宋体" w:hAnsi="宋体" w:cs="宋体" w:eastAsia="宋体" w:hint="default"/>
          <w:b/>
          <w:bCs/>
          <w:w w:val="99"/>
          <w:sz w:val="24"/>
          <w:szCs w:val="24"/>
        </w:rPr>
        <w:t> </w:t>
      </w:r>
      <w:r>
        <w:rPr>
          <w:rFonts w:ascii="宋体" w:hAnsi="宋体" w:cs="宋体" w:eastAsia="宋体" w:hint="default"/>
          <w:spacing w:val="-2"/>
          <w:sz w:val="24"/>
          <w:szCs w:val="24"/>
        </w:rPr>
        <w:t>华胜天成</w:t>
      </w:r>
      <w:r>
        <w:rPr>
          <w:rFonts w:ascii="宋体" w:hAnsi="宋体" w:cs="宋体" w:eastAsia="宋体" w:hint="default"/>
          <w:spacing w:val="-2"/>
          <w:sz w:val="24"/>
          <w:szCs w:val="24"/>
        </w:rPr>
        <w:t>2012</w:t>
      </w:r>
      <w:r>
        <w:rPr>
          <w:rFonts w:ascii="宋体" w:hAnsi="宋体" w:cs="宋体" w:eastAsia="宋体" w:hint="default"/>
          <w:spacing w:val="-2"/>
          <w:sz w:val="24"/>
          <w:szCs w:val="24"/>
        </w:rPr>
        <w:t>年公司债券（第一期）受托管理人为渤海证券股份有限公司，渤海</w:t>
      </w:r>
    </w:p>
    <w:p>
      <w:pPr>
        <w:pStyle w:val="BodyText"/>
        <w:spacing w:line="217" w:lineRule="exact"/>
        <w:ind w:left="517" w:right="0"/>
        <w:jc w:val="both"/>
      </w:pPr>
      <w:r>
        <w:rPr/>
        <w:t>证券已于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9</w:t>
      </w:r>
      <w:r>
        <w:rPr/>
        <w:t>日在上海证券交易所网站披露了《华胜天成</w:t>
      </w:r>
      <w:r>
        <w:rPr>
          <w:rFonts w:ascii="宋体" w:hAnsi="宋体" w:cs="宋体" w:eastAsia="宋体" w:hint="default"/>
        </w:rPr>
        <w:t>2012</w:t>
      </w:r>
      <w:r>
        <w:rPr/>
        <w:t>年公司债券（第</w:t>
      </w:r>
    </w:p>
    <w:p>
      <w:pPr>
        <w:pStyle w:val="BodyText"/>
        <w:spacing w:line="237" w:lineRule="auto" w:before="1"/>
        <w:ind w:left="517" w:right="191"/>
        <w:jc w:val="both"/>
      </w:pPr>
      <w:r>
        <w:rPr>
          <w:spacing w:val="-2"/>
        </w:rPr>
        <w:t>一期）受托管理事务报告（</w:t>
      </w:r>
      <w:r>
        <w:rPr>
          <w:rFonts w:ascii="宋体" w:hAnsi="宋体" w:cs="宋体" w:eastAsia="宋体" w:hint="default"/>
          <w:spacing w:val="-2"/>
        </w:rPr>
        <w:t>2014</w:t>
      </w:r>
      <w:r>
        <w:rPr>
          <w:spacing w:val="-2"/>
        </w:rPr>
        <w:t>年度）》，对本期公司债券概况、发行人</w:t>
      </w:r>
      <w:r>
        <w:rPr>
          <w:rFonts w:ascii="宋体" w:hAnsi="宋体" w:cs="宋体" w:eastAsia="宋体" w:hint="default"/>
          <w:spacing w:val="-2"/>
        </w:rPr>
        <w:t>2014</w:t>
      </w:r>
      <w:r>
        <w:rPr>
          <w:spacing w:val="-2"/>
        </w:rPr>
        <w:t>年度经</w:t>
      </w:r>
      <w:r>
        <w:rPr>
          <w:spacing w:val="-88"/>
        </w:rPr>
        <w:t> </w:t>
      </w:r>
      <w:r>
        <w:rPr>
          <w:spacing w:val="-2"/>
        </w:rPr>
        <w:t>营情况和财务状况、发行人募集资金使用情况、本期债券利息偿付情况及持有人会议</w:t>
      </w:r>
      <w:r>
        <w:rPr>
          <w:spacing w:val="-94"/>
        </w:rPr>
        <w:t> </w:t>
      </w:r>
      <w:r>
        <w:rPr>
          <w:spacing w:val="-94"/>
        </w:rPr>
      </w:r>
      <w:r>
        <w:rPr>
          <w:spacing w:val="-2"/>
        </w:rPr>
        <w:t>召开情况等内容进行了披露。公司</w:t>
      </w:r>
      <w:r>
        <w:rPr>
          <w:rFonts w:ascii="宋体" w:hAnsi="宋体" w:cs="宋体" w:eastAsia="宋体" w:hint="default"/>
          <w:spacing w:val="-2"/>
        </w:rPr>
        <w:t>2015</w:t>
      </w:r>
      <w:r>
        <w:rPr>
          <w:spacing w:val="-2"/>
        </w:rPr>
        <w:t>年审计报告披露后一个月内，渤海证券将在上</w:t>
      </w:r>
      <w:r>
        <w:rPr>
          <w:spacing w:val="-90"/>
        </w:rPr>
        <w:t> </w:t>
      </w:r>
      <w:r>
        <w:rPr>
          <w:spacing w:val="-90"/>
        </w:rPr>
      </w:r>
      <w:r>
        <w:rPr>
          <w:spacing w:val="-2"/>
        </w:rPr>
        <w:t>海证券交易所网站披露本期债券的</w:t>
      </w:r>
      <w:r>
        <w:rPr>
          <w:rFonts w:ascii="宋体" w:hAnsi="宋体" w:cs="宋体" w:eastAsia="宋体" w:hint="default"/>
          <w:spacing w:val="-2"/>
        </w:rPr>
        <w:t>2015</w:t>
      </w:r>
      <w:r>
        <w:rPr>
          <w:spacing w:val="-2"/>
        </w:rPr>
        <w:t>年度受托管理人报告，债券持有人有权随时查</w:t>
      </w:r>
      <w:r>
        <w:rPr>
          <w:spacing w:val="-91"/>
        </w:rPr>
        <w:t> </w:t>
      </w:r>
      <w:r>
        <w:rPr>
          <w:spacing w:val="-91"/>
        </w:rPr>
      </w:r>
      <w:r>
        <w:rPr/>
        <w:t>阅已披露受托管理人报告。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tabs>
          <w:tab w:pos="1357" w:val="left" w:leader="none"/>
        </w:tabs>
        <w:spacing w:line="240" w:lineRule="auto"/>
        <w:ind w:left="517" w:right="195"/>
        <w:jc w:val="left"/>
        <w:rPr>
          <w:b w:val="0"/>
          <w:bCs w:val="0"/>
        </w:rPr>
      </w:pPr>
      <w:r>
        <w:rPr/>
        <w:t>八、</w:t>
        <w:tab/>
        <w:t>截至报告期末公司近</w:t>
      </w:r>
      <w:r>
        <w:rPr>
          <w:spacing w:val="-63"/>
        </w:rPr>
        <w:t> </w:t>
      </w:r>
      <w:r>
        <w:rPr>
          <w:rFonts w:ascii="Arial" w:hAnsi="Arial" w:cs="Arial" w:eastAsia="Arial" w:hint="default"/>
        </w:rPr>
        <w:t>2</w:t>
      </w:r>
      <w:r>
        <w:rPr>
          <w:rFonts w:ascii="Arial" w:hAnsi="Arial" w:cs="Arial" w:eastAsia="Arial" w:hint="default"/>
          <w:spacing w:val="-11"/>
        </w:rPr>
        <w:t> </w:t>
      </w:r>
      <w:r>
        <w:rPr/>
        <w:t>年的会计数据和财务指标</w:t>
      </w:r>
      <w:r>
        <w:rPr>
          <w:b w:val="0"/>
          <w:bCs w:val="0"/>
        </w:rPr>
      </w:r>
    </w:p>
    <w:p>
      <w:pPr>
        <w:pStyle w:val="BodyText"/>
        <w:tabs>
          <w:tab w:pos="1079" w:val="left" w:leader="none"/>
        </w:tabs>
        <w:spacing w:line="240" w:lineRule="auto" w:before="38"/>
        <w:ind w:left="0" w:right="19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734"/>
        <w:gridCol w:w="1945"/>
        <w:gridCol w:w="1947"/>
        <w:gridCol w:w="1368"/>
        <w:gridCol w:w="1306"/>
      </w:tblGrid>
      <w:tr>
        <w:trPr>
          <w:trHeight w:val="828"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主要指标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260,550,236.43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257,792,933.54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-358,179,794.11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-487,670,567.74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26.55</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-134,752,312.64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592,252,323.52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-122.75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主要系本期</w:t>
            </w:r>
          </w:p>
          <w:p>
            <w:pPr>
              <w:pStyle w:val="TableParagraph"/>
              <w:spacing w:line="237" w:lineRule="auto"/>
              <w:ind w:left="103" w:right="137"/>
              <w:jc w:val="both"/>
              <w:rPr>
                <w:rFonts w:ascii="宋体" w:hAnsi="宋体" w:cs="宋体" w:eastAsia="宋体" w:hint="default"/>
                <w:sz w:val="21"/>
                <w:szCs w:val="21"/>
              </w:rPr>
            </w:pPr>
            <w:r>
              <w:rPr>
                <w:rFonts w:ascii="宋体" w:hAnsi="宋体" w:cs="宋体" w:eastAsia="宋体" w:hint="default"/>
                <w:sz w:val="21"/>
                <w:szCs w:val="21"/>
              </w:rPr>
              <w:t>偿还债务支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付现金增加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所致</w:t>
            </w:r>
          </w:p>
        </w:tc>
      </w:tr>
      <w:tr>
        <w:trPr>
          <w:trHeight w:val="557"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期末现金及现金等价物余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1,507,607,456.78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1,656,283,956.88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-8.98</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-13.23</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-12.35</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58.14%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1.63</w:t>
            </w:r>
            <w:r>
              <w:rPr>
                <w:rFonts w:ascii="宋体" w:hAnsi="宋体" w:cs="宋体" w:eastAsia="宋体" w:hint="default"/>
                <w:spacing w:val="-55"/>
                <w:sz w:val="21"/>
                <w:szCs w:val="21"/>
              </w:rPr>
              <w:t> </w:t>
            </w:r>
            <w:r>
              <w:rPr>
                <w:rFonts w:ascii="宋体" w:hAnsi="宋体" w:cs="宋体" w:eastAsia="宋体" w:hint="default"/>
                <w:sz w:val="21"/>
                <w:szCs w:val="21"/>
              </w:rPr>
              <w:t>个</w:t>
            </w:r>
          </w:p>
          <w:p>
            <w:pPr>
              <w:pStyle w:val="TableParagraph"/>
              <w:spacing w:line="274" w:lineRule="exact"/>
              <w:ind w:left="62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2"/>
                <w:sz w:val="21"/>
                <w:szCs w:val="21"/>
              </w:rPr>
              <w:t> </w:t>
            </w:r>
            <w:r>
              <w:rPr>
                <w:rFonts w:ascii="宋体" w:hAnsi="宋体" w:cs="宋体" w:eastAsia="宋体" w:hint="default"/>
                <w:sz w:val="21"/>
                <w:szCs w:val="21"/>
              </w:rPr>
              <w:t>全部债务比</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16.67</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23.67</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4"/>
                <w:sz w:val="21"/>
                <w:szCs w:val="21"/>
              </w:rPr>
              <w:t> </w:t>
            </w:r>
            <w:r>
              <w:rPr>
                <w:rFonts w:ascii="宋体" w:hAnsi="宋体" w:cs="宋体" w:eastAsia="宋体" w:hint="default"/>
                <w:sz w:val="21"/>
                <w:szCs w:val="21"/>
              </w:rPr>
              <w:t>利息保障倍数</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11.22</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tabs>
          <w:tab w:pos="1357" w:val="left" w:leader="none"/>
        </w:tabs>
        <w:spacing w:line="331" w:lineRule="auto" w:before="26"/>
        <w:ind w:left="997" w:right="195" w:hanging="480"/>
        <w:jc w:val="left"/>
        <w:rPr>
          <w:rFonts w:ascii="宋体" w:hAnsi="宋体" w:cs="宋体" w:eastAsia="宋体" w:hint="default"/>
          <w:sz w:val="24"/>
          <w:szCs w:val="24"/>
        </w:rPr>
      </w:pPr>
      <w:r>
        <w:rPr>
          <w:rFonts w:ascii="宋体" w:hAnsi="宋体" w:cs="宋体" w:eastAsia="宋体" w:hint="default"/>
          <w:b/>
          <w:bCs/>
          <w:sz w:val="24"/>
          <w:szCs w:val="24"/>
        </w:rPr>
        <w:t>九、</w:t>
        <w:tab/>
        <w:t>报告期末公司资产情况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报告期末，公司资产不存在抵押、质押、被查封、冻结、必须具备一定条件才能</w:t>
      </w:r>
    </w:p>
    <w:p>
      <w:pPr>
        <w:pStyle w:val="BodyText"/>
        <w:spacing w:line="217" w:lineRule="exact"/>
        <w:ind w:left="517" w:right="0"/>
        <w:jc w:val="left"/>
      </w:pPr>
      <w:r>
        <w:rPr/>
        <w:t>变现、无法变现、无法用于抵偿债务的情况和其他权利受限制的情况和安排，也不存</w:t>
      </w:r>
    </w:p>
    <w:p>
      <w:pPr>
        <w:pStyle w:val="BodyText"/>
        <w:spacing w:line="313" w:lineRule="exact"/>
        <w:ind w:left="517" w:right="195"/>
        <w:jc w:val="left"/>
      </w:pPr>
      <w:r>
        <w:rPr/>
        <w:t>在其他具有可对抗第三人的优先偿付负债情况。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Heading2"/>
        <w:tabs>
          <w:tab w:pos="1357" w:val="left" w:leader="none"/>
        </w:tabs>
        <w:spacing w:line="240" w:lineRule="auto" w:before="0"/>
        <w:ind w:left="517" w:right="195"/>
        <w:jc w:val="left"/>
        <w:rPr>
          <w:b w:val="0"/>
          <w:bCs w:val="0"/>
        </w:rPr>
      </w:pPr>
      <w:r>
        <w:rPr/>
        <w:t>十、</w:t>
        <w:tab/>
        <w:t>公司其他债券和债务融资工具的付息兑付情况</w:t>
      </w:r>
      <w:r>
        <w:rPr>
          <w:b w:val="0"/>
          <w:bCs w:val="0"/>
        </w:rPr>
      </w:r>
    </w:p>
    <w:p>
      <w:pPr>
        <w:pStyle w:val="BodyText"/>
        <w:spacing w:line="310" w:lineRule="exact" w:before="90"/>
        <w:ind w:left="517" w:right="177" w:firstLine="480"/>
        <w:jc w:val="left"/>
      </w:pPr>
      <w:r>
        <w:rPr>
          <w:rFonts w:ascii="宋体" w:hAnsi="宋体" w:cs="宋体" w:eastAsia="宋体" w:hint="default"/>
        </w:rPr>
        <w:t>2015</w:t>
      </w:r>
      <w:r>
        <w:rPr>
          <w:rFonts w:ascii="宋体" w:hAnsi="宋体" w:cs="宋体" w:eastAsia="宋体" w:hint="default"/>
          <w:spacing w:val="-37"/>
        </w:rPr>
        <w:t> </w:t>
      </w:r>
      <w:r>
        <w:rPr/>
        <w:t>年</w:t>
      </w:r>
      <w:r>
        <w:rPr>
          <w:spacing w:val="-36"/>
        </w:rPr>
        <w:t> </w:t>
      </w:r>
      <w:r>
        <w:rPr>
          <w:rFonts w:ascii="宋体" w:hAnsi="宋体" w:cs="宋体" w:eastAsia="宋体" w:hint="default"/>
        </w:rPr>
        <w:t>3</w:t>
      </w:r>
      <w:r>
        <w:rPr>
          <w:rFonts w:ascii="宋体" w:hAnsi="宋体" w:cs="宋体" w:eastAsia="宋体" w:hint="default"/>
          <w:spacing w:val="-36"/>
        </w:rPr>
        <w:t> </w:t>
      </w:r>
      <w:r>
        <w:rPr/>
        <w:t>月</w:t>
      </w:r>
      <w:r>
        <w:rPr>
          <w:spacing w:val="-36"/>
        </w:rPr>
        <w:t> </w:t>
      </w:r>
      <w:r>
        <w:rPr>
          <w:rFonts w:ascii="宋体" w:hAnsi="宋体" w:cs="宋体" w:eastAsia="宋体" w:hint="default"/>
        </w:rPr>
        <w:t>13</w:t>
      </w:r>
      <w:r>
        <w:rPr>
          <w:rFonts w:ascii="宋体" w:hAnsi="宋体" w:cs="宋体" w:eastAsia="宋体" w:hint="default"/>
          <w:spacing w:val="-36"/>
        </w:rPr>
        <w:t> </w:t>
      </w:r>
      <w:r>
        <w:rPr/>
        <w:t>日，公司已按时兑付本期公司债券应付利息。（详见</w:t>
      </w:r>
      <w:r>
        <w:rPr>
          <w:spacing w:val="-35"/>
        </w:rPr>
        <w:t> </w:t>
      </w:r>
      <w:r>
        <w:rPr>
          <w:rFonts w:ascii="宋体" w:hAnsi="宋体" w:cs="宋体" w:eastAsia="宋体" w:hint="default"/>
        </w:rPr>
        <w:t>2015</w:t>
      </w:r>
      <w:r>
        <w:rPr>
          <w:rFonts w:ascii="宋体" w:hAnsi="宋体" w:cs="宋体" w:eastAsia="宋体" w:hint="default"/>
          <w:spacing w:val="-36"/>
        </w:rPr>
        <w:t> </w:t>
      </w:r>
      <w:r>
        <w:rPr/>
        <w:t>年</w:t>
      </w:r>
      <w:r>
        <w:rPr>
          <w:spacing w:val="-36"/>
        </w:rPr>
        <w:t> </w:t>
      </w:r>
      <w:r>
        <w:rPr>
          <w:rFonts w:ascii="宋体" w:hAnsi="宋体" w:cs="宋体" w:eastAsia="宋体" w:hint="default"/>
        </w:rPr>
        <w:t>3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日上海证券交易所网站</w:t>
      </w:r>
      <w:r>
        <w:rPr>
          <w:spacing w:val="-60"/>
        </w:rPr>
        <w:t> </w:t>
      </w:r>
      <w:hyperlink r:id="rId11">
        <w:r>
          <w:rPr>
            <w:rFonts w:ascii="宋体" w:hAnsi="宋体" w:cs="宋体" w:eastAsia="宋体" w:hint="default"/>
          </w:rPr>
          <w:t>www.sse.com.cn</w:t>
        </w:r>
      </w:hyperlink>
      <w:r>
        <w:rPr>
          <w:rFonts w:ascii="宋体" w:hAnsi="宋体" w:cs="宋体" w:eastAsia="宋体" w:hint="default"/>
          <w:spacing w:val="-60"/>
        </w:rPr>
        <w:t> </w:t>
      </w:r>
      <w:r>
        <w:rPr/>
        <w:t>相关公告）</w:t>
      </w:r>
    </w:p>
    <w:p>
      <w:pPr>
        <w:spacing w:after="0" w:line="310" w:lineRule="exact"/>
        <w:jc w:val="left"/>
        <w:sectPr>
          <w:pgSz w:w="11910" w:h="16840"/>
          <w:pgMar w:header="882" w:footer="1195" w:top="1120" w:bottom="1380" w:left="760" w:right="1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328" w:lineRule="auto" w:before="26"/>
        <w:ind w:left="717" w:right="219" w:hanging="48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b/>
          <w:bCs/>
          <w:spacing w:val="-5"/>
          <w:sz w:val="24"/>
          <w:szCs w:val="24"/>
        </w:rPr>
        <w:t> </w:t>
      </w:r>
      <w:r>
        <w:rPr>
          <w:rFonts w:ascii="宋体" w:hAnsi="宋体" w:cs="宋体" w:eastAsia="宋体" w:hint="default"/>
          <w:b/>
          <w:bCs/>
          <w:sz w:val="24"/>
          <w:szCs w:val="24"/>
        </w:rPr>
        <w:t>公司报告期内的银行授信情况</w:t>
      </w:r>
      <w:r>
        <w:rPr>
          <w:rFonts w:ascii="宋体" w:hAnsi="宋体" w:cs="宋体" w:eastAsia="宋体" w:hint="default"/>
          <w:b/>
          <w:bCs/>
          <w:w w:val="99"/>
          <w:sz w:val="24"/>
          <w:szCs w:val="24"/>
        </w:rPr>
        <w:t> </w:t>
      </w:r>
      <w:r>
        <w:rPr>
          <w:rFonts w:ascii="宋体" w:hAnsi="宋体" w:cs="宋体" w:eastAsia="宋体" w:hint="default"/>
          <w:spacing w:val="-3"/>
          <w:sz w:val="24"/>
          <w:szCs w:val="24"/>
        </w:rPr>
        <w:t>截至本报告期末，公司（含子公司）银行授信额度合计 </w:t>
      </w:r>
      <w:r>
        <w:rPr>
          <w:rFonts w:ascii="宋体" w:hAnsi="宋体" w:cs="宋体" w:eastAsia="宋体" w:hint="default"/>
          <w:sz w:val="22"/>
          <w:szCs w:val="22"/>
        </w:rPr>
        <w:t>245,716.78</w:t>
      </w:r>
      <w:r>
        <w:rPr>
          <w:rFonts w:ascii="宋体" w:hAnsi="宋体" w:cs="宋体" w:eastAsia="宋体" w:hint="default"/>
          <w:spacing w:val="-87"/>
          <w:sz w:val="22"/>
          <w:szCs w:val="22"/>
        </w:rPr>
        <w:t> </w:t>
      </w:r>
      <w:r>
        <w:rPr>
          <w:rFonts w:ascii="宋体" w:hAnsi="宋体" w:cs="宋体" w:eastAsia="宋体" w:hint="default"/>
          <w:spacing w:val="-3"/>
          <w:sz w:val="24"/>
          <w:szCs w:val="24"/>
        </w:rPr>
        <w:t>万元，已占用</w:t>
      </w:r>
    </w:p>
    <w:p>
      <w:pPr>
        <w:spacing w:line="222" w:lineRule="exact" w:before="0"/>
        <w:ind w:left="237" w:right="0" w:firstLine="0"/>
        <w:jc w:val="left"/>
        <w:rPr>
          <w:rFonts w:ascii="宋体" w:hAnsi="宋体" w:cs="宋体" w:eastAsia="宋体" w:hint="default"/>
          <w:sz w:val="24"/>
          <w:szCs w:val="24"/>
        </w:rPr>
      </w:pPr>
      <w:r>
        <w:rPr>
          <w:rFonts w:ascii="宋体" w:hAnsi="宋体" w:cs="宋体" w:eastAsia="宋体" w:hint="default"/>
          <w:sz w:val="24"/>
          <w:szCs w:val="24"/>
        </w:rPr>
        <w:t>额度 </w:t>
      </w:r>
      <w:r>
        <w:rPr>
          <w:rFonts w:ascii="宋体" w:hAnsi="宋体" w:cs="宋体" w:eastAsia="宋体" w:hint="default"/>
          <w:sz w:val="22"/>
          <w:szCs w:val="22"/>
        </w:rPr>
        <w:t>138,715.22</w:t>
      </w:r>
      <w:r>
        <w:rPr>
          <w:rFonts w:ascii="宋体" w:hAnsi="宋体" w:cs="宋体" w:eastAsia="宋体" w:hint="default"/>
          <w:spacing w:val="-60"/>
          <w:sz w:val="22"/>
          <w:szCs w:val="22"/>
        </w:rPr>
        <w:t> </w:t>
      </w:r>
      <w:r>
        <w:rPr>
          <w:rFonts w:ascii="宋体" w:hAnsi="宋体" w:cs="宋体" w:eastAsia="宋体" w:hint="default"/>
          <w:sz w:val="24"/>
          <w:szCs w:val="24"/>
        </w:rPr>
        <w:t>万元。公司的授信额度中，相当比例约定了特定用途或有使用限制。</w:t>
      </w:r>
    </w:p>
    <w:p>
      <w:pPr>
        <w:pStyle w:val="BodyText"/>
        <w:spacing w:line="313" w:lineRule="exact"/>
        <w:ind w:left="237" w:right="219"/>
        <w:jc w:val="left"/>
      </w:pPr>
      <w:r>
        <w:rPr/>
        <w:t>公司为了实现可持续发展，将在研发、营销体系建设等方面长期持续地投入。</w:t>
      </w:r>
    </w:p>
    <w:p>
      <w:pPr>
        <w:pStyle w:val="BodyText"/>
        <w:tabs>
          <w:tab w:pos="7630" w:val="left" w:leader="none"/>
        </w:tabs>
        <w:spacing w:line="240" w:lineRule="auto" w:before="115"/>
        <w:ind w:left="6190" w:right="0"/>
        <w:jc w:val="left"/>
      </w:pPr>
      <w:r>
        <w:rPr/>
        <w:t>单位：万元</w:t>
        <w:tab/>
        <w:t>币种：人民币</w:t>
      </w:r>
    </w:p>
    <w:p>
      <w:pPr>
        <w:spacing w:line="240" w:lineRule="auto" w:before="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536"/>
        <w:gridCol w:w="1985"/>
        <w:gridCol w:w="1416"/>
        <w:gridCol w:w="1844"/>
      </w:tblGrid>
      <w:tr>
        <w:trPr>
          <w:trHeight w:val="353"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授信银行</w:t>
            </w:r>
            <w:r>
              <w:rPr>
                <w:rFonts w:ascii="宋体" w:hAnsi="宋体" w:cs="宋体" w:eastAsia="宋体" w:hint="default"/>
                <w:sz w:val="21"/>
                <w:szCs w:val="21"/>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6" w:right="0"/>
              <w:jc w:val="left"/>
              <w:rPr>
                <w:rFonts w:ascii="宋体" w:hAnsi="宋体" w:cs="宋体" w:eastAsia="宋体" w:hint="default"/>
                <w:sz w:val="21"/>
                <w:szCs w:val="21"/>
              </w:rPr>
            </w:pPr>
            <w:r>
              <w:rPr>
                <w:rFonts w:ascii="宋体" w:hAnsi="宋体" w:cs="宋体" w:eastAsia="宋体" w:hint="default"/>
                <w:b/>
                <w:bCs/>
                <w:sz w:val="21"/>
                <w:szCs w:val="21"/>
              </w:rPr>
              <w:t>额度</w:t>
            </w:r>
            <w:r>
              <w:rPr>
                <w:rFonts w:ascii="宋体" w:hAnsi="宋体" w:cs="宋体" w:eastAsia="宋体" w:hint="default"/>
                <w:sz w:val="21"/>
                <w:szCs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6" w:right="0"/>
              <w:jc w:val="left"/>
              <w:rPr>
                <w:rFonts w:ascii="宋体" w:hAnsi="宋体" w:cs="宋体" w:eastAsia="宋体" w:hint="default"/>
                <w:sz w:val="21"/>
                <w:szCs w:val="21"/>
              </w:rPr>
            </w:pPr>
            <w:r>
              <w:rPr>
                <w:rFonts w:ascii="宋体" w:hAnsi="宋体" w:cs="宋体" w:eastAsia="宋体" w:hint="default"/>
                <w:b/>
                <w:bCs/>
                <w:sz w:val="21"/>
                <w:szCs w:val="21"/>
              </w:rPr>
              <w:t>已占用</w:t>
            </w:r>
            <w:r>
              <w:rPr>
                <w:rFonts w:ascii="宋体" w:hAnsi="宋体" w:cs="宋体" w:eastAsia="宋体" w:hint="default"/>
                <w:sz w:val="21"/>
                <w:szCs w:val="21"/>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剩余额度</w:t>
            </w:r>
            <w:r>
              <w:rPr>
                <w:rFonts w:ascii="宋体" w:hAnsi="宋体" w:cs="宋体" w:eastAsia="宋体" w:hint="default"/>
                <w:sz w:val="21"/>
                <w:szCs w:val="21"/>
              </w:rPr>
            </w:r>
          </w:p>
        </w:tc>
      </w:tr>
      <w:tr>
        <w:trPr>
          <w:trHeight w:val="30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民生银行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60,000.00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3,206.05</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56,793.95</w:t>
            </w:r>
          </w:p>
        </w:tc>
      </w:tr>
      <w:tr>
        <w:trPr>
          <w:trHeight w:val="30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42,721.77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7,278.23</w:t>
            </w:r>
          </w:p>
        </w:tc>
      </w:tr>
      <w:tr>
        <w:trPr>
          <w:trHeight w:val="30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z w:val="21"/>
                <w:szCs w:val="21"/>
              </w:rPr>
              <w:t>中信银行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9"/>
              <w:jc w:val="right"/>
              <w:rPr>
                <w:rFonts w:ascii="宋体" w:hAnsi="宋体" w:cs="宋体" w:eastAsia="宋体" w:hint="default"/>
                <w:sz w:val="21"/>
                <w:szCs w:val="21"/>
              </w:rPr>
            </w:pPr>
            <w:r>
              <w:rPr>
                <w:rFonts w:ascii="宋体"/>
                <w:spacing w:val="-1"/>
                <w:sz w:val="21"/>
              </w:rPr>
              <w:t>25,000.00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8,294.80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16,705.20</w:t>
            </w:r>
          </w:p>
        </w:tc>
      </w:tr>
      <w:tr>
        <w:trPr>
          <w:trHeight w:val="307"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汇丰银行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21,896.16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21,654.36</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241.80</w:t>
            </w:r>
          </w:p>
        </w:tc>
      </w:tr>
      <w:tr>
        <w:trPr>
          <w:trHeight w:val="30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26,599.49</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3,400.51</w:t>
            </w:r>
          </w:p>
        </w:tc>
      </w:tr>
      <w:tr>
        <w:trPr>
          <w:trHeight w:val="30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8,618.67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11,381.33</w:t>
            </w:r>
          </w:p>
        </w:tc>
      </w:tr>
      <w:tr>
        <w:trPr>
          <w:trHeight w:val="30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13,620.08</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6,379.92</w:t>
            </w:r>
          </w:p>
        </w:tc>
      </w:tr>
      <w:tr>
        <w:trPr>
          <w:trHeight w:val="334"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中国进出口银行</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w:t>
            </w:r>
          </w:p>
        </w:tc>
      </w:tr>
      <w:tr>
        <w:trPr>
          <w:trHeight w:val="36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14,900.00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4,900.00</w:t>
            </w:r>
          </w:p>
        </w:tc>
      </w:tr>
      <w:tr>
        <w:trPr>
          <w:trHeight w:val="295"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境内银行总计</w:t>
            </w:r>
            <w:r>
              <w:rPr>
                <w:rFonts w:ascii="宋体" w:hAnsi="宋体" w:cs="宋体" w:eastAsia="宋体" w:hint="default"/>
                <w:sz w:val="21"/>
                <w:szCs w:val="21"/>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9"/>
              <w:jc w:val="right"/>
              <w:rPr>
                <w:rFonts w:ascii="宋体" w:hAnsi="宋体" w:cs="宋体" w:eastAsia="宋体" w:hint="default"/>
                <w:sz w:val="21"/>
                <w:szCs w:val="21"/>
              </w:rPr>
            </w:pPr>
            <w:r>
              <w:rPr>
                <w:rFonts w:ascii="宋体"/>
                <w:b/>
                <w:w w:val="95"/>
                <w:sz w:val="21"/>
              </w:rPr>
              <w:t>245,796.16</w:t>
            </w:r>
            <w:r>
              <w:rPr>
                <w:rFonts w:ascii="宋体"/>
                <w:sz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9"/>
              <w:jc w:val="right"/>
              <w:rPr>
                <w:rFonts w:ascii="宋体" w:hAnsi="宋体" w:cs="宋体" w:eastAsia="宋体" w:hint="default"/>
                <w:sz w:val="21"/>
                <w:szCs w:val="21"/>
              </w:rPr>
            </w:pPr>
            <w:r>
              <w:rPr>
                <w:rFonts w:ascii="宋体"/>
                <w:b/>
                <w:w w:val="95"/>
                <w:sz w:val="21"/>
              </w:rPr>
              <w:t>138,715.22</w:t>
            </w:r>
            <w:r>
              <w:rPr>
                <w:rFonts w:ascii="宋体"/>
                <w:sz w:val="21"/>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1"/>
                <w:szCs w:val="21"/>
              </w:rPr>
            </w:pPr>
            <w:r>
              <w:rPr>
                <w:rFonts w:ascii="宋体"/>
                <w:b/>
                <w:w w:val="95"/>
                <w:sz w:val="21"/>
              </w:rPr>
              <w:t>107,080.94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237" w:right="219"/>
        <w:jc w:val="left"/>
        <w:rPr>
          <w:b w:val="0"/>
          <w:bCs w:val="0"/>
        </w:rPr>
      </w:pPr>
      <w:r>
        <w:rPr/>
        <w:t>十二、</w:t>
      </w:r>
      <w:r>
        <w:rPr>
          <w:spacing w:val="-9"/>
        </w:rPr>
        <w:t> </w:t>
      </w:r>
      <w:r>
        <w:rPr/>
        <w:t>公司报告期内执行公司债券募集说明书相关约定或承诺的情况</w:t>
      </w:r>
      <w:r>
        <w:rPr>
          <w:b w:val="0"/>
          <w:bCs w:val="0"/>
        </w:rPr>
      </w:r>
    </w:p>
    <w:p>
      <w:pPr>
        <w:pStyle w:val="BodyText"/>
        <w:spacing w:line="310" w:lineRule="exact" w:before="90"/>
        <w:ind w:left="237" w:right="0" w:firstLine="480"/>
        <w:jc w:val="left"/>
      </w:pPr>
      <w:r>
        <w:rPr/>
        <w:t>报告期内，公司均严格履行公司债券募集说明书相关内容，合规使用募集资金，</w:t>
      </w:r>
      <w:r>
        <w:rPr>
          <w:spacing w:val="2"/>
        </w:rPr>
        <w:t> </w:t>
      </w:r>
      <w:r>
        <w:rPr/>
        <w:t>按时兑付公司债券利息，未有损害债券投资者利益的情况发生。</w:t>
      </w:r>
    </w:p>
    <w:p>
      <w:pPr>
        <w:spacing w:line="240" w:lineRule="auto" w:before="1"/>
        <w:rPr>
          <w:rFonts w:ascii="宋体" w:hAnsi="宋体" w:cs="宋体" w:eastAsia="宋体" w:hint="default"/>
          <w:sz w:val="26"/>
          <w:szCs w:val="26"/>
        </w:rPr>
      </w:pPr>
    </w:p>
    <w:p>
      <w:pPr>
        <w:spacing w:line="283" w:lineRule="auto" w:before="0"/>
        <w:ind w:left="717" w:right="219" w:hanging="48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b/>
          <w:bCs/>
          <w:spacing w:val="-5"/>
          <w:sz w:val="24"/>
          <w:szCs w:val="24"/>
        </w:rPr>
        <w:t> </w:t>
      </w:r>
      <w:r>
        <w:rPr>
          <w:rFonts w:ascii="宋体" w:hAnsi="宋体" w:cs="宋体" w:eastAsia="宋体" w:hint="default"/>
          <w:b/>
          <w:bCs/>
          <w:sz w:val="24"/>
          <w:szCs w:val="24"/>
        </w:rPr>
        <w:t>公司发生重大事项及对公司经营情况和偿债能力的影响</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报告期内，公司未发生《公司债券发行与交易管理办法》第四十五条列示的重大</w:t>
      </w:r>
    </w:p>
    <w:p>
      <w:pPr>
        <w:pStyle w:val="BodyText"/>
        <w:spacing w:line="269" w:lineRule="exact"/>
        <w:ind w:left="237" w:right="3113"/>
        <w:jc w:val="left"/>
      </w:pPr>
      <w:r>
        <w:rPr/>
        <w:t>事项。</w:t>
      </w:r>
    </w:p>
    <w:p>
      <w:pPr>
        <w:spacing w:after="0" w:line="269" w:lineRule="exact"/>
        <w:jc w:val="left"/>
        <w:sectPr>
          <w:pgSz w:w="11910" w:h="16840"/>
          <w:pgMar w:header="882" w:footer="1195" w:top="112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343" w:right="3419"/>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140" w:right="1580"/>
        </w:sectPr>
      </w:pPr>
    </w:p>
    <w:p>
      <w:pPr>
        <w:pStyle w:val="Heading2"/>
        <w:tabs>
          <w:tab w:pos="977" w:val="left" w:leader="none"/>
        </w:tabs>
        <w:spacing w:line="240" w:lineRule="auto"/>
        <w:ind w:left="137" w:right="-17"/>
        <w:jc w:val="left"/>
        <w:rPr>
          <w:b w:val="0"/>
          <w:bCs w:val="0"/>
        </w:rPr>
      </w:pPr>
      <w:r>
        <w:rPr/>
        <w:t>一、</w:t>
        <w:tab/>
        <w:t>审计报告</w:t>
      </w:r>
      <w:r>
        <w:rPr>
          <w:b w:val="0"/>
          <w:bCs w:val="0"/>
        </w:rPr>
      </w:r>
    </w:p>
    <w:p>
      <w:pPr>
        <w:pStyle w:val="BodyText"/>
        <w:spacing w:line="240" w:lineRule="auto" w:before="58"/>
        <w:ind w:right="-12"/>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2"/>
          <w:szCs w:val="32"/>
        </w:rPr>
      </w:pPr>
    </w:p>
    <w:p>
      <w:pPr>
        <w:spacing w:line="312" w:lineRule="auto" w:before="0"/>
        <w:ind w:left="137" w:right="210" w:firstLine="1126"/>
        <w:jc w:val="left"/>
        <w:rPr>
          <w:rFonts w:ascii="宋体" w:hAnsi="宋体" w:cs="宋体" w:eastAsia="宋体" w:hint="default"/>
          <w:sz w:val="24"/>
          <w:szCs w:val="24"/>
        </w:rPr>
      </w:pPr>
      <w:r>
        <w:rPr>
          <w:rFonts w:ascii="宋体" w:hAnsi="宋体" w:cs="宋体" w:eastAsia="宋体" w:hint="default"/>
          <w:spacing w:val="2"/>
          <w:w w:val="95"/>
          <w:sz w:val="24"/>
          <w:szCs w:val="24"/>
        </w:rPr>
        <w:t>致同审字（</w:t>
      </w:r>
      <w:r>
        <w:rPr>
          <w:rFonts w:ascii="宋体" w:hAnsi="宋体" w:cs="宋体" w:eastAsia="宋体" w:hint="default"/>
          <w:spacing w:val="2"/>
          <w:w w:val="95"/>
          <w:sz w:val="24"/>
          <w:szCs w:val="24"/>
        </w:rPr>
        <w:t>2016</w:t>
      </w:r>
      <w:r>
        <w:rPr>
          <w:rFonts w:ascii="宋体" w:hAnsi="宋体" w:cs="宋体" w:eastAsia="宋体" w:hint="default"/>
          <w:spacing w:val="2"/>
          <w:w w:val="95"/>
          <w:sz w:val="24"/>
          <w:szCs w:val="24"/>
        </w:rPr>
        <w:t>）第</w:t>
      </w:r>
      <w:r>
        <w:rPr>
          <w:rFonts w:ascii="宋体" w:hAnsi="宋体" w:cs="宋体" w:eastAsia="宋体" w:hint="default"/>
          <w:spacing w:val="-53"/>
          <w:w w:val="95"/>
          <w:sz w:val="24"/>
          <w:szCs w:val="24"/>
        </w:rPr>
        <w:t> </w:t>
      </w:r>
      <w:r>
        <w:rPr>
          <w:rFonts w:ascii="Arial" w:hAnsi="Arial" w:cs="Arial" w:eastAsia="Arial" w:hint="default"/>
          <w:w w:val="95"/>
          <w:sz w:val="24"/>
          <w:szCs w:val="24"/>
        </w:rPr>
        <w:t>110ZA3523</w:t>
      </w:r>
      <w:r>
        <w:rPr>
          <w:rFonts w:ascii="Arial" w:hAnsi="Arial" w:cs="Arial" w:eastAsia="Arial" w:hint="default"/>
          <w:spacing w:val="-12"/>
          <w:w w:val="95"/>
          <w:sz w:val="24"/>
          <w:szCs w:val="24"/>
        </w:rPr>
        <w:t> </w:t>
      </w:r>
      <w:r>
        <w:rPr>
          <w:rFonts w:ascii="宋体" w:hAnsi="宋体" w:cs="宋体" w:eastAsia="宋体" w:hint="default"/>
          <w:w w:val="95"/>
          <w:sz w:val="24"/>
          <w:szCs w:val="24"/>
        </w:rPr>
        <w:t>号</w:t>
      </w:r>
      <w:r>
        <w:rPr>
          <w:rFonts w:ascii="宋体" w:hAnsi="宋体" w:cs="宋体" w:eastAsia="宋体" w:hint="default"/>
          <w:sz w:val="24"/>
          <w:szCs w:val="24"/>
        </w:rPr>
        <w:t> </w:t>
      </w:r>
      <w:r>
        <w:rPr>
          <w:rFonts w:ascii="宋体" w:hAnsi="宋体" w:cs="宋体" w:eastAsia="宋体" w:hint="default"/>
          <w:b/>
          <w:bCs/>
          <w:spacing w:val="7"/>
          <w:sz w:val="24"/>
          <w:szCs w:val="24"/>
        </w:rPr>
        <w:t>北京华胜天成科技股份有限公司全体股东：</w:t>
      </w:r>
      <w:r>
        <w:rPr>
          <w:rFonts w:ascii="宋体" w:hAnsi="宋体" w:cs="宋体" w:eastAsia="宋体" w:hint="default"/>
          <w:spacing w:val="7"/>
          <w:sz w:val="24"/>
          <w:szCs w:val="24"/>
        </w:rPr>
      </w:r>
    </w:p>
    <w:p>
      <w:pPr>
        <w:spacing w:after="0" w:line="312" w:lineRule="auto"/>
        <w:jc w:val="left"/>
        <w:rPr>
          <w:rFonts w:ascii="宋体" w:hAnsi="宋体" w:cs="宋体" w:eastAsia="宋体" w:hint="default"/>
          <w:sz w:val="24"/>
          <w:szCs w:val="24"/>
        </w:rPr>
        <w:sectPr>
          <w:type w:val="continuous"/>
          <w:pgSz w:w="11910" w:h="16840"/>
          <w:pgMar w:top="1120" w:bottom="1380" w:left="1140" w:right="1580"/>
          <w:cols w:num="2" w:equalWidth="0">
            <w:col w:w="1945" w:space="2155"/>
            <w:col w:w="5090"/>
          </w:cols>
        </w:sectPr>
      </w:pPr>
    </w:p>
    <w:p>
      <w:pPr>
        <w:pStyle w:val="BodyText"/>
        <w:spacing w:line="237" w:lineRule="auto" w:before="48"/>
        <w:ind w:right="104" w:firstLine="496"/>
        <w:jc w:val="left"/>
      </w:pPr>
      <w:r>
        <w:rPr>
          <w:spacing w:val="7"/>
        </w:rPr>
        <w:t>我们审计了后附的北京华胜天成科技股份有限公司（以下简称华胜天成公司）</w:t>
      </w:r>
      <w:r>
        <w:rPr/>
        <w:t> </w:t>
      </w:r>
      <w:r>
        <w:rPr>
          <w:spacing w:val="3"/>
        </w:rPr>
        <w:t>财务报表，包括</w:t>
      </w:r>
      <w:r>
        <w:rPr>
          <w:spacing w:val="-45"/>
        </w:rPr>
        <w:t> </w:t>
      </w:r>
      <w:r>
        <w:rPr>
          <w:rFonts w:ascii="宋体" w:hAnsi="宋体" w:cs="宋体" w:eastAsia="宋体" w:hint="default"/>
          <w:spacing w:val="2"/>
        </w:rPr>
        <w:t>2015</w:t>
      </w:r>
      <w:r>
        <w:rPr>
          <w:rFonts w:ascii="宋体" w:hAnsi="宋体" w:cs="宋体" w:eastAsia="宋体" w:hint="default"/>
          <w:spacing w:val="-55"/>
        </w:rPr>
        <w:t> </w:t>
      </w:r>
      <w:r>
        <w:rPr/>
        <w:t>年</w:t>
      </w:r>
      <w:r>
        <w:rPr>
          <w:spacing w:val="-46"/>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5"/>
        </w:rPr>
        <w:t> </w:t>
      </w:r>
      <w:r>
        <w:rPr>
          <w:spacing w:val="5"/>
        </w:rPr>
        <w:t>日的合并及公司资产负债表，</w:t>
      </w:r>
      <w:r>
        <w:rPr>
          <w:rFonts w:ascii="宋体" w:hAnsi="宋体" w:cs="宋体" w:eastAsia="宋体" w:hint="default"/>
          <w:spacing w:val="5"/>
        </w:rPr>
        <w:t>2015</w:t>
      </w:r>
      <w:r>
        <w:rPr>
          <w:rFonts w:ascii="宋体" w:hAnsi="宋体" w:cs="宋体" w:eastAsia="宋体" w:hint="default"/>
          <w:spacing w:val="-55"/>
        </w:rPr>
        <w:t> </w:t>
      </w:r>
      <w:r>
        <w:rPr>
          <w:spacing w:val="6"/>
        </w:rPr>
        <w:t>年度的合并及</w:t>
      </w:r>
      <w:r>
        <w:rPr>
          <w:spacing w:val="-116"/>
        </w:rPr>
        <w:t> </w:t>
      </w:r>
      <w:r>
        <w:rPr>
          <w:spacing w:val="-116"/>
        </w:rPr>
      </w:r>
      <w:r>
        <w:rPr>
          <w:spacing w:val="4"/>
        </w:rPr>
        <w:t>公司利润表、合并及公司现金流量表、合并及公司股东权益变动表以及财务报表附</w:t>
      </w:r>
    </w:p>
    <w:p>
      <w:pPr>
        <w:pStyle w:val="BodyText"/>
        <w:spacing w:line="312" w:lineRule="exact"/>
        <w:ind w:right="2069"/>
        <w:jc w:val="left"/>
      </w:pPr>
      <w:r>
        <w:rPr>
          <w:spacing w:val="9"/>
        </w:rPr>
        <w:t>注。</w:t>
      </w:r>
      <w:r>
        <w:rPr/>
      </w:r>
    </w:p>
    <w:p>
      <w:pPr>
        <w:spacing w:line="331" w:lineRule="auto" w:before="115"/>
        <w:ind w:left="634" w:right="215" w:hanging="15"/>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编制和公允列报财务报表是华胜天成公司管理层的责任，这种责任包括：（</w:t>
      </w:r>
      <w:r>
        <w:rPr>
          <w:rFonts w:ascii="宋体" w:hAnsi="宋体" w:cs="宋体" w:eastAsia="宋体" w:hint="default"/>
          <w:sz w:val="24"/>
          <w:szCs w:val="24"/>
        </w:rPr>
        <w:t>1</w:t>
      </w:r>
      <w:r>
        <w:rPr>
          <w:rFonts w:ascii="宋体" w:hAnsi="宋体" w:cs="宋体" w:eastAsia="宋体" w:hint="default"/>
          <w:sz w:val="24"/>
          <w:szCs w:val="24"/>
        </w:rPr>
        <w:t>）</w:t>
      </w:r>
    </w:p>
    <w:p>
      <w:pPr>
        <w:pStyle w:val="BodyText"/>
        <w:spacing w:line="219" w:lineRule="exact"/>
        <w:ind w:right="215"/>
        <w:jc w:val="left"/>
      </w:pPr>
      <w:r>
        <w:rPr>
          <w:spacing w:val="7"/>
        </w:rPr>
        <w:t>按照企业会计准则的规定编制财务报表，并使其实现公允反映；（</w:t>
      </w:r>
      <w:r>
        <w:rPr>
          <w:rFonts w:ascii="宋体" w:hAnsi="宋体" w:cs="宋体" w:eastAsia="宋体" w:hint="default"/>
          <w:spacing w:val="7"/>
        </w:rPr>
        <w:t>2</w:t>
      </w:r>
      <w:r>
        <w:rPr>
          <w:spacing w:val="7"/>
        </w:rPr>
        <w:t>）设计、执行</w:t>
      </w:r>
    </w:p>
    <w:p>
      <w:pPr>
        <w:spacing w:line="276" w:lineRule="auto" w:before="0"/>
        <w:ind w:left="619" w:right="215" w:hanging="483"/>
        <w:jc w:val="left"/>
        <w:rPr>
          <w:rFonts w:ascii="宋体" w:hAnsi="宋体" w:cs="宋体" w:eastAsia="宋体" w:hint="default"/>
          <w:sz w:val="24"/>
          <w:szCs w:val="24"/>
        </w:rPr>
      </w:pPr>
      <w:r>
        <w:rPr>
          <w:rFonts w:ascii="宋体" w:hAnsi="宋体" w:cs="宋体" w:eastAsia="宋体" w:hint="default"/>
          <w:spacing w:val="6"/>
          <w:sz w:val="24"/>
          <w:szCs w:val="24"/>
        </w:rPr>
        <w:t>和维护必要的内部控制，以使财务报表不存在由于舞弊或错误导致的重大错报。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237" w:lineRule="auto" w:before="84"/>
        <w:ind w:right="227" w:firstLine="496"/>
        <w:jc w:val="both"/>
      </w:pPr>
      <w:r>
        <w:rPr>
          <w:spacing w:val="4"/>
        </w:rPr>
        <w:t>我们的责任是在执行审计工作的基础上对财务报表发表审计意见。我们按照中</w:t>
      </w:r>
      <w:r>
        <w:rPr/>
        <w:t> </w:t>
      </w:r>
      <w:r>
        <w:rPr>
          <w:spacing w:val="4"/>
        </w:rPr>
        <w:t>国注册会计师审计准则的规定执行了审计工作。中国注册会计师审计准则要求我们</w:t>
      </w:r>
      <w:r>
        <w:rPr>
          <w:spacing w:val="-112"/>
        </w:rPr>
        <w:t> </w:t>
      </w:r>
      <w:r>
        <w:rPr>
          <w:spacing w:val="-112"/>
        </w:rPr>
      </w:r>
      <w:r>
        <w:rPr>
          <w:spacing w:val="4"/>
        </w:rPr>
        <w:t>遵守中国注册会计师职业道德守则，计划和执行审计工作以对财务报表是否不存在</w:t>
      </w:r>
      <w:r>
        <w:rPr>
          <w:spacing w:val="-111"/>
        </w:rPr>
        <w:t> </w:t>
      </w:r>
      <w:r>
        <w:rPr>
          <w:spacing w:val="-111"/>
        </w:rPr>
      </w:r>
      <w:r>
        <w:rPr>
          <w:spacing w:val="6"/>
        </w:rPr>
        <w:t>重大错报获取合理保证。</w:t>
      </w:r>
    </w:p>
    <w:p>
      <w:pPr>
        <w:pStyle w:val="BodyText"/>
        <w:spacing w:line="237" w:lineRule="auto" w:before="118"/>
        <w:ind w:right="223" w:firstLine="496"/>
        <w:jc w:val="both"/>
      </w:pPr>
      <w:r>
        <w:rPr>
          <w:spacing w:val="4"/>
        </w:rPr>
        <w:t>审计工作涉及实施审计程序，以获取有关财务报表金额和披露的审计证据。选</w:t>
      </w:r>
      <w:r>
        <w:rPr/>
        <w:t> </w:t>
      </w:r>
      <w:r>
        <w:rPr>
          <w:spacing w:val="4"/>
        </w:rPr>
        <w:t>择的审计程序取决于注册会计师的判断，包括对由于舞弊或错误导致的财务报表重</w:t>
      </w:r>
      <w:r>
        <w:rPr>
          <w:spacing w:val="-111"/>
        </w:rPr>
        <w:t> </w:t>
      </w:r>
      <w:r>
        <w:rPr>
          <w:spacing w:val="-111"/>
        </w:rPr>
      </w:r>
      <w:r>
        <w:rPr>
          <w:spacing w:val="4"/>
        </w:rPr>
        <w:t>大错报风险的评估。在进行风险评估时，注册会计师考虑与财务报表编制和公允列</w:t>
      </w:r>
      <w:r>
        <w:rPr>
          <w:spacing w:val="-107"/>
        </w:rPr>
        <w:t> </w:t>
      </w:r>
      <w:r>
        <w:rPr>
          <w:spacing w:val="-107"/>
        </w:rPr>
      </w:r>
      <w:r>
        <w:rPr>
          <w:spacing w:val="4"/>
        </w:rPr>
        <w:t>报相关的内部控制，以设计恰当的审计程序。审计工作还包括评价管理层选用会计</w:t>
      </w:r>
      <w:r>
        <w:rPr>
          <w:spacing w:val="-111"/>
        </w:rPr>
        <w:t> </w:t>
      </w:r>
      <w:r>
        <w:rPr>
          <w:spacing w:val="-111"/>
        </w:rPr>
      </w:r>
      <w:r>
        <w:rPr>
          <w:spacing w:val="6"/>
        </w:rPr>
        <w:t>政策的恰当性和作出会计估计的合理性，以及评价财务报表的总体列报。</w:t>
      </w:r>
    </w:p>
    <w:p>
      <w:pPr>
        <w:pStyle w:val="BodyText"/>
        <w:spacing w:line="276" w:lineRule="auto" w:before="118"/>
        <w:ind w:left="619" w:right="215" w:firstLine="14"/>
        <w:jc w:val="left"/>
        <w:rPr>
          <w:rFonts w:ascii="宋体" w:hAnsi="宋体" w:cs="宋体" w:eastAsia="宋体" w:hint="default"/>
        </w:rPr>
      </w:pPr>
      <w:r>
        <w:rPr>
          <w:spacing w:val="-3"/>
        </w:rPr>
        <w:t>我们相信，我们获取的审计证据是充分、适当的，为发表审计意见提供了基础。</w:t>
      </w:r>
      <w:r>
        <w:rPr/>
        <w:t> </w:t>
      </w:r>
      <w:r>
        <w:rPr>
          <w:rFonts w:ascii="宋体" w:hAnsi="宋体" w:cs="宋体" w:eastAsia="宋体" w:hint="default"/>
          <w:b/>
          <w:bCs/>
        </w:rPr>
        <w:t>三、审计意见</w:t>
      </w:r>
      <w:r>
        <w:rPr>
          <w:rFonts w:ascii="宋体" w:hAnsi="宋体" w:cs="宋体" w:eastAsia="宋体" w:hint="default"/>
        </w:rPr>
      </w:r>
    </w:p>
    <w:p>
      <w:pPr>
        <w:pStyle w:val="BodyText"/>
        <w:spacing w:line="237" w:lineRule="auto" w:before="85"/>
        <w:ind w:right="211" w:firstLine="496"/>
        <w:jc w:val="both"/>
      </w:pPr>
      <w:r>
        <w:rPr>
          <w:spacing w:val="4"/>
        </w:rPr>
        <w:t>我们认为，华胜天成公司财务报表在所有重大方面按照企业会计准则的规定编</w:t>
      </w:r>
      <w:r>
        <w:rPr/>
        <w:t> </w:t>
      </w:r>
      <w:r>
        <w:rPr>
          <w:spacing w:val="4"/>
        </w:rPr>
        <w:t>制，公允反映了华胜天成公司</w:t>
      </w:r>
      <w:r>
        <w:rPr>
          <w:spacing w:val="-42"/>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4"/>
        </w:rPr>
        <w:t> </w:t>
      </w:r>
      <w:r>
        <w:rPr/>
        <w:t>月</w:t>
      </w:r>
      <w:r>
        <w:rPr>
          <w:spacing w:val="-45"/>
        </w:rPr>
        <w:t> </w:t>
      </w:r>
      <w:r>
        <w:rPr>
          <w:rFonts w:ascii="宋体" w:hAnsi="宋体" w:cs="宋体" w:eastAsia="宋体" w:hint="default"/>
        </w:rPr>
        <w:t>31</w:t>
      </w:r>
      <w:r>
        <w:rPr>
          <w:rFonts w:ascii="宋体" w:hAnsi="宋体" w:cs="宋体" w:eastAsia="宋体" w:hint="default"/>
          <w:spacing w:val="-50"/>
        </w:rPr>
        <w:t> </w:t>
      </w:r>
      <w:r>
        <w:rPr>
          <w:spacing w:val="6"/>
        </w:rPr>
        <w:t>日的合并及公司财务状况以及</w:t>
      </w:r>
      <w:r>
        <w:rPr>
          <w:spacing w:val="-42"/>
        </w:rPr>
        <w:t> </w:t>
      </w:r>
      <w:r>
        <w:rPr>
          <w:rFonts w:ascii="宋体" w:hAnsi="宋体" w:cs="宋体" w:eastAsia="宋体" w:hint="default"/>
          <w:spacing w:val="2"/>
        </w:rPr>
        <w:t>2015 </w:t>
      </w:r>
      <w:r>
        <w:rPr>
          <w:spacing w:val="6"/>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86" w:type="dxa"/>
        <w:tblLayout w:type="fixed"/>
        <w:tblCellMar>
          <w:top w:w="0" w:type="dxa"/>
          <w:left w:w="0" w:type="dxa"/>
          <w:bottom w:w="0" w:type="dxa"/>
          <w:right w:w="0" w:type="dxa"/>
        </w:tblCellMar>
        <w:tblLook w:val="01E0"/>
      </w:tblPr>
      <w:tblGrid>
        <w:gridCol w:w="2922"/>
        <w:gridCol w:w="3587"/>
      </w:tblGrid>
      <w:tr>
        <w:trPr>
          <w:trHeight w:val="1084"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exact"/>
              <w:ind w:left="746" w:right="0"/>
              <w:jc w:val="left"/>
              <w:rPr>
                <w:rFonts w:ascii="宋体" w:hAnsi="宋体" w:cs="宋体" w:eastAsia="宋体" w:hint="default"/>
                <w:sz w:val="24"/>
                <w:szCs w:val="24"/>
              </w:rPr>
            </w:pPr>
            <w:r>
              <w:rPr>
                <w:rFonts w:ascii="宋体" w:hAnsi="宋体" w:cs="宋体" w:eastAsia="宋体" w:hint="default"/>
                <w:sz w:val="24"/>
                <w:szCs w:val="24"/>
              </w:rPr>
              <w:t>中国注册会计师：郑建彪</w:t>
            </w:r>
          </w:p>
          <w:p>
            <w:pPr>
              <w:pStyle w:val="TableParagraph"/>
              <w:spacing w:line="240" w:lineRule="auto" w:before="7"/>
              <w:ind w:right="0"/>
              <w:jc w:val="left"/>
              <w:rPr>
                <w:rFonts w:ascii="宋体" w:hAnsi="宋体" w:cs="宋体" w:eastAsia="宋体" w:hint="default"/>
                <w:sz w:val="23"/>
                <w:szCs w:val="23"/>
              </w:rPr>
            </w:pPr>
          </w:p>
          <w:p>
            <w:pPr>
              <w:pStyle w:val="TableParagraph"/>
              <w:tabs>
                <w:tab w:pos="3146" w:val="left" w:leader="none"/>
              </w:tabs>
              <w:spacing w:line="240" w:lineRule="auto"/>
              <w:ind w:left="746" w:right="0"/>
              <w:jc w:val="left"/>
              <w:rPr>
                <w:rFonts w:ascii="宋体" w:hAnsi="宋体" w:cs="宋体" w:eastAsia="宋体" w:hint="default"/>
                <w:sz w:val="24"/>
                <w:szCs w:val="24"/>
              </w:rPr>
            </w:pPr>
            <w:r>
              <w:rPr>
                <w:rFonts w:ascii="宋体" w:hAnsi="宋体" w:cs="宋体" w:eastAsia="宋体" w:hint="default"/>
                <w:sz w:val="24"/>
                <w:szCs w:val="24"/>
              </w:rPr>
              <w:t>中国注册会计师：王</w:t>
              <w:tab/>
              <w:t>娟</w:t>
            </w:r>
          </w:p>
        </w:tc>
      </w:tr>
      <w:tr>
        <w:trPr>
          <w:trHeight w:val="462"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746" w:right="0"/>
              <w:jc w:val="left"/>
              <w:rPr>
                <w:rFonts w:ascii="宋体" w:hAnsi="宋体" w:cs="宋体" w:eastAsia="宋体" w:hint="default"/>
                <w:sz w:val="24"/>
                <w:szCs w:val="24"/>
              </w:rPr>
            </w:pPr>
            <w:r>
              <w:rPr>
                <w:rFonts w:ascii="宋体" w:hAnsi="宋体" w:cs="宋体" w:eastAsia="宋体" w:hint="default"/>
                <w:sz w:val="24"/>
                <w:szCs w:val="24"/>
              </w:rPr>
              <w:t>二Ｏ一六年四月六日</w:t>
            </w:r>
          </w:p>
        </w:tc>
      </w:tr>
    </w:tbl>
    <w:p>
      <w:pPr>
        <w:spacing w:after="0" w:line="240" w:lineRule="auto"/>
        <w:jc w:val="left"/>
        <w:rPr>
          <w:rFonts w:ascii="宋体" w:hAnsi="宋体" w:cs="宋体" w:eastAsia="宋体" w:hint="default"/>
          <w:sz w:val="24"/>
          <w:szCs w:val="24"/>
        </w:rPr>
        <w:sectPr>
          <w:type w:val="continuous"/>
          <w:pgSz w:w="11910" w:h="16840"/>
          <w:pgMar w:top="1120" w:bottom="1380" w:left="114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34"/>
          <w:pgSz w:w="11910" w:h="16840"/>
          <w:pgMar w:footer="1195" w:header="882" w:top="1120" w:bottom="1380" w:left="1060" w:right="1560"/>
        </w:sectPr>
      </w:pPr>
    </w:p>
    <w:p>
      <w:pPr>
        <w:pStyle w:val="Heading2"/>
        <w:tabs>
          <w:tab w:pos="1057" w:val="left" w:leader="none"/>
        </w:tabs>
        <w:spacing w:line="240" w:lineRule="auto"/>
        <w:ind w:right="-20"/>
        <w:jc w:val="left"/>
        <w:rPr>
          <w:b w:val="0"/>
          <w:bCs w:val="0"/>
        </w:rPr>
      </w:pPr>
      <w:r>
        <w:rPr/>
        <w:t>二、</w:t>
        <w:tab/>
        <w:t>财务报表</w:t>
      </w:r>
      <w:r>
        <w:rPr>
          <w:b w:val="0"/>
          <w:bCs w:val="0"/>
        </w:rPr>
      </w:r>
    </w:p>
    <w:p>
      <w:pPr>
        <w:spacing w:line="240" w:lineRule="auto" w:before="7"/>
        <w:rPr>
          <w:rFonts w:ascii="宋体" w:hAnsi="宋体" w:cs="宋体" w:eastAsia="宋体" w:hint="default"/>
          <w:b/>
          <w:bCs/>
          <w:sz w:val="32"/>
          <w:szCs w:val="32"/>
        </w:rPr>
      </w:pPr>
      <w:r>
        <w:rPr/>
        <w:br w:type="column"/>
      </w:r>
      <w:r>
        <w:rPr>
          <w:rFonts w:ascii="宋体"/>
          <w:b/>
          <w:sz w:val="32"/>
        </w:rPr>
      </w:r>
    </w:p>
    <w:p>
      <w:pPr>
        <w:spacing w:line="312" w:lineRule="exact" w:before="0"/>
        <w:ind w:left="217" w:right="3644"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2" w:lineRule="exact"/>
        <w:jc w:val="left"/>
        <w:rPr>
          <w:rFonts w:ascii="宋体" w:hAnsi="宋体" w:cs="宋体" w:eastAsia="宋体" w:hint="default"/>
          <w:sz w:val="24"/>
          <w:szCs w:val="24"/>
        </w:rPr>
        <w:sectPr>
          <w:type w:val="continuous"/>
          <w:pgSz w:w="11910" w:h="16840"/>
          <w:pgMar w:top="1120" w:bottom="1380" w:left="1060" w:right="1560"/>
          <w:cols w:num="2" w:equalWidth="0">
            <w:col w:w="2022" w:space="1403"/>
            <w:col w:w="5865"/>
          </w:cols>
        </w:sectPr>
      </w:pPr>
    </w:p>
    <w:p>
      <w:pPr>
        <w:pStyle w:val="BodyText"/>
        <w:spacing w:line="281" w:lineRule="exact"/>
        <w:ind w:left="217" w:right="2569"/>
        <w:jc w:val="left"/>
      </w:pPr>
      <w:r>
        <w:rPr/>
        <w:t>编制单位</w:t>
      </w:r>
      <w:r>
        <w:rPr>
          <w:rFonts w:ascii="宋体" w:hAnsi="宋体" w:cs="宋体" w:eastAsia="宋体" w:hint="default"/>
        </w:rPr>
        <w:t>:</w:t>
      </w:r>
      <w:r>
        <w:rPr>
          <w:rFonts w:ascii="宋体" w:hAnsi="宋体" w:cs="宋体" w:eastAsia="宋体" w:hint="default"/>
          <w:spacing w:val="-1"/>
        </w:rPr>
        <w:t> </w:t>
      </w:r>
      <w:r>
        <w:rPr/>
        <w:t>北京华胜天成科技股份有限公司</w:t>
      </w:r>
    </w:p>
    <w:p>
      <w:pPr>
        <w:pStyle w:val="BodyText"/>
        <w:tabs>
          <w:tab w:pos="1079" w:val="left" w:leader="none"/>
        </w:tabs>
        <w:spacing w:line="312" w:lineRule="exact"/>
        <w:ind w:left="0" w:right="23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1,540,956,775.37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1,738,745,309.13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73,377,351.89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57,684,318.55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1,878,579,269.85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1,649,312,260.82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258,277,887.18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200,920,288.86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245,815,416.11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77,448,648.94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645,245,312.48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675,967,145.90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93,885,070.44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301,150,743.41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68,389,122.00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71,319,046.23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4,804,526,205.32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4,772,547,761.84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125,924,675.00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43,625,231.05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585,903,776.55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227,673,696.14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63,845,660.81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38,667,031.36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41,058,305.60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579,599,070.58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201,671,558.28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2,919,980.00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213,051,760.55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431,048,714.23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278,924,311.08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199,783,882.85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61,118,673.08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211,112,085.14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205,156,811.34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3,770,040.06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4,616,879.92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54,780,754.22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35,302,223.16</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54,202,310.00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77,520,850.83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1,973,107,470.63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1,835,570,811.20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6,777,633,675.95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6,608,118,573.04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595,418,659.52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511,316,420.55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288,286,907.47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94,158,175.20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1,122,338,462.53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892,243,384.41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517,665,459.29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384,086,573.53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89,117,115.68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72,203,138.88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122,783,531.34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109,538,109.46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41,760,000.00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46,693,055.62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3,225.70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12,945.97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117,536,370.34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146,829,311.62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39,960,000.00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265,487,180.65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2,934,869,731.87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2,522,568,295.89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445,984,217.28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895,899,016.22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894,302,344.25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10,038,438.45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3,350,412.86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91,040,177.78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74,257,745.28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8,817,098.28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9,106,800.26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1,005,794,730.73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1,427,001,519.93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3,940,664,462.60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3,949,569,815.82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641,725,496.00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641,323,885.00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5"/>
          <w:pgSz w:w="11910" w:h="16840"/>
          <w:pgMar w:footer="1195" w:header="882" w:top="1120" w:bottom="1380" w:left="1060" w:right="1560"/>
          <w:pgNumType w:start="71"/>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683,039,475.32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640,637,100.56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67,829,440.00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28,932,781.95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-26,144,065.77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-51,603,784.39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182,942,279.11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176,199,430.83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943,514,815.02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937,991,781.97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2,357,248,559.68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2,315,615,632.02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479,720,653.67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342,933,125.20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2,836,969,213.35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2,658,548,757.22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6,777,633,675.95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6,608,118,573.04</w:t>
            </w:r>
          </w:p>
        </w:tc>
      </w:tr>
    </w:tbl>
    <w:p>
      <w:pPr>
        <w:spacing w:line="240" w:lineRule="auto" w:before="5"/>
        <w:rPr>
          <w:rFonts w:ascii="Times New Roman" w:hAnsi="Times New Roman" w:cs="Times New Roman" w:eastAsia="Times New Roman" w:hint="default"/>
          <w:sz w:val="21"/>
          <w:szCs w:val="21"/>
        </w:rPr>
      </w:pPr>
    </w:p>
    <w:p>
      <w:pPr>
        <w:pStyle w:val="BodyText"/>
        <w:spacing w:line="240" w:lineRule="auto" w:before="26"/>
        <w:ind w:left="217" w:right="221"/>
        <w:jc w:val="left"/>
      </w:pPr>
      <w:r>
        <w:rPr/>
        <w:t>法定代表人：王维航主管会计工作负责人：任学英会计机构负责人：李晖</w:t>
      </w:r>
    </w:p>
    <w:p>
      <w:pPr>
        <w:spacing w:after="0" w:line="240" w:lineRule="auto"/>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spacing w:line="310" w:lineRule="exact" w:before="58"/>
        <w:ind w:left="3642" w:right="-19"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BodyText"/>
        <w:spacing w:line="284" w:lineRule="exact"/>
        <w:ind w:left="217" w:right="-19"/>
        <w:jc w:val="left"/>
      </w:pPr>
      <w:r>
        <w:rPr/>
        <w:t>编制单位</w:t>
      </w:r>
      <w:r>
        <w:rPr>
          <w:rFonts w:ascii="宋体" w:hAnsi="宋体" w:cs="宋体" w:eastAsia="宋体" w:hint="default"/>
        </w:rPr>
        <w:t>:</w:t>
      </w:r>
      <w:r>
        <w:rPr/>
        <w:t>北京华胜天成科技股份有限公司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tabs>
          <w:tab w:pos="1297" w:val="left" w:leader="none"/>
        </w:tabs>
        <w:spacing w:line="240" w:lineRule="auto"/>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560"/>
          <w:cols w:num="2" w:equalWidth="0">
            <w:col w:w="5624" w:space="809"/>
            <w:col w:w="2857"/>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63"/>
        <w:gridCol w:w="1128"/>
        <w:gridCol w:w="2021"/>
        <w:gridCol w:w="2237"/>
      </w:tblGrid>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780,639,925.15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977,141,500.31</w:t>
            </w:r>
          </w:p>
        </w:tc>
      </w:tr>
      <w:tr>
        <w:trPr>
          <w:trHeight w:val="55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23,708,417.55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38,746,795.02</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1,390,646,676.59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833,289,517.99</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216,594,219.52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246,128,336.71</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1,010,363,527.38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208,169,499.16</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403,927,570.69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358,955,154.06</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19,426.49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50,003,735.15</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3,875,899,763.37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2,712,434,538.40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934,915,285.24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801,037,279.72</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27,334,507.20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27,971,675.20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483,950,121.33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119,095,756.38</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2,919,980.00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213,051,760.55</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377,537,256.62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230,530,004.97</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96,123,814.22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47,598,083.06</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206,833.47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352,833.51</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36,957,295.99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20,617,667.14</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110,343,285.45</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1,977,945,094.07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1,570,598,345.98</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5,853,844,857.44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4,283,032,884.38</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380,000,000.00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345,000,000.00</w:t>
            </w:r>
          </w:p>
        </w:tc>
      </w:tr>
      <w:tr>
        <w:trPr>
          <w:trHeight w:val="56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663"/>
        <w:gridCol w:w="1128"/>
        <w:gridCol w:w="2021"/>
        <w:gridCol w:w="2237"/>
      </w:tblGrid>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281,830,185.47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91,999,128.88</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996,404,109.86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552,508,447.65</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382,513,391.09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225,637,301.50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20,175,054.55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20,253,962.87</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103,061,284.47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80,409,092.93</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41,760,000.00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41,757,390.00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770,713,688.43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59,729,168.33</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39,960,000.00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3,016,417,713.87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1,457,294,492.16</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39,480,000.00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895,899,016.22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894,302,344.25</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91,039,674.40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71,869,622.65</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986,938,690.62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1,005,651,966.90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4,003,356,404.49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2,462,946,459.06</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641,725,496.00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641,323,885.00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677,961,382.53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636,971,169.92</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67,829,440.00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28,932,781.95</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182,942,279.11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176,199,430.83</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415,688,735.31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394,524,721.52</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1,850,488,452.95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1,820,086,425.32</w:t>
            </w:r>
          </w:p>
        </w:tc>
      </w:tr>
      <w:tr>
        <w:trPr>
          <w:trHeight w:val="28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5,853,844,857.44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4,283,032,884.38</w:t>
            </w:r>
          </w:p>
        </w:tc>
      </w:tr>
    </w:tbl>
    <w:p>
      <w:pPr>
        <w:spacing w:line="240" w:lineRule="auto" w:before="8"/>
        <w:rPr>
          <w:rFonts w:ascii="宋体" w:hAnsi="宋体" w:cs="宋体" w:eastAsia="宋体" w:hint="default"/>
          <w:sz w:val="18"/>
          <w:szCs w:val="18"/>
        </w:rPr>
      </w:pPr>
    </w:p>
    <w:p>
      <w:pPr>
        <w:pStyle w:val="BodyText"/>
        <w:spacing w:line="240" w:lineRule="auto" w:before="26"/>
        <w:ind w:left="217" w:right="221"/>
        <w:jc w:val="left"/>
      </w:pPr>
      <w:r>
        <w:rPr/>
        <w:t>法定代表人：王维航主管会计工作负责人：任学英会计机构负责人：李晖</w:t>
      </w:r>
    </w:p>
    <w:p>
      <w:pPr>
        <w:spacing w:after="0" w:line="240" w:lineRule="auto"/>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spacing w:line="310" w:lineRule="exact" w:before="58"/>
        <w:ind w:left="3762" w:right="-2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560"/>
          <w:cols w:num="2" w:equalWidth="0">
            <w:col w:w="5503" w:space="40"/>
            <w:col w:w="374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127"/>
        <w:gridCol w:w="967"/>
        <w:gridCol w:w="1973"/>
        <w:gridCol w:w="1983"/>
      </w:tblGrid>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4,792,983,046.38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4,278,544,505.57</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4,792,983,046.38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4,278,544,505.57</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4,771,616,065.00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4,224,410,904.29</w:t>
            </w:r>
          </w:p>
        </w:tc>
      </w:tr>
      <w:tr>
        <w:trPr>
          <w:trHeight w:val="28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3,977,442,409.30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3,475,786,730.14</w:t>
            </w: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19,113,538.62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18,571,136.19</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357,416,373.20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378,579,185.90</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300,578,790.06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257,756,262.81</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71,755,993.33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70,582,040.47</w:t>
            </w: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45,308,960.49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23,135,548.78</w:t>
            </w:r>
          </w:p>
        </w:tc>
      </w:tr>
      <w:tr>
        <w:trPr>
          <w:trHeight w:val="55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51,121,589.48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39,855,871.90</w:t>
            </w:r>
          </w:p>
        </w:tc>
      </w:tr>
      <w:tr>
        <w:trPr>
          <w:trHeight w:val="55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-7,336,733.00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-17,535,094.58</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72,488,570.86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93,989,473.18</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41,205,675.28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26,062,587.07</w:t>
            </w: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215,608.92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1,167,400.57</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8,409,222.60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3,925,245.79</w:t>
            </w:r>
          </w:p>
        </w:tc>
      </w:tr>
      <w:tr>
        <w:trPr>
          <w:trHeight w:val="28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734,377.18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318,124.14</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105,285,023.54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116,126,814.46</w:t>
            </w: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-1,026,618.42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10,658,479.17</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106,311,641.96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105,468,335.29</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51,770,171.12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95,133,561.09</w:t>
            </w: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54,541,470.84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10,334,774.20</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32,628,547.56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-75,019.76</w:t>
            </w:r>
          </w:p>
        </w:tc>
      </w:tr>
      <w:tr>
        <w:trPr>
          <w:trHeight w:val="55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25,459,718.62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242,405.51</w:t>
            </w:r>
          </w:p>
        </w:tc>
      </w:tr>
      <w:tr>
        <w:trPr>
          <w:trHeight w:val="562"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127"/>
        <w:gridCol w:w="967"/>
        <w:gridCol w:w="1973"/>
        <w:gridCol w:w="1983"/>
      </w:tblGrid>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25,459,718.62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242,405.51</w:t>
            </w:r>
          </w:p>
        </w:tc>
      </w:tr>
      <w:tr>
        <w:trPr>
          <w:trHeight w:val="55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41,170.10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-107,067.63</w:t>
            </w:r>
          </w:p>
        </w:tc>
      </w:tr>
      <w:tr>
        <w:trPr>
          <w:trHeight w:val="559"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现金流量套期损益的有效部分</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25,418,548.52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349,473.14</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7,168,828.94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-317,425.27</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138,940,189.52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105,393,315.53</w:t>
            </w:r>
          </w:p>
        </w:tc>
      </w:tr>
      <w:tr>
        <w:trPr>
          <w:trHeight w:val="286"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77,229,889.74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95,375,966.60</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61,710,299.78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10,017,348.93</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0.1492</w:t>
            </w:r>
          </w:p>
        </w:tc>
      </w:tr>
      <w:tr>
        <w:trPr>
          <w:trHeight w:val="288"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7"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0.1492</w:t>
            </w:r>
          </w:p>
        </w:tc>
      </w:tr>
    </w:tbl>
    <w:p>
      <w:pPr>
        <w:spacing w:line="240" w:lineRule="auto" w:before="9"/>
        <w:rPr>
          <w:rFonts w:ascii="宋体" w:hAnsi="宋体" w:cs="宋体" w:eastAsia="宋体" w:hint="default"/>
          <w:sz w:val="15"/>
          <w:szCs w:val="15"/>
        </w:rPr>
      </w:pPr>
    </w:p>
    <w:p>
      <w:pPr>
        <w:pStyle w:val="BodyText"/>
        <w:tabs>
          <w:tab w:pos="4112" w:val="left" w:leader="none"/>
          <w:tab w:pos="8385" w:val="left" w:leader="none"/>
        </w:tabs>
        <w:spacing w:line="237" w:lineRule="auto" w:before="28"/>
        <w:ind w:left="217" w:right="235"/>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r>
        <w:rPr>
          <w:rFonts w:ascii="宋体" w:hAnsi="宋体" w:cs="宋体" w:eastAsia="宋体" w:hint="default"/>
        </w:rPr>
        <w:t>,</w:t>
      </w:r>
      <w:r>
        <w:rPr/>
        <w:t>上 期被合并方实现的净利润为：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法定代表人：王维航主管会计工作负责人：任学英会计机构负责人：李晖</w:t>
      </w:r>
    </w:p>
    <w:p>
      <w:pPr>
        <w:spacing w:after="0" w:line="237" w:lineRule="auto"/>
        <w:jc w:val="left"/>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spacing w:line="312" w:lineRule="exact" w:before="56"/>
        <w:ind w:left="3762" w:right="-20" w:firstLine="148"/>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560"/>
          <w:cols w:num="2" w:equalWidth="0">
            <w:col w:w="5503" w:space="40"/>
            <w:col w:w="374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13"/>
        <w:gridCol w:w="881"/>
        <w:gridCol w:w="1973"/>
        <w:gridCol w:w="1983"/>
      </w:tblGrid>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2,937,936,276.89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2,375,693,729.94</w:t>
            </w:r>
          </w:p>
        </w:tc>
      </w:tr>
      <w:tr>
        <w:trPr>
          <w:trHeight w:val="286"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2,468,092,122.20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1,919,916,893.34</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13,507,536.25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12,548,340.35</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206,500,549.03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236,797,583.48</w:t>
            </w:r>
          </w:p>
        </w:tc>
      </w:tr>
      <w:tr>
        <w:trPr>
          <w:trHeight w:val="286"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115,081,777.92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83,436,958.69</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64,985,166.75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62,885,482.37</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45,924,592.81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16,485,765.43</w:t>
            </w:r>
          </w:p>
        </w:tc>
      </w:tr>
      <w:tr>
        <w:trPr>
          <w:trHeight w:val="560"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14,871,650.52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40,891,643.55</w:t>
            </w:r>
          </w:p>
        </w:tc>
      </w:tr>
      <w:tr>
        <w:trPr>
          <w:trHeight w:val="559"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38,716,182.45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84,514,349.83</w:t>
            </w:r>
          </w:p>
        </w:tc>
      </w:tr>
      <w:tr>
        <w:trPr>
          <w:trHeight w:val="286"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22,635,138.35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3,370,247.31</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155,926.04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110,026.41</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166,442.76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850,752.53</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165,959.71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151,302.26</w:t>
            </w:r>
          </w:p>
        </w:tc>
      </w:tr>
      <w:tr>
        <w:trPr>
          <w:trHeight w:val="286"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61,184,878.04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87,033,844.61</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-6,243,604.76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5,601,059.69</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67,428,482.80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81,432,784.92</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产的变动</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融资产损益</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67,428,482.80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81,432,784.92</w:t>
            </w: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81"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4" w:lineRule="exact"/>
        <w:ind w:left="217" w:right="221"/>
        <w:jc w:val="left"/>
      </w:pPr>
      <w:r>
        <w:rPr/>
        <w:t>法定代表人：王维航主管会计工作负责人：任学英会计机构负责人：李晖</w:t>
      </w:r>
    </w:p>
    <w:p>
      <w:pPr>
        <w:spacing w:line="240" w:lineRule="auto" w:before="7"/>
        <w:rPr>
          <w:rFonts w:ascii="宋体" w:hAnsi="宋体" w:cs="宋体" w:eastAsia="宋体" w:hint="default"/>
          <w:sz w:val="23"/>
          <w:szCs w:val="23"/>
        </w:rPr>
      </w:pPr>
    </w:p>
    <w:p>
      <w:pPr>
        <w:pStyle w:val="Heading2"/>
        <w:spacing w:line="240" w:lineRule="auto" w:before="0"/>
        <w:ind w:left="0" w:right="19"/>
        <w:jc w:val="center"/>
        <w:rPr>
          <w:b w:val="0"/>
          <w:bCs w:val="0"/>
        </w:rPr>
      </w:pPr>
      <w:r>
        <w:rPr/>
        <w:t>合并现金流量表</w:t>
      </w:r>
      <w:r>
        <w:rPr>
          <w:b w:val="0"/>
          <w:bCs w:val="0"/>
        </w:rPr>
      </w:r>
    </w:p>
    <w:p>
      <w:pPr>
        <w:spacing w:after="0" w:line="240" w:lineRule="auto"/>
        <w:jc w:val="center"/>
        <w:sectPr>
          <w:type w:val="continuous"/>
          <w:pgSz w:w="11910" w:h="16840"/>
          <w:pgMar w:top="1120" w:bottom="1380" w:left="1060" w:right="1560"/>
        </w:sectPr>
      </w:pPr>
    </w:p>
    <w:p>
      <w:pPr>
        <w:spacing w:line="240" w:lineRule="auto" w:before="13"/>
        <w:rPr>
          <w:rFonts w:ascii="宋体" w:hAnsi="宋体" w:cs="宋体" w:eastAsia="宋体" w:hint="default"/>
          <w:b/>
          <w:bCs/>
          <w:sz w:val="18"/>
          <w:szCs w:val="18"/>
        </w:rPr>
      </w:pPr>
    </w:p>
    <w:p>
      <w:pPr>
        <w:pStyle w:val="BodyText"/>
        <w:spacing w:line="313" w:lineRule="exact" w:before="26"/>
        <w:ind w:left="0" w:right="19"/>
        <w:jc w:val="center"/>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60"/>
        </w:rPr>
        <w:t> </w:t>
      </w:r>
      <w:r>
        <w:rPr/>
        <w:t>月</w:t>
      </w:r>
    </w:p>
    <w:p>
      <w:pPr>
        <w:pStyle w:val="BodyText"/>
        <w:tabs>
          <w:tab w:pos="1199" w:val="left" w:leader="none"/>
        </w:tabs>
        <w:spacing w:line="313" w:lineRule="exact"/>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5,915,543,114.04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5,279,713,501.42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5" w:lineRule="exact"/>
              <w:ind w:left="101"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8,611,906.74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15,656,341.41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23,426,029.65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45,917,312.24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5,947,581,050.43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5,341,287,155.07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4,416,861,515.95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3,911,458,162.12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795,793,411.52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788,620,241.05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128,499,359.97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119,295,774.12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274,703,061.41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245,424,961.46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5,615,857,348.85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5,064,799,138.75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331,723,701.58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276,488,016.32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997,848,087.87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1,295,695,330.00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24,391,068.09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22,637,865.34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225,410,392.81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240,050,643.90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33,097,241.74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1,368,281.10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88,866,357.98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89,431,780.07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1,369,613,148.49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1,649,183,900.41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425,830,914.67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666,195,606.00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1,168,102,843.98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1,391,310,000.00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16,059,183.95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22,677,749.42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117,800,000.00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56,671,112.73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1,727,792,942.60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2,136,854,468.15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-358,179,794.11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-487,670,567.74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176,798,167.48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156,897,309.38</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106,591,527.48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156,897,309.38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1,304,491,822.91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1,482,430,744.08</w:t>
            </w:r>
          </w:p>
        </w:tc>
      </w:tr>
      <w:tr>
        <w:trPr>
          <w:trHeight w:val="42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12,141,890.12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1,493,431,880.51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1,639,328,053.46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1,467,725,985.16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854,374,744.60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114,701,378.33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119,058,217.56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2,161,236.36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45,756,829.66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73,642,767.78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1,628,184,193.15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1,047,075,729.94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-134,752,312.64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592,252,323.52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12,531,905.07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366,220.41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-148,676,500.10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381,435,992.51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1,656,283,956.88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1,274,847,964.37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1,507,607,456.78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1,656,283,956.88</w:t>
            </w:r>
          </w:p>
        </w:tc>
      </w:tr>
    </w:tbl>
    <w:p>
      <w:pPr>
        <w:spacing w:line="240" w:lineRule="auto" w:before="8"/>
        <w:rPr>
          <w:rFonts w:ascii="宋体" w:hAnsi="宋体" w:cs="宋体" w:eastAsia="宋体" w:hint="default"/>
          <w:sz w:val="18"/>
          <w:szCs w:val="18"/>
        </w:rPr>
      </w:pPr>
    </w:p>
    <w:p>
      <w:pPr>
        <w:pStyle w:val="BodyText"/>
        <w:spacing w:line="240" w:lineRule="auto" w:before="26"/>
        <w:ind w:left="217" w:right="221"/>
        <w:jc w:val="left"/>
      </w:pPr>
      <w:r>
        <w:rPr/>
        <w:t>法定代表人：王维航主管会计工作负责人：任学英会计机构负责人：李晖</w:t>
      </w:r>
    </w:p>
    <w:p>
      <w:pPr>
        <w:spacing w:after="0" w:line="240" w:lineRule="auto"/>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6"/>
          <w:pgSz w:w="11910" w:h="16840"/>
          <w:pgMar w:footer="1195" w:header="882" w:top="1120" w:bottom="1380" w:left="1060" w:right="1560"/>
        </w:sectPr>
      </w:pPr>
    </w:p>
    <w:p>
      <w:pPr>
        <w:spacing w:line="310" w:lineRule="exact" w:before="58"/>
        <w:ind w:left="3762"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560"/>
          <w:cols w:num="2" w:equalWidth="0">
            <w:col w:w="5596" w:space="40"/>
            <w:col w:w="3654"/>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3,672,382,522.96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3,364,514,672.76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3,559,229.41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1,963,354.24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263,322,384.25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307,528,749.10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3,939,264,136.62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3,674,006,776.10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3,037,026,828.00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2,694,275,298.21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167,417,768.79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177,640,000.71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61,125,343.95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57,168,674.54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390,533,703.81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514,832,393.02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3,656,103,644.55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3,443,916,366.48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283,160,492.07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230,090,409.62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910,000,000.00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10,569,863.01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40,891,643.55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1,457,021.39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825.00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6,052,950.00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88,492,628.32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765,857,892.85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426,572,462.72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1,716,750,361.40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258,741,792.86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328,008,324.42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426,450,000.00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1,115,000,000.00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12,720,000.00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140,415,536.35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442,800,000.00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825,607,329.21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1,898,528,324.42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-399,034,866.49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-181,777,963.02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70,206,640.00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829,500,000.00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383,424,816.08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899,706,640.00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383,424,816.08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834,500,000.00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183,224,816.08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109,071,892.55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112,473,149.52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38,259,008.46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38,673,489.99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981,830,901.01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334,371,455.59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-82,124,261.01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49,053,360.49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2,238,017.01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-195,760,618.42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97,365,807.09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969,540,226.45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872,174,419.36</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sz w:val="21"/>
              </w:rPr>
              <w:t>773,779,608.03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sz w:val="21"/>
              </w:rPr>
              <w:t>969,540,226.45</w:t>
            </w:r>
          </w:p>
        </w:tc>
      </w:tr>
    </w:tbl>
    <w:p>
      <w:pPr>
        <w:pStyle w:val="BodyText"/>
        <w:spacing w:line="274" w:lineRule="exact"/>
        <w:ind w:left="217" w:right="221"/>
        <w:jc w:val="left"/>
      </w:pPr>
      <w:r>
        <w:rPr/>
        <w:t>法定代表人：王维航主管会计工作负责人：任学英会计机构负责人：李晖</w:t>
      </w:r>
    </w:p>
    <w:p>
      <w:pPr>
        <w:spacing w:after="0" w:line="274" w:lineRule="exact"/>
        <w:jc w:val="left"/>
        <w:sectPr>
          <w:footerReference w:type="default" r:id="rId37"/>
          <w:pgSz w:w="11910" w:h="16840"/>
          <w:pgMar w:footer="1195" w:header="882" w:top="1120" w:bottom="1380" w:left="106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8"/>
          <w:footerReference w:type="default" r:id="rId39"/>
          <w:pgSz w:w="16840" w:h="11910" w:orient="landscape"/>
          <w:pgMar w:header="882" w:footer="1195" w:top="1120" w:bottom="1380" w:left="1260" w:right="820"/>
          <w:pgNumType w:start="82"/>
        </w:sectPr>
      </w:pPr>
    </w:p>
    <w:p>
      <w:pPr>
        <w:spacing w:line="312" w:lineRule="exact" w:before="190"/>
        <w:ind w:left="6315" w:right="0" w:hanging="334"/>
        <w:jc w:val="left"/>
        <w:rPr>
          <w:rFonts w:ascii="宋体" w:hAnsi="宋体" w:cs="宋体" w:eastAsia="宋体" w:hint="default"/>
          <w:sz w:val="24"/>
          <w:szCs w:val="24"/>
        </w:rPr>
      </w:pPr>
      <w:r>
        <w:rPr>
          <w:rFonts w:ascii="宋体" w:hAnsi="宋体" w:cs="宋体" w:eastAsia="宋体" w:hint="default"/>
          <w:b/>
          <w:bCs/>
          <w:w w:val="95"/>
          <w:sz w:val="24"/>
          <w:szCs w:val="24"/>
        </w:rPr>
        <w:t>合并所有者权益变动表</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35"/>
          <w:szCs w:val="35"/>
        </w:rPr>
      </w:pPr>
    </w:p>
    <w:p>
      <w:pPr>
        <w:pStyle w:val="BodyText"/>
        <w:tabs>
          <w:tab w:pos="4387" w:val="left" w:leader="none"/>
        </w:tabs>
        <w:spacing w:line="240" w:lineRule="auto"/>
        <w:ind w:left="33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820"/>
          <w:cols w:num="2" w:equalWidth="0">
            <w:col w:w="8391" w:space="40"/>
            <w:col w:w="6329"/>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57"/>
        <w:gridCol w:w="1277"/>
        <w:gridCol w:w="425"/>
        <w:gridCol w:w="425"/>
        <w:gridCol w:w="425"/>
        <w:gridCol w:w="1277"/>
        <w:gridCol w:w="1275"/>
        <w:gridCol w:w="1277"/>
        <w:gridCol w:w="566"/>
        <w:gridCol w:w="1277"/>
        <w:gridCol w:w="567"/>
        <w:gridCol w:w="1284"/>
        <w:gridCol w:w="1267"/>
        <w:gridCol w:w="1419"/>
      </w:tblGrid>
      <w:tr>
        <w:trPr>
          <w:trHeight w:val="252" w:hRule="exact"/>
        </w:trPr>
        <w:tc>
          <w:tcPr>
            <w:tcW w:w="1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6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24"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50" w:hRule="exact"/>
        </w:trPr>
        <w:tc>
          <w:tcPr>
            <w:tcW w:w="1757" w:type="dxa"/>
            <w:vMerge/>
            <w:tcBorders>
              <w:left w:val="single" w:sz="4" w:space="0" w:color="000000"/>
              <w:right w:val="single" w:sz="4" w:space="0" w:color="000000"/>
            </w:tcBorders>
          </w:tcPr>
          <w:p>
            <w:pPr/>
          </w:p>
        </w:tc>
        <w:tc>
          <w:tcPr>
            <w:tcW w:w="1007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17"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62" w:hRule="exact"/>
        </w:trPr>
        <w:tc>
          <w:tcPr>
            <w:tcW w:w="1757"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92" w:lineRule="auto"/>
              <w:ind w:left="127"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730" w:hRule="exact"/>
        </w:trPr>
        <w:tc>
          <w:tcPr>
            <w:tcW w:w="175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131" w:right="13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132" w:right="131"/>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92" w:lineRule="auto"/>
              <w:ind w:left="134" w:right="12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39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77"/>
              <w:jc w:val="right"/>
              <w:rPr>
                <w:rFonts w:ascii="宋体" w:hAnsi="宋体" w:cs="宋体" w:eastAsia="宋体" w:hint="default"/>
                <w:sz w:val="15"/>
                <w:szCs w:val="15"/>
              </w:rPr>
            </w:pPr>
            <w:r>
              <w:rPr>
                <w:rFonts w:ascii="宋体"/>
                <w:spacing w:val="-2"/>
                <w:sz w:val="15"/>
              </w:rPr>
              <w:t>641,323,885.0</w:t>
            </w:r>
          </w:p>
          <w:p>
            <w:pPr>
              <w:pStyle w:val="TableParagraph"/>
              <w:spacing w:line="195" w:lineRule="exact"/>
              <w:ind w:right="176"/>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640,637,100.56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28,932,781.95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-51,603,784.39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176,199,430.83</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937,991,781.97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342,933,125.20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2,658,548,757.22</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641,323,885.00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640,637,100.56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28,932,781.95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-51,603,784.39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176,199,430.83</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937,991,781.97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342,933,125.20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2,658,548,757.22</w:t>
            </w:r>
          </w:p>
        </w:tc>
      </w:tr>
      <w:tr>
        <w:trPr>
          <w:trHeight w:val="59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240" w:lineRule="auto"/>
              <w:ind w:left="103" w:right="288"/>
              <w:jc w:val="left"/>
              <w:rPr>
                <w:rFonts w:ascii="宋体" w:hAnsi="宋体" w:cs="宋体" w:eastAsia="宋体" w:hint="default"/>
                <w:sz w:val="15"/>
                <w:szCs w:val="15"/>
              </w:rPr>
            </w:pPr>
            <w:r>
              <w:rPr>
                <w:rFonts w:ascii="宋体" w:hAnsi="宋体" w:cs="宋体" w:eastAsia="宋体" w:hint="default"/>
                <w:sz w:val="15"/>
                <w:szCs w:val="15"/>
              </w:rPr>
              <w:t>（减少以“－”号填</w:t>
            </w:r>
            <w:r>
              <w:rPr>
                <w:rFonts w:ascii="宋体" w:hAnsi="宋体" w:cs="宋体" w:eastAsia="宋体" w:hint="default"/>
                <w:w w:val="100"/>
                <w:sz w:val="15"/>
                <w:szCs w:val="15"/>
              </w:rPr>
              <w:t> </w:t>
            </w:r>
            <w:r>
              <w:rPr>
                <w:rFonts w:ascii="宋体" w:hAnsi="宋体" w:cs="宋体" w:eastAsia="宋体" w:hint="default"/>
                <w:sz w:val="15"/>
                <w:szCs w:val="15"/>
              </w:rPr>
              <w:t>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401,611.00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42,402,374.76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38,896,658.05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25,459,718.62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6,742,848.28</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5,523,033.05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136,787,528.47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178,420,456.13</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25,459,718.62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51,770,171.12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61,710,299.78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138,940,189.52</w:t>
            </w:r>
          </w:p>
        </w:tc>
      </w:tr>
      <w:tr>
        <w:trPr>
          <w:trHeight w:val="39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401,611.00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42,402,374.76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38,896,658.05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17,330.94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77,238,465.05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81,163,123.70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4,280,000.00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64,532,074.70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67,829,440.00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81,237,207.23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82,219,841.93</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．其他权益工具持有者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投入资本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3,332,838.68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17,330.94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751,858.87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4,102,028.49</w:t>
            </w:r>
          </w:p>
        </w:tc>
      </w:tr>
      <w:tr>
        <w:trPr>
          <w:trHeight w:val="39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3</w:t>
            </w:r>
            <w:r>
              <w:rPr>
                <w:rFonts w:ascii="宋体" w:hAnsi="宋体" w:cs="宋体" w:eastAsia="宋体" w:hint="default"/>
                <w:spacing w:val="-5"/>
                <w:sz w:val="15"/>
                <w:szCs w:val="15"/>
              </w:rPr>
              <w:t>．股份支付计入所有者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-3,878,389.00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-25,462,538.62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-28,932,781.95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-4,750,601.05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-5,158,746.72</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6,742,848.28</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-46,264,469.01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-2,161,236.36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-41,682,857.09</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6,742,848.28</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-6,742,848.28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7"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的分配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-39,521,620.73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-2,161,236.36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-41,682,857.09</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结转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260" w:right="820"/>
        </w:sect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757"/>
        <w:gridCol w:w="1277"/>
        <w:gridCol w:w="425"/>
        <w:gridCol w:w="425"/>
        <w:gridCol w:w="425"/>
        <w:gridCol w:w="1277"/>
        <w:gridCol w:w="1275"/>
        <w:gridCol w:w="1277"/>
        <w:gridCol w:w="566"/>
        <w:gridCol w:w="1277"/>
        <w:gridCol w:w="567"/>
        <w:gridCol w:w="1284"/>
        <w:gridCol w:w="1267"/>
        <w:gridCol w:w="1419"/>
      </w:tblGrid>
      <w:tr>
        <w:trPr>
          <w:trHeight w:val="39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39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r>
      <w:tr>
        <w:trPr>
          <w:trHeight w:val="2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641,725,496.00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683,039,475.32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67,829,440.00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-26,144,065.77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182,942,279.11</w:t>
            </w:r>
          </w:p>
        </w:tc>
        <w:tc>
          <w:tcPr>
            <w:tcW w:w="56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943,514,815.02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479,720,653.67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2,836,969,213.35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89" w:type="dxa"/>
        <w:tblLayout w:type="fixed"/>
        <w:tblCellMar>
          <w:top w:w="0" w:type="dxa"/>
          <w:left w:w="0" w:type="dxa"/>
          <w:bottom w:w="0" w:type="dxa"/>
          <w:right w:w="0" w:type="dxa"/>
        </w:tblCellMar>
        <w:tblLook w:val="01E0"/>
      </w:tblPr>
      <w:tblGrid>
        <w:gridCol w:w="1630"/>
        <w:gridCol w:w="1416"/>
        <w:gridCol w:w="286"/>
        <w:gridCol w:w="425"/>
        <w:gridCol w:w="566"/>
        <w:gridCol w:w="1277"/>
        <w:gridCol w:w="1133"/>
        <w:gridCol w:w="1418"/>
        <w:gridCol w:w="566"/>
        <w:gridCol w:w="1277"/>
        <w:gridCol w:w="566"/>
        <w:gridCol w:w="1277"/>
        <w:gridCol w:w="1133"/>
        <w:gridCol w:w="1560"/>
      </w:tblGrid>
      <w:tr>
        <w:trPr>
          <w:trHeight w:val="250"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2"/>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9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21"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2" w:hRule="exact"/>
        </w:trPr>
        <w:tc>
          <w:tcPr>
            <w:tcW w:w="1630" w:type="dxa"/>
            <w:vMerge/>
            <w:tcBorders>
              <w:left w:val="single" w:sz="4" w:space="0" w:color="000000"/>
              <w:right w:val="single" w:sz="4" w:space="0" w:color="000000"/>
            </w:tcBorders>
          </w:tcPr>
          <w:p>
            <w:pPr/>
          </w:p>
        </w:tc>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5185"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94" w:hRule="exact"/>
        </w:trPr>
        <w:tc>
          <w:tcPr>
            <w:tcW w:w="1630"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10"/>
              <w:ind w:left="127"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593" w:hRule="exact"/>
        </w:trPr>
        <w:tc>
          <w:tcPr>
            <w:tcW w:w="163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05" w:right="17"/>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32" w:right="131"/>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646,034,068.00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675,845,355.72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57,972,861.0</w:t>
            </w:r>
          </w:p>
          <w:p>
            <w:pPr>
              <w:pStyle w:val="TableParagraph"/>
              <w:spacing w:line="195" w:lineRule="exact"/>
              <w:ind w:right="100"/>
              <w:jc w:val="right"/>
              <w:rPr>
                <w:rFonts w:ascii="宋体" w:hAnsi="宋体" w:cs="宋体" w:eastAsia="宋体" w:hint="default"/>
                <w:sz w:val="15"/>
                <w:szCs w:val="15"/>
              </w:rPr>
            </w:pPr>
            <w:r>
              <w:rPr>
                <w:rFonts w:ascii="宋体"/>
                <w:w w:val="100"/>
                <w:sz w:val="15"/>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-51,846,189.90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168,056,152.34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880,598,946.55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178,510,561.</w:t>
            </w:r>
          </w:p>
          <w:p>
            <w:pPr>
              <w:pStyle w:val="TableParagraph"/>
              <w:spacing w:line="195" w:lineRule="exact"/>
              <w:ind w:right="98"/>
              <w:jc w:val="right"/>
              <w:rPr>
                <w:rFonts w:ascii="宋体" w:hAnsi="宋体" w:cs="宋体" w:eastAsia="宋体" w:hint="default"/>
                <w:sz w:val="15"/>
                <w:szCs w:val="15"/>
              </w:rPr>
            </w:pPr>
            <w:r>
              <w:rPr>
                <w:rFonts w:ascii="宋体"/>
                <w:sz w:val="15"/>
              </w:rPr>
              <w:t>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2,439,226,032.89</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-2,711,289.16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1,163,516.70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3,874,805.86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r>
      <w:tr>
        <w:trPr>
          <w:trHeight w:val="20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合并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646,034,068.00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673,134,066.56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59,136,377.7</w:t>
            </w:r>
          </w:p>
          <w:p>
            <w:pPr>
              <w:pStyle w:val="TableParagraph"/>
              <w:spacing w:line="195" w:lineRule="exact"/>
              <w:ind w:right="100"/>
              <w:jc w:val="right"/>
              <w:rPr>
                <w:rFonts w:ascii="宋体" w:hAnsi="宋体" w:cs="宋体" w:eastAsia="宋体" w:hint="default"/>
                <w:sz w:val="15"/>
                <w:szCs w:val="15"/>
              </w:rPr>
            </w:pPr>
            <w:r>
              <w:rPr>
                <w:rFonts w:ascii="宋体"/>
                <w:w w:val="100"/>
                <w:sz w:val="15"/>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-51,846,189.90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168,056,152.34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884,473,752.41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178,510,561.</w:t>
            </w:r>
          </w:p>
          <w:p>
            <w:pPr>
              <w:pStyle w:val="TableParagraph"/>
              <w:spacing w:line="195" w:lineRule="exact"/>
              <w:ind w:right="98"/>
              <w:jc w:val="right"/>
              <w:rPr>
                <w:rFonts w:ascii="宋体" w:hAnsi="宋体" w:cs="宋体" w:eastAsia="宋体" w:hint="default"/>
                <w:sz w:val="15"/>
                <w:szCs w:val="15"/>
              </w:rPr>
            </w:pPr>
            <w:r>
              <w:rPr>
                <w:rFonts w:ascii="宋体"/>
                <w:sz w:val="15"/>
              </w:rPr>
              <w:t>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2,439,226,032.89</w:t>
            </w:r>
          </w:p>
        </w:tc>
      </w:tr>
      <w:tr>
        <w:trPr>
          <w:trHeight w:val="59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w:t>
            </w:r>
          </w:p>
          <w:p>
            <w:pPr>
              <w:pStyle w:val="TableParagraph"/>
              <w:spacing w:line="240" w:lineRule="auto"/>
              <w:ind w:left="103" w:right="161"/>
              <w:jc w:val="left"/>
              <w:rPr>
                <w:rFonts w:ascii="宋体" w:hAnsi="宋体" w:cs="宋体" w:eastAsia="宋体" w:hint="default"/>
                <w:sz w:val="15"/>
                <w:szCs w:val="15"/>
              </w:rPr>
            </w:pPr>
            <w:r>
              <w:rPr>
                <w:rFonts w:ascii="宋体" w:hAnsi="宋体" w:cs="宋体" w:eastAsia="宋体" w:hint="default"/>
                <w:sz w:val="15"/>
                <w:szCs w:val="15"/>
              </w:rPr>
              <w:t>额（减少以“－”号</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-4,710,183.00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-32,496,966.00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宋体" w:hAnsi="宋体" w:cs="宋体" w:eastAsia="宋体" w:hint="default"/>
                <w:sz w:val="15"/>
                <w:szCs w:val="15"/>
              </w:rPr>
            </w:pPr>
            <w:r>
              <w:rPr>
                <w:rFonts w:ascii="宋体"/>
                <w:spacing w:val="-2"/>
                <w:sz w:val="15"/>
              </w:rPr>
              <w:t>-30,203,595.</w:t>
            </w:r>
          </w:p>
          <w:p>
            <w:pPr>
              <w:pStyle w:val="TableParagraph"/>
              <w:spacing w:line="195" w:lineRule="exact"/>
              <w:ind w:right="99"/>
              <w:jc w:val="right"/>
              <w:rPr>
                <w:rFonts w:ascii="宋体" w:hAnsi="宋体" w:cs="宋体" w:eastAsia="宋体" w:hint="default"/>
                <w:sz w:val="15"/>
                <w:szCs w:val="15"/>
              </w:rPr>
            </w:pPr>
            <w:r>
              <w:rPr>
                <w:rFonts w:ascii="宋体"/>
                <w:sz w:val="15"/>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242,405.51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8,143,278.49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53,518,029.56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宋体" w:hAnsi="宋体" w:cs="宋体" w:eastAsia="宋体" w:hint="default"/>
                <w:sz w:val="15"/>
                <w:szCs w:val="15"/>
              </w:rPr>
            </w:pPr>
            <w:r>
              <w:rPr>
                <w:rFonts w:ascii="宋体"/>
                <w:spacing w:val="-2"/>
                <w:sz w:val="15"/>
              </w:rPr>
              <w:t>164,422,564.</w:t>
            </w:r>
          </w:p>
          <w:p>
            <w:pPr>
              <w:pStyle w:val="TableParagraph"/>
              <w:spacing w:line="195" w:lineRule="exact"/>
              <w:ind w:right="98"/>
              <w:jc w:val="right"/>
              <w:rPr>
                <w:rFonts w:ascii="宋体" w:hAnsi="宋体" w:cs="宋体" w:eastAsia="宋体" w:hint="default"/>
                <w:sz w:val="15"/>
                <w:szCs w:val="15"/>
              </w:rPr>
            </w:pPr>
            <w:r>
              <w:rPr>
                <w:rFonts w:ascii="宋体"/>
                <w:sz w:val="15"/>
              </w:rPr>
              <w:t>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219,322,724.33</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242,405.51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95,133,561.09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10,017,348.9</w:t>
            </w:r>
          </w:p>
          <w:p>
            <w:pPr>
              <w:pStyle w:val="TableParagraph"/>
              <w:spacing w:line="195" w:lineRule="exact"/>
              <w:ind w:right="101"/>
              <w:jc w:val="right"/>
              <w:rPr>
                <w:rFonts w:ascii="宋体" w:hAnsi="宋体" w:cs="宋体" w:eastAsia="宋体" w:hint="default"/>
                <w:sz w:val="15"/>
                <w:szCs w:val="15"/>
              </w:rPr>
            </w:pPr>
            <w:r>
              <w:rPr>
                <w:rFonts w:ascii="宋体"/>
                <w:w w:val="100"/>
                <w:sz w:val="15"/>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105,393,315.53</w:t>
            </w:r>
          </w:p>
        </w:tc>
      </w:tr>
      <w:tr>
        <w:trPr>
          <w:trHeight w:val="399"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-4,710,183.00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-32,496,966.00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-30,203,595.</w:t>
            </w:r>
          </w:p>
          <w:p>
            <w:pPr>
              <w:pStyle w:val="TableParagraph"/>
              <w:spacing w:line="196" w:lineRule="exact"/>
              <w:ind w:right="99"/>
              <w:jc w:val="right"/>
              <w:rPr>
                <w:rFonts w:ascii="宋体" w:hAnsi="宋体" w:cs="宋体" w:eastAsia="宋体" w:hint="default"/>
                <w:sz w:val="15"/>
                <w:szCs w:val="15"/>
              </w:rPr>
            </w:pPr>
            <w:r>
              <w:rPr>
                <w:rFonts w:ascii="宋体"/>
                <w:sz w:val="15"/>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1,587,249.50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157,104,504.</w:t>
            </w:r>
          </w:p>
          <w:p>
            <w:pPr>
              <w:pStyle w:val="TableParagraph"/>
              <w:spacing w:line="196" w:lineRule="exact"/>
              <w:ind w:right="98"/>
              <w:jc w:val="right"/>
              <w:rPr>
                <w:rFonts w:ascii="宋体" w:hAnsi="宋体" w:cs="宋体" w:eastAsia="宋体" w:hint="default"/>
                <w:sz w:val="15"/>
                <w:szCs w:val="15"/>
              </w:rPr>
            </w:pPr>
            <w:r>
              <w:rPr>
                <w:rFonts w:ascii="宋体"/>
                <w:sz w:val="15"/>
              </w:rPr>
              <w:t>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151,688,201.19</w:t>
            </w:r>
          </w:p>
        </w:tc>
      </w:tr>
      <w:tr>
        <w:trPr>
          <w:trHeight w:val="401"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1</w:t>
            </w:r>
            <w:r>
              <w:rPr>
                <w:rFonts w:ascii="宋体" w:hAnsi="宋体" w:cs="宋体" w:eastAsia="宋体" w:hint="default"/>
                <w:spacing w:val="-3"/>
                <w:sz w:val="15"/>
                <w:szCs w:val="15"/>
              </w:rPr>
              <w:t>．股东投入的普通股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308,889.14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1,426,853.11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宋体" w:hAnsi="宋体" w:cs="宋体" w:eastAsia="宋体" w:hint="default"/>
                <w:sz w:val="15"/>
                <w:szCs w:val="15"/>
              </w:rPr>
            </w:pPr>
            <w:r>
              <w:rPr>
                <w:rFonts w:ascii="宋体"/>
                <w:spacing w:val="-2"/>
                <w:sz w:val="15"/>
              </w:rPr>
              <w:t>157,002,404.</w:t>
            </w:r>
          </w:p>
          <w:p>
            <w:pPr>
              <w:pStyle w:val="TableParagraph"/>
              <w:spacing w:line="195" w:lineRule="exact"/>
              <w:ind w:right="98"/>
              <w:jc w:val="right"/>
              <w:rPr>
                <w:rFonts w:ascii="宋体" w:hAnsi="宋体" w:cs="宋体" w:eastAsia="宋体" w:hint="default"/>
                <w:sz w:val="15"/>
                <w:szCs w:val="15"/>
              </w:rPr>
            </w:pPr>
            <w:r>
              <w:rPr>
                <w:rFonts w:ascii="宋体"/>
                <w:sz w:val="15"/>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158,738,146.59</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w:t>
            </w:r>
            <w:r>
              <w:rPr>
                <w:rFonts w:ascii="宋体" w:hAnsi="宋体" w:cs="宋体" w:eastAsia="宋体" w:hint="default"/>
                <w:spacing w:val="-3"/>
                <w:sz w:val="15"/>
                <w:szCs w:val="15"/>
              </w:rPr>
              <w:t>．其他权益工具持有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．股份支付计入所有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742,452.17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160,396.39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102,100.60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1,004,949.16</w:t>
            </w:r>
          </w:p>
        </w:tc>
      </w:tr>
    </w:tbl>
    <w:p>
      <w:pPr>
        <w:spacing w:after="0" w:line="172" w:lineRule="exact"/>
        <w:jc w:val="right"/>
        <w:rPr>
          <w:rFonts w:ascii="宋体" w:hAnsi="宋体" w:cs="宋体" w:eastAsia="宋体" w:hint="default"/>
          <w:sz w:val="15"/>
          <w:szCs w:val="15"/>
        </w:rPr>
        <w:sectPr>
          <w:pgSz w:w="16840" w:h="11910" w:orient="landscape"/>
          <w:pgMar w:header="882" w:footer="1195" w:top="1120" w:bottom="1380" w:left="126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630"/>
        <w:gridCol w:w="1416"/>
        <w:gridCol w:w="286"/>
        <w:gridCol w:w="425"/>
        <w:gridCol w:w="566"/>
        <w:gridCol w:w="1277"/>
        <w:gridCol w:w="1133"/>
        <w:gridCol w:w="1418"/>
        <w:gridCol w:w="566"/>
        <w:gridCol w:w="1277"/>
        <w:gridCol w:w="566"/>
        <w:gridCol w:w="1277"/>
        <w:gridCol w:w="1133"/>
        <w:gridCol w:w="1560"/>
      </w:tblGrid>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-4,710,183.00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-33,548,307.31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-30,203,595.</w:t>
            </w:r>
          </w:p>
          <w:p>
            <w:pPr>
              <w:pStyle w:val="TableParagraph"/>
              <w:spacing w:line="195" w:lineRule="exact"/>
              <w:ind w:right="99"/>
              <w:jc w:val="right"/>
              <w:rPr>
                <w:rFonts w:ascii="宋体" w:hAnsi="宋体" w:cs="宋体" w:eastAsia="宋体" w:hint="default"/>
                <w:sz w:val="15"/>
                <w:szCs w:val="15"/>
              </w:rPr>
            </w:pPr>
            <w:r>
              <w:rPr>
                <w:rFonts w:ascii="宋体"/>
                <w:sz w:val="15"/>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-8,054,894.56</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8,143,278.49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-43,202,781.03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-2,699,289.8</w:t>
            </w:r>
          </w:p>
          <w:p>
            <w:pPr>
              <w:pStyle w:val="TableParagraph"/>
              <w:spacing w:line="195" w:lineRule="exact"/>
              <w:ind w:right="101"/>
              <w:jc w:val="right"/>
              <w:rPr>
                <w:rFonts w:ascii="宋体" w:hAnsi="宋体" w:cs="宋体" w:eastAsia="宋体" w:hint="default"/>
                <w:sz w:val="15"/>
                <w:szCs w:val="15"/>
              </w:rPr>
            </w:pPr>
            <w:r>
              <w:rPr>
                <w:rFonts w:ascii="宋体"/>
                <w:w w:val="100"/>
                <w:sz w:val="15"/>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-37,758,792.39</w:t>
            </w:r>
          </w:p>
        </w:tc>
      </w:tr>
      <w:tr>
        <w:trPr>
          <w:trHeight w:val="20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8,143,278.49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-8,143,278.49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w:t>
            </w:r>
            <w:r>
              <w:rPr>
                <w:rFonts w:ascii="宋体" w:hAnsi="宋体" w:cs="宋体" w:eastAsia="宋体" w:hint="default"/>
                <w:spacing w:val="-3"/>
                <w:sz w:val="15"/>
                <w:szCs w:val="15"/>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3</w:t>
            </w:r>
            <w:r>
              <w:rPr>
                <w:rFonts w:ascii="宋体" w:hAnsi="宋体" w:cs="宋体" w:eastAsia="宋体" w:hint="default"/>
                <w:spacing w:val="-10"/>
                <w:sz w:val="15"/>
                <w:szCs w:val="15"/>
              </w:rPr>
              <w:t>．对所有者（或股东）</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的分配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-35,059,502.54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-2,699,289.8</w:t>
            </w:r>
          </w:p>
          <w:p>
            <w:pPr>
              <w:pStyle w:val="TableParagraph"/>
              <w:spacing w:line="195" w:lineRule="exact"/>
              <w:ind w:right="101"/>
              <w:jc w:val="right"/>
              <w:rPr>
                <w:rFonts w:ascii="宋体" w:hAnsi="宋体" w:cs="宋体" w:eastAsia="宋体" w:hint="default"/>
                <w:sz w:val="15"/>
                <w:szCs w:val="15"/>
              </w:rPr>
            </w:pPr>
            <w:r>
              <w:rPr>
                <w:rFonts w:ascii="宋体"/>
                <w:w w:val="100"/>
                <w:sz w:val="15"/>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-37,758,792.39</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401"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部结转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r>
      <w:tr>
        <w:trPr>
          <w:trHeight w:val="399"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1</w:t>
            </w:r>
            <w:r>
              <w:rPr>
                <w:rFonts w:ascii="宋体" w:hAnsi="宋体" w:cs="宋体" w:eastAsia="宋体" w:hint="default"/>
                <w:spacing w:val="-3"/>
                <w:sz w:val="15"/>
                <w:szCs w:val="15"/>
              </w:rPr>
              <w:t>．资本公积转增资本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w:t>
            </w:r>
            <w:r>
              <w:rPr>
                <w:rFonts w:ascii="宋体" w:hAnsi="宋体" w:cs="宋体" w:eastAsia="宋体" w:hint="default"/>
                <w:spacing w:val="-3"/>
                <w:sz w:val="15"/>
                <w:szCs w:val="15"/>
              </w:rPr>
              <w:t>．盈余公积转增资本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20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641,323,885.00</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640,637,100.56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28,932,781.9</w:t>
            </w:r>
          </w:p>
          <w:p>
            <w:pPr>
              <w:pStyle w:val="TableParagraph"/>
              <w:spacing w:line="195" w:lineRule="exact"/>
              <w:ind w:right="100"/>
              <w:jc w:val="right"/>
              <w:rPr>
                <w:rFonts w:ascii="宋体" w:hAnsi="宋体" w:cs="宋体" w:eastAsia="宋体" w:hint="default"/>
                <w:sz w:val="15"/>
                <w:szCs w:val="15"/>
              </w:rPr>
            </w:pPr>
            <w:r>
              <w:rPr>
                <w:rFonts w:ascii="宋体"/>
                <w:w w:val="100"/>
                <w:sz w:val="15"/>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-51,603,784.39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176,199,430.83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937,991,781.97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342,933,125.</w:t>
            </w:r>
          </w:p>
          <w:p>
            <w:pPr>
              <w:pStyle w:val="TableParagraph"/>
              <w:spacing w:line="195" w:lineRule="exact"/>
              <w:ind w:right="98"/>
              <w:jc w:val="right"/>
              <w:rPr>
                <w:rFonts w:ascii="宋体" w:hAnsi="宋体" w:cs="宋体" w:eastAsia="宋体" w:hint="default"/>
                <w:sz w:val="15"/>
                <w:szCs w:val="15"/>
              </w:rPr>
            </w:pPr>
            <w:r>
              <w:rPr>
                <w:rFonts w:ascii="宋体"/>
                <w:sz w:val="15"/>
              </w:rPr>
              <w:t>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2,658,548,757.22</w:t>
            </w:r>
          </w:p>
        </w:tc>
      </w:tr>
    </w:tbl>
    <w:p>
      <w:pPr>
        <w:spacing w:line="240" w:lineRule="auto" w:before="5"/>
        <w:rPr>
          <w:rFonts w:ascii="Times New Roman" w:hAnsi="Times New Roman" w:cs="Times New Roman" w:eastAsia="Times New Roman" w:hint="default"/>
          <w:sz w:val="21"/>
          <w:szCs w:val="21"/>
        </w:rPr>
      </w:pPr>
    </w:p>
    <w:p>
      <w:pPr>
        <w:pStyle w:val="BodyText"/>
        <w:spacing w:line="240" w:lineRule="auto" w:before="26"/>
        <w:ind w:left="184" w:right="0"/>
        <w:jc w:val="left"/>
      </w:pPr>
      <w:r>
        <w:rPr/>
        <w:t>法定代表人：王维航主管会计工作负责人：任学英会计机构负责人：李晖</w:t>
      </w:r>
    </w:p>
    <w:p>
      <w:pPr>
        <w:spacing w:after="0" w:line="240" w:lineRule="auto"/>
        <w:jc w:val="left"/>
        <w:sectPr>
          <w:pgSz w:w="16840" w:h="11910" w:orient="landscape"/>
          <w:pgMar w:header="882" w:footer="1195" w:top="1120" w:bottom="1380" w:left="1340" w:right="740"/>
        </w:sectPr>
      </w:pPr>
    </w:p>
    <w:p>
      <w:pPr>
        <w:spacing w:line="310" w:lineRule="exact" w:before="143"/>
        <w:ind w:left="6455"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32"/>
          <w:szCs w:val="32"/>
        </w:rPr>
      </w:pPr>
    </w:p>
    <w:p>
      <w:pPr>
        <w:pStyle w:val="BodyText"/>
        <w:tabs>
          <w:tab w:pos="4266" w:val="left" w:leader="none"/>
        </w:tabs>
        <w:spacing w:line="240" w:lineRule="auto"/>
        <w:ind w:left="318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6840" w:h="11910" w:orient="landscape"/>
          <w:pgMar w:header="882" w:footer="1195" w:top="1120" w:bottom="1380" w:left="1120" w:right="1100"/>
          <w:cols w:num="2" w:equalWidth="0">
            <w:col w:w="8651" w:space="40"/>
            <w:col w:w="5929"/>
          </w:cols>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82"/>
        <w:gridCol w:w="1346"/>
        <w:gridCol w:w="639"/>
        <w:gridCol w:w="708"/>
        <w:gridCol w:w="425"/>
        <w:gridCol w:w="1418"/>
        <w:gridCol w:w="1419"/>
        <w:gridCol w:w="708"/>
        <w:gridCol w:w="710"/>
        <w:gridCol w:w="1558"/>
        <w:gridCol w:w="1560"/>
        <w:gridCol w:w="1700"/>
      </w:tblGrid>
      <w:tr>
        <w:trPr>
          <w:trHeight w:val="209" w:hRule="exact"/>
        </w:trPr>
        <w:tc>
          <w:tcPr>
            <w:tcW w:w="21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192"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9" w:hRule="exact"/>
        </w:trPr>
        <w:tc>
          <w:tcPr>
            <w:tcW w:w="2182" w:type="dxa"/>
            <w:vMerge/>
            <w:tcBorders>
              <w:left w:val="single" w:sz="6" w:space="0" w:color="000000"/>
              <w:right w:val="single" w:sz="6" w:space="0" w:color="000000"/>
            </w:tcBorders>
          </w:tcPr>
          <w:p>
            <w:pPr/>
          </w:p>
        </w:tc>
        <w:tc>
          <w:tcPr>
            <w:tcW w:w="1346"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77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43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19" w:right="119"/>
              <w:jc w:val="left"/>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3" w:right="119"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6" w:hRule="exact"/>
        </w:trPr>
        <w:tc>
          <w:tcPr>
            <w:tcW w:w="2182" w:type="dxa"/>
            <w:vMerge/>
            <w:tcBorders>
              <w:left w:val="single" w:sz="6" w:space="0" w:color="000000"/>
              <w:bottom w:val="single" w:sz="6" w:space="0" w:color="000000"/>
              <w:right w:val="single" w:sz="6" w:space="0" w:color="000000"/>
            </w:tcBorders>
          </w:tcPr>
          <w:p>
            <w:pPr/>
          </w:p>
        </w:tc>
        <w:tc>
          <w:tcPr>
            <w:tcW w:w="1346" w:type="dxa"/>
            <w:vMerge/>
            <w:tcBorders>
              <w:left w:val="single" w:sz="6" w:space="0" w:color="000000"/>
              <w:bottom w:val="single" w:sz="6" w:space="0" w:color="000000"/>
              <w:right w:val="single" w:sz="4" w:space="0" w:color="000000"/>
            </w:tcBorders>
          </w:tcPr>
          <w:p>
            <w:pPr/>
          </w:p>
        </w:tc>
        <w:tc>
          <w:tcPr>
            <w:tcW w:w="639"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238" w:right="161"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194" w:lineRule="exact" w:before="1"/>
              <w:ind w:left="134" w:right="125"/>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641,323,885.00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636,971,169.92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28,932,781.95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176,199,430.83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394,524,721.52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1,820,086,425.32</w:t>
            </w:r>
          </w:p>
        </w:tc>
      </w:tr>
      <w:tr>
        <w:trPr>
          <w:trHeight w:val="211"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641,323,885.00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636,971,169.92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28,932,781.95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176,199,430.83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394,524,721.52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1,820,086,425.32</w:t>
            </w:r>
          </w:p>
        </w:tc>
      </w:tr>
      <w:tr>
        <w:trPr>
          <w:trHeight w:val="406"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以“－”号填列）</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401,611.00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40,990,212.61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38,896,658.05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6,742,848.28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21,164,013.79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30,402,027.63</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67,428,482.80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67,428,482.80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401,611.00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40,990,212.61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38,896,658.05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2,495,165.56</w:t>
            </w:r>
          </w:p>
        </w:tc>
      </w:tr>
      <w:tr>
        <w:trPr>
          <w:trHeight w:val="211"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4,280,000.00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63,549,440.00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67,829,440.00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r>
      <w:tr>
        <w:trPr>
          <w:trHeight w:val="403"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1"/>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权</w:t>
            </w:r>
            <w:r>
              <w:rPr>
                <w:rFonts w:ascii="宋体" w:hAnsi="宋体" w:cs="宋体" w:eastAsia="宋体" w:hint="default"/>
                <w:spacing w:val="-3"/>
                <w:w w:val="100"/>
                <w:sz w:val="15"/>
                <w:szCs w:val="15"/>
              </w:rPr>
              <w:t>益</w:t>
            </w:r>
            <w:r>
              <w:rPr>
                <w:rFonts w:ascii="宋体" w:hAnsi="宋体" w:cs="宋体" w:eastAsia="宋体" w:hint="default"/>
                <w:w w:val="100"/>
                <w:sz w:val="15"/>
                <w:szCs w:val="15"/>
              </w:rPr>
              <w:t>工</w:t>
            </w:r>
            <w:r>
              <w:rPr>
                <w:rFonts w:ascii="宋体" w:hAnsi="宋体" w:cs="宋体" w:eastAsia="宋体" w:hint="default"/>
                <w:spacing w:val="-3"/>
                <w:w w:val="100"/>
                <w:sz w:val="15"/>
                <w:szCs w:val="15"/>
              </w:rPr>
              <w:t>具</w:t>
            </w:r>
            <w:r>
              <w:rPr>
                <w:rFonts w:ascii="宋体" w:hAnsi="宋体" w:cs="宋体" w:eastAsia="宋体" w:hint="default"/>
                <w:w w:val="100"/>
                <w:sz w:val="15"/>
                <w:szCs w:val="15"/>
              </w:rPr>
              <w:t>持</w:t>
            </w:r>
            <w:r>
              <w:rPr>
                <w:rFonts w:ascii="宋体" w:hAnsi="宋体" w:cs="宋体" w:eastAsia="宋体" w:hint="default"/>
                <w:spacing w:val="-3"/>
                <w:w w:val="100"/>
                <w:sz w:val="15"/>
                <w:szCs w:val="15"/>
              </w:rPr>
              <w:t>有</w:t>
            </w:r>
            <w:r>
              <w:rPr>
                <w:rFonts w:ascii="宋体" w:hAnsi="宋体" w:cs="宋体" w:eastAsia="宋体" w:hint="default"/>
                <w:w w:val="100"/>
                <w:sz w:val="15"/>
                <w:szCs w:val="15"/>
              </w:rPr>
              <w:t>者</w:t>
            </w:r>
            <w:r>
              <w:rPr>
                <w:rFonts w:ascii="宋体" w:hAnsi="宋体" w:cs="宋体" w:eastAsia="宋体" w:hint="default"/>
                <w:spacing w:val="-3"/>
                <w:w w:val="100"/>
                <w:sz w:val="15"/>
                <w:szCs w:val="15"/>
              </w:rPr>
              <w:t>投</w:t>
            </w:r>
            <w:r>
              <w:rPr>
                <w:rFonts w:ascii="宋体" w:hAnsi="宋体" w:cs="宋体" w:eastAsia="宋体" w:hint="default"/>
                <w:w w:val="100"/>
                <w:sz w:val="15"/>
                <w:szCs w:val="15"/>
              </w:rPr>
              <w:t>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346" w:type="dxa"/>
            <w:tcBorders>
              <w:top w:val="single" w:sz="6" w:space="0" w:color="000000"/>
              <w:left w:val="single" w:sz="6" w:space="0" w:color="000000"/>
              <w:bottom w:val="single" w:sz="6" w:space="0" w:color="000000"/>
              <w:right w:val="single" w:sz="4" w:space="0" w:color="000000"/>
            </w:tcBorders>
          </w:tcPr>
          <w:p>
            <w:pP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1"/>
                <w:w w:val="100"/>
                <w:sz w:val="15"/>
                <w:szCs w:val="15"/>
              </w:rPr>
              <w:t>．</w:t>
            </w:r>
            <w:r>
              <w:rPr>
                <w:rFonts w:ascii="宋体" w:hAnsi="宋体" w:cs="宋体" w:eastAsia="宋体" w:hint="default"/>
                <w:w w:val="100"/>
                <w:sz w:val="15"/>
                <w:szCs w:val="15"/>
              </w:rPr>
              <w:t>股</w:t>
            </w:r>
            <w:r>
              <w:rPr>
                <w:rFonts w:ascii="宋体" w:hAnsi="宋体" w:cs="宋体" w:eastAsia="宋体" w:hint="default"/>
                <w:spacing w:val="-3"/>
                <w:w w:val="100"/>
                <w:sz w:val="15"/>
                <w:szCs w:val="15"/>
              </w:rPr>
              <w:t>份</w:t>
            </w:r>
            <w:r>
              <w:rPr>
                <w:rFonts w:ascii="宋体" w:hAnsi="宋体" w:cs="宋体" w:eastAsia="宋体" w:hint="default"/>
                <w:w w:val="100"/>
                <w:sz w:val="15"/>
                <w:szCs w:val="15"/>
              </w:rPr>
              <w:t>支</w:t>
            </w:r>
            <w:r>
              <w:rPr>
                <w:rFonts w:ascii="宋体" w:hAnsi="宋体" w:cs="宋体" w:eastAsia="宋体" w:hint="default"/>
                <w:spacing w:val="-3"/>
                <w:w w:val="100"/>
                <w:sz w:val="15"/>
                <w:szCs w:val="15"/>
              </w:rPr>
              <w:t>付</w:t>
            </w:r>
            <w:r>
              <w:rPr>
                <w:rFonts w:ascii="宋体" w:hAnsi="宋体" w:cs="宋体" w:eastAsia="宋体" w:hint="default"/>
                <w:w w:val="100"/>
                <w:sz w:val="15"/>
                <w:szCs w:val="15"/>
              </w:rPr>
              <w:t>计</w:t>
            </w:r>
            <w:r>
              <w:rPr>
                <w:rFonts w:ascii="宋体" w:hAnsi="宋体" w:cs="宋体" w:eastAsia="宋体" w:hint="default"/>
                <w:spacing w:val="-3"/>
                <w:w w:val="100"/>
                <w:sz w:val="15"/>
                <w:szCs w:val="15"/>
              </w:rPr>
              <w:t>入</w:t>
            </w:r>
            <w:r>
              <w:rPr>
                <w:rFonts w:ascii="宋体" w:hAnsi="宋体" w:cs="宋体" w:eastAsia="宋体" w:hint="default"/>
                <w:w w:val="100"/>
                <w:sz w:val="15"/>
                <w:szCs w:val="15"/>
              </w:rPr>
              <w:t>所</w:t>
            </w:r>
            <w:r>
              <w:rPr>
                <w:rFonts w:ascii="宋体" w:hAnsi="宋体" w:cs="宋体" w:eastAsia="宋体" w:hint="default"/>
                <w:spacing w:val="-3"/>
                <w:w w:val="100"/>
                <w:sz w:val="15"/>
                <w:szCs w:val="15"/>
              </w:rPr>
              <w:t>有</w:t>
            </w:r>
            <w:r>
              <w:rPr>
                <w:rFonts w:ascii="宋体" w:hAnsi="宋体" w:cs="宋体" w:eastAsia="宋体" w:hint="default"/>
                <w:w w:val="100"/>
                <w:sz w:val="15"/>
                <w:szCs w:val="15"/>
              </w:rPr>
              <w:t>者</w:t>
            </w:r>
            <w:r>
              <w:rPr>
                <w:rFonts w:ascii="宋体" w:hAnsi="宋体" w:cs="宋体" w:eastAsia="宋体" w:hint="default"/>
                <w:spacing w:val="-3"/>
                <w:w w:val="100"/>
                <w:sz w:val="15"/>
                <w:szCs w:val="15"/>
              </w:rPr>
              <w:t>权</w:t>
            </w:r>
            <w:r>
              <w:rPr>
                <w:rFonts w:ascii="宋体" w:hAnsi="宋体" w:cs="宋体" w:eastAsia="宋体" w:hint="default"/>
                <w:w w:val="100"/>
                <w:sz w:val="15"/>
                <w:szCs w:val="15"/>
              </w:rPr>
              <w:t>益的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2,495,165.56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2,495,165.56</w:t>
            </w:r>
          </w:p>
        </w:tc>
      </w:tr>
      <w:tr>
        <w:trPr>
          <w:trHeight w:val="211"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-3,878,389.00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-25,054,392.95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-28,932,781.95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2"/>
                <w:sz w:val="15"/>
              </w:rPr>
              <w:t>6,742,848.28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-46,264,469.01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1"/>
                <w:sz w:val="15"/>
              </w:rPr>
              <w:t>-39,521,620.73</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6,742,848.28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-6,742,848.28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11"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．对所有者（或股东）的分配</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-39,521,620.73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-39,521,620.73</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11"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1"/>
                <w:w w:val="100"/>
                <w:sz w:val="15"/>
                <w:szCs w:val="15"/>
              </w:rPr>
              <w:t>1</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资</w:t>
            </w:r>
            <w:r>
              <w:rPr>
                <w:rFonts w:ascii="宋体" w:hAnsi="宋体" w:cs="宋体" w:eastAsia="宋体" w:hint="default"/>
                <w:w w:val="100"/>
                <w:sz w:val="15"/>
                <w:szCs w:val="15"/>
              </w:rPr>
              <w:t>本</w:t>
            </w:r>
            <w:r>
              <w:rPr>
                <w:rFonts w:ascii="宋体" w:hAnsi="宋体" w:cs="宋体" w:eastAsia="宋体" w:hint="default"/>
                <w:spacing w:val="-3"/>
                <w:w w:val="100"/>
                <w:sz w:val="15"/>
                <w:szCs w:val="15"/>
              </w:rPr>
              <w:t>公</w:t>
            </w:r>
            <w:r>
              <w:rPr>
                <w:rFonts w:ascii="宋体" w:hAnsi="宋体" w:cs="宋体" w:eastAsia="宋体" w:hint="default"/>
                <w:w w:val="100"/>
                <w:sz w:val="15"/>
                <w:szCs w:val="15"/>
              </w:rPr>
              <w:t>积</w:t>
            </w:r>
            <w:r>
              <w:rPr>
                <w:rFonts w:ascii="宋体" w:hAnsi="宋体" w:cs="宋体" w:eastAsia="宋体" w:hint="default"/>
                <w:spacing w:val="-3"/>
                <w:w w:val="100"/>
                <w:sz w:val="15"/>
                <w:szCs w:val="15"/>
              </w:rPr>
              <w:t>转</w:t>
            </w:r>
            <w:r>
              <w:rPr>
                <w:rFonts w:ascii="宋体" w:hAnsi="宋体" w:cs="宋体" w:eastAsia="宋体" w:hint="default"/>
                <w:w w:val="100"/>
                <w:sz w:val="15"/>
                <w:szCs w:val="15"/>
              </w:rPr>
              <w:t>增</w:t>
            </w:r>
            <w:r>
              <w:rPr>
                <w:rFonts w:ascii="宋体" w:hAnsi="宋体" w:cs="宋体" w:eastAsia="宋体" w:hint="default"/>
                <w:spacing w:val="-3"/>
                <w:w w:val="100"/>
                <w:sz w:val="15"/>
                <w:szCs w:val="15"/>
              </w:rPr>
              <w:t>资</w:t>
            </w:r>
            <w:r>
              <w:rPr>
                <w:rFonts w:ascii="宋体" w:hAnsi="宋体" w:cs="宋体" w:eastAsia="宋体" w:hint="default"/>
                <w:spacing w:val="-68"/>
                <w:w w:val="100"/>
                <w:sz w:val="15"/>
                <w:szCs w:val="15"/>
              </w:rPr>
              <w:t>本</w:t>
            </w:r>
            <w:r>
              <w:rPr>
                <w:rFonts w:ascii="宋体" w:hAnsi="宋体" w:cs="宋体" w:eastAsia="宋体" w:hint="default"/>
                <w:spacing w:val="-3"/>
                <w:w w:val="100"/>
                <w:sz w:val="15"/>
                <w:szCs w:val="15"/>
              </w:rPr>
              <w:t>（</w:t>
            </w:r>
            <w:r>
              <w:rPr>
                <w:rFonts w:ascii="宋体" w:hAnsi="宋体" w:cs="宋体" w:eastAsia="宋体" w:hint="default"/>
                <w:w w:val="100"/>
                <w:sz w:val="15"/>
                <w:szCs w:val="15"/>
              </w:rPr>
              <w:t>或</w:t>
            </w:r>
            <w:r>
              <w:rPr>
                <w:rFonts w:ascii="宋体" w:hAnsi="宋体" w:cs="宋体" w:eastAsia="宋体" w:hint="default"/>
                <w:spacing w:val="-3"/>
                <w:w w:val="100"/>
                <w:sz w:val="15"/>
                <w:szCs w:val="15"/>
              </w:rPr>
              <w:t>股</w:t>
            </w:r>
            <w:r>
              <w:rPr>
                <w:rFonts w:ascii="宋体" w:hAnsi="宋体" w:cs="宋体" w:eastAsia="宋体" w:hint="default"/>
                <w:w w:val="100"/>
                <w:sz w:val="15"/>
                <w:szCs w:val="15"/>
              </w:rPr>
              <w:t>本）</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盈</w:t>
            </w:r>
            <w:r>
              <w:rPr>
                <w:rFonts w:ascii="宋体" w:hAnsi="宋体" w:cs="宋体" w:eastAsia="宋体" w:hint="default"/>
                <w:w w:val="100"/>
                <w:sz w:val="15"/>
                <w:szCs w:val="15"/>
              </w:rPr>
              <w:t>余</w:t>
            </w:r>
            <w:r>
              <w:rPr>
                <w:rFonts w:ascii="宋体" w:hAnsi="宋体" w:cs="宋体" w:eastAsia="宋体" w:hint="default"/>
                <w:spacing w:val="-3"/>
                <w:w w:val="100"/>
                <w:sz w:val="15"/>
                <w:szCs w:val="15"/>
              </w:rPr>
              <w:t>公</w:t>
            </w:r>
            <w:r>
              <w:rPr>
                <w:rFonts w:ascii="宋体" w:hAnsi="宋体" w:cs="宋体" w:eastAsia="宋体" w:hint="default"/>
                <w:w w:val="100"/>
                <w:sz w:val="15"/>
                <w:szCs w:val="15"/>
              </w:rPr>
              <w:t>积</w:t>
            </w:r>
            <w:r>
              <w:rPr>
                <w:rFonts w:ascii="宋体" w:hAnsi="宋体" w:cs="宋体" w:eastAsia="宋体" w:hint="default"/>
                <w:spacing w:val="-3"/>
                <w:w w:val="100"/>
                <w:sz w:val="15"/>
                <w:szCs w:val="15"/>
              </w:rPr>
              <w:t>转</w:t>
            </w:r>
            <w:r>
              <w:rPr>
                <w:rFonts w:ascii="宋体" w:hAnsi="宋体" w:cs="宋体" w:eastAsia="宋体" w:hint="default"/>
                <w:w w:val="100"/>
                <w:sz w:val="15"/>
                <w:szCs w:val="15"/>
              </w:rPr>
              <w:t>增</w:t>
            </w:r>
            <w:r>
              <w:rPr>
                <w:rFonts w:ascii="宋体" w:hAnsi="宋体" w:cs="宋体" w:eastAsia="宋体" w:hint="default"/>
                <w:spacing w:val="-3"/>
                <w:w w:val="100"/>
                <w:sz w:val="15"/>
                <w:szCs w:val="15"/>
              </w:rPr>
              <w:t>资</w:t>
            </w:r>
            <w:r>
              <w:rPr>
                <w:rFonts w:ascii="宋体" w:hAnsi="宋体" w:cs="宋体" w:eastAsia="宋体" w:hint="default"/>
                <w:spacing w:val="-68"/>
                <w:w w:val="100"/>
                <w:sz w:val="15"/>
                <w:szCs w:val="15"/>
              </w:rPr>
              <w:t>本</w:t>
            </w:r>
            <w:r>
              <w:rPr>
                <w:rFonts w:ascii="宋体" w:hAnsi="宋体" w:cs="宋体" w:eastAsia="宋体" w:hint="default"/>
                <w:spacing w:val="-3"/>
                <w:w w:val="100"/>
                <w:sz w:val="15"/>
                <w:szCs w:val="15"/>
              </w:rPr>
              <w:t>（</w:t>
            </w:r>
            <w:r>
              <w:rPr>
                <w:rFonts w:ascii="宋体" w:hAnsi="宋体" w:cs="宋体" w:eastAsia="宋体" w:hint="default"/>
                <w:w w:val="100"/>
                <w:sz w:val="15"/>
                <w:szCs w:val="15"/>
              </w:rPr>
              <w:t>或</w:t>
            </w:r>
            <w:r>
              <w:rPr>
                <w:rFonts w:ascii="宋体" w:hAnsi="宋体" w:cs="宋体" w:eastAsia="宋体" w:hint="default"/>
                <w:spacing w:val="-3"/>
                <w:w w:val="100"/>
                <w:sz w:val="15"/>
                <w:szCs w:val="15"/>
              </w:rPr>
              <w:t>股</w:t>
            </w:r>
            <w:r>
              <w:rPr>
                <w:rFonts w:ascii="宋体" w:hAnsi="宋体" w:cs="宋体" w:eastAsia="宋体" w:hint="default"/>
                <w:w w:val="100"/>
                <w:sz w:val="15"/>
                <w:szCs w:val="15"/>
              </w:rPr>
              <w:t>本）</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11"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7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w w:val="100"/>
                <w:sz w:val="15"/>
              </w:rPr>
              <w:t>0</w:t>
            </w:r>
          </w:p>
        </w:tc>
      </w:tr>
      <w:tr>
        <w:trPr>
          <w:trHeight w:val="212"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0</w:t>
            </w:r>
          </w:p>
        </w:tc>
      </w:tr>
      <w:tr>
        <w:trPr>
          <w:trHeight w:val="209"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641,725,496.00</w:t>
            </w:r>
          </w:p>
        </w:tc>
        <w:tc>
          <w:tcPr>
            <w:tcW w:w="63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677,961,382.53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67,829,440.00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182,942,279.11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415,688,735.31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1,850,488,452.95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127"/>
        <w:gridCol w:w="12194"/>
      </w:tblGrid>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1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上期</w:t>
            </w:r>
          </w:p>
        </w:tc>
      </w:tr>
    </w:tbl>
    <w:p>
      <w:pPr>
        <w:spacing w:after="0" w:line="172" w:lineRule="exact"/>
        <w:jc w:val="center"/>
        <w:rPr>
          <w:rFonts w:ascii="宋体" w:hAnsi="宋体" w:cs="宋体" w:eastAsia="宋体" w:hint="default"/>
          <w:sz w:val="15"/>
          <w:szCs w:val="15"/>
        </w:rPr>
        <w:sectPr>
          <w:type w:val="continuous"/>
          <w:pgSz w:w="16840" w:h="11910" w:orient="landscape"/>
          <w:pgMar w:top="1120" w:bottom="1380" w:left="1120" w:right="1100"/>
        </w:sectPr>
      </w:pPr>
    </w:p>
    <w:p>
      <w:pPr>
        <w:spacing w:line="240" w:lineRule="auto" w:before="8"/>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27"/>
        <w:gridCol w:w="1277"/>
        <w:gridCol w:w="709"/>
        <w:gridCol w:w="850"/>
        <w:gridCol w:w="425"/>
        <w:gridCol w:w="1277"/>
        <w:gridCol w:w="1419"/>
        <w:gridCol w:w="708"/>
        <w:gridCol w:w="708"/>
        <w:gridCol w:w="1702"/>
        <w:gridCol w:w="1560"/>
        <w:gridCol w:w="1560"/>
      </w:tblGrid>
      <w:tr>
        <w:trPr>
          <w:trHeight w:val="326" w:hRule="exact"/>
        </w:trPr>
        <w:tc>
          <w:tcPr>
            <w:tcW w:w="2127" w:type="dxa"/>
            <w:vMerge w:val="restart"/>
            <w:tcBorders>
              <w:top w:val="single" w:sz="6" w:space="0" w:color="000000"/>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98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53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19" w:right="119"/>
              <w:jc w:val="left"/>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1" w:right="119"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8" w:hRule="exact"/>
        </w:trPr>
        <w:tc>
          <w:tcPr>
            <w:tcW w:w="2127"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9"/>
              <w:ind w:left="19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194" w:lineRule="exact" w:before="1"/>
              <w:ind w:left="134" w:right="125"/>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646,034,068.00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668,697,186.37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57,972,861.00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168,056,152.34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352,419,911.77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1,777,234,457.48</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-2,711,289.16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1,163,516.70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3,874,805.86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1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646,034,068.00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665,985,897.21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59,136,377.70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168,056,152.34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356,294,717.63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1,777,234,457.48</w:t>
            </w:r>
          </w:p>
        </w:tc>
      </w:tr>
      <w:tr>
        <w:trPr>
          <w:trHeight w:val="40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三、本期增减变动金额（减少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以“－”号填列）</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-4,710,183.00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-29,014,727.29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-30,203,595.75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8,143,278.49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38,230,003.89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42,851,967.84</w:t>
            </w:r>
          </w:p>
        </w:tc>
      </w:tr>
      <w:tr>
        <w:trPr>
          <w:trHeight w:val="21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81,432,784.92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81,432,784.92</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（二）所有者投入和减少资本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-4,710,183.00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-29,014,727.29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-30,203,595.75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-3,521,314.54</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40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-4,710,183.00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-29,014,727.29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-30,203,595.75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-3,521,314.54</w:t>
            </w:r>
          </w:p>
        </w:tc>
      </w:tr>
      <w:tr>
        <w:trPr>
          <w:trHeight w:val="21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8,143,278.49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-43,202,781.03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-35,059,502.54</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8,143,278.49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-8,143,278.49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40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配</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-35,059,502.54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-35,059,502.54</w:t>
            </w:r>
          </w:p>
        </w:tc>
      </w:tr>
      <w:tr>
        <w:trPr>
          <w:trHeight w:val="21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40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40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1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7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0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r>
      <w:tr>
        <w:trPr>
          <w:trHeight w:val="21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641,323,885.00</w:t>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636,971,169.92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28,932,781.95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176,199,430.83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394,524,721.52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1,820,086,425.32</w:t>
            </w:r>
          </w:p>
        </w:tc>
      </w:tr>
    </w:tbl>
    <w:p>
      <w:pPr>
        <w:pStyle w:val="BodyText"/>
        <w:spacing w:line="274" w:lineRule="exact"/>
        <w:ind w:left="404" w:right="0"/>
        <w:jc w:val="left"/>
      </w:pPr>
      <w:r>
        <w:rPr/>
        <w:t>法定代表人：王维航主管会计工作负责人：任学英会计机构负责人：李晖</w:t>
      </w:r>
    </w:p>
    <w:p>
      <w:pPr>
        <w:spacing w:after="0" w:line="274" w:lineRule="exact"/>
        <w:jc w:val="left"/>
        <w:sectPr>
          <w:pgSz w:w="16840" w:h="11910" w:orient="landscape"/>
          <w:pgMar w:header="882" w:footer="1195" w:top="1120" w:bottom="1380" w:left="11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3"/>
        <w:ind w:left="137" w:right="0"/>
        <w:jc w:val="both"/>
        <w:rPr>
          <w:b w:val="0"/>
          <w:bCs w:val="0"/>
        </w:rPr>
      </w:pPr>
      <w:r>
        <w:rPr/>
        <w:t>三、 </w:t>
      </w:r>
      <w:r>
        <w:rPr>
          <w:spacing w:val="113"/>
        </w:rPr>
        <w:t> </w:t>
      </w:r>
      <w:r>
        <w:rPr/>
        <w:t>公司基本情况</w:t>
      </w:r>
      <w:r>
        <w:rPr>
          <w:b w:val="0"/>
          <w:bCs w:val="0"/>
        </w:rPr>
      </w:r>
    </w:p>
    <w:p>
      <w:pPr>
        <w:pStyle w:val="Heading2"/>
        <w:spacing w:line="240" w:lineRule="auto" w:before="55"/>
        <w:ind w:left="137" w:right="0"/>
        <w:jc w:val="both"/>
        <w:rPr>
          <w:b w:val="0"/>
          <w:bCs w:val="0"/>
        </w:rPr>
      </w:pPr>
      <w:r>
        <w:rPr>
          <w:rFonts w:ascii="Calibri" w:hAnsi="Calibri" w:cs="Calibri" w:eastAsia="Calibri" w:hint="default"/>
        </w:rPr>
        <w:t>1.   </w:t>
      </w:r>
      <w:r>
        <w:rPr>
          <w:rFonts w:ascii="Calibri" w:hAnsi="Calibri" w:cs="Calibri" w:eastAsia="Calibri" w:hint="default"/>
          <w:spacing w:val="16"/>
        </w:rPr>
        <w:t> </w:t>
      </w:r>
      <w:r>
        <w:rPr/>
        <w:t>公司概况</w:t>
      </w:r>
      <w:r>
        <w:rPr>
          <w:b w:val="0"/>
          <w:bCs w:val="0"/>
        </w:rPr>
      </w:r>
    </w:p>
    <w:p>
      <w:pPr>
        <w:pStyle w:val="BodyText"/>
        <w:spacing w:line="312" w:lineRule="exact" w:before="118"/>
        <w:ind w:left="134" w:right="124" w:firstLine="480"/>
        <w:jc w:val="left"/>
      </w:pPr>
      <w:r>
        <w:rPr>
          <w:spacing w:val="-2"/>
        </w:rPr>
        <w:t>北京华胜天成科技股份有限公司（以下简称“本公司”）系经北京市人民政府批</w:t>
      </w:r>
      <w:r>
        <w:rPr/>
        <w:t> </w:t>
      </w:r>
      <w:r>
        <w:rPr>
          <w:spacing w:val="-9"/>
        </w:rPr>
        <w:t>准，</w:t>
      </w:r>
      <w:r>
        <w:rPr>
          <w:rFonts w:ascii="宋体" w:hAnsi="宋体" w:cs="宋体" w:eastAsia="宋体" w:hint="default"/>
          <w:spacing w:val="-9"/>
        </w:rPr>
        <w:t>2001</w:t>
      </w:r>
      <w:r>
        <w:rPr>
          <w:rFonts w:ascii="宋体" w:hAnsi="宋体" w:cs="宋体" w:eastAsia="宋体" w:hint="default"/>
          <w:spacing w:val="-60"/>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4"/>
        </w:rPr>
        <w:t>日，由北京华胜天成科技有限公司以</w:t>
      </w:r>
      <w:r>
        <w:rPr>
          <w:spacing w:val="-59"/>
        </w:rPr>
        <w:t> </w:t>
      </w:r>
      <w:r>
        <w:rPr>
          <w:rFonts w:ascii="宋体" w:hAnsi="宋体" w:cs="宋体" w:eastAsia="宋体" w:hint="default"/>
        </w:rPr>
        <w:t>2000</w:t>
      </w:r>
      <w:r>
        <w:rPr>
          <w:rFonts w:ascii="宋体" w:hAnsi="宋体" w:cs="宋体" w:eastAsia="宋体" w:hint="default"/>
          <w:spacing w:val="-59"/>
        </w:rPr>
        <w:t> </w:t>
      </w:r>
      <w:r>
        <w:rPr/>
        <w:t>年末净资产为基数按照</w:t>
      </w:r>
    </w:p>
    <w:p>
      <w:pPr>
        <w:pStyle w:val="BodyText"/>
        <w:spacing w:line="280" w:lineRule="exact"/>
        <w:ind w:left="134" w:right="0"/>
        <w:jc w:val="both"/>
      </w:pPr>
      <w:r>
        <w:rPr>
          <w:rFonts w:ascii="宋体" w:hAnsi="宋体" w:cs="宋体" w:eastAsia="宋体" w:hint="default"/>
        </w:rPr>
        <w:t>1:1</w:t>
      </w:r>
      <w:r>
        <w:rPr>
          <w:rFonts w:ascii="宋体" w:hAnsi="宋体" w:cs="宋体" w:eastAsia="宋体" w:hint="default"/>
          <w:spacing w:val="3"/>
        </w:rPr>
        <w:t> </w:t>
      </w:r>
      <w:r>
        <w:rPr>
          <w:spacing w:val="5"/>
        </w:rPr>
        <w:t>的折股比例整体改制的股份有限公司。经中国证券监督管理委员会证监发行字</w:t>
      </w:r>
      <w:r>
        <w:rPr/>
      </w:r>
    </w:p>
    <w:p>
      <w:pPr>
        <w:pStyle w:val="BodyText"/>
        <w:spacing w:line="312" w:lineRule="exact"/>
        <w:ind w:left="134" w:right="0"/>
        <w:jc w:val="both"/>
      </w:pPr>
      <w:r>
        <w:rPr>
          <w:rFonts w:ascii="宋体" w:hAnsi="宋体" w:cs="宋体" w:eastAsia="宋体" w:hint="default"/>
        </w:rPr>
        <w:t>[2004]38</w:t>
      </w:r>
      <w:r>
        <w:rPr>
          <w:rFonts w:ascii="宋体" w:hAnsi="宋体" w:cs="宋体" w:eastAsia="宋体" w:hint="default"/>
          <w:spacing w:val="-61"/>
        </w:rPr>
        <w:t> </w:t>
      </w:r>
      <w:r>
        <w:rPr/>
        <w:t>号文批准</w:t>
      </w:r>
      <w:r>
        <w:rPr>
          <w:spacing w:val="-106"/>
        </w:rPr>
        <w:t>，</w:t>
      </w:r>
      <w:r>
        <w:rPr/>
        <w:t>本公司采用向二级市场投资者定价配售的方式发行人民币普通股</w:t>
      </w:r>
    </w:p>
    <w:p>
      <w:pPr>
        <w:pStyle w:val="BodyText"/>
        <w:spacing w:line="313" w:lineRule="exact"/>
        <w:ind w:left="134" w:right="0"/>
        <w:jc w:val="both"/>
      </w:pPr>
      <w:r>
        <w:rPr/>
        <w:t>股票</w:t>
      </w:r>
      <w:r>
        <w:rPr>
          <w:spacing w:val="-60"/>
        </w:rPr>
        <w:t> </w:t>
      </w:r>
      <w:r>
        <w:rPr>
          <w:rFonts w:ascii="宋体" w:hAnsi="宋体" w:cs="宋体" w:eastAsia="宋体" w:hint="default"/>
        </w:rPr>
        <w:t>2400</w:t>
      </w:r>
      <w:r>
        <w:rPr>
          <w:rFonts w:ascii="宋体" w:hAnsi="宋体" w:cs="宋体" w:eastAsia="宋体" w:hint="default"/>
          <w:spacing w:val="-61"/>
        </w:rPr>
        <w:t> </w:t>
      </w:r>
      <w:r>
        <w:rPr/>
        <w:t>万股，并于</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日在上海证券交易所上市流通。</w:t>
      </w:r>
    </w:p>
    <w:p>
      <w:pPr>
        <w:pStyle w:val="BodyText"/>
        <w:spacing w:line="312" w:lineRule="exact" w:before="118"/>
        <w:ind w:left="614" w:right="0"/>
        <w:jc w:val="left"/>
      </w:pPr>
      <w:r>
        <w:rPr/>
        <w:t>根据本公司</w:t>
      </w:r>
      <w:r>
        <w:rPr>
          <w:spacing w:val="-60"/>
        </w:rPr>
        <w:t> </w:t>
      </w:r>
      <w:r>
        <w:rPr>
          <w:rFonts w:ascii="宋体" w:hAnsi="宋体" w:cs="宋体" w:eastAsia="宋体" w:hint="default"/>
        </w:rPr>
        <w:t>2004</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2004</w:t>
      </w:r>
      <w:r>
        <w:rPr>
          <w:rFonts w:ascii="宋体" w:hAnsi="宋体" w:cs="宋体" w:eastAsia="宋体" w:hint="default"/>
          <w:spacing w:val="-59"/>
        </w:rPr>
        <w:t> </w:t>
      </w:r>
      <w:r>
        <w:rPr/>
        <w:t>年末总股本</w:t>
      </w:r>
      <w:r>
        <w:rPr>
          <w:spacing w:val="-59"/>
        </w:rPr>
        <w:t> </w:t>
      </w:r>
      <w:r>
        <w:rPr>
          <w:rFonts w:ascii="宋体" w:hAnsi="宋体" w:cs="宋体" w:eastAsia="宋体" w:hint="default"/>
        </w:rPr>
        <w:t>9,400</w:t>
      </w:r>
      <w:r>
        <w:rPr>
          <w:rFonts w:ascii="宋体" w:hAnsi="宋体" w:cs="宋体" w:eastAsia="宋体" w:hint="default"/>
          <w:spacing w:val="-59"/>
        </w:rPr>
        <w:t> </w:t>
      </w:r>
      <w:r>
        <w:rPr/>
        <w:t>万股为</w:t>
      </w:r>
    </w:p>
    <w:p>
      <w:pPr>
        <w:pStyle w:val="BodyText"/>
        <w:spacing w:line="311" w:lineRule="exact"/>
        <w:ind w:left="134" w:right="0"/>
        <w:jc w:val="both"/>
        <w:rPr>
          <w:rFonts w:ascii="宋体" w:hAnsi="宋体" w:cs="宋体" w:eastAsia="宋体" w:hint="default"/>
        </w:rPr>
      </w:pPr>
      <w:r>
        <w:rPr/>
        <w:t>基数</w:t>
      </w:r>
      <w:r>
        <w:rPr>
          <w:spacing w:val="-120"/>
        </w:rPr>
        <w:t>，</w:t>
      </w:r>
      <w:r>
        <w:rPr/>
        <w:t>用上市溢</w:t>
      </w:r>
      <w:r>
        <w:rPr>
          <w:spacing w:val="-1"/>
        </w:rPr>
        <w:t>价</w:t>
      </w:r>
      <w:r>
        <w:rPr/>
        <w:t>发行股票产生的资本公积向全体股东每</w:t>
      </w:r>
      <w:r>
        <w:rPr>
          <w:spacing w:val="-82"/>
        </w:rPr>
        <w:t> </w:t>
      </w:r>
      <w:r>
        <w:rPr>
          <w:rFonts w:ascii="宋体" w:hAnsi="宋体" w:cs="宋体" w:eastAsia="宋体" w:hint="default"/>
        </w:rPr>
        <w:t>10</w:t>
      </w:r>
      <w:r>
        <w:rPr>
          <w:rFonts w:ascii="宋体" w:hAnsi="宋体" w:cs="宋体" w:eastAsia="宋体" w:hint="default"/>
          <w:spacing w:val="-82"/>
        </w:rPr>
        <w:t> </w:t>
      </w:r>
      <w:r>
        <w:rPr/>
        <w:t>股转增</w:t>
      </w:r>
      <w:r>
        <w:rPr>
          <w:spacing w:val="-82"/>
        </w:rPr>
        <w:t> </w:t>
      </w:r>
      <w:r>
        <w:rPr>
          <w:rFonts w:ascii="宋体" w:hAnsi="宋体" w:cs="宋体" w:eastAsia="宋体" w:hint="default"/>
        </w:rPr>
        <w:t>3</w:t>
      </w:r>
      <w:r>
        <w:rPr>
          <w:rFonts w:ascii="宋体" w:hAnsi="宋体" w:cs="宋体" w:eastAsia="宋体" w:hint="default"/>
          <w:spacing w:val="-80"/>
        </w:rPr>
        <w:t> </w:t>
      </w:r>
      <w:r>
        <w:rPr/>
        <w:t>股</w:t>
      </w:r>
      <w:r>
        <w:rPr>
          <w:spacing w:val="-120"/>
        </w:rPr>
        <w:t>，</w:t>
      </w:r>
      <w:r>
        <w:rPr/>
        <w:t>共转增</w:t>
      </w:r>
      <w:r>
        <w:rPr>
          <w:spacing w:val="-82"/>
        </w:rPr>
        <w:t> </w:t>
      </w:r>
      <w:r>
        <w:rPr>
          <w:rFonts w:ascii="宋体" w:hAnsi="宋体" w:cs="宋体" w:eastAsia="宋体" w:hint="default"/>
        </w:rPr>
        <w:t>2,820</w:t>
      </w:r>
    </w:p>
    <w:p>
      <w:pPr>
        <w:pStyle w:val="BodyText"/>
        <w:spacing w:line="313" w:lineRule="exact"/>
        <w:ind w:left="134" w:right="0"/>
        <w:jc w:val="both"/>
      </w:pPr>
      <w:r>
        <w:rPr/>
        <w:t>万股，转增后的股本总额为</w:t>
      </w:r>
      <w:r>
        <w:rPr>
          <w:spacing w:val="-61"/>
        </w:rPr>
        <w:t> </w:t>
      </w:r>
      <w:r>
        <w:rPr>
          <w:rFonts w:ascii="宋体" w:hAnsi="宋体" w:cs="宋体" w:eastAsia="宋体" w:hint="default"/>
        </w:rPr>
        <w:t>12,220</w:t>
      </w:r>
      <w:r>
        <w:rPr>
          <w:rFonts w:ascii="宋体" w:hAnsi="宋体" w:cs="宋体" w:eastAsia="宋体" w:hint="default"/>
          <w:spacing w:val="-61"/>
        </w:rPr>
        <w:t> </w:t>
      </w:r>
      <w:r>
        <w:rPr/>
        <w:t>万股，注册资本变更为人民币</w:t>
      </w:r>
      <w:r>
        <w:rPr>
          <w:spacing w:val="-61"/>
        </w:rPr>
        <w:t> </w:t>
      </w:r>
      <w:r>
        <w:rPr>
          <w:rFonts w:ascii="宋体" w:hAnsi="宋体" w:cs="宋体" w:eastAsia="宋体" w:hint="default"/>
        </w:rPr>
        <w:t>12,220</w:t>
      </w:r>
      <w:r>
        <w:rPr>
          <w:rFonts w:ascii="宋体" w:hAnsi="宋体" w:cs="宋体" w:eastAsia="宋体" w:hint="default"/>
          <w:spacing w:val="-61"/>
        </w:rPr>
        <w:t> </w:t>
      </w:r>
      <w:r>
        <w:rPr/>
        <w:t>万元。</w:t>
      </w:r>
    </w:p>
    <w:p>
      <w:pPr>
        <w:pStyle w:val="BodyText"/>
        <w:spacing w:line="312" w:lineRule="exact" w:before="118"/>
        <w:ind w:left="614" w:right="0"/>
        <w:jc w:val="left"/>
      </w:pPr>
      <w:r>
        <w:rPr/>
        <w:t>根据本公司</w:t>
      </w:r>
      <w:r>
        <w:rPr>
          <w:spacing w:val="-49"/>
        </w:rPr>
        <w:t> </w:t>
      </w:r>
      <w:r>
        <w:rPr>
          <w:rFonts w:ascii="宋体" w:hAnsi="宋体" w:cs="宋体" w:eastAsia="宋体" w:hint="default"/>
        </w:rPr>
        <w:t>2005</w:t>
      </w:r>
      <w:r>
        <w:rPr>
          <w:rFonts w:ascii="宋体" w:hAnsi="宋体" w:cs="宋体" w:eastAsia="宋体" w:hint="default"/>
          <w:spacing w:val="-48"/>
        </w:rPr>
        <w:t> </w:t>
      </w:r>
      <w:r>
        <w:rPr/>
        <w:t>年年度股东大会决议，本公司以</w:t>
      </w:r>
      <w:r>
        <w:rPr>
          <w:spacing w:val="-48"/>
        </w:rPr>
        <w:t> </w:t>
      </w:r>
      <w:r>
        <w:rPr>
          <w:rFonts w:ascii="宋体" w:hAnsi="宋体" w:cs="宋体" w:eastAsia="宋体" w:hint="default"/>
        </w:rPr>
        <w:t>2005</w:t>
      </w:r>
      <w:r>
        <w:rPr>
          <w:rFonts w:ascii="宋体" w:hAnsi="宋体" w:cs="宋体" w:eastAsia="宋体" w:hint="default"/>
          <w:spacing w:val="-48"/>
        </w:rPr>
        <w:t> </w:t>
      </w:r>
      <w:r>
        <w:rPr/>
        <w:t>年末总股本</w:t>
      </w:r>
      <w:r>
        <w:rPr>
          <w:spacing w:val="-46"/>
        </w:rPr>
        <w:t> </w:t>
      </w:r>
      <w:r>
        <w:rPr>
          <w:rFonts w:ascii="宋体" w:hAnsi="宋体" w:cs="宋体" w:eastAsia="宋体" w:hint="default"/>
        </w:rPr>
        <w:t>12,220</w:t>
      </w:r>
      <w:r>
        <w:rPr>
          <w:rFonts w:ascii="宋体" w:hAnsi="宋体" w:cs="宋体" w:eastAsia="宋体" w:hint="default"/>
          <w:spacing w:val="-48"/>
        </w:rPr>
        <w:t> </w:t>
      </w:r>
      <w:r>
        <w:rPr/>
        <w:t>万股</w:t>
      </w:r>
    </w:p>
    <w:p>
      <w:pPr>
        <w:pStyle w:val="BodyText"/>
        <w:spacing w:line="311" w:lineRule="exact"/>
        <w:ind w:left="134" w:right="0"/>
        <w:jc w:val="both"/>
      </w:pPr>
      <w:r>
        <w:rPr/>
        <w:t>为基数，用上市溢价发行股票产生的资本公积向全体股东每</w:t>
      </w:r>
      <w:r>
        <w:rPr>
          <w:spacing w:val="-42"/>
        </w:rPr>
        <w:t> </w:t>
      </w:r>
      <w:r>
        <w:rPr>
          <w:rFonts w:ascii="宋体" w:hAnsi="宋体" w:cs="宋体" w:eastAsia="宋体" w:hint="default"/>
        </w:rPr>
        <w:t>10</w:t>
      </w:r>
      <w:r>
        <w:rPr>
          <w:rFonts w:ascii="宋体" w:hAnsi="宋体" w:cs="宋体" w:eastAsia="宋体" w:hint="default"/>
          <w:spacing w:val="-42"/>
        </w:rPr>
        <w:t> </w:t>
      </w:r>
      <w:r>
        <w:rPr/>
        <w:t>股转增</w:t>
      </w:r>
      <w:r>
        <w:rPr>
          <w:spacing w:val="-42"/>
        </w:rPr>
        <w:t> </w:t>
      </w:r>
      <w:r>
        <w:rPr>
          <w:rFonts w:ascii="宋体" w:hAnsi="宋体" w:cs="宋体" w:eastAsia="宋体" w:hint="default"/>
        </w:rPr>
        <w:t>5</w:t>
      </w:r>
      <w:r>
        <w:rPr>
          <w:rFonts w:ascii="宋体" w:hAnsi="宋体" w:cs="宋体" w:eastAsia="宋体" w:hint="default"/>
          <w:spacing w:val="-42"/>
        </w:rPr>
        <w:t> </w:t>
      </w:r>
      <w:r>
        <w:rPr/>
        <w:t>股，共转增</w:t>
      </w:r>
    </w:p>
    <w:p>
      <w:pPr>
        <w:pStyle w:val="BodyText"/>
        <w:spacing w:line="313" w:lineRule="exact"/>
        <w:ind w:left="134" w:right="0"/>
        <w:jc w:val="both"/>
      </w:pPr>
      <w:r>
        <w:rPr>
          <w:rFonts w:ascii="宋体" w:hAnsi="宋体" w:cs="宋体" w:eastAsia="宋体" w:hint="default"/>
        </w:rPr>
        <w:t>6,110</w:t>
      </w:r>
      <w:r>
        <w:rPr>
          <w:rFonts w:ascii="宋体" w:hAnsi="宋体" w:cs="宋体" w:eastAsia="宋体" w:hint="default"/>
          <w:spacing w:val="-60"/>
        </w:rPr>
        <w:t> </w:t>
      </w:r>
      <w:r>
        <w:rPr/>
        <w:t>万股</w:t>
      </w:r>
      <w:r>
        <w:rPr>
          <w:spacing w:val="-113"/>
        </w:rPr>
        <w:t>，</w:t>
      </w:r>
      <w:r>
        <w:rPr>
          <w:spacing w:val="-1"/>
        </w:rPr>
        <w:t>转</w:t>
      </w:r>
      <w:r>
        <w:rPr/>
        <w:t>增后的股本总额为</w:t>
      </w:r>
      <w:r>
        <w:rPr>
          <w:spacing w:val="-60"/>
        </w:rPr>
        <w:t> </w:t>
      </w:r>
      <w:r>
        <w:rPr>
          <w:rFonts w:ascii="宋体" w:hAnsi="宋体" w:cs="宋体" w:eastAsia="宋体" w:hint="default"/>
        </w:rPr>
        <w:t>18,330</w:t>
      </w:r>
      <w:r>
        <w:rPr>
          <w:rFonts w:ascii="宋体" w:hAnsi="宋体" w:cs="宋体" w:eastAsia="宋体" w:hint="default"/>
          <w:spacing w:val="-60"/>
        </w:rPr>
        <w:t> </w:t>
      </w:r>
      <w:r>
        <w:rPr/>
        <w:t>万股</w:t>
      </w:r>
      <w:r>
        <w:rPr>
          <w:spacing w:val="-113"/>
        </w:rPr>
        <w:t>，</w:t>
      </w:r>
      <w:r>
        <w:rPr/>
        <w:t>注册资本变更为人民币</w:t>
      </w:r>
      <w:r>
        <w:rPr>
          <w:spacing w:val="-60"/>
        </w:rPr>
        <w:t> </w:t>
      </w:r>
      <w:r>
        <w:rPr>
          <w:rFonts w:ascii="宋体" w:hAnsi="宋体" w:cs="宋体" w:eastAsia="宋体" w:hint="default"/>
        </w:rPr>
        <w:t>18,330</w:t>
      </w:r>
      <w:r>
        <w:rPr>
          <w:rFonts w:ascii="宋体" w:hAnsi="宋体" w:cs="宋体" w:eastAsia="宋体" w:hint="default"/>
          <w:spacing w:val="-60"/>
        </w:rPr>
        <w:t> </w:t>
      </w:r>
      <w:r>
        <w:rPr/>
        <w:t>万元。</w:t>
      </w:r>
    </w:p>
    <w:p>
      <w:pPr>
        <w:pStyle w:val="BodyText"/>
        <w:spacing w:line="312" w:lineRule="exact" w:before="118"/>
        <w:ind w:left="614" w:right="0"/>
        <w:jc w:val="left"/>
      </w:pPr>
      <w:r>
        <w:rPr/>
        <w:t>根据本公司</w:t>
      </w:r>
      <w:r>
        <w:rPr>
          <w:spacing w:val="-68"/>
        </w:rPr>
        <w:t> </w:t>
      </w:r>
      <w:r>
        <w:rPr>
          <w:rFonts w:ascii="宋体" w:hAnsi="宋体" w:cs="宋体" w:eastAsia="宋体" w:hint="default"/>
        </w:rPr>
        <w:t>2006</w:t>
      </w:r>
      <w:r>
        <w:rPr>
          <w:rFonts w:ascii="宋体" w:hAnsi="宋体" w:cs="宋体" w:eastAsia="宋体" w:hint="default"/>
          <w:spacing w:val="-68"/>
        </w:rPr>
        <w:t> </w:t>
      </w:r>
      <w:r>
        <w:rPr/>
        <w:t>年</w:t>
      </w:r>
      <w:r>
        <w:rPr>
          <w:spacing w:val="-67"/>
        </w:rPr>
        <w:t> </w:t>
      </w:r>
      <w:r>
        <w:rPr>
          <w:rFonts w:ascii="宋体" w:hAnsi="宋体" w:cs="宋体" w:eastAsia="宋体" w:hint="default"/>
        </w:rPr>
        <w:t>5</w:t>
      </w:r>
      <w:r>
        <w:rPr>
          <w:rFonts w:ascii="宋体" w:hAnsi="宋体" w:cs="宋体" w:eastAsia="宋体" w:hint="default"/>
          <w:spacing w:val="-68"/>
        </w:rPr>
        <w:t> </w:t>
      </w:r>
      <w:r>
        <w:rPr/>
        <w:t>月</w:t>
      </w:r>
      <w:r>
        <w:rPr>
          <w:spacing w:val="-68"/>
        </w:rPr>
        <w:t> </w:t>
      </w:r>
      <w:r>
        <w:rPr>
          <w:rFonts w:ascii="宋体" w:hAnsi="宋体" w:cs="宋体" w:eastAsia="宋体" w:hint="default"/>
        </w:rPr>
        <w:t>11</w:t>
      </w:r>
      <w:r>
        <w:rPr>
          <w:rFonts w:ascii="宋体" w:hAnsi="宋体" w:cs="宋体" w:eastAsia="宋体" w:hint="default"/>
          <w:spacing w:val="-68"/>
        </w:rPr>
        <w:t> </w:t>
      </w:r>
      <w:r>
        <w:rPr/>
        <w:t>日召开的北京华胜天成科技股份有限公司股权分置改</w:t>
      </w:r>
    </w:p>
    <w:p>
      <w:pPr>
        <w:pStyle w:val="BodyText"/>
        <w:spacing w:line="311" w:lineRule="exact"/>
        <w:ind w:left="134" w:right="0"/>
        <w:jc w:val="both"/>
      </w:pPr>
      <w:r>
        <w:rPr/>
        <w:t>革相关股东会审议通过并于</w:t>
      </w:r>
      <w:r>
        <w:rPr>
          <w:spacing w:val="-59"/>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3"/>
        </w:rPr>
        <w:t>日实施的《股权分置改革方案》，本公司</w:t>
      </w:r>
    </w:p>
    <w:p>
      <w:pPr>
        <w:pStyle w:val="BodyText"/>
        <w:spacing w:line="237" w:lineRule="auto" w:before="1"/>
        <w:ind w:left="134" w:right="131"/>
        <w:jc w:val="both"/>
      </w:pPr>
      <w:r>
        <w:rPr/>
        <w:t>非流通股股东按每</w:t>
      </w:r>
      <w:r>
        <w:rPr>
          <w:spacing w:val="-42"/>
        </w:rPr>
        <w:t> </w:t>
      </w:r>
      <w:r>
        <w:rPr>
          <w:rFonts w:ascii="宋体" w:hAnsi="宋体" w:cs="宋体" w:eastAsia="宋体" w:hint="default"/>
        </w:rPr>
        <w:t>10</w:t>
      </w:r>
      <w:r>
        <w:rPr>
          <w:rFonts w:ascii="宋体" w:hAnsi="宋体" w:cs="宋体" w:eastAsia="宋体" w:hint="default"/>
          <w:spacing w:val="-42"/>
        </w:rPr>
        <w:t> </w:t>
      </w:r>
      <w:r>
        <w:rPr/>
        <w:t>股支付</w:t>
      </w:r>
      <w:r>
        <w:rPr>
          <w:spacing w:val="-42"/>
        </w:rPr>
        <w:t> </w:t>
      </w:r>
      <w:r>
        <w:rPr>
          <w:rFonts w:ascii="宋体" w:hAnsi="宋体" w:cs="宋体" w:eastAsia="宋体" w:hint="default"/>
        </w:rPr>
        <w:t>2.8</w:t>
      </w:r>
      <w:r>
        <w:rPr>
          <w:rFonts w:ascii="宋体" w:hAnsi="宋体" w:cs="宋体" w:eastAsia="宋体" w:hint="default"/>
          <w:spacing w:val="-42"/>
        </w:rPr>
        <w:t> </w:t>
      </w:r>
      <w:r>
        <w:rPr/>
        <w:t>股对价股份给流通股股东，以换取其所持有的其余 </w:t>
      </w:r>
      <w:r>
        <w:rPr>
          <w:spacing w:val="-2"/>
        </w:rPr>
        <w:t>非流通股股份获得上市流通权。本次股权分置方案实施后，本公司总股本不变，仍为</w:t>
      </w:r>
      <w:r>
        <w:rPr>
          <w:spacing w:val="-92"/>
        </w:rPr>
        <w:t> </w:t>
      </w:r>
      <w:r>
        <w:rPr>
          <w:spacing w:val="-92"/>
        </w:rPr>
      </w:r>
      <w:r>
        <w:rPr>
          <w:rFonts w:ascii="宋体" w:hAnsi="宋体" w:cs="宋体" w:eastAsia="宋体" w:hint="default"/>
        </w:rPr>
        <w:t>18,330</w:t>
      </w:r>
      <w:r>
        <w:rPr>
          <w:rFonts w:ascii="宋体" w:hAnsi="宋体" w:cs="宋体" w:eastAsia="宋体" w:hint="default"/>
          <w:spacing w:val="-59"/>
        </w:rPr>
        <w:t> </w:t>
      </w:r>
      <w:r>
        <w:rPr>
          <w:spacing w:val="-3"/>
        </w:rPr>
        <w:t>万股，所有股份均为流通股，其中无限售条件的流通股为</w:t>
      </w:r>
      <w:r>
        <w:rPr>
          <w:spacing w:val="-58"/>
        </w:rPr>
        <w:t> </w:t>
      </w:r>
      <w:r>
        <w:rPr>
          <w:rFonts w:ascii="宋体" w:hAnsi="宋体" w:cs="宋体" w:eastAsia="宋体" w:hint="default"/>
        </w:rPr>
        <w:t>5,990.4</w:t>
      </w:r>
      <w:r>
        <w:rPr>
          <w:rFonts w:ascii="宋体" w:hAnsi="宋体" w:cs="宋体" w:eastAsia="宋体" w:hint="default"/>
          <w:spacing w:val="-58"/>
        </w:rPr>
        <w:t> </w:t>
      </w:r>
      <w:r>
        <w:rPr>
          <w:spacing w:val="-8"/>
        </w:rPr>
        <w:t>万股，占本</w:t>
      </w:r>
      <w:r>
        <w:rPr/>
        <w:t> 公司总股本的</w:t>
      </w:r>
      <w:r>
        <w:rPr>
          <w:spacing w:val="20"/>
        </w:rPr>
        <w:t> </w:t>
      </w:r>
      <w:r>
        <w:rPr>
          <w:rFonts w:ascii="宋体" w:hAnsi="宋体" w:cs="宋体" w:eastAsia="宋体" w:hint="default"/>
        </w:rPr>
        <w:t>32.68%</w:t>
      </w:r>
      <w:r>
        <w:rPr/>
        <w:t>；有限售条件的流通股为</w:t>
      </w:r>
      <w:r>
        <w:rPr>
          <w:spacing w:val="21"/>
        </w:rPr>
        <w:t> </w:t>
      </w:r>
      <w:r>
        <w:rPr>
          <w:rFonts w:ascii="宋体" w:hAnsi="宋体" w:cs="宋体" w:eastAsia="宋体" w:hint="default"/>
        </w:rPr>
        <w:t>12,339.6</w:t>
      </w:r>
      <w:r>
        <w:rPr>
          <w:rFonts w:ascii="宋体" w:hAnsi="宋体" w:cs="宋体" w:eastAsia="宋体" w:hint="default"/>
          <w:spacing w:val="20"/>
        </w:rPr>
        <w:t> </w:t>
      </w:r>
      <w:r>
        <w:rPr/>
        <w:t>万股，占本公司总股本的</w:t>
      </w:r>
      <w:r>
        <w:rPr>
          <w:spacing w:val="-117"/>
        </w:rPr>
        <w:t> </w:t>
      </w:r>
      <w:r>
        <w:rPr>
          <w:spacing w:val="-117"/>
        </w:rPr>
      </w:r>
      <w:r>
        <w:rPr>
          <w:rFonts w:ascii="宋体" w:hAnsi="宋体" w:cs="宋体" w:eastAsia="宋体" w:hint="default"/>
        </w:rPr>
        <w:t>67.32%</w:t>
      </w:r>
      <w:r>
        <w:rPr/>
        <w:t>。</w:t>
      </w:r>
    </w:p>
    <w:p>
      <w:pPr>
        <w:pStyle w:val="BodyText"/>
        <w:spacing w:line="313" w:lineRule="exact" w:before="116"/>
        <w:ind w:left="614" w:right="0"/>
        <w:jc w:val="left"/>
      </w:pPr>
      <w:r>
        <w:rPr/>
        <w:t>根据本公司</w:t>
      </w:r>
      <w:r>
        <w:rPr>
          <w:spacing w:val="-49"/>
        </w:rPr>
        <w:t> </w:t>
      </w:r>
      <w:r>
        <w:rPr>
          <w:rFonts w:ascii="宋体" w:hAnsi="宋体" w:cs="宋体" w:eastAsia="宋体" w:hint="default"/>
        </w:rPr>
        <w:t>2006</w:t>
      </w:r>
      <w:r>
        <w:rPr>
          <w:rFonts w:ascii="宋体" w:hAnsi="宋体" w:cs="宋体" w:eastAsia="宋体" w:hint="default"/>
          <w:spacing w:val="-48"/>
        </w:rPr>
        <w:t> </w:t>
      </w:r>
      <w:r>
        <w:rPr/>
        <w:t>年年度股东大会决议，本公司以</w:t>
      </w:r>
      <w:r>
        <w:rPr>
          <w:spacing w:val="-48"/>
        </w:rPr>
        <w:t> </w:t>
      </w:r>
      <w:r>
        <w:rPr>
          <w:rFonts w:ascii="宋体" w:hAnsi="宋体" w:cs="宋体" w:eastAsia="宋体" w:hint="default"/>
        </w:rPr>
        <w:t>2006</w:t>
      </w:r>
      <w:r>
        <w:rPr>
          <w:rFonts w:ascii="宋体" w:hAnsi="宋体" w:cs="宋体" w:eastAsia="宋体" w:hint="default"/>
          <w:spacing w:val="-48"/>
        </w:rPr>
        <w:t> </w:t>
      </w:r>
      <w:r>
        <w:rPr/>
        <w:t>年末总股本</w:t>
      </w:r>
      <w:r>
        <w:rPr>
          <w:spacing w:val="-46"/>
        </w:rPr>
        <w:t> </w:t>
      </w:r>
      <w:r>
        <w:rPr>
          <w:rFonts w:ascii="宋体" w:hAnsi="宋体" w:cs="宋体" w:eastAsia="宋体" w:hint="default"/>
        </w:rPr>
        <w:t>18,330</w:t>
      </w:r>
      <w:r>
        <w:rPr>
          <w:rFonts w:ascii="宋体" w:hAnsi="宋体" w:cs="宋体" w:eastAsia="宋体" w:hint="default"/>
          <w:spacing w:val="-48"/>
        </w:rPr>
        <w:t> </w:t>
      </w:r>
      <w:r>
        <w:rPr/>
        <w:t>万股</w:t>
      </w:r>
    </w:p>
    <w:p>
      <w:pPr>
        <w:pStyle w:val="BodyText"/>
        <w:spacing w:line="312" w:lineRule="exact"/>
        <w:ind w:left="134" w:right="0"/>
        <w:jc w:val="both"/>
      </w:pPr>
      <w:r>
        <w:rPr/>
        <w:t>为基数，用上市溢价发行股票产生的资本公积向全体股东每</w:t>
      </w:r>
      <w:r>
        <w:rPr>
          <w:spacing w:val="-42"/>
        </w:rPr>
        <w:t> </w:t>
      </w:r>
      <w:r>
        <w:rPr>
          <w:rFonts w:ascii="宋体" w:hAnsi="宋体" w:cs="宋体" w:eastAsia="宋体" w:hint="default"/>
        </w:rPr>
        <w:t>10</w:t>
      </w:r>
      <w:r>
        <w:rPr>
          <w:rFonts w:ascii="宋体" w:hAnsi="宋体" w:cs="宋体" w:eastAsia="宋体" w:hint="default"/>
          <w:spacing w:val="-42"/>
        </w:rPr>
        <w:t> </w:t>
      </w:r>
      <w:r>
        <w:rPr/>
        <w:t>股转增</w:t>
      </w:r>
      <w:r>
        <w:rPr>
          <w:spacing w:val="-42"/>
        </w:rPr>
        <w:t> </w:t>
      </w:r>
      <w:r>
        <w:rPr>
          <w:rFonts w:ascii="宋体" w:hAnsi="宋体" w:cs="宋体" w:eastAsia="宋体" w:hint="default"/>
        </w:rPr>
        <w:t>8</w:t>
      </w:r>
      <w:r>
        <w:rPr>
          <w:rFonts w:ascii="宋体" w:hAnsi="宋体" w:cs="宋体" w:eastAsia="宋体" w:hint="default"/>
          <w:spacing w:val="-42"/>
        </w:rPr>
        <w:t> </w:t>
      </w:r>
      <w:r>
        <w:rPr/>
        <w:t>股，共转增</w:t>
      </w:r>
    </w:p>
    <w:p>
      <w:pPr>
        <w:pStyle w:val="BodyText"/>
        <w:spacing w:line="312" w:lineRule="exact"/>
        <w:ind w:left="134" w:right="0"/>
        <w:jc w:val="both"/>
      </w:pPr>
      <w:r>
        <w:rPr>
          <w:rFonts w:ascii="宋体" w:hAnsi="宋体" w:cs="宋体" w:eastAsia="宋体" w:hint="default"/>
        </w:rPr>
        <w:t>14,664</w:t>
      </w:r>
      <w:r>
        <w:rPr>
          <w:rFonts w:ascii="宋体" w:hAnsi="宋体" w:cs="宋体" w:eastAsia="宋体" w:hint="default"/>
          <w:spacing w:val="-82"/>
        </w:rPr>
        <w:t> </w:t>
      </w:r>
      <w:r>
        <w:rPr/>
        <w:t>万股</w:t>
      </w:r>
      <w:r>
        <w:rPr>
          <w:spacing w:val="-120"/>
        </w:rPr>
        <w:t>，</w:t>
      </w:r>
      <w:r>
        <w:rPr/>
        <w:t>转增后的股本总额为</w:t>
      </w:r>
      <w:r>
        <w:rPr>
          <w:spacing w:val="-82"/>
        </w:rPr>
        <w:t> </w:t>
      </w:r>
      <w:r>
        <w:rPr>
          <w:rFonts w:ascii="宋体" w:hAnsi="宋体" w:cs="宋体" w:eastAsia="宋体" w:hint="default"/>
        </w:rPr>
        <w:t>32,994</w:t>
      </w:r>
      <w:r>
        <w:rPr>
          <w:rFonts w:ascii="宋体" w:hAnsi="宋体" w:cs="宋体" w:eastAsia="宋体" w:hint="default"/>
          <w:spacing w:val="-82"/>
        </w:rPr>
        <w:t> </w:t>
      </w:r>
      <w:r>
        <w:rPr>
          <w:spacing w:val="2"/>
        </w:rPr>
        <w:t>万</w:t>
      </w:r>
      <w:r>
        <w:rPr/>
        <w:t>股</w:t>
      </w:r>
      <w:r>
        <w:rPr>
          <w:spacing w:val="-120"/>
        </w:rPr>
        <w:t>，</w:t>
      </w:r>
      <w:r>
        <w:rPr/>
        <w:t>注册资本变更为人民币</w:t>
      </w:r>
      <w:r>
        <w:rPr>
          <w:spacing w:val="-82"/>
        </w:rPr>
        <w:t> </w:t>
      </w:r>
      <w:r>
        <w:rPr>
          <w:rFonts w:ascii="宋体" w:hAnsi="宋体" w:cs="宋体" w:eastAsia="宋体" w:hint="default"/>
        </w:rPr>
        <w:t>32,994</w:t>
      </w:r>
      <w:r>
        <w:rPr>
          <w:rFonts w:ascii="宋体" w:hAnsi="宋体" w:cs="宋体" w:eastAsia="宋体" w:hint="default"/>
          <w:spacing w:val="-81"/>
        </w:rPr>
        <w:t> </w:t>
      </w:r>
      <w:r>
        <w:rPr/>
        <w:t>万元。</w:t>
      </w:r>
    </w:p>
    <w:p>
      <w:pPr>
        <w:pStyle w:val="BodyText"/>
        <w:spacing w:line="237" w:lineRule="auto" w:before="1"/>
        <w:ind w:left="134" w:right="134"/>
        <w:jc w:val="both"/>
      </w:pPr>
      <w:r>
        <w:rPr/>
        <w:t>本次增资后，本公司总股本变更为 </w:t>
      </w:r>
      <w:r>
        <w:rPr>
          <w:rFonts w:ascii="宋体" w:hAnsi="宋体" w:cs="宋体" w:eastAsia="宋体" w:hint="default"/>
        </w:rPr>
        <w:t>32,994</w:t>
      </w:r>
      <w:r>
        <w:rPr>
          <w:rFonts w:ascii="宋体" w:hAnsi="宋体" w:cs="宋体" w:eastAsia="宋体" w:hint="default"/>
          <w:spacing w:val="-48"/>
        </w:rPr>
        <w:t> </w:t>
      </w:r>
      <w:r>
        <w:rPr/>
        <w:t>万股，所有股份均为流通股，其中无限售 条件的流通股为</w:t>
      </w:r>
      <w:r>
        <w:rPr>
          <w:spacing w:val="-55"/>
        </w:rPr>
        <w:t> </w:t>
      </w:r>
      <w:r>
        <w:rPr>
          <w:rFonts w:ascii="宋体" w:hAnsi="宋体" w:cs="宋体" w:eastAsia="宋体" w:hint="default"/>
        </w:rPr>
        <w:t>10,782.72</w:t>
      </w:r>
      <w:r>
        <w:rPr>
          <w:rFonts w:ascii="宋体" w:hAnsi="宋体" w:cs="宋体" w:eastAsia="宋体" w:hint="default"/>
          <w:spacing w:val="-55"/>
        </w:rPr>
        <w:t> </w:t>
      </w:r>
      <w:r>
        <w:rPr>
          <w:spacing w:val="-5"/>
        </w:rPr>
        <w:t>万股，占本公司总股本的</w:t>
      </w:r>
      <w:r>
        <w:rPr>
          <w:spacing w:val="-55"/>
        </w:rPr>
        <w:t> </w:t>
      </w:r>
      <w:r>
        <w:rPr>
          <w:rFonts w:ascii="宋体" w:hAnsi="宋体" w:cs="宋体" w:eastAsia="宋体" w:hint="default"/>
          <w:spacing w:val="-4"/>
        </w:rPr>
        <w:t>32.68%</w:t>
      </w:r>
      <w:r>
        <w:rPr>
          <w:spacing w:val="-4"/>
        </w:rPr>
        <w:t>；有限售条件的流通股为</w:t>
      </w:r>
      <w:r>
        <w:rPr/>
        <w:t> </w:t>
      </w:r>
      <w:r>
        <w:rPr>
          <w:rFonts w:ascii="宋体" w:hAnsi="宋体" w:cs="宋体" w:eastAsia="宋体" w:hint="default"/>
        </w:rPr>
        <w:t>22,211.28</w:t>
      </w:r>
      <w:r>
        <w:rPr>
          <w:rFonts w:ascii="宋体" w:hAnsi="宋体" w:cs="宋体" w:eastAsia="宋体" w:hint="default"/>
          <w:spacing w:val="-61"/>
        </w:rPr>
        <w:t> </w:t>
      </w:r>
      <w:r>
        <w:rPr/>
        <w:t>万股，占本公司总股本的</w:t>
      </w:r>
      <w:r>
        <w:rPr>
          <w:spacing w:val="-60"/>
        </w:rPr>
        <w:t> </w:t>
      </w:r>
      <w:r>
        <w:rPr>
          <w:rFonts w:ascii="宋体" w:hAnsi="宋体" w:cs="宋体" w:eastAsia="宋体" w:hint="default"/>
        </w:rPr>
        <w:t>67.32%</w:t>
      </w:r>
      <w:r>
        <w:rPr/>
        <w:t>。</w:t>
      </w:r>
    </w:p>
    <w:p>
      <w:pPr>
        <w:pStyle w:val="BodyText"/>
        <w:spacing w:line="237" w:lineRule="auto" w:before="121"/>
        <w:ind w:left="134" w:right="133" w:firstLine="480"/>
        <w:jc w:val="both"/>
      </w:pPr>
      <w:r>
        <w:rPr/>
        <w:t>根据本公司 </w:t>
      </w:r>
      <w:r>
        <w:rPr>
          <w:rFonts w:ascii="宋体" w:hAnsi="宋体" w:cs="宋体" w:eastAsia="宋体" w:hint="default"/>
        </w:rPr>
        <w:t>2007</w:t>
      </w:r>
      <w:r>
        <w:rPr>
          <w:rFonts w:ascii="宋体" w:hAnsi="宋体" w:cs="宋体" w:eastAsia="宋体" w:hint="default"/>
          <w:spacing w:val="-47"/>
        </w:rPr>
        <w:t> </w:t>
      </w:r>
      <w:r>
        <w:rPr/>
        <w:t>年第一次临时股东大会决议，并经中国证券监督管理委员会下 发的证监发行字</w:t>
      </w:r>
      <w:r>
        <w:rPr>
          <w:rFonts w:ascii="宋体" w:hAnsi="宋体" w:cs="宋体" w:eastAsia="宋体" w:hint="default"/>
        </w:rPr>
        <w:t>[2007]218</w:t>
      </w:r>
      <w:r>
        <w:rPr>
          <w:rFonts w:ascii="宋体" w:hAnsi="宋体" w:cs="宋体" w:eastAsia="宋体" w:hint="default"/>
          <w:spacing w:val="-46"/>
        </w:rPr>
        <w:t> </w:t>
      </w:r>
      <w:r>
        <w:rPr/>
        <w:t>号《关于核准北京华胜天成科技股份有限公司非公开发行 股票的通知》的批准，本公司非公开发行股票 </w:t>
      </w:r>
      <w:r>
        <w:rPr>
          <w:rFonts w:ascii="宋体" w:hAnsi="宋体" w:cs="宋体" w:eastAsia="宋体" w:hint="default"/>
        </w:rPr>
        <w:t>1,931.43</w:t>
      </w:r>
      <w:r>
        <w:rPr>
          <w:rFonts w:ascii="宋体" w:hAnsi="宋体" w:cs="宋体" w:eastAsia="宋体" w:hint="default"/>
          <w:spacing w:val="-47"/>
        </w:rPr>
        <w:t> </w:t>
      </w:r>
      <w:r>
        <w:rPr/>
        <w:t>万股，增发后的股本总额为</w:t>
      </w:r>
    </w:p>
    <w:p>
      <w:pPr>
        <w:pStyle w:val="BodyText"/>
        <w:spacing w:line="310" w:lineRule="exact"/>
        <w:ind w:left="134" w:right="0"/>
        <w:jc w:val="both"/>
      </w:pPr>
      <w:r>
        <w:rPr>
          <w:rFonts w:ascii="宋体" w:hAnsi="宋体" w:cs="宋体" w:eastAsia="宋体" w:hint="default"/>
        </w:rPr>
        <w:t>34,925.43</w:t>
      </w:r>
      <w:r>
        <w:rPr>
          <w:rFonts w:ascii="宋体" w:hAnsi="宋体" w:cs="宋体" w:eastAsia="宋体" w:hint="default"/>
          <w:spacing w:val="-56"/>
        </w:rPr>
        <w:t> </w:t>
      </w:r>
      <w:r>
        <w:rPr/>
        <w:t>万股，注册资本变更为人民币</w:t>
      </w:r>
      <w:r>
        <w:rPr>
          <w:spacing w:val="-56"/>
        </w:rPr>
        <w:t> </w:t>
      </w:r>
      <w:r>
        <w:rPr>
          <w:rFonts w:ascii="宋体" w:hAnsi="宋体" w:cs="宋体" w:eastAsia="宋体" w:hint="default"/>
        </w:rPr>
        <w:t>34,925.43</w:t>
      </w:r>
      <w:r>
        <w:rPr>
          <w:rFonts w:ascii="宋体" w:hAnsi="宋体" w:cs="宋体" w:eastAsia="宋体" w:hint="default"/>
          <w:spacing w:val="-55"/>
        </w:rPr>
        <w:t> </w:t>
      </w:r>
      <w:r>
        <w:rPr/>
        <w:t>万元。本次增资后，本公司总股</w:t>
      </w:r>
    </w:p>
    <w:p>
      <w:pPr>
        <w:pStyle w:val="BodyText"/>
        <w:spacing w:line="311" w:lineRule="exact"/>
        <w:ind w:left="134" w:right="0"/>
        <w:jc w:val="both"/>
      </w:pPr>
      <w:r>
        <w:rPr>
          <w:spacing w:val="14"/>
        </w:rPr>
        <w:t>本变更为 </w:t>
      </w:r>
      <w:r>
        <w:rPr>
          <w:rFonts w:ascii="宋体" w:hAnsi="宋体" w:cs="宋体" w:eastAsia="宋体" w:hint="default"/>
        </w:rPr>
        <w:t>34,925.43</w:t>
      </w:r>
      <w:r>
        <w:rPr>
          <w:rFonts w:ascii="宋体" w:hAnsi="宋体" w:cs="宋体" w:eastAsia="宋体" w:hint="default"/>
          <w:spacing w:val="25"/>
        </w:rPr>
        <w:t> </w:t>
      </w:r>
      <w:r>
        <w:rPr>
          <w:spacing w:val="19"/>
        </w:rPr>
        <w:t>万股，所有股份均为流通股，其中无限售条件的流通股为</w:t>
      </w:r>
      <w:r>
        <w:rPr/>
      </w:r>
    </w:p>
    <w:p>
      <w:pPr>
        <w:pStyle w:val="BodyText"/>
        <w:spacing w:line="312" w:lineRule="exact" w:before="29"/>
        <w:ind w:left="134" w:right="136"/>
        <w:jc w:val="both"/>
      </w:pPr>
      <w:r>
        <w:rPr>
          <w:rFonts w:ascii="宋体" w:hAnsi="宋体" w:cs="宋体" w:eastAsia="宋体" w:hint="default"/>
        </w:rPr>
        <w:t>10,782.72</w:t>
      </w:r>
      <w:r>
        <w:rPr>
          <w:rFonts w:ascii="宋体" w:hAnsi="宋体" w:cs="宋体" w:eastAsia="宋体" w:hint="default"/>
          <w:spacing w:val="-69"/>
        </w:rPr>
        <w:t> </w:t>
      </w:r>
      <w:r>
        <w:rPr>
          <w:spacing w:val="-11"/>
        </w:rPr>
        <w:t>万股，占本公司总股本的</w:t>
      </w:r>
      <w:r>
        <w:rPr>
          <w:spacing w:val="-68"/>
        </w:rPr>
        <w:t> </w:t>
      </w:r>
      <w:r>
        <w:rPr>
          <w:rFonts w:ascii="宋体" w:hAnsi="宋体" w:cs="宋体" w:eastAsia="宋体" w:hint="default"/>
          <w:spacing w:val="-8"/>
        </w:rPr>
        <w:t>30.87%</w:t>
      </w:r>
      <w:r>
        <w:rPr>
          <w:spacing w:val="-8"/>
        </w:rPr>
        <w:t>；有限售条件的流通股为</w:t>
      </w:r>
      <w:r>
        <w:rPr>
          <w:spacing w:val="-68"/>
        </w:rPr>
        <w:t> </w:t>
      </w:r>
      <w:r>
        <w:rPr>
          <w:rFonts w:ascii="宋体" w:hAnsi="宋体" w:cs="宋体" w:eastAsia="宋体" w:hint="default"/>
        </w:rPr>
        <w:t>24,142.71</w:t>
      </w:r>
      <w:r>
        <w:rPr>
          <w:rFonts w:ascii="宋体" w:hAnsi="宋体" w:cs="宋体" w:eastAsia="宋体" w:hint="default"/>
          <w:spacing w:val="-68"/>
        </w:rPr>
        <w:t> </w:t>
      </w:r>
      <w:r>
        <w:rPr/>
        <w:t>万股， 占本公司总股本的</w:t>
      </w:r>
      <w:r>
        <w:rPr>
          <w:spacing w:val="-61"/>
        </w:rPr>
        <w:t> </w:t>
      </w:r>
      <w:r>
        <w:rPr>
          <w:rFonts w:ascii="宋体" w:hAnsi="宋体" w:cs="宋体" w:eastAsia="宋体" w:hint="default"/>
        </w:rPr>
        <w:t>69.13%</w:t>
      </w:r>
      <w:r>
        <w:rPr/>
        <w:t>。</w:t>
      </w:r>
    </w:p>
    <w:p>
      <w:pPr>
        <w:pStyle w:val="BodyText"/>
        <w:spacing w:line="313" w:lineRule="exact" w:before="87"/>
        <w:ind w:left="617" w:right="0"/>
        <w:jc w:val="left"/>
      </w:pPr>
      <w:r>
        <w:rPr/>
        <w:t>根据本公司</w:t>
      </w:r>
      <w:r>
        <w:rPr>
          <w:spacing w:val="-60"/>
        </w:rPr>
        <w:t> </w:t>
      </w:r>
      <w:r>
        <w:rPr>
          <w:rFonts w:ascii="宋体" w:hAnsi="宋体" w:cs="宋体" w:eastAsia="宋体" w:hint="default"/>
        </w:rPr>
        <w:t>2007</w:t>
      </w:r>
      <w:r>
        <w:rPr>
          <w:rFonts w:ascii="宋体" w:hAnsi="宋体" w:cs="宋体" w:eastAsia="宋体" w:hint="default"/>
          <w:spacing w:val="-59"/>
        </w:rPr>
        <w:t> </w:t>
      </w:r>
      <w:r>
        <w:rPr>
          <w:spacing w:val="-4"/>
        </w:rPr>
        <w:t>年年度股东大会决议，本公司以</w:t>
      </w:r>
      <w:r>
        <w:rPr>
          <w:spacing w:val="-58"/>
        </w:rPr>
        <w:t> </w:t>
      </w:r>
      <w:r>
        <w:rPr>
          <w:rFonts w:ascii="宋体" w:hAnsi="宋体" w:cs="宋体" w:eastAsia="宋体" w:hint="default"/>
        </w:rPr>
        <w:t>2007</w:t>
      </w:r>
      <w:r>
        <w:rPr>
          <w:rFonts w:ascii="宋体" w:hAnsi="宋体" w:cs="宋体" w:eastAsia="宋体" w:hint="default"/>
          <w:spacing w:val="-59"/>
        </w:rPr>
        <w:t> </w:t>
      </w:r>
      <w:r>
        <w:rPr/>
        <w:t>年末总股本</w:t>
      </w:r>
      <w:r>
        <w:rPr>
          <w:spacing w:val="-59"/>
        </w:rPr>
        <w:t> </w:t>
      </w:r>
      <w:r>
        <w:rPr>
          <w:rFonts w:ascii="宋体" w:hAnsi="宋体" w:cs="宋体" w:eastAsia="宋体" w:hint="default"/>
        </w:rPr>
        <w:t>34,925.43</w:t>
      </w:r>
      <w:r>
        <w:rPr>
          <w:rFonts w:ascii="宋体" w:hAnsi="宋体" w:cs="宋体" w:eastAsia="宋体" w:hint="default"/>
          <w:spacing w:val="-59"/>
        </w:rPr>
        <w:t> </w:t>
      </w:r>
      <w:r>
        <w:rPr/>
        <w:t>万</w:t>
      </w:r>
    </w:p>
    <w:p>
      <w:pPr>
        <w:pStyle w:val="BodyText"/>
        <w:spacing w:line="312" w:lineRule="exact"/>
        <w:ind w:right="0"/>
        <w:jc w:val="both"/>
      </w:pPr>
      <w:r>
        <w:rPr/>
        <w:t>股为基数，用溢价发行股票产生的资本公积向全体股东每 </w:t>
      </w:r>
      <w:r>
        <w:rPr>
          <w:rFonts w:ascii="宋体" w:hAnsi="宋体" w:cs="宋体" w:eastAsia="宋体" w:hint="default"/>
        </w:rPr>
        <w:t>10 </w:t>
      </w:r>
      <w:r>
        <w:rPr/>
        <w:t>股转增 </w:t>
      </w:r>
      <w:r>
        <w:rPr>
          <w:rFonts w:ascii="宋体" w:hAnsi="宋体" w:cs="宋体" w:eastAsia="宋体" w:hint="default"/>
        </w:rPr>
        <w:t>2</w:t>
      </w:r>
      <w:r>
        <w:rPr>
          <w:rFonts w:ascii="宋体" w:hAnsi="宋体" w:cs="宋体" w:eastAsia="宋体" w:hint="default"/>
          <w:spacing w:val="65"/>
        </w:rPr>
        <w:t> </w:t>
      </w:r>
      <w:r>
        <w:rPr/>
        <w:t>股，共转增</w:t>
      </w:r>
    </w:p>
    <w:p>
      <w:pPr>
        <w:pStyle w:val="BodyText"/>
        <w:spacing w:line="311" w:lineRule="exact"/>
        <w:ind w:right="0"/>
        <w:jc w:val="both"/>
      </w:pPr>
      <w:r>
        <w:rPr>
          <w:rFonts w:ascii="宋体" w:hAnsi="宋体" w:cs="宋体" w:eastAsia="宋体" w:hint="default"/>
        </w:rPr>
        <w:t>6,985.086 </w:t>
      </w:r>
      <w:r>
        <w:rPr>
          <w:spacing w:val="5"/>
        </w:rPr>
        <w:t>万股，转增后的股本总额为 </w:t>
      </w:r>
      <w:r>
        <w:rPr>
          <w:rFonts w:ascii="宋体" w:hAnsi="宋体" w:cs="宋体" w:eastAsia="宋体" w:hint="default"/>
        </w:rPr>
        <w:t>41,910.516</w:t>
      </w:r>
      <w:r>
        <w:rPr>
          <w:rFonts w:ascii="宋体" w:hAnsi="宋体" w:cs="宋体" w:eastAsia="宋体" w:hint="default"/>
          <w:spacing w:val="37"/>
        </w:rPr>
        <w:t> </w:t>
      </w:r>
      <w:r>
        <w:rPr>
          <w:spacing w:val="5"/>
        </w:rPr>
        <w:t>万股，注册资本变更为人民币</w:t>
      </w:r>
    </w:p>
    <w:p>
      <w:pPr>
        <w:pStyle w:val="BodyText"/>
        <w:spacing w:line="312" w:lineRule="exact"/>
        <w:ind w:right="0"/>
        <w:jc w:val="both"/>
      </w:pPr>
      <w:r>
        <w:rPr>
          <w:rFonts w:ascii="宋体" w:hAnsi="宋体" w:cs="宋体" w:eastAsia="宋体" w:hint="default"/>
        </w:rPr>
        <w:t>41,910.516</w:t>
      </w:r>
      <w:r>
        <w:rPr>
          <w:rFonts w:ascii="宋体" w:hAnsi="宋体" w:cs="宋体" w:eastAsia="宋体" w:hint="default"/>
          <w:spacing w:val="-61"/>
        </w:rPr>
        <w:t> </w:t>
      </w:r>
      <w:r>
        <w:rPr/>
        <w:t>万元。</w:t>
      </w:r>
    </w:p>
    <w:p>
      <w:pPr>
        <w:pStyle w:val="BodyText"/>
        <w:spacing w:line="313" w:lineRule="exact" w:before="118"/>
        <w:ind w:left="617" w:right="0"/>
        <w:jc w:val="left"/>
      </w:pPr>
      <w:r>
        <w:rPr>
          <w:rFonts w:ascii="宋体" w:hAnsi="宋体" w:cs="宋体" w:eastAsia="宋体" w:hint="default"/>
        </w:rPr>
        <w:t>2008</w:t>
      </w:r>
      <w:r>
        <w:rPr>
          <w:rFonts w:ascii="宋体" w:hAnsi="宋体" w:cs="宋体" w:eastAsia="宋体" w:hint="default"/>
          <w:spacing w:val="-58"/>
        </w:rPr>
        <w:t> </w:t>
      </w:r>
      <w:r>
        <w:rPr>
          <w:spacing w:val="-4"/>
        </w:rPr>
        <w:t>年度，</w:t>
      </w:r>
      <w:r>
        <w:rPr>
          <w:rFonts w:ascii="宋体" w:hAnsi="宋体" w:cs="宋体" w:eastAsia="宋体" w:hint="default"/>
          <w:spacing w:val="-4"/>
        </w:rPr>
        <w:t>10,627.5708</w:t>
      </w:r>
      <w:r>
        <w:rPr>
          <w:rFonts w:ascii="宋体" w:hAnsi="宋体" w:cs="宋体" w:eastAsia="宋体" w:hint="default"/>
          <w:spacing w:val="-56"/>
        </w:rPr>
        <w:t> </w:t>
      </w:r>
      <w:r>
        <w:rPr/>
        <w:t>万股符合条件的有限售条件流通股转为无限售条件流通</w:t>
      </w:r>
    </w:p>
    <w:p>
      <w:pPr>
        <w:pStyle w:val="BodyText"/>
        <w:spacing w:line="313" w:lineRule="exact"/>
        <w:ind w:right="0"/>
        <w:jc w:val="both"/>
      </w:pPr>
      <w:r>
        <w:rPr>
          <w:spacing w:val="-5"/>
        </w:rPr>
        <w:t>股，截至</w:t>
      </w:r>
      <w:r>
        <w:rPr>
          <w:spacing w:val="-60"/>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9"/>
        </w:rPr>
        <w:t> </w:t>
      </w:r>
      <w:r>
        <w:rPr/>
        <w:t>日本公司股本总额为</w:t>
      </w:r>
      <w:r>
        <w:rPr>
          <w:spacing w:val="-59"/>
        </w:rPr>
        <w:t> </w:t>
      </w:r>
      <w:r>
        <w:rPr>
          <w:rFonts w:ascii="宋体" w:hAnsi="宋体" w:cs="宋体" w:eastAsia="宋体" w:hint="default"/>
        </w:rPr>
        <w:t>41,910.516</w:t>
      </w:r>
      <w:r>
        <w:rPr>
          <w:rFonts w:ascii="宋体" w:hAnsi="宋体" w:cs="宋体" w:eastAsia="宋体" w:hint="default"/>
          <w:spacing w:val="-59"/>
        </w:rPr>
        <w:t> </w:t>
      </w:r>
      <w:r>
        <w:rPr>
          <w:spacing w:val="-4"/>
        </w:rPr>
        <w:t>万股，其中：无限售条件</w:t>
      </w:r>
    </w:p>
    <w:p>
      <w:pPr>
        <w:spacing w:after="0" w:line="313" w:lineRule="exact"/>
        <w:jc w:val="both"/>
        <w:sectPr>
          <w:headerReference w:type="default" r:id="rId40"/>
          <w:footerReference w:type="default" r:id="rId41"/>
          <w:pgSz w:w="11910" w:h="16840"/>
          <w:pgMar w:header="882" w:footer="1195" w:top="1120" w:bottom="1380" w:left="1140" w:right="1660"/>
          <w:pgNumType w:start="87"/>
        </w:sectPr>
      </w:pPr>
    </w:p>
    <w:p>
      <w:pPr>
        <w:spacing w:line="240" w:lineRule="auto" w:before="13"/>
        <w:rPr>
          <w:rFonts w:ascii="宋体" w:hAnsi="宋体" w:cs="宋体" w:eastAsia="宋体" w:hint="default"/>
          <w:sz w:val="18"/>
          <w:szCs w:val="18"/>
        </w:rPr>
      </w:pPr>
    </w:p>
    <w:p>
      <w:pPr>
        <w:pStyle w:val="BodyText"/>
        <w:spacing w:line="312" w:lineRule="exact" w:before="56"/>
        <w:ind w:right="119"/>
        <w:jc w:val="left"/>
      </w:pPr>
      <w:r>
        <w:rPr>
          <w:spacing w:val="12"/>
        </w:rPr>
        <w:t>流通股为 </w:t>
      </w:r>
      <w:r>
        <w:rPr>
          <w:rFonts w:ascii="宋体" w:hAnsi="宋体" w:cs="宋体" w:eastAsia="宋体" w:hint="default"/>
        </w:rPr>
        <w:t>23,566.8348 </w:t>
      </w:r>
      <w:r>
        <w:rPr>
          <w:spacing w:val="14"/>
        </w:rPr>
        <w:t>万股，占本公司总股本的</w:t>
      </w:r>
      <w:r>
        <w:rPr>
          <w:spacing w:val="56"/>
        </w:rPr>
        <w:t> </w:t>
      </w:r>
      <w:r>
        <w:rPr>
          <w:rFonts w:ascii="宋体" w:hAnsi="宋体" w:cs="宋体" w:eastAsia="宋体" w:hint="default"/>
          <w:spacing w:val="9"/>
        </w:rPr>
        <w:t>56.23%</w:t>
      </w:r>
      <w:r>
        <w:rPr>
          <w:spacing w:val="9"/>
        </w:rPr>
        <w:t>；有限售条件流通股为</w:t>
      </w:r>
      <w:r>
        <w:rPr/>
        <w:t> </w:t>
      </w:r>
      <w:r>
        <w:rPr>
          <w:rFonts w:ascii="宋体" w:hAnsi="宋体" w:cs="宋体" w:eastAsia="宋体" w:hint="default"/>
        </w:rPr>
        <w:t>18,343.6812</w:t>
      </w:r>
      <w:r>
        <w:rPr>
          <w:rFonts w:ascii="宋体" w:hAnsi="宋体" w:cs="宋体" w:eastAsia="宋体" w:hint="default"/>
          <w:spacing w:val="-61"/>
        </w:rPr>
        <w:t> </w:t>
      </w:r>
      <w:r>
        <w:rPr/>
        <w:t>万股，占本公司总股本的</w:t>
      </w:r>
      <w:r>
        <w:rPr>
          <w:spacing w:val="-60"/>
        </w:rPr>
        <w:t> </w:t>
      </w:r>
      <w:r>
        <w:rPr>
          <w:rFonts w:ascii="宋体" w:hAnsi="宋体" w:cs="宋体" w:eastAsia="宋体" w:hint="default"/>
        </w:rPr>
        <w:t>43.77%</w:t>
      </w:r>
      <w:r>
        <w:rPr/>
        <w:t>。</w:t>
      </w:r>
    </w:p>
    <w:p>
      <w:pPr>
        <w:pStyle w:val="BodyText"/>
        <w:spacing w:line="313" w:lineRule="exact" w:before="87"/>
        <w:ind w:left="617" w:right="119"/>
        <w:jc w:val="left"/>
        <w:rPr>
          <w:rFonts w:ascii="宋体" w:hAnsi="宋体" w:cs="宋体" w:eastAsia="宋体" w:hint="default"/>
        </w:rPr>
      </w:pPr>
      <w:r>
        <w:rPr/>
        <w:t>根据本公司</w:t>
      </w:r>
      <w:r>
        <w:rPr>
          <w:spacing w:val="-58"/>
        </w:rPr>
        <w:t> </w:t>
      </w:r>
      <w:r>
        <w:rPr>
          <w:rFonts w:ascii="宋体" w:hAnsi="宋体" w:cs="宋体" w:eastAsia="宋体" w:hint="default"/>
        </w:rPr>
        <w:t>2008</w:t>
      </w:r>
      <w:r>
        <w:rPr>
          <w:rFonts w:ascii="宋体" w:hAnsi="宋体" w:cs="宋体" w:eastAsia="宋体" w:hint="default"/>
          <w:spacing w:val="-58"/>
        </w:rPr>
        <w:t> </w:t>
      </w:r>
      <w:r>
        <w:rPr/>
        <w:t>年年度股东大会决议，本公司以</w:t>
      </w:r>
      <w:r>
        <w:rPr>
          <w:spacing w:val="-57"/>
        </w:rPr>
        <w:t> </w:t>
      </w:r>
      <w:r>
        <w:rPr>
          <w:rFonts w:ascii="宋体" w:hAnsi="宋体" w:cs="宋体" w:eastAsia="宋体" w:hint="default"/>
        </w:rPr>
        <w:t>2008</w:t>
      </w:r>
      <w:r>
        <w:rPr>
          <w:rFonts w:ascii="宋体" w:hAnsi="宋体" w:cs="宋体" w:eastAsia="宋体" w:hint="default"/>
          <w:spacing w:val="-58"/>
        </w:rPr>
        <w:t> </w:t>
      </w:r>
      <w:r>
        <w:rPr/>
        <w:t>年末总股本</w:t>
      </w:r>
      <w:r>
        <w:rPr>
          <w:spacing w:val="-58"/>
        </w:rPr>
        <w:t> </w:t>
      </w:r>
      <w:r>
        <w:rPr>
          <w:rFonts w:ascii="宋体" w:hAnsi="宋体" w:cs="宋体" w:eastAsia="宋体" w:hint="default"/>
        </w:rPr>
        <w:t>419,105,160</w:t>
      </w:r>
    </w:p>
    <w:p>
      <w:pPr>
        <w:pStyle w:val="BodyText"/>
        <w:spacing w:line="312" w:lineRule="exact"/>
        <w:ind w:right="119"/>
        <w:jc w:val="left"/>
      </w:pPr>
      <w:r>
        <w:rPr/>
        <w:t>股为基数，向全体股东每</w:t>
      </w:r>
      <w:r>
        <w:rPr>
          <w:spacing w:val="-66"/>
        </w:rPr>
        <w:t> </w:t>
      </w:r>
      <w:r>
        <w:rPr>
          <w:rFonts w:ascii="宋体" w:hAnsi="宋体" w:cs="宋体" w:eastAsia="宋体" w:hint="default"/>
        </w:rPr>
        <w:t>10</w:t>
      </w:r>
      <w:r>
        <w:rPr>
          <w:rFonts w:ascii="宋体" w:hAnsi="宋体" w:cs="宋体" w:eastAsia="宋体" w:hint="default"/>
          <w:spacing w:val="-66"/>
        </w:rPr>
        <w:t> </w:t>
      </w:r>
      <w:r>
        <w:rPr/>
        <w:t>股转增</w:t>
      </w:r>
      <w:r>
        <w:rPr>
          <w:spacing w:val="-66"/>
        </w:rPr>
        <w:t> </w:t>
      </w:r>
      <w:r>
        <w:rPr>
          <w:rFonts w:ascii="宋体" w:hAnsi="宋体" w:cs="宋体" w:eastAsia="宋体" w:hint="default"/>
        </w:rPr>
        <w:t>1</w:t>
      </w:r>
      <w:r>
        <w:rPr>
          <w:rFonts w:ascii="宋体" w:hAnsi="宋体" w:cs="宋体" w:eastAsia="宋体" w:hint="default"/>
          <w:spacing w:val="-66"/>
        </w:rPr>
        <w:t> </w:t>
      </w:r>
      <w:r>
        <w:rPr>
          <w:spacing w:val="-3"/>
        </w:rPr>
        <w:t>股，共转增</w:t>
      </w:r>
      <w:r>
        <w:rPr>
          <w:spacing w:val="-66"/>
        </w:rPr>
        <w:t> </w:t>
      </w:r>
      <w:r>
        <w:rPr>
          <w:rFonts w:ascii="宋体" w:hAnsi="宋体" w:cs="宋体" w:eastAsia="宋体" w:hint="default"/>
        </w:rPr>
        <w:t>41,910,516</w:t>
      </w:r>
      <w:r>
        <w:rPr>
          <w:rFonts w:ascii="宋体" w:hAnsi="宋体" w:cs="宋体" w:eastAsia="宋体" w:hint="default"/>
          <w:spacing w:val="-66"/>
        </w:rPr>
        <w:t> </w:t>
      </w:r>
      <w:r>
        <w:rPr/>
        <w:t>股，转增后的股本总额</w:t>
      </w:r>
    </w:p>
    <w:p>
      <w:pPr>
        <w:pStyle w:val="BodyText"/>
        <w:spacing w:line="313" w:lineRule="exact"/>
        <w:ind w:right="119"/>
        <w:jc w:val="left"/>
      </w:pPr>
      <w:r>
        <w:rPr/>
        <w:t>为</w:t>
      </w:r>
      <w:r>
        <w:rPr>
          <w:spacing w:val="-61"/>
        </w:rPr>
        <w:t> </w:t>
      </w:r>
      <w:r>
        <w:rPr>
          <w:rFonts w:ascii="宋体" w:hAnsi="宋体" w:cs="宋体" w:eastAsia="宋体" w:hint="default"/>
        </w:rPr>
        <w:t>461,015,676</w:t>
      </w:r>
      <w:r>
        <w:rPr>
          <w:rFonts w:ascii="宋体" w:hAnsi="宋体" w:cs="宋体" w:eastAsia="宋体" w:hint="default"/>
          <w:spacing w:val="-61"/>
        </w:rPr>
        <w:t> </w:t>
      </w:r>
      <w:r>
        <w:rPr/>
        <w:t>股。</w:t>
      </w:r>
    </w:p>
    <w:p>
      <w:pPr>
        <w:pStyle w:val="BodyText"/>
        <w:spacing w:line="313" w:lineRule="exact" w:before="115"/>
        <w:ind w:left="617" w:right="0"/>
        <w:jc w:val="left"/>
      </w:pPr>
      <w:r>
        <w:rPr>
          <w:rFonts w:ascii="宋体" w:hAnsi="宋体" w:cs="宋体" w:eastAsia="宋体" w:hint="default"/>
        </w:rPr>
        <w:t>2009</w:t>
      </w:r>
      <w:r>
        <w:rPr>
          <w:rFonts w:ascii="宋体" w:hAnsi="宋体" w:cs="宋体" w:eastAsia="宋体" w:hint="default"/>
          <w:spacing w:val="-85"/>
        </w:rPr>
        <w:t> </w:t>
      </w:r>
      <w:r>
        <w:rPr/>
        <w:t>年度</w:t>
      </w:r>
      <w:r>
        <w:rPr>
          <w:spacing w:val="-120"/>
        </w:rPr>
        <w:t>，</w:t>
      </w:r>
      <w:r>
        <w:rPr>
          <w:rFonts w:ascii="宋体" w:hAnsi="宋体" w:cs="宋体" w:eastAsia="宋体" w:hint="default"/>
        </w:rPr>
        <w:t>156,097,141</w:t>
      </w:r>
      <w:r>
        <w:rPr>
          <w:rFonts w:ascii="宋体" w:hAnsi="宋体" w:cs="宋体" w:eastAsia="宋体" w:hint="default"/>
          <w:spacing w:val="-84"/>
        </w:rPr>
        <w:t> </w:t>
      </w:r>
      <w:r>
        <w:rPr/>
        <w:t>股符合条件的有限售条件流通股转为无限售条件流通股，</w:t>
      </w:r>
    </w:p>
    <w:p>
      <w:pPr>
        <w:pStyle w:val="BodyText"/>
        <w:spacing w:line="312" w:lineRule="exact"/>
        <w:ind w:right="119"/>
        <w:jc w:val="left"/>
      </w:pPr>
      <w:r>
        <w:rPr/>
        <w:t>截至</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t>日，本公司股本总额为</w:t>
      </w:r>
      <w:r>
        <w:rPr>
          <w:spacing w:val="-50"/>
        </w:rPr>
        <w:t> </w:t>
      </w:r>
      <w:r>
        <w:rPr>
          <w:rFonts w:ascii="宋体" w:hAnsi="宋体" w:cs="宋体" w:eastAsia="宋体" w:hint="default"/>
        </w:rPr>
        <w:t>461,015,676</w:t>
      </w:r>
      <w:r>
        <w:rPr>
          <w:rFonts w:ascii="宋体" w:hAnsi="宋体" w:cs="宋体" w:eastAsia="宋体" w:hint="default"/>
          <w:spacing w:val="-50"/>
        </w:rPr>
        <w:t> </w:t>
      </w:r>
      <w:r>
        <w:rPr/>
        <w:t>股，其中无限售条件流通</w:t>
      </w:r>
    </w:p>
    <w:p>
      <w:pPr>
        <w:pStyle w:val="BodyText"/>
        <w:spacing w:line="312" w:lineRule="exact" w:before="29"/>
        <w:ind w:right="217"/>
        <w:jc w:val="left"/>
      </w:pPr>
      <w:r>
        <w:rPr/>
        <w:t>股为</w:t>
      </w:r>
      <w:r>
        <w:rPr>
          <w:spacing w:val="-42"/>
        </w:rPr>
        <w:t> </w:t>
      </w:r>
      <w:r>
        <w:rPr>
          <w:rFonts w:ascii="宋体" w:hAnsi="宋体" w:cs="宋体" w:eastAsia="宋体" w:hint="default"/>
        </w:rPr>
        <w:t>415,332,324</w:t>
      </w:r>
      <w:r>
        <w:rPr>
          <w:rFonts w:ascii="宋体" w:hAnsi="宋体" w:cs="宋体" w:eastAsia="宋体" w:hint="default"/>
          <w:spacing w:val="-42"/>
        </w:rPr>
        <w:t> </w:t>
      </w:r>
      <w:r>
        <w:rPr/>
        <w:t>股，占本公司总股本的</w:t>
      </w:r>
      <w:r>
        <w:rPr>
          <w:spacing w:val="-42"/>
        </w:rPr>
        <w:t> </w:t>
      </w:r>
      <w:r>
        <w:rPr>
          <w:rFonts w:ascii="宋体" w:hAnsi="宋体" w:cs="宋体" w:eastAsia="宋体" w:hint="default"/>
        </w:rPr>
        <w:t>90.09%</w:t>
      </w:r>
      <w:r>
        <w:rPr/>
        <w:t>；有限售条件流通股为</w:t>
      </w:r>
      <w:r>
        <w:rPr>
          <w:spacing w:val="-42"/>
        </w:rPr>
        <w:t> </w:t>
      </w:r>
      <w:r>
        <w:rPr>
          <w:rFonts w:ascii="宋体" w:hAnsi="宋体" w:cs="宋体" w:eastAsia="宋体" w:hint="default"/>
        </w:rPr>
        <w:t>45,683,352 </w:t>
      </w:r>
      <w:r>
        <w:rPr/>
        <w:t>股，占本公司总股本的</w:t>
      </w:r>
      <w:r>
        <w:rPr>
          <w:spacing w:val="-61"/>
        </w:rPr>
        <w:t> </w:t>
      </w:r>
      <w:r>
        <w:rPr>
          <w:rFonts w:ascii="宋体" w:hAnsi="宋体" w:cs="宋体" w:eastAsia="宋体" w:hint="default"/>
        </w:rPr>
        <w:t>9.91%</w:t>
      </w:r>
      <w:r>
        <w:rPr/>
        <w:t>。</w:t>
      </w:r>
    </w:p>
    <w:p>
      <w:pPr>
        <w:pStyle w:val="BodyText"/>
        <w:spacing w:line="313" w:lineRule="exact" w:before="87"/>
        <w:ind w:left="617" w:right="119"/>
        <w:jc w:val="left"/>
      </w:pPr>
      <w:r>
        <w:rPr/>
        <w:t>根据本公司</w:t>
      </w:r>
      <w:r>
        <w:rPr>
          <w:spacing w:val="-61"/>
        </w:rPr>
        <w:t> </w:t>
      </w:r>
      <w:r>
        <w:rPr>
          <w:rFonts w:ascii="宋体" w:hAnsi="宋体" w:cs="宋体" w:eastAsia="宋体" w:hint="default"/>
        </w:rPr>
        <w:t>2009</w:t>
      </w:r>
      <w:r>
        <w:rPr>
          <w:rFonts w:ascii="宋体" w:hAnsi="宋体" w:cs="宋体" w:eastAsia="宋体" w:hint="default"/>
          <w:spacing w:val="-60"/>
        </w:rPr>
        <w:t> </w:t>
      </w:r>
      <w:r>
        <w:rPr>
          <w:spacing w:val="-4"/>
        </w:rPr>
        <w:t>年度股东大会决议，本公司以</w:t>
      </w:r>
      <w:r>
        <w:rPr>
          <w:spacing w:val="-59"/>
        </w:rPr>
        <w:t> </w:t>
      </w:r>
      <w:r>
        <w:rPr>
          <w:rFonts w:ascii="宋体" w:hAnsi="宋体" w:cs="宋体" w:eastAsia="宋体" w:hint="default"/>
        </w:rPr>
        <w:t>2009</w:t>
      </w:r>
      <w:r>
        <w:rPr>
          <w:rFonts w:ascii="宋体" w:hAnsi="宋体" w:cs="宋体" w:eastAsia="宋体" w:hint="default"/>
          <w:spacing w:val="-60"/>
        </w:rPr>
        <w:t> </w:t>
      </w:r>
      <w:r>
        <w:rPr/>
        <w:t>年末总股本</w:t>
      </w:r>
      <w:r>
        <w:rPr>
          <w:spacing w:val="-60"/>
        </w:rPr>
        <w:t> </w:t>
      </w: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2" w:lineRule="exact"/>
        <w:ind w:right="119"/>
        <w:jc w:val="left"/>
      </w:pPr>
      <w:r>
        <w:rPr/>
        <w:t>为基数，向全体股东每</w:t>
      </w:r>
      <w:r>
        <w:rPr>
          <w:spacing w:val="-63"/>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1</w:t>
      </w:r>
      <w:r>
        <w:rPr>
          <w:rFonts w:ascii="宋体" w:hAnsi="宋体" w:cs="宋体" w:eastAsia="宋体" w:hint="default"/>
          <w:spacing w:val="-65"/>
        </w:rPr>
        <w:t> </w:t>
      </w:r>
      <w:r>
        <w:rPr/>
        <w:t>股，共计转增股本</w:t>
      </w:r>
      <w:r>
        <w:rPr>
          <w:spacing w:val="-65"/>
        </w:rPr>
        <w:t> </w:t>
      </w:r>
      <w:r>
        <w:rPr>
          <w:rFonts w:ascii="宋体" w:hAnsi="宋体" w:cs="宋体" w:eastAsia="宋体" w:hint="default"/>
        </w:rPr>
        <w:t>46,101,567</w:t>
      </w:r>
      <w:r>
        <w:rPr>
          <w:rFonts w:ascii="宋体" w:hAnsi="宋体" w:cs="宋体" w:eastAsia="宋体" w:hint="default"/>
          <w:spacing w:val="-65"/>
        </w:rPr>
        <w:t> </w:t>
      </w:r>
      <w:r>
        <w:rPr>
          <w:spacing w:val="-3"/>
        </w:rPr>
        <w:t>股，转增后的股本</w:t>
      </w:r>
    </w:p>
    <w:p>
      <w:pPr>
        <w:pStyle w:val="BodyText"/>
        <w:spacing w:line="328" w:lineRule="auto"/>
        <w:ind w:left="617" w:right="217" w:hanging="480"/>
        <w:jc w:val="left"/>
      </w:pPr>
      <w:r>
        <w:rPr/>
        <w:t>总额为</w:t>
      </w:r>
      <w:r>
        <w:rPr>
          <w:spacing w:val="-61"/>
        </w:rPr>
        <w:t> </w:t>
      </w:r>
      <w:r>
        <w:rPr>
          <w:rFonts w:ascii="宋体" w:hAnsi="宋体" w:cs="宋体" w:eastAsia="宋体" w:hint="default"/>
        </w:rPr>
        <w:t>507,117,243</w:t>
      </w:r>
      <w:r>
        <w:rPr>
          <w:rFonts w:ascii="宋体" w:hAnsi="宋体" w:cs="宋体" w:eastAsia="宋体" w:hint="default"/>
          <w:spacing w:val="-60"/>
        </w:rPr>
        <w:t> </w:t>
      </w:r>
      <w:r>
        <w:rPr/>
        <w:t>股。 </w:t>
      </w:r>
      <w:r>
        <w:rPr>
          <w:spacing w:val="-8"/>
        </w:rPr>
        <w:t>本公司根据《北京华胜天成科技股份有限公司首期股权激励计划（草案修订稿）》</w:t>
      </w:r>
    </w:p>
    <w:p>
      <w:pPr>
        <w:pStyle w:val="BodyText"/>
        <w:spacing w:line="222" w:lineRule="exact"/>
        <w:ind w:right="119"/>
        <w:jc w:val="left"/>
      </w:pPr>
      <w:r>
        <w:rPr/>
        <w:t>有关条款和股东大会授权，于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日回购了华胜天成股权分置改革前原非</w:t>
      </w:r>
    </w:p>
    <w:p>
      <w:pPr>
        <w:pStyle w:val="BodyText"/>
        <w:spacing w:line="311" w:lineRule="exact"/>
        <w:ind w:right="119"/>
        <w:jc w:val="left"/>
      </w:pPr>
      <w:r>
        <w:rPr/>
        <w:t>流通股股东中的自然人股东提供的 </w:t>
      </w:r>
      <w:r>
        <w:rPr>
          <w:rFonts w:ascii="宋体" w:hAnsi="宋体" w:cs="宋体" w:eastAsia="宋体" w:hint="default"/>
        </w:rPr>
        <w:t>25,355,880</w:t>
      </w:r>
      <w:r>
        <w:rPr>
          <w:rFonts w:ascii="宋体" w:hAnsi="宋体" w:cs="宋体" w:eastAsia="宋体" w:hint="default"/>
          <w:spacing w:val="-48"/>
        </w:rPr>
        <w:t> </w:t>
      </w:r>
      <w:r>
        <w:rPr/>
        <w:t>股股票用于实施股权激励计划。本次</w:t>
      </w:r>
    </w:p>
    <w:p>
      <w:pPr>
        <w:pStyle w:val="BodyText"/>
        <w:spacing w:line="311" w:lineRule="exact"/>
        <w:ind w:right="0"/>
        <w:jc w:val="left"/>
      </w:pPr>
      <w:r>
        <w:rPr/>
        <w:t>股权激励计划实际授予限制性股票的数量为</w:t>
      </w:r>
      <w:r>
        <w:rPr>
          <w:spacing w:val="-41"/>
        </w:rPr>
        <w:t> </w:t>
      </w:r>
      <w:r>
        <w:rPr>
          <w:rFonts w:ascii="宋体" w:hAnsi="宋体" w:cs="宋体" w:eastAsia="宋体" w:hint="default"/>
        </w:rPr>
        <w:t>23,100,880</w:t>
      </w:r>
      <w:r>
        <w:rPr>
          <w:rFonts w:ascii="宋体" w:hAnsi="宋体" w:cs="宋体" w:eastAsia="宋体" w:hint="default"/>
          <w:spacing w:val="-41"/>
        </w:rPr>
        <w:t> </w:t>
      </w:r>
      <w:r>
        <w:rPr/>
        <w:t>股，实际授予人数为</w:t>
      </w:r>
      <w:r>
        <w:rPr>
          <w:spacing w:val="-41"/>
        </w:rPr>
        <w:t> </w:t>
      </w:r>
      <w:r>
        <w:rPr>
          <w:rFonts w:ascii="宋体" w:hAnsi="宋体" w:cs="宋体" w:eastAsia="宋体" w:hint="default"/>
        </w:rPr>
        <w:t>71</w:t>
      </w:r>
      <w:r>
        <w:rPr>
          <w:rFonts w:ascii="宋体" w:hAnsi="宋体" w:cs="宋体" w:eastAsia="宋体" w:hint="default"/>
          <w:spacing w:val="-41"/>
        </w:rPr>
        <w:t> </w:t>
      </w:r>
      <w:r>
        <w:rPr/>
        <w:t>人，</w:t>
      </w:r>
    </w:p>
    <w:p>
      <w:pPr>
        <w:pStyle w:val="BodyText"/>
        <w:spacing w:line="312" w:lineRule="exact"/>
        <w:ind w:right="119"/>
        <w:jc w:val="left"/>
      </w:pPr>
      <w:r>
        <w:rPr/>
        <w:t>认购价格每股</w:t>
      </w:r>
      <w:r>
        <w:rPr>
          <w:spacing w:val="-67"/>
        </w:rPr>
        <w:t> </w:t>
      </w:r>
      <w:r>
        <w:rPr>
          <w:rFonts w:ascii="宋体" w:hAnsi="宋体" w:cs="宋体" w:eastAsia="宋体" w:hint="default"/>
        </w:rPr>
        <w:t>8.96</w:t>
      </w:r>
      <w:r>
        <w:rPr>
          <w:rFonts w:ascii="宋体" w:hAnsi="宋体" w:cs="宋体" w:eastAsia="宋体" w:hint="default"/>
          <w:spacing w:val="-66"/>
        </w:rPr>
        <w:t> </w:t>
      </w:r>
      <w:r>
        <w:rPr>
          <w:spacing w:val="-3"/>
        </w:rPr>
        <w:t>元，认购金额合计</w:t>
      </w:r>
      <w:r>
        <w:rPr>
          <w:spacing w:val="-66"/>
        </w:rPr>
        <w:t> </w:t>
      </w:r>
      <w:r>
        <w:rPr>
          <w:rFonts w:ascii="宋体" w:hAnsi="宋体" w:cs="宋体" w:eastAsia="宋体" w:hint="default"/>
        </w:rPr>
        <w:t>206,983,884.80</w:t>
      </w:r>
      <w:r>
        <w:rPr>
          <w:rFonts w:ascii="宋体" w:hAnsi="宋体" w:cs="宋体" w:eastAsia="宋体" w:hint="default"/>
          <w:spacing w:val="-66"/>
        </w:rPr>
        <w:t> </w:t>
      </w:r>
      <w:r>
        <w:rPr/>
        <w:t>元，业经京都天华会计师事务</w:t>
      </w:r>
    </w:p>
    <w:p>
      <w:pPr>
        <w:pStyle w:val="BodyText"/>
        <w:spacing w:line="311" w:lineRule="exact"/>
        <w:ind w:right="119"/>
        <w:jc w:val="left"/>
      </w:pPr>
      <w:r>
        <w:rPr/>
        <w:t>所有限公司出具的京都天华验字（</w:t>
      </w:r>
      <w:r>
        <w:rPr>
          <w:rFonts w:ascii="宋体" w:hAnsi="宋体" w:cs="宋体" w:eastAsia="宋体" w:hint="default"/>
        </w:rPr>
        <w:t>2010</w:t>
      </w:r>
      <w:r>
        <w:rPr/>
        <w:t>）第</w:t>
      </w:r>
      <w:r>
        <w:rPr>
          <w:spacing w:val="-84"/>
        </w:rPr>
        <w:t> </w:t>
      </w:r>
      <w:r>
        <w:rPr>
          <w:rFonts w:ascii="宋体" w:hAnsi="宋体" w:cs="宋体" w:eastAsia="宋体" w:hint="default"/>
        </w:rPr>
        <w:t>139</w:t>
      </w:r>
      <w:r>
        <w:rPr>
          <w:rFonts w:ascii="宋体" w:hAnsi="宋体" w:cs="宋体" w:eastAsia="宋体" w:hint="default"/>
          <w:spacing w:val="-84"/>
        </w:rPr>
        <w:t> </w:t>
      </w:r>
      <w:r>
        <w:rPr/>
        <w:t>号验资报告验证，被授予的限制性股</w:t>
      </w:r>
    </w:p>
    <w:p>
      <w:pPr>
        <w:pStyle w:val="BodyText"/>
        <w:spacing w:line="311" w:lineRule="exact"/>
        <w:ind w:right="119"/>
        <w:jc w:val="left"/>
      </w:pPr>
      <w:r>
        <w:rPr/>
        <w:t>票</w:t>
      </w:r>
      <w:r>
        <w:rPr>
          <w:spacing w:val="-59"/>
        </w:rPr>
        <w:t> </w:t>
      </w:r>
      <w:r>
        <w:rPr>
          <w:rFonts w:ascii="宋体" w:hAnsi="宋体" w:cs="宋体" w:eastAsia="宋体" w:hint="default"/>
        </w:rPr>
        <w:t>23,100,880</w:t>
      </w:r>
      <w:r>
        <w:rPr>
          <w:rFonts w:ascii="宋体" w:hAnsi="宋体" w:cs="宋体" w:eastAsia="宋体" w:hint="default"/>
          <w:spacing w:val="-59"/>
        </w:rPr>
        <w:t> </w:t>
      </w:r>
      <w:r>
        <w:rPr/>
        <w:t>股已于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spacing w:val="-3"/>
        </w:rPr>
        <w:t>日转让给激励对象。对于尚未授予的股权激励</w:t>
      </w:r>
    </w:p>
    <w:p>
      <w:pPr>
        <w:pStyle w:val="BodyText"/>
        <w:spacing w:line="312" w:lineRule="exact"/>
        <w:ind w:right="119"/>
        <w:jc w:val="left"/>
        <w:rPr>
          <w:rFonts w:ascii="宋体" w:hAnsi="宋体" w:cs="宋体" w:eastAsia="宋体" w:hint="default"/>
        </w:rPr>
      </w:pPr>
      <w:r>
        <w:rPr/>
        <w:t>计划限制性股票</w:t>
      </w:r>
      <w:r>
        <w:rPr>
          <w:spacing w:val="-61"/>
        </w:rPr>
        <w:t> </w:t>
      </w:r>
      <w:r>
        <w:rPr>
          <w:rFonts w:ascii="宋体" w:hAnsi="宋体" w:cs="宋体" w:eastAsia="宋体" w:hint="default"/>
        </w:rPr>
        <w:t>2,255,000</w:t>
      </w:r>
      <w:r>
        <w:rPr>
          <w:rFonts w:ascii="宋体" w:hAnsi="宋体" w:cs="宋体" w:eastAsia="宋体" w:hint="default"/>
          <w:spacing w:val="-60"/>
        </w:rPr>
        <w:t> </w:t>
      </w:r>
      <w:r>
        <w:rPr/>
        <w:t>股</w:t>
      </w:r>
      <w:r>
        <w:rPr>
          <w:spacing w:val="-113"/>
        </w:rPr>
        <w:t>，</w:t>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年第八次临时董事会议决议</w:t>
      </w:r>
      <w:r>
        <w:rPr>
          <w:spacing w:val="-113"/>
        </w:rPr>
        <w:t>，</w:t>
      </w:r>
      <w:r>
        <w:rPr/>
        <w:t>于</w:t>
      </w:r>
      <w:r>
        <w:rPr>
          <w:spacing w:val="-59"/>
        </w:rPr>
        <w:t> </w:t>
      </w:r>
      <w:r>
        <w:rPr>
          <w:rFonts w:ascii="宋体" w:hAnsi="宋体" w:cs="宋体" w:eastAsia="宋体" w:hint="default"/>
        </w:rPr>
        <w:t>2010</w:t>
      </w:r>
    </w:p>
    <w:p>
      <w:pPr>
        <w:pStyle w:val="BodyText"/>
        <w:spacing w:line="313" w:lineRule="exact"/>
        <w:ind w:right="119"/>
        <w:jc w:val="left"/>
      </w:pP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1"/>
        </w:rPr>
        <w:t> </w:t>
      </w:r>
      <w:r>
        <w:rPr>
          <w:rFonts w:ascii="宋体" w:hAnsi="宋体" w:cs="宋体" w:eastAsia="宋体" w:hint="default"/>
        </w:rPr>
        <w:t>29</w:t>
      </w:r>
      <w:r>
        <w:rPr>
          <w:rFonts w:ascii="宋体" w:hAnsi="宋体" w:cs="宋体" w:eastAsia="宋体" w:hint="default"/>
          <w:spacing w:val="-60"/>
        </w:rPr>
        <w:t> </w:t>
      </w:r>
      <w:r>
        <w:rPr/>
        <w:t>日予以注销。</w:t>
      </w:r>
    </w:p>
    <w:p>
      <w:pPr>
        <w:pStyle w:val="BodyText"/>
        <w:spacing w:line="237" w:lineRule="auto" w:before="118"/>
        <w:ind w:right="231" w:firstLine="480"/>
        <w:jc w:val="both"/>
      </w:pPr>
      <w:r>
        <w:rPr/>
        <w:t>根据本公司</w:t>
      </w:r>
      <w:r>
        <w:rPr>
          <w:spacing w:val="-56"/>
        </w:rPr>
        <w:t> </w:t>
      </w:r>
      <w:r>
        <w:rPr>
          <w:rFonts w:ascii="宋体" w:hAnsi="宋体" w:cs="宋体" w:eastAsia="宋体" w:hint="default"/>
        </w:rPr>
        <w:t>2010</w:t>
      </w:r>
      <w:r>
        <w:rPr>
          <w:rFonts w:ascii="宋体" w:hAnsi="宋体" w:cs="宋体" w:eastAsia="宋体" w:hint="default"/>
          <w:spacing w:val="-56"/>
        </w:rPr>
        <w:t> </w:t>
      </w:r>
      <w:r>
        <w:rPr/>
        <w:t>年第七次临时董事会决议、</w:t>
      </w:r>
      <w:r>
        <w:rPr>
          <w:rFonts w:ascii="宋体" w:hAnsi="宋体" w:cs="宋体" w:eastAsia="宋体" w:hint="default"/>
        </w:rPr>
        <w:t>2010</w:t>
      </w:r>
      <w:r>
        <w:rPr>
          <w:rFonts w:ascii="宋体" w:hAnsi="宋体" w:cs="宋体" w:eastAsia="宋体" w:hint="default"/>
          <w:spacing w:val="-56"/>
        </w:rPr>
        <w:t> </w:t>
      </w:r>
      <w:r>
        <w:rPr/>
        <w:t>年第四次临时股东大会决议、 </w:t>
      </w:r>
      <w:r>
        <w:rPr>
          <w:rFonts w:ascii="宋体" w:hAnsi="宋体" w:cs="宋体" w:eastAsia="宋体" w:hint="default"/>
        </w:rPr>
        <w:t>2011</w:t>
      </w:r>
      <w:r>
        <w:rPr>
          <w:rFonts w:ascii="宋体" w:hAnsi="宋体" w:cs="宋体" w:eastAsia="宋体" w:hint="default"/>
          <w:spacing w:val="-56"/>
        </w:rPr>
        <w:t> </w:t>
      </w:r>
      <w:r>
        <w:rPr/>
        <w:t>年第二次临时董事会决议、</w:t>
      </w:r>
      <w:r>
        <w:rPr>
          <w:rFonts w:ascii="宋体" w:hAnsi="宋体" w:cs="宋体" w:eastAsia="宋体" w:hint="default"/>
        </w:rPr>
        <w:t>2011</w:t>
      </w:r>
      <w:r>
        <w:rPr>
          <w:rFonts w:ascii="宋体" w:hAnsi="宋体" w:cs="宋体" w:eastAsia="宋体" w:hint="default"/>
          <w:spacing w:val="-56"/>
        </w:rPr>
        <w:t> </w:t>
      </w:r>
      <w:r>
        <w:rPr/>
        <w:t>年第一次临时股东大会决议、</w:t>
      </w:r>
      <w:r>
        <w:rPr>
          <w:rFonts w:ascii="宋体" w:hAnsi="宋体" w:cs="宋体" w:eastAsia="宋体" w:hint="default"/>
        </w:rPr>
        <w:t>2011</w:t>
      </w:r>
      <w:r>
        <w:rPr>
          <w:rFonts w:ascii="宋体" w:hAnsi="宋体" w:cs="宋体" w:eastAsia="宋体" w:hint="default"/>
          <w:spacing w:val="-55"/>
        </w:rPr>
        <w:t> </w:t>
      </w:r>
      <w:r>
        <w:rPr/>
        <w:t>年第三次临 时董事会决议以及 </w:t>
      </w:r>
      <w:r>
        <w:rPr>
          <w:rFonts w:ascii="宋体" w:hAnsi="宋体" w:cs="宋体" w:eastAsia="宋体" w:hint="default"/>
        </w:rPr>
        <w:t>2011</w:t>
      </w:r>
      <w:r>
        <w:rPr>
          <w:rFonts w:ascii="宋体" w:hAnsi="宋体" w:cs="宋体" w:eastAsia="宋体" w:hint="default"/>
          <w:spacing w:val="-49"/>
        </w:rPr>
        <w:t> </w:t>
      </w:r>
      <w:r>
        <w:rPr/>
        <w:t>年第二次临时股东大会决议，并经中国证券监督管理委员会 证监许可</w:t>
      </w:r>
      <w:r>
        <w:rPr>
          <w:rFonts w:ascii="宋体" w:hAnsi="宋体" w:cs="宋体" w:eastAsia="宋体" w:hint="default"/>
        </w:rPr>
        <w:t>[2011]1077</w:t>
      </w:r>
      <w:r>
        <w:rPr>
          <w:rFonts w:ascii="宋体" w:hAnsi="宋体" w:cs="宋体" w:eastAsia="宋体" w:hint="default"/>
          <w:spacing w:val="-57"/>
        </w:rPr>
        <w:t> </w:t>
      </w:r>
      <w:r>
        <w:rPr/>
        <w:t>号文核准，本公司非公开发行股票</w:t>
      </w:r>
      <w:r>
        <w:rPr>
          <w:spacing w:val="-56"/>
        </w:rPr>
        <w:t> </w:t>
      </w:r>
      <w:r>
        <w:rPr>
          <w:rFonts w:ascii="宋体" w:hAnsi="宋体" w:cs="宋体" w:eastAsia="宋体" w:hint="default"/>
        </w:rPr>
        <w:t>39,034,003</w:t>
      </w:r>
      <w:r>
        <w:rPr>
          <w:rFonts w:ascii="宋体" w:hAnsi="宋体" w:cs="宋体" w:eastAsia="宋体" w:hint="default"/>
          <w:spacing w:val="-57"/>
        </w:rPr>
        <w:t> </w:t>
      </w:r>
      <w:r>
        <w:rPr/>
        <w:t>股，增发后的股 本总额为</w:t>
      </w:r>
      <w:r>
        <w:rPr>
          <w:spacing w:val="-61"/>
        </w:rPr>
        <w:t> </w:t>
      </w:r>
      <w:r>
        <w:rPr>
          <w:rFonts w:ascii="宋体" w:hAnsi="宋体" w:cs="宋体" w:eastAsia="宋体" w:hint="default"/>
        </w:rPr>
        <w:t>543,896,246</w:t>
      </w:r>
      <w:r>
        <w:rPr>
          <w:rFonts w:ascii="宋体" w:hAnsi="宋体" w:cs="宋体" w:eastAsia="宋体" w:hint="default"/>
          <w:spacing w:val="-60"/>
        </w:rPr>
        <w:t> </w:t>
      </w:r>
      <w:r>
        <w:rPr/>
        <w:t>股。</w:t>
      </w:r>
    </w:p>
    <w:p>
      <w:pPr>
        <w:pStyle w:val="BodyText"/>
        <w:spacing w:line="237" w:lineRule="auto" w:before="121"/>
        <w:ind w:right="231"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月，因股权激励计划中被激励对象离职，经本公司</w:t>
      </w:r>
      <w:r>
        <w:rPr>
          <w:rFonts w:ascii="宋体" w:hAnsi="宋体" w:cs="宋体" w:eastAsia="宋体" w:hint="default"/>
          <w:spacing w:val="-2"/>
        </w:rPr>
        <w:t>2012</w:t>
      </w:r>
      <w:r>
        <w:rPr>
          <w:spacing w:val="-2"/>
        </w:rPr>
        <w:t>年第一次临时股</w:t>
      </w:r>
      <w:r>
        <w:rPr/>
        <w:t> 东大会决议和修改后的公司章程规定，回购并注销股权激励股票</w:t>
      </w:r>
      <w:r>
        <w:rPr>
          <w:rFonts w:ascii="宋体" w:hAnsi="宋体" w:cs="宋体" w:eastAsia="宋体" w:hint="default"/>
        </w:rPr>
        <w:t>156,750</w:t>
      </w:r>
      <w:r>
        <w:rPr/>
        <w:t>股，减资后</w:t>
      </w:r>
      <w:r>
        <w:rPr>
          <w:spacing w:val="-57"/>
        </w:rPr>
        <w:t> </w:t>
      </w:r>
      <w:r>
        <w:rPr/>
        <w:t>股本总额为</w:t>
      </w:r>
      <w:r>
        <w:rPr>
          <w:rFonts w:ascii="宋体" w:hAnsi="宋体" w:cs="宋体" w:eastAsia="宋体" w:hint="default"/>
        </w:rPr>
        <w:t>543,739,496</w:t>
      </w:r>
      <w:r>
        <w:rPr/>
        <w:t>股。</w:t>
      </w:r>
    </w:p>
    <w:p>
      <w:pPr>
        <w:pStyle w:val="BodyText"/>
        <w:spacing w:line="237" w:lineRule="auto" w:before="121"/>
        <w:ind w:right="231" w:firstLine="480"/>
        <w:jc w:val="both"/>
      </w:pPr>
      <w:r>
        <w:rPr>
          <w:rFonts w:ascii="宋体" w:hAnsi="宋体" w:cs="宋体" w:eastAsia="宋体" w:hint="default"/>
        </w:rPr>
        <w:t>2012</w:t>
      </w:r>
      <w:r>
        <w:rPr/>
        <w:t>年</w:t>
      </w:r>
      <w:r>
        <w:rPr>
          <w:rFonts w:ascii="宋体" w:hAnsi="宋体" w:cs="宋体" w:eastAsia="宋体" w:hint="default"/>
        </w:rPr>
        <w:t>2</w:t>
      </w:r>
      <w:r>
        <w:rPr/>
        <w:t>月，因股权激励计划中被激励对象离职，经本公司</w:t>
      </w:r>
      <w:r>
        <w:rPr>
          <w:rFonts w:ascii="宋体" w:hAnsi="宋体" w:cs="宋体" w:eastAsia="宋体" w:hint="default"/>
        </w:rPr>
        <w:t>2012</w:t>
      </w:r>
      <w:r>
        <w:rPr/>
        <w:t>年第二次临时股 东大会决议和修改后的公司章程规定，回购并注销股权激励股票</w:t>
      </w:r>
      <w:r>
        <w:rPr>
          <w:rFonts w:ascii="宋体" w:hAnsi="宋体" w:cs="宋体" w:eastAsia="宋体" w:hint="default"/>
        </w:rPr>
        <w:t>742,500</w:t>
      </w:r>
      <w:r>
        <w:rPr/>
        <w:t>股。减资后</w:t>
      </w:r>
      <w:r>
        <w:rPr>
          <w:spacing w:val="-58"/>
        </w:rPr>
        <w:t> </w:t>
      </w:r>
      <w:r>
        <w:rPr/>
        <w:t>股本总额为</w:t>
      </w:r>
      <w:r>
        <w:rPr>
          <w:rFonts w:ascii="宋体" w:hAnsi="宋体" w:cs="宋体" w:eastAsia="宋体" w:hint="default"/>
        </w:rPr>
        <w:t>542,996,996</w:t>
      </w:r>
      <w:r>
        <w:rPr/>
        <w:t>股。</w:t>
      </w:r>
    </w:p>
    <w:p>
      <w:pPr>
        <w:pStyle w:val="BodyText"/>
        <w:spacing w:line="313" w:lineRule="exact" w:before="118"/>
        <w:ind w:left="617" w:right="119"/>
        <w:jc w:val="left"/>
      </w:pPr>
      <w:r>
        <w:rPr/>
        <w:t>根据本公司</w:t>
      </w:r>
      <w:r>
        <w:rPr>
          <w:spacing w:val="-61"/>
        </w:rPr>
        <w:t> </w:t>
      </w:r>
      <w:r>
        <w:rPr>
          <w:rFonts w:ascii="宋体" w:hAnsi="宋体" w:cs="宋体" w:eastAsia="宋体" w:hint="default"/>
        </w:rPr>
        <w:t>2011</w:t>
      </w:r>
      <w:r>
        <w:rPr>
          <w:rFonts w:ascii="宋体" w:hAnsi="宋体" w:cs="宋体" w:eastAsia="宋体" w:hint="default"/>
          <w:spacing w:val="-60"/>
        </w:rPr>
        <w:t> </w:t>
      </w:r>
      <w:r>
        <w:rPr>
          <w:spacing w:val="-4"/>
        </w:rPr>
        <w:t>年度股东大会决议，本公司以</w:t>
      </w:r>
      <w:r>
        <w:rPr>
          <w:spacing w:val="-59"/>
        </w:rPr>
        <w:t> </w:t>
      </w:r>
      <w:r>
        <w:rPr>
          <w:rFonts w:ascii="宋体" w:hAnsi="宋体" w:cs="宋体" w:eastAsia="宋体" w:hint="default"/>
        </w:rPr>
        <w:t>2011</w:t>
      </w:r>
      <w:r>
        <w:rPr>
          <w:rFonts w:ascii="宋体" w:hAnsi="宋体" w:cs="宋体" w:eastAsia="宋体" w:hint="default"/>
          <w:spacing w:val="-60"/>
        </w:rPr>
        <w:t> </w:t>
      </w:r>
      <w:r>
        <w:rPr/>
        <w:t>年总股本</w:t>
      </w:r>
      <w:r>
        <w:rPr>
          <w:spacing w:val="-60"/>
        </w:rPr>
        <w:t> </w:t>
      </w:r>
      <w:r>
        <w:rPr>
          <w:rFonts w:ascii="宋体" w:hAnsi="宋体" w:cs="宋体" w:eastAsia="宋体" w:hint="default"/>
        </w:rPr>
        <w:t>543,739,496</w:t>
      </w:r>
      <w:r>
        <w:rPr>
          <w:rFonts w:ascii="宋体" w:hAnsi="宋体" w:cs="宋体" w:eastAsia="宋体" w:hint="default"/>
          <w:spacing w:val="-60"/>
        </w:rPr>
        <w:t> </w:t>
      </w:r>
      <w:r>
        <w:rPr/>
        <w:t>股扣</w:t>
      </w:r>
    </w:p>
    <w:p>
      <w:pPr>
        <w:pStyle w:val="BodyText"/>
        <w:spacing w:line="311" w:lineRule="exact"/>
        <w:ind w:right="119"/>
        <w:jc w:val="left"/>
      </w:pPr>
      <w:r>
        <w:rPr/>
        <w:t>除回购并注销股权激励股票</w:t>
      </w:r>
      <w:r>
        <w:rPr>
          <w:spacing w:val="-59"/>
        </w:rPr>
        <w:t> </w:t>
      </w:r>
      <w:r>
        <w:rPr>
          <w:rFonts w:ascii="宋体" w:hAnsi="宋体" w:cs="宋体" w:eastAsia="宋体" w:hint="default"/>
        </w:rPr>
        <w:t>742,500</w:t>
      </w:r>
      <w:r>
        <w:rPr>
          <w:rFonts w:ascii="宋体" w:hAnsi="宋体" w:cs="宋体" w:eastAsia="宋体" w:hint="default"/>
          <w:spacing w:val="-59"/>
        </w:rPr>
        <w:t> </w:t>
      </w:r>
      <w:r>
        <w:rPr/>
        <w:t>股后的总股本</w:t>
      </w:r>
      <w:r>
        <w:rPr>
          <w:spacing w:val="-59"/>
        </w:rPr>
        <w:t> </w:t>
      </w:r>
      <w:r>
        <w:rPr>
          <w:rFonts w:ascii="宋体" w:hAnsi="宋体" w:cs="宋体" w:eastAsia="宋体" w:hint="default"/>
        </w:rPr>
        <w:t>542,996,996</w:t>
      </w:r>
      <w:r>
        <w:rPr>
          <w:rFonts w:ascii="宋体" w:hAnsi="宋体" w:cs="宋体" w:eastAsia="宋体" w:hint="default"/>
          <w:spacing w:val="-59"/>
        </w:rPr>
        <w:t> </w:t>
      </w:r>
      <w:r>
        <w:rPr>
          <w:spacing w:val="-6"/>
        </w:rPr>
        <w:t>股为基数，向全体股</w:t>
      </w:r>
    </w:p>
    <w:p>
      <w:pPr>
        <w:pStyle w:val="BodyText"/>
        <w:spacing w:line="312" w:lineRule="exact" w:before="28"/>
        <w:ind w:right="224"/>
        <w:jc w:val="left"/>
      </w:pPr>
      <w:r>
        <w:rPr/>
        <w:t>东每</w:t>
      </w:r>
      <w:r>
        <w:rPr>
          <w:spacing w:val="-74"/>
        </w:rPr>
        <w:t> </w:t>
      </w:r>
      <w:r>
        <w:rPr>
          <w:rFonts w:ascii="宋体" w:hAnsi="宋体" w:cs="宋体" w:eastAsia="宋体" w:hint="default"/>
        </w:rPr>
        <w:t>10</w:t>
      </w:r>
      <w:r>
        <w:rPr>
          <w:rFonts w:ascii="宋体" w:hAnsi="宋体" w:cs="宋体" w:eastAsia="宋体" w:hint="default"/>
          <w:spacing w:val="-74"/>
        </w:rPr>
        <w:t> </w:t>
      </w:r>
      <w:r>
        <w:rPr/>
        <w:t>股转增</w:t>
      </w:r>
      <w:r>
        <w:rPr>
          <w:spacing w:val="-74"/>
        </w:rPr>
        <w:t> </w:t>
      </w:r>
      <w:r>
        <w:rPr>
          <w:rFonts w:ascii="宋体" w:hAnsi="宋体" w:cs="宋体" w:eastAsia="宋体" w:hint="default"/>
          <w:spacing w:val="-1"/>
        </w:rPr>
        <w:t>2.00273</w:t>
      </w:r>
      <w:r>
        <w:rPr>
          <w:rFonts w:ascii="宋体" w:hAnsi="宋体" w:cs="宋体" w:eastAsia="宋体" w:hint="default"/>
          <w:spacing w:val="-74"/>
        </w:rPr>
        <w:t> </w:t>
      </w:r>
      <w:r>
        <w:rPr>
          <w:spacing w:val="-24"/>
        </w:rPr>
        <w:t>股，共转增</w:t>
      </w:r>
      <w:r>
        <w:rPr>
          <w:spacing w:val="-73"/>
        </w:rPr>
        <w:t> </w:t>
      </w:r>
      <w:r>
        <w:rPr>
          <w:rFonts w:ascii="宋体" w:hAnsi="宋体" w:cs="宋体" w:eastAsia="宋体" w:hint="default"/>
          <w:spacing w:val="-1"/>
        </w:rPr>
        <w:t>108,747,899</w:t>
      </w:r>
      <w:r>
        <w:rPr>
          <w:rFonts w:ascii="宋体" w:hAnsi="宋体" w:cs="宋体" w:eastAsia="宋体" w:hint="default"/>
          <w:spacing w:val="-74"/>
        </w:rPr>
        <w:t> </w:t>
      </w:r>
      <w:r>
        <w:rPr>
          <w:spacing w:val="-11"/>
        </w:rPr>
        <w:t>股，转增后的股本总额为</w:t>
      </w:r>
      <w:r>
        <w:rPr>
          <w:spacing w:val="-73"/>
        </w:rPr>
        <w:t> </w:t>
      </w:r>
      <w:r>
        <w:rPr>
          <w:rFonts w:ascii="宋体" w:hAnsi="宋体" w:cs="宋体" w:eastAsia="宋体" w:hint="default"/>
        </w:rPr>
        <w:t>651,744,895 </w:t>
      </w:r>
      <w:r>
        <w:rPr/>
        <w:t>股。</w:t>
      </w:r>
    </w:p>
    <w:p>
      <w:pPr>
        <w:pStyle w:val="BodyText"/>
        <w:spacing w:line="237" w:lineRule="auto" w:before="92"/>
        <w:ind w:right="231" w:firstLine="480"/>
        <w:jc w:val="both"/>
      </w:pPr>
      <w:r>
        <w:rPr>
          <w:rFonts w:ascii="宋体" w:hAnsi="宋体" w:cs="宋体" w:eastAsia="宋体" w:hint="default"/>
        </w:rPr>
        <w:t>2012</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年第二次临时股 东大会决议和修改后的公司章程规定，回购并注销股权激励股票</w:t>
      </w:r>
      <w:r>
        <w:rPr>
          <w:rFonts w:ascii="宋体" w:hAnsi="宋体" w:cs="宋体" w:eastAsia="宋体" w:hint="default"/>
        </w:rPr>
        <w:t>3,465,789</w:t>
      </w:r>
      <w:r>
        <w:rPr/>
        <w:t>股，减资</w:t>
      </w:r>
      <w:r>
        <w:rPr>
          <w:spacing w:val="-57"/>
        </w:rPr>
        <w:t> </w:t>
      </w:r>
      <w:r>
        <w:rPr>
          <w:spacing w:val="-57"/>
        </w:rPr>
      </w:r>
      <w:r>
        <w:rPr/>
        <w:t>后股本总额为</w:t>
      </w:r>
      <w:r>
        <w:rPr>
          <w:rFonts w:ascii="宋体" w:hAnsi="宋体" w:cs="宋体" w:eastAsia="宋体" w:hint="default"/>
        </w:rPr>
        <w:t>648,279,106</w:t>
      </w:r>
      <w:r>
        <w:rPr/>
        <w:t>股。</w:t>
      </w:r>
    </w:p>
    <w:p>
      <w:pPr>
        <w:spacing w:after="0" w:line="237" w:lineRule="auto"/>
        <w:jc w:val="both"/>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right="233" w:firstLine="480"/>
        <w:jc w:val="both"/>
      </w:pPr>
      <w:r>
        <w:rPr>
          <w:rFonts w:ascii="宋体" w:hAnsi="宋体" w:cs="宋体" w:eastAsia="宋体" w:hint="default"/>
        </w:rPr>
        <w:t>2013</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年第十次临时董 </w:t>
      </w:r>
      <w:r>
        <w:rPr>
          <w:spacing w:val="4"/>
        </w:rPr>
        <w:t>事会审议通过了回购并注销上述激励对象已获授但尚未解锁的股权激励股票的相关</w:t>
      </w:r>
      <w:r>
        <w:rPr>
          <w:spacing w:val="-105"/>
        </w:rPr>
        <w:t> </w:t>
      </w:r>
      <w:r>
        <w:rPr>
          <w:spacing w:val="-105"/>
        </w:rPr>
      </w:r>
      <w:r>
        <w:rPr/>
        <w:t>议案，回购并注销股票</w:t>
      </w:r>
      <w:r>
        <w:rPr>
          <w:rFonts w:ascii="宋体" w:hAnsi="宋体" w:cs="宋体" w:eastAsia="宋体" w:hint="default"/>
        </w:rPr>
        <w:t>2,245,038</w:t>
      </w:r>
      <w:r>
        <w:rPr/>
        <w:t>元。减资后股本总额为</w:t>
      </w:r>
      <w:r>
        <w:rPr>
          <w:rFonts w:ascii="宋体" w:hAnsi="宋体" w:cs="宋体" w:eastAsia="宋体" w:hint="default"/>
        </w:rPr>
        <w:t>646,034,068.00</w:t>
      </w:r>
      <w:r>
        <w:rPr/>
        <w:t>股。</w:t>
      </w:r>
    </w:p>
    <w:p>
      <w:pPr>
        <w:pStyle w:val="BodyText"/>
        <w:spacing w:line="237" w:lineRule="auto" w:before="121"/>
        <w:ind w:right="227" w:firstLine="480"/>
        <w:jc w:val="both"/>
      </w:pPr>
      <w:r>
        <w:rPr>
          <w:rFonts w:ascii="宋体" w:hAnsi="宋体" w:cs="宋体" w:eastAsia="宋体" w:hint="default"/>
        </w:rPr>
        <w:t>2014</w:t>
      </w:r>
      <w:r>
        <w:rPr/>
        <w:t>年</w:t>
      </w:r>
      <w:r>
        <w:rPr>
          <w:rFonts w:ascii="宋体" w:hAnsi="宋体" w:cs="宋体" w:eastAsia="宋体" w:hint="default"/>
        </w:rPr>
        <w:t>6</w:t>
      </w:r>
      <w:r>
        <w:rPr/>
        <w:t>月，因公司</w:t>
      </w:r>
      <w:r>
        <w:rPr>
          <w:rFonts w:ascii="宋体" w:hAnsi="宋体" w:cs="宋体" w:eastAsia="宋体" w:hint="default"/>
        </w:rPr>
        <w:t>2013</w:t>
      </w:r>
      <w:r>
        <w:rPr/>
        <w:t>年的业绩未达到股权激励股票解锁的条件以及股权激励 计划中被激励对象离职，经本公司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22</w:t>
      </w:r>
      <w:r>
        <w:rPr/>
        <w:t>日第二次临时董事会审议通过了回购</w:t>
      </w:r>
      <w:r>
        <w:rPr>
          <w:spacing w:val="-56"/>
        </w:rPr>
        <w:t> </w:t>
      </w:r>
      <w:r>
        <w:rPr>
          <w:spacing w:val="-56"/>
        </w:rPr>
      </w:r>
      <w:r>
        <w:rPr>
          <w:spacing w:val="-2"/>
        </w:rPr>
        <w:t>并注销上述激励对象已获授但尚未解锁的股权激励股票的相关议案，并于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spacing w:val="-87"/>
        </w:rPr>
        <w:t> </w:t>
      </w:r>
      <w:r>
        <w:rPr>
          <w:spacing w:val="-2"/>
        </w:rPr>
        <w:t>完成回购并注销股票</w:t>
      </w:r>
      <w:r>
        <w:rPr>
          <w:rFonts w:ascii="宋体" w:hAnsi="宋体" w:cs="宋体" w:eastAsia="宋体" w:hint="default"/>
          <w:spacing w:val="-2"/>
        </w:rPr>
        <w:t>4,178,761</w:t>
      </w:r>
      <w:r>
        <w:rPr>
          <w:spacing w:val="-2"/>
        </w:rPr>
        <w:t>股。</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月，公司</w:t>
      </w:r>
      <w:r>
        <w:rPr>
          <w:rFonts w:ascii="宋体" w:hAnsi="宋体" w:cs="宋体" w:eastAsia="宋体" w:hint="default"/>
          <w:spacing w:val="-2"/>
        </w:rPr>
        <w:t>2012</w:t>
      </w:r>
      <w:r>
        <w:rPr>
          <w:spacing w:val="-2"/>
        </w:rPr>
        <w:t>年第十次临时董事会审批通</w:t>
      </w:r>
      <w:r>
        <w:rPr>
          <w:spacing w:val="-77"/>
        </w:rPr>
        <w:t> </w:t>
      </w:r>
      <w:r>
        <w:rPr>
          <w:spacing w:val="-2"/>
        </w:rPr>
        <w:t>过的</w:t>
      </w:r>
      <w:r>
        <w:rPr>
          <w:rFonts w:ascii="宋体" w:hAnsi="宋体" w:cs="宋体" w:eastAsia="宋体" w:hint="default"/>
          <w:spacing w:val="-2"/>
        </w:rPr>
        <w:t>481,910</w:t>
      </w:r>
      <w:r>
        <w:rPr>
          <w:spacing w:val="-2"/>
        </w:rPr>
        <w:t>股也于本次完成回购并注销。</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月，因股权激励计划中被激励对象</w:t>
      </w:r>
      <w:r>
        <w:rPr>
          <w:spacing w:val="-83"/>
        </w:rPr>
        <w:t> </w:t>
      </w:r>
      <w:r>
        <w:rPr>
          <w:spacing w:val="-83"/>
        </w:rPr>
      </w:r>
      <w:r>
        <w:rPr/>
        <w:t>离职，经本公司</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25</w:t>
      </w:r>
      <w:r>
        <w:rPr/>
        <w:t>日第五届董事会第三次会议审议通过了回购并注销上述</w:t>
      </w:r>
    </w:p>
    <w:p>
      <w:pPr>
        <w:pStyle w:val="BodyText"/>
        <w:spacing w:line="312" w:lineRule="exact" w:before="26"/>
        <w:ind w:right="119"/>
        <w:jc w:val="left"/>
      </w:pPr>
      <w:r>
        <w:rPr/>
        <w:t>激励对象已获授但尚未解锁的股权激励股票的相关议案，回购并注销股票</w:t>
      </w:r>
      <w:r>
        <w:rPr>
          <w:rFonts w:ascii="宋体" w:hAnsi="宋体" w:cs="宋体" w:eastAsia="宋体" w:hint="default"/>
        </w:rPr>
        <w:t>49,512</w:t>
      </w:r>
      <w:r>
        <w:rPr/>
        <w:t>股。</w:t>
      </w:r>
      <w:r>
        <w:rPr>
          <w:spacing w:val="-56"/>
        </w:rPr>
        <w:t> </w:t>
      </w:r>
      <w:r>
        <w:rPr/>
        <w:t>减资后股本总额为</w:t>
      </w:r>
      <w:r>
        <w:rPr>
          <w:rFonts w:ascii="宋体" w:hAnsi="宋体" w:cs="宋体" w:eastAsia="宋体" w:hint="default"/>
        </w:rPr>
        <w:t>641,323,885.00</w:t>
      </w:r>
      <w:r>
        <w:rPr/>
        <w:t>股。</w:t>
      </w:r>
    </w:p>
    <w:p>
      <w:pPr>
        <w:pStyle w:val="BodyText"/>
        <w:spacing w:line="312" w:lineRule="exact" w:before="89"/>
        <w:ind w:left="617" w:right="119"/>
        <w:jc w:val="left"/>
      </w:pPr>
      <w:r>
        <w:rPr/>
        <w:t>本期减少股本</w:t>
      </w:r>
      <w:r>
        <w:rPr>
          <w:rFonts w:ascii="宋体" w:hAnsi="宋体" w:cs="宋体" w:eastAsia="宋体" w:hint="default"/>
        </w:rPr>
        <w:t>3,878,389</w:t>
      </w:r>
      <w:r>
        <w:rPr/>
        <w:t>股，系因本公司</w:t>
      </w:r>
      <w:r>
        <w:rPr>
          <w:rFonts w:ascii="宋体" w:hAnsi="宋体" w:cs="宋体" w:eastAsia="宋体" w:hint="default"/>
        </w:rPr>
        <w:t>2014</w:t>
      </w:r>
      <w:r>
        <w:rPr/>
        <w:t>年的业绩未达到股权激励股票解锁</w:t>
      </w:r>
    </w:p>
    <w:p>
      <w:pPr>
        <w:pStyle w:val="BodyText"/>
        <w:spacing w:line="312" w:lineRule="exact" w:before="28"/>
        <w:ind w:right="119"/>
        <w:jc w:val="left"/>
      </w:pPr>
      <w:r>
        <w:rPr/>
        <w:t>的条件，根据《北京华胜天成科技股份有限公司首期股票激励计划（草案修订稿）》</w:t>
      </w:r>
      <w:r>
        <w:rPr>
          <w:spacing w:val="-57"/>
        </w:rPr>
        <w:t> </w:t>
      </w:r>
      <w:r>
        <w:rPr>
          <w:spacing w:val="-57"/>
        </w:rPr>
      </w:r>
      <w:r>
        <w:rPr/>
        <w:t>有关条款及股东大会授权，于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日召开的第五届董事会第四次会议上审议通 过了《关于回购并注销部分股权激励股票的议案》</w:t>
      </w:r>
      <w:r>
        <w:rPr>
          <w:rFonts w:ascii="宋体" w:hAnsi="宋体" w:cs="宋体" w:eastAsia="宋体" w:hint="default"/>
        </w:rPr>
        <w:t>(</w:t>
      </w:r>
      <w:r>
        <w:rPr/>
        <w:t>第八批</w:t>
      </w:r>
      <w:r>
        <w:rPr>
          <w:rFonts w:ascii="宋体" w:hAnsi="宋体" w:cs="宋体" w:eastAsia="宋体" w:hint="default"/>
        </w:rPr>
        <w:t>)</w:t>
      </w:r>
      <w:r>
        <w:rPr/>
        <w:t>，公司董事会决定回购并</w:t>
      </w:r>
    </w:p>
    <w:p>
      <w:pPr>
        <w:pStyle w:val="BodyText"/>
        <w:spacing w:line="280" w:lineRule="exact"/>
        <w:ind w:right="119"/>
        <w:jc w:val="left"/>
      </w:pPr>
      <w:r>
        <w:rPr/>
        <w:t>注销第一期股权激励计划的杨俏丛等</w:t>
      </w:r>
      <w:r>
        <w:rPr>
          <w:rFonts w:ascii="宋体" w:hAnsi="宋体" w:cs="宋体" w:eastAsia="宋体" w:hint="default"/>
        </w:rPr>
        <w:t>50</w:t>
      </w:r>
      <w:r>
        <w:rPr/>
        <w:t>人此批股权激励股票，共计</w:t>
      </w:r>
      <w:r>
        <w:rPr>
          <w:rFonts w:ascii="宋体" w:hAnsi="宋体" w:cs="宋体" w:eastAsia="宋体" w:hint="default"/>
        </w:rPr>
        <w:t>3,878,389</w:t>
      </w:r>
      <w:r>
        <w:rPr/>
        <w:t>股。上</w:t>
      </w:r>
    </w:p>
    <w:p>
      <w:pPr>
        <w:pStyle w:val="BodyText"/>
        <w:spacing w:line="312" w:lineRule="exact" w:before="29"/>
        <w:ind w:right="119"/>
        <w:jc w:val="left"/>
      </w:pPr>
      <w:r>
        <w:rPr>
          <w:spacing w:val="4"/>
        </w:rPr>
        <w:t>述需要回购并注销的限制性股票共计</w:t>
      </w:r>
      <w:r>
        <w:rPr>
          <w:rFonts w:ascii="宋体" w:hAnsi="宋体" w:cs="宋体" w:eastAsia="宋体" w:hint="default"/>
          <w:spacing w:val="4"/>
        </w:rPr>
        <w:t>3,878,389</w:t>
      </w:r>
      <w:r>
        <w:rPr>
          <w:spacing w:val="4"/>
        </w:rPr>
        <w:t>股</w:t>
      </w:r>
      <w:r>
        <w:rPr>
          <w:rFonts w:ascii="宋体" w:hAnsi="宋体" w:cs="宋体" w:eastAsia="宋体" w:hint="default"/>
          <w:spacing w:val="4"/>
        </w:rPr>
        <w:t>,</w:t>
      </w:r>
      <w:r>
        <w:rPr>
          <w:spacing w:val="4"/>
        </w:rPr>
        <w:t>已过户至公司开立的回购专用证</w:t>
      </w:r>
      <w:r>
        <w:rPr>
          <w:spacing w:val="-115"/>
        </w:rPr>
        <w:t> </w:t>
      </w:r>
      <w:r>
        <w:rPr>
          <w:spacing w:val="-115"/>
        </w:rPr>
      </w:r>
      <w:r>
        <w:rPr/>
        <w:t>券账户</w:t>
      </w:r>
      <w:r>
        <w:rPr>
          <w:rFonts w:ascii="宋体" w:hAnsi="宋体" w:cs="宋体" w:eastAsia="宋体" w:hint="default"/>
        </w:rPr>
        <w:t>,</w:t>
      </w:r>
      <w:r>
        <w:rPr/>
        <w:t>并于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日注销。</w:t>
      </w:r>
    </w:p>
    <w:p>
      <w:pPr>
        <w:pStyle w:val="BodyText"/>
        <w:spacing w:line="312" w:lineRule="exact" w:before="117"/>
        <w:ind w:right="233" w:firstLine="480"/>
        <w:jc w:val="both"/>
      </w:pPr>
      <w:r>
        <w:rPr>
          <w:spacing w:val="-8"/>
        </w:rPr>
        <w:t>本公司根据《关于</w:t>
      </w:r>
      <w:r>
        <w:rPr>
          <w:rFonts w:ascii="宋体" w:hAnsi="宋体" w:cs="宋体" w:eastAsia="宋体" w:hint="default"/>
          <w:spacing w:val="-8"/>
        </w:rPr>
        <w:t>&lt;</w:t>
      </w:r>
      <w:r>
        <w:rPr>
          <w:spacing w:val="-8"/>
        </w:rPr>
        <w:t>北京华胜天成科技股份有限公司第二期股权激励计划（草案）</w:t>
      </w:r>
      <w:r>
        <w:rPr>
          <w:rFonts w:ascii="宋体" w:hAnsi="宋体" w:cs="宋体" w:eastAsia="宋体" w:hint="default"/>
          <w:spacing w:val="-8"/>
        </w:rPr>
        <w:t>&gt;</w:t>
      </w:r>
      <w:r>
        <w:rPr>
          <w:rFonts w:ascii="宋体" w:hAnsi="宋体" w:cs="宋体" w:eastAsia="宋体" w:hint="default"/>
        </w:rPr>
        <w:t> </w:t>
      </w:r>
      <w:r>
        <w:rPr/>
        <w:t>及其摘要的议案》有关条款和股东大会授权，于</w:t>
      </w:r>
      <w:r>
        <w:rPr>
          <w:spacing w:val="-28"/>
        </w:rPr>
        <w:t> </w:t>
      </w:r>
      <w:r>
        <w:rPr>
          <w:rFonts w:ascii="宋体" w:hAnsi="宋体" w:cs="宋体" w:eastAsia="宋体" w:hint="default"/>
        </w:rPr>
        <w:t>2015</w:t>
      </w:r>
      <w:r>
        <w:rPr>
          <w:rFonts w:ascii="宋体" w:hAnsi="宋体" w:cs="宋体" w:eastAsia="宋体" w:hint="default"/>
          <w:spacing w:val="-29"/>
        </w:rPr>
        <w:t> </w:t>
      </w:r>
      <w:r>
        <w:rPr/>
        <w:t>年</w:t>
      </w:r>
      <w:r>
        <w:rPr>
          <w:spacing w:val="-27"/>
        </w:rPr>
        <w:t> </w:t>
      </w:r>
      <w:r>
        <w:rPr>
          <w:rFonts w:ascii="宋体" w:hAnsi="宋体" w:cs="宋体" w:eastAsia="宋体" w:hint="default"/>
        </w:rPr>
        <w:t>5</w:t>
      </w:r>
      <w:r>
        <w:rPr>
          <w:rFonts w:ascii="宋体" w:hAnsi="宋体" w:cs="宋体" w:eastAsia="宋体" w:hint="default"/>
          <w:spacing w:val="-29"/>
        </w:rPr>
        <w:t> </w:t>
      </w:r>
      <w:r>
        <w:rPr/>
        <w:t>月</w:t>
      </w:r>
      <w:r>
        <w:rPr>
          <w:spacing w:val="-29"/>
        </w:rPr>
        <w:t> </w:t>
      </w:r>
      <w:r>
        <w:rPr>
          <w:rFonts w:ascii="宋体" w:hAnsi="宋体" w:cs="宋体" w:eastAsia="宋体" w:hint="default"/>
        </w:rPr>
        <w:t>25</w:t>
      </w:r>
      <w:r>
        <w:rPr>
          <w:rFonts w:ascii="宋体" w:hAnsi="宋体" w:cs="宋体" w:eastAsia="宋体" w:hint="default"/>
          <w:spacing w:val="-29"/>
        </w:rPr>
        <w:t> </w:t>
      </w:r>
      <w:r>
        <w:rPr/>
        <w:t>日向激励对象授予</w:t>
      </w:r>
    </w:p>
    <w:p>
      <w:pPr>
        <w:pStyle w:val="BodyText"/>
        <w:spacing w:line="282" w:lineRule="exact"/>
        <w:ind w:right="119"/>
        <w:jc w:val="left"/>
      </w:pPr>
      <w:r>
        <w:rPr>
          <w:rFonts w:ascii="宋体" w:hAnsi="宋体" w:cs="宋体" w:eastAsia="宋体" w:hint="default"/>
        </w:rPr>
        <w:t>4,430,000</w:t>
      </w:r>
      <w:r>
        <w:rPr>
          <w:rFonts w:ascii="宋体" w:hAnsi="宋体" w:cs="宋体" w:eastAsia="宋体" w:hint="default"/>
          <w:spacing w:val="-49"/>
        </w:rPr>
        <w:t> </w:t>
      </w:r>
      <w:r>
        <w:rPr/>
        <w:t>股股票用于实施股权激励计划。本次股权激励计划实际授予限制性股票的</w:t>
      </w:r>
    </w:p>
    <w:p>
      <w:pPr>
        <w:pStyle w:val="BodyText"/>
        <w:spacing w:line="311" w:lineRule="exact"/>
        <w:ind w:right="119"/>
        <w:jc w:val="left"/>
      </w:pPr>
      <w:r>
        <w:rPr/>
        <w:t>数量为</w:t>
      </w:r>
      <w:r>
        <w:rPr>
          <w:spacing w:val="-62"/>
        </w:rPr>
        <w:t> </w:t>
      </w:r>
      <w:r>
        <w:rPr>
          <w:rFonts w:ascii="宋体" w:hAnsi="宋体" w:cs="宋体" w:eastAsia="宋体" w:hint="default"/>
        </w:rPr>
        <w:t>4,280,000</w:t>
      </w:r>
      <w:r>
        <w:rPr>
          <w:rFonts w:ascii="宋体" w:hAnsi="宋体" w:cs="宋体" w:eastAsia="宋体" w:hint="default"/>
          <w:spacing w:val="-61"/>
        </w:rPr>
        <w:t> </w:t>
      </w:r>
      <w:r>
        <w:rPr/>
        <w:t>股，实际授予人数为</w:t>
      </w:r>
      <w:r>
        <w:rPr>
          <w:spacing w:val="-61"/>
        </w:rPr>
        <w:t> </w:t>
      </w:r>
      <w:r>
        <w:rPr>
          <w:rFonts w:ascii="宋体" w:hAnsi="宋体" w:cs="宋体" w:eastAsia="宋体" w:hint="default"/>
        </w:rPr>
        <w:t>61</w:t>
      </w:r>
      <w:r>
        <w:rPr>
          <w:rFonts w:ascii="宋体" w:hAnsi="宋体" w:cs="宋体" w:eastAsia="宋体" w:hint="default"/>
          <w:spacing w:val="-61"/>
        </w:rPr>
        <w:t> </w:t>
      </w:r>
      <w:r>
        <w:rPr>
          <w:spacing w:val="-3"/>
        </w:rPr>
        <w:t>人，认购价格每股</w:t>
      </w:r>
      <w:r>
        <w:rPr>
          <w:spacing w:val="-61"/>
        </w:rPr>
        <w:t> </w:t>
      </w:r>
      <w:r>
        <w:rPr>
          <w:rFonts w:ascii="宋体" w:hAnsi="宋体" w:cs="宋体" w:eastAsia="宋体" w:hint="default"/>
        </w:rPr>
        <w:t>15.848</w:t>
      </w:r>
      <w:r>
        <w:rPr>
          <w:rFonts w:ascii="宋体" w:hAnsi="宋体" w:cs="宋体" w:eastAsia="宋体" w:hint="default"/>
          <w:spacing w:val="-61"/>
        </w:rPr>
        <w:t> </w:t>
      </w:r>
      <w:r>
        <w:rPr>
          <w:spacing w:val="-3"/>
        </w:rPr>
        <w:t>元，认购金额合</w:t>
      </w:r>
    </w:p>
    <w:p>
      <w:pPr>
        <w:pStyle w:val="BodyText"/>
        <w:spacing w:line="312" w:lineRule="exact"/>
        <w:ind w:right="119"/>
        <w:jc w:val="left"/>
      </w:pPr>
      <w:r>
        <w:rPr/>
        <w:t>计</w:t>
      </w:r>
      <w:r>
        <w:rPr>
          <w:spacing w:val="-84"/>
        </w:rPr>
        <w:t> </w:t>
      </w:r>
      <w:r>
        <w:rPr>
          <w:rFonts w:ascii="宋体" w:hAnsi="宋体" w:cs="宋体" w:eastAsia="宋体" w:hint="default"/>
        </w:rPr>
        <w:t>67,829,</w:t>
      </w:r>
      <w:r>
        <w:rPr>
          <w:rFonts w:ascii="宋体" w:hAnsi="宋体" w:cs="宋体" w:eastAsia="宋体" w:hint="default"/>
          <w:spacing w:val="-1"/>
        </w:rPr>
        <w:t>4</w:t>
      </w:r>
      <w:r>
        <w:rPr>
          <w:rFonts w:ascii="宋体" w:hAnsi="宋体" w:cs="宋体" w:eastAsia="宋体" w:hint="default"/>
        </w:rPr>
        <w:t>40.00</w:t>
      </w:r>
      <w:r>
        <w:rPr>
          <w:rFonts w:ascii="宋体" w:hAnsi="宋体" w:cs="宋体" w:eastAsia="宋体" w:hint="default"/>
          <w:spacing w:val="-84"/>
        </w:rPr>
        <w:t> </w:t>
      </w:r>
      <w:r>
        <w:rPr/>
        <w:t>元</w:t>
      </w:r>
      <w:r>
        <w:rPr>
          <w:spacing w:val="-120"/>
        </w:rPr>
        <w:t>，</w:t>
      </w:r>
      <w:r>
        <w:rPr/>
        <w:t>业经致同会计师事务</w:t>
      </w:r>
      <w:r>
        <w:rPr>
          <w:spacing w:val="-120"/>
        </w:rPr>
        <w:t>所</w:t>
      </w:r>
      <w:r>
        <w:rPr/>
        <w:t>（特殊普通合伙</w:t>
      </w:r>
      <w:r>
        <w:rPr>
          <w:spacing w:val="-120"/>
        </w:rPr>
        <w:t>）</w:t>
      </w:r>
      <w:r>
        <w:rPr/>
        <w:t>出具的致同验</w:t>
      </w:r>
      <w:r>
        <w:rPr>
          <w:spacing w:val="-120"/>
        </w:rPr>
        <w:t>字</w:t>
      </w:r>
      <w:r>
        <w:rPr/>
        <w:t>（</w:t>
      </w:r>
      <w:r>
        <w:rPr>
          <w:rFonts w:ascii="宋体" w:hAnsi="宋体" w:cs="宋体" w:eastAsia="宋体" w:hint="default"/>
        </w:rPr>
        <w:t>2015</w:t>
      </w:r>
      <w:r>
        <w:rPr/>
        <w:t>）</w:t>
      </w:r>
    </w:p>
    <w:p>
      <w:pPr>
        <w:pStyle w:val="BodyText"/>
        <w:spacing w:line="312" w:lineRule="exact"/>
        <w:ind w:right="119"/>
        <w:jc w:val="left"/>
        <w:rPr>
          <w:rFonts w:ascii="宋体" w:hAnsi="宋体" w:cs="宋体" w:eastAsia="宋体" w:hint="default"/>
        </w:rPr>
      </w:pPr>
      <w:r>
        <w:rPr/>
        <w:t>第</w:t>
      </w:r>
      <w:r>
        <w:rPr>
          <w:spacing w:val="-60"/>
        </w:rPr>
        <w:t> </w:t>
      </w:r>
      <w:r>
        <w:rPr>
          <w:rFonts w:ascii="宋体" w:hAnsi="宋体" w:cs="宋体" w:eastAsia="宋体" w:hint="default"/>
        </w:rPr>
        <w:t>110ZA</w:t>
      </w:r>
      <w:r>
        <w:rPr>
          <w:rFonts w:ascii="宋体" w:hAnsi="宋体" w:cs="宋体" w:eastAsia="宋体" w:hint="default"/>
          <w:spacing w:val="-1"/>
        </w:rPr>
        <w:t>0</w:t>
      </w:r>
      <w:r>
        <w:rPr>
          <w:rFonts w:ascii="宋体" w:hAnsi="宋体" w:cs="宋体" w:eastAsia="宋体" w:hint="default"/>
        </w:rPr>
        <w:t>256</w:t>
      </w:r>
      <w:r>
        <w:rPr>
          <w:rFonts w:ascii="宋体" w:hAnsi="宋体" w:cs="宋体" w:eastAsia="宋体" w:hint="default"/>
          <w:spacing w:val="-60"/>
        </w:rPr>
        <w:t> </w:t>
      </w:r>
      <w:r>
        <w:rPr/>
        <w:t>号验资报告予以验证</w:t>
      </w:r>
      <w:r>
        <w:rPr>
          <w:spacing w:val="-108"/>
        </w:rPr>
        <w:t>，</w:t>
      </w:r>
      <w:r>
        <w:rPr/>
        <w:t>被授予的限制性股票</w:t>
      </w:r>
      <w:r>
        <w:rPr>
          <w:spacing w:val="-60"/>
        </w:rPr>
        <w:t> </w:t>
      </w:r>
      <w:r>
        <w:rPr>
          <w:rFonts w:ascii="宋体" w:hAnsi="宋体" w:cs="宋体" w:eastAsia="宋体" w:hint="default"/>
        </w:rPr>
        <w:t>4,280,000</w:t>
      </w:r>
      <w:r>
        <w:rPr>
          <w:rFonts w:ascii="宋体" w:hAnsi="宋体" w:cs="宋体" w:eastAsia="宋体" w:hint="default"/>
          <w:spacing w:val="-60"/>
        </w:rPr>
        <w:t> </w:t>
      </w:r>
      <w:r>
        <w:rPr/>
        <w:t>股已于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p>
    <w:p>
      <w:pPr>
        <w:pStyle w:val="BodyText"/>
        <w:spacing w:line="328" w:lineRule="auto"/>
        <w:ind w:left="617" w:right="1609" w:hanging="480"/>
        <w:jc w:val="left"/>
      </w:pPr>
      <w:r>
        <w:rPr/>
        <w:t>月</w:t>
      </w:r>
      <w:r>
        <w:rPr>
          <w:spacing w:val="-60"/>
        </w:rPr>
        <w:t> </w:t>
      </w:r>
      <w:r>
        <w:rPr>
          <w:rFonts w:ascii="宋体" w:hAnsi="宋体" w:cs="宋体" w:eastAsia="宋体" w:hint="default"/>
        </w:rPr>
        <w:t>8</w:t>
      </w:r>
      <w:r>
        <w:rPr>
          <w:rFonts w:ascii="宋体" w:hAnsi="宋体" w:cs="宋体" w:eastAsia="宋体" w:hint="default"/>
          <w:spacing w:val="-60"/>
        </w:rPr>
        <w:t> </w:t>
      </w:r>
      <w:r>
        <w:rPr/>
        <w:t>日转让给激励对象。 本公司企业法人营业执照注册号：</w:t>
      </w:r>
      <w:r>
        <w:rPr>
          <w:rFonts w:ascii="宋体" w:hAnsi="宋体" w:cs="宋体" w:eastAsia="宋体" w:hint="default"/>
        </w:rPr>
        <w:t>110000005143778</w:t>
      </w:r>
      <w:r>
        <w:rPr/>
        <w:t>。 本公司注册地址：北京市海淀区学清路</w:t>
      </w:r>
      <w:r>
        <w:rPr>
          <w:rFonts w:ascii="宋体" w:hAnsi="宋体" w:cs="宋体" w:eastAsia="宋体" w:hint="default"/>
        </w:rPr>
        <w:t>8</w:t>
      </w:r>
      <w:r>
        <w:rPr/>
        <w:t>号科技财富中心</w:t>
      </w:r>
      <w:r>
        <w:rPr>
          <w:rFonts w:ascii="宋体" w:hAnsi="宋体" w:cs="宋体" w:eastAsia="宋体" w:hint="default"/>
        </w:rPr>
        <w:t>A</w:t>
      </w:r>
      <w:r>
        <w:rPr/>
        <w:t>座</w:t>
      </w:r>
      <w:r>
        <w:rPr>
          <w:rFonts w:ascii="宋体" w:hAnsi="宋体" w:cs="宋体" w:eastAsia="宋体" w:hint="default"/>
        </w:rPr>
        <w:t>11</w:t>
      </w:r>
      <w:r>
        <w:rPr/>
        <w:t>层。</w:t>
      </w:r>
    </w:p>
    <w:p>
      <w:pPr>
        <w:pStyle w:val="BodyText"/>
        <w:spacing w:line="237" w:lineRule="auto" w:before="32"/>
        <w:ind w:right="232" w:firstLine="480"/>
        <w:jc w:val="both"/>
      </w:pPr>
      <w:r>
        <w:rPr>
          <w:spacing w:val="-2"/>
        </w:rPr>
        <w:t>本公司建立了股东大会、董事会、监事会的法人治理结构，目前设行政部、仓储</w:t>
      </w:r>
      <w:r>
        <w:rPr/>
        <w:t> </w:t>
      </w:r>
      <w:r>
        <w:rPr>
          <w:spacing w:val="-2"/>
        </w:rPr>
        <w:t>物流部、印章管理部、地方行政平台、数据中心业务部、财务管理中心、财务核算中</w:t>
      </w:r>
      <w:r>
        <w:rPr>
          <w:spacing w:val="-96"/>
        </w:rPr>
        <w:t> </w:t>
      </w:r>
      <w:r>
        <w:rPr>
          <w:spacing w:val="-96"/>
        </w:rPr>
      </w:r>
      <w:r>
        <w:rPr>
          <w:spacing w:val="-2"/>
        </w:rPr>
        <w:t>心、管理会计中心、金融服务中心、资金管理中心、东区业务平台、云服务部、法务</w:t>
      </w:r>
      <w:r>
        <w:rPr>
          <w:spacing w:val="-97"/>
        </w:rPr>
        <w:t> </w:t>
      </w:r>
      <w:r>
        <w:rPr>
          <w:spacing w:val="-97"/>
        </w:rPr>
      </w:r>
      <w:r>
        <w:rPr>
          <w:spacing w:val="-2"/>
        </w:rPr>
        <w:t>中心、市场部、科技部、卓越中心、证券事业部、企业规划部、综合办公室、人力资</w:t>
      </w:r>
      <w:r>
        <w:rPr>
          <w:spacing w:val="-102"/>
        </w:rPr>
        <w:t> </w:t>
      </w:r>
      <w:r>
        <w:rPr>
          <w:spacing w:val="-102"/>
        </w:rPr>
      </w:r>
      <w:r>
        <w:rPr/>
        <w:t>源中心、信息中心、质量控制中心、经营审计部、</w:t>
      </w:r>
      <w:r>
        <w:rPr>
          <w:rFonts w:ascii="宋体" w:hAnsi="宋体" w:cs="宋体" w:eastAsia="宋体" w:hint="default"/>
        </w:rPr>
        <w:t>BSM</w:t>
      </w:r>
      <w:r>
        <w:rPr/>
        <w:t>事业部等部门。</w:t>
      </w:r>
    </w:p>
    <w:p>
      <w:pPr>
        <w:pStyle w:val="BodyText"/>
        <w:spacing w:line="237" w:lineRule="auto" w:before="121"/>
        <w:ind w:right="231" w:firstLine="480"/>
        <w:jc w:val="both"/>
      </w:pPr>
      <w:r>
        <w:rPr>
          <w:spacing w:val="-2"/>
        </w:rPr>
        <w:t>本公司业务领域涵盖：计算机软、硬件及外围设备、通信设备等销售业务及</w:t>
      </w:r>
      <w:r>
        <w:rPr>
          <w:rFonts w:ascii="宋体" w:hAnsi="宋体" w:cs="宋体" w:eastAsia="宋体" w:hint="default"/>
          <w:spacing w:val="-2"/>
        </w:rPr>
        <w:t>IT</w:t>
      </w:r>
      <w:r>
        <w:rPr>
          <w:spacing w:val="-2"/>
        </w:rPr>
        <w:t>产</w:t>
      </w:r>
      <w:r>
        <w:rPr/>
        <w:t> </w:t>
      </w:r>
      <w:r>
        <w:rPr>
          <w:spacing w:val="-2"/>
        </w:rPr>
        <w:t>品化服务、应用软件开发、增值分销及系统集成等多种</w:t>
      </w:r>
      <w:r>
        <w:rPr>
          <w:rFonts w:ascii="宋体" w:hAnsi="宋体" w:cs="宋体" w:eastAsia="宋体" w:hint="default"/>
          <w:spacing w:val="-2"/>
        </w:rPr>
        <w:t>IT</w:t>
      </w:r>
      <w:r>
        <w:rPr>
          <w:spacing w:val="-2"/>
        </w:rPr>
        <w:t>服务业务。服务的客户涉及</w:t>
      </w:r>
      <w:r>
        <w:rPr>
          <w:spacing w:val="-91"/>
        </w:rPr>
        <w:t> </w:t>
      </w:r>
      <w:r>
        <w:rPr>
          <w:spacing w:val="-91"/>
        </w:rPr>
      </w:r>
      <w:r>
        <w:rPr/>
        <w:t>通讯、金融、交通、能源、教育、政府、军队、互联网等众多领域。</w:t>
      </w:r>
    </w:p>
    <w:p>
      <w:pPr>
        <w:pStyle w:val="BodyText"/>
        <w:spacing w:line="312" w:lineRule="exact" w:before="149"/>
        <w:ind w:right="233" w:firstLine="480"/>
        <w:jc w:val="both"/>
      </w:pPr>
      <w:r>
        <w:rPr>
          <w:spacing w:val="4"/>
        </w:rPr>
        <w:t>本财务报表及财务报表附注业经本公司第五届董事会第六次会议于</w:t>
      </w:r>
      <w:r>
        <w:rPr>
          <w:rFonts w:ascii="宋体" w:hAnsi="宋体" w:cs="宋体" w:eastAsia="宋体" w:hint="default"/>
          <w:spacing w:val="4"/>
        </w:rPr>
        <w:t>2016</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6</w:t>
      </w:r>
      <w:r>
        <w:rPr>
          <w:rFonts w:ascii="宋体" w:hAnsi="宋体" w:cs="宋体" w:eastAsia="宋体" w:hint="default"/>
        </w:rPr>
        <w:t> </w:t>
      </w:r>
      <w:r>
        <w:rPr/>
        <w:t>日批准。</w:t>
      </w:r>
    </w:p>
    <w:p>
      <w:pPr>
        <w:pStyle w:val="BodyText"/>
        <w:spacing w:line="240" w:lineRule="auto" w:before="87"/>
        <w:ind w:left="617" w:right="119"/>
        <w:jc w:val="left"/>
      </w:pPr>
      <w:r>
        <w:rPr>
          <w:rFonts w:ascii="宋体" w:hAnsi="宋体" w:cs="宋体" w:eastAsia="宋体" w:hint="default"/>
        </w:rPr>
        <w:t>2015</w:t>
      </w:r>
      <w:r>
        <w:rPr>
          <w:rFonts w:ascii="宋体" w:hAnsi="宋体" w:cs="宋体" w:eastAsia="宋体" w:hint="default"/>
          <w:spacing w:val="-61"/>
        </w:rPr>
        <w:t> </w:t>
      </w:r>
      <w:r>
        <w:rPr/>
        <w:t>年度（除特别注明外，金额单位为人民币元）</w:t>
      </w:r>
    </w:p>
    <w:p>
      <w:pPr>
        <w:spacing w:after="0" w:line="240" w:lineRule="auto"/>
        <w:jc w:val="left"/>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tabs>
          <w:tab w:pos="557" w:val="left" w:leader="none"/>
        </w:tabs>
        <w:spacing w:line="300" w:lineRule="auto" w:before="26"/>
        <w:ind w:left="617" w:right="235" w:hanging="480"/>
        <w:jc w:val="left"/>
        <w:rPr>
          <w:rFonts w:ascii="宋体" w:hAnsi="宋体" w:cs="宋体" w:eastAsia="宋体" w:hint="default"/>
          <w:sz w:val="24"/>
          <w:szCs w:val="24"/>
        </w:rPr>
      </w:pPr>
      <w:r>
        <w:rPr>
          <w:rFonts w:ascii="Calibri" w:hAnsi="Calibri" w:cs="Calibri" w:eastAsia="Calibri" w:hint="default"/>
          <w:b/>
          <w:bCs/>
          <w:sz w:val="24"/>
          <w:szCs w:val="24"/>
        </w:rPr>
        <w:t>2.</w:t>
        <w:tab/>
      </w:r>
      <w:r>
        <w:rPr>
          <w:rFonts w:ascii="宋体" w:hAnsi="宋体" w:cs="宋体" w:eastAsia="宋体" w:hint="default"/>
          <w:b/>
          <w:bCs/>
          <w:sz w:val="24"/>
          <w:szCs w:val="24"/>
        </w:rPr>
        <w:t>合并财务报表范围</w:t>
      </w:r>
      <w:r>
        <w:rPr>
          <w:rFonts w:ascii="宋体" w:hAnsi="宋体" w:cs="宋体" w:eastAsia="宋体" w:hint="default"/>
          <w:b/>
          <w:bCs/>
          <w:w w:val="99"/>
          <w:sz w:val="24"/>
          <w:szCs w:val="24"/>
        </w:rPr>
        <w:t> </w:t>
      </w:r>
      <w:r>
        <w:rPr>
          <w:rFonts w:ascii="宋体" w:hAnsi="宋体" w:cs="宋体" w:eastAsia="宋体" w:hint="default"/>
          <w:spacing w:val="-2"/>
          <w:sz w:val="24"/>
          <w:szCs w:val="24"/>
        </w:rPr>
        <w:t>本报告期合并财务报表的合并范围包括本公司及全部子公司，本年新设立四家子</w:t>
      </w:r>
    </w:p>
    <w:p>
      <w:pPr>
        <w:pStyle w:val="BodyText"/>
        <w:spacing w:line="249" w:lineRule="exact"/>
        <w:ind w:right="0"/>
        <w:jc w:val="both"/>
      </w:pPr>
      <w:r>
        <w:rPr/>
        <w:t>公司包括北京华胜云图科技有限公司、南京华胜天成智慧城市技术有限公司、南京智</w:t>
      </w:r>
    </w:p>
    <w:p>
      <w:pPr>
        <w:pStyle w:val="BodyText"/>
        <w:spacing w:line="237" w:lineRule="auto" w:before="1"/>
        <w:ind w:right="234"/>
        <w:jc w:val="both"/>
      </w:pPr>
      <w:r>
        <w:rPr>
          <w:spacing w:val="-2"/>
        </w:rPr>
        <w:t>慧夫子庙发展有限公司、华胜信泰信息产业发展有限公司，通过企业合并增加两家子</w:t>
      </w:r>
      <w:r>
        <w:rPr>
          <w:spacing w:val="-94"/>
        </w:rPr>
        <w:t> </w:t>
      </w:r>
      <w:r>
        <w:rPr>
          <w:spacing w:val="-94"/>
        </w:rPr>
      </w:r>
      <w:r>
        <w:rPr>
          <w:spacing w:val="-2"/>
        </w:rPr>
        <w:t>公司为南京拓维致胜信息科技有限公司、杭州沃趣网络科技有限公司；本年处置四家</w:t>
      </w:r>
      <w:r>
        <w:rPr>
          <w:spacing w:val="-94"/>
        </w:rPr>
        <w:t> </w:t>
      </w:r>
      <w:r>
        <w:rPr>
          <w:spacing w:val="-94"/>
        </w:rPr>
      </w:r>
      <w:r>
        <w:rPr>
          <w:spacing w:val="-8"/>
        </w:rPr>
        <w:t>子公司分别是北京交大思源科技有限公司、北京华胜天成股权投资中心（有限合伙）、</w:t>
      </w:r>
      <w:r>
        <w:rPr>
          <w:spacing w:val="-104"/>
        </w:rPr>
        <w:t> </w:t>
      </w:r>
      <w:r>
        <w:rPr>
          <w:spacing w:val="-104"/>
        </w:rPr>
      </w:r>
      <w:r>
        <w:rPr>
          <w:spacing w:val="-2"/>
        </w:rPr>
        <w:t>富昇控股有限公司、杭州沃趣网络科技有限公司。变动情况详见本“附注六、合并范</w:t>
      </w:r>
      <w:r>
        <w:rPr>
          <w:spacing w:val="-94"/>
        </w:rPr>
        <w:t> </w:t>
      </w:r>
      <w:r>
        <w:rPr>
          <w:spacing w:val="-94"/>
        </w:rPr>
      </w:r>
      <w:r>
        <w:rPr>
          <w:spacing w:val="-14"/>
        </w:rPr>
        <w:t>围的变动”，本公司在其他主体中的权益情况详见本“附注九、在其他主体中的权益”。</w:t>
      </w:r>
    </w:p>
    <w:p>
      <w:pPr>
        <w:spacing w:line="240" w:lineRule="auto" w:before="0"/>
        <w:rPr>
          <w:rFonts w:ascii="宋体" w:hAnsi="宋体" w:cs="宋体" w:eastAsia="宋体" w:hint="default"/>
          <w:sz w:val="24"/>
          <w:szCs w:val="24"/>
        </w:rPr>
      </w:pPr>
    </w:p>
    <w:p>
      <w:pPr>
        <w:pStyle w:val="Heading2"/>
        <w:spacing w:line="240" w:lineRule="auto" w:before="174"/>
        <w:ind w:left="137" w:right="0"/>
        <w:jc w:val="both"/>
        <w:rPr>
          <w:b w:val="0"/>
          <w:bCs w:val="0"/>
        </w:rPr>
      </w:pPr>
      <w:r>
        <w:rPr/>
        <w:t>四、 </w:t>
      </w:r>
      <w:r>
        <w:rPr>
          <w:spacing w:val="114"/>
        </w:rPr>
        <w:t> </w:t>
      </w:r>
      <w:r>
        <w:rPr/>
        <w:t>财务报表的编制基础</w:t>
      </w:r>
      <w:r>
        <w:rPr>
          <w:b w:val="0"/>
          <w:bCs w:val="0"/>
        </w:rPr>
      </w:r>
    </w:p>
    <w:p>
      <w:pPr>
        <w:pStyle w:val="Heading2"/>
        <w:spacing w:line="240" w:lineRule="auto" w:before="58"/>
        <w:ind w:left="137" w:right="0"/>
        <w:jc w:val="both"/>
        <w:rPr>
          <w:b w:val="0"/>
          <w:bCs w:val="0"/>
        </w:rPr>
      </w:pPr>
      <w:r>
        <w:rPr>
          <w:rFonts w:ascii="Calibri" w:hAnsi="Calibri" w:cs="Calibri" w:eastAsia="Calibri" w:hint="default"/>
        </w:rPr>
        <w:t>1.   </w:t>
      </w:r>
      <w:r>
        <w:rPr>
          <w:rFonts w:ascii="Calibri" w:hAnsi="Calibri" w:cs="Calibri" w:eastAsia="Calibri" w:hint="default"/>
          <w:spacing w:val="21"/>
        </w:rPr>
        <w:t> </w:t>
      </w:r>
      <w:r>
        <w:rPr/>
        <w:t>编制基础</w:t>
      </w:r>
      <w:r>
        <w:rPr>
          <w:b w:val="0"/>
          <w:bCs w:val="0"/>
        </w:rPr>
      </w:r>
    </w:p>
    <w:p>
      <w:pPr>
        <w:pStyle w:val="BodyText"/>
        <w:spacing w:line="312" w:lineRule="exact" w:before="87"/>
        <w:ind w:left="617" w:right="119"/>
        <w:jc w:val="left"/>
      </w:pPr>
      <w:r>
        <w:rPr/>
        <w:t>本财务报表按照财政部颁布的企业会计准则及其应用指南、解释及其他有关规定</w:t>
      </w:r>
    </w:p>
    <w:p>
      <w:pPr>
        <w:pStyle w:val="BodyText"/>
        <w:spacing w:line="312" w:lineRule="exact" w:before="28"/>
        <w:ind w:right="231"/>
        <w:jc w:val="both"/>
      </w:pPr>
      <w:r>
        <w:rPr>
          <w:spacing w:val="-2"/>
        </w:rPr>
        <w:t>（统称“企业会计准则”）编制。此外，本集团还按照中国证监会《公开发行证券的</w:t>
      </w:r>
      <w:r>
        <w:rPr>
          <w:spacing w:val="-95"/>
        </w:rPr>
        <w:t> </w:t>
      </w:r>
      <w:r>
        <w:rPr>
          <w:spacing w:val="-95"/>
        </w:rPr>
      </w:r>
      <w:r>
        <w:rPr/>
        <w:t>公司信息披露编报规则第</w:t>
      </w:r>
      <w:r>
        <w:rPr>
          <w:spacing w:val="-55"/>
        </w:rPr>
        <w:t> </w:t>
      </w:r>
      <w:r>
        <w:rPr>
          <w:rFonts w:ascii="宋体" w:hAnsi="宋体" w:cs="宋体" w:eastAsia="宋体" w:hint="default"/>
        </w:rPr>
        <w:t>15</w:t>
      </w:r>
      <w:r>
        <w:rPr>
          <w:rFonts w:ascii="宋体" w:hAnsi="宋体" w:cs="宋体" w:eastAsia="宋体" w:hint="default"/>
          <w:spacing w:val="-56"/>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年修订）披露有关财 务信息。</w:t>
      </w:r>
    </w:p>
    <w:p>
      <w:pPr>
        <w:pStyle w:val="BodyText"/>
        <w:spacing w:line="237" w:lineRule="auto" w:before="89"/>
        <w:ind w:right="235" w:firstLine="480"/>
        <w:jc w:val="both"/>
      </w:pPr>
      <w:r>
        <w:rPr>
          <w:spacing w:val="-2"/>
        </w:rPr>
        <w:t>本集团会计核算以权责发生制为基础。除某些金融工具外，本财务报表均以历史</w:t>
      </w:r>
      <w:r>
        <w:rPr/>
        <w:t> </w:t>
      </w:r>
      <w:r>
        <w:rPr>
          <w:spacing w:val="-2"/>
        </w:rPr>
        <w:t>成本为计量基础。持有待售的非流动资产，按公允价值减去预计费用后的金额，以及</w:t>
      </w:r>
      <w:r>
        <w:rPr>
          <w:spacing w:val="-96"/>
        </w:rPr>
        <w:t> </w:t>
      </w:r>
      <w:r>
        <w:rPr>
          <w:spacing w:val="-96"/>
        </w:rPr>
      </w:r>
      <w:r>
        <w:rPr>
          <w:spacing w:val="-2"/>
        </w:rPr>
        <w:t>符合持有待售条件时的原账面价值，取两者孰低计价。资产如果发生减值，则按照相</w:t>
      </w:r>
      <w:r>
        <w:rPr>
          <w:spacing w:val="-96"/>
        </w:rPr>
        <w:t> </w:t>
      </w:r>
      <w:r>
        <w:rPr>
          <w:spacing w:val="-96"/>
        </w:rPr>
      </w:r>
      <w:r>
        <w:rPr/>
        <w:t>关规定计提相应的减值准备。</w:t>
      </w:r>
    </w:p>
    <w:p>
      <w:pPr>
        <w:spacing w:line="240" w:lineRule="auto" w:before="0"/>
        <w:rPr>
          <w:rFonts w:ascii="宋体" w:hAnsi="宋体" w:cs="宋体" w:eastAsia="宋体" w:hint="default"/>
          <w:sz w:val="24"/>
          <w:szCs w:val="24"/>
        </w:rPr>
      </w:pPr>
    </w:p>
    <w:p>
      <w:pPr>
        <w:pStyle w:val="Heading2"/>
        <w:spacing w:line="240" w:lineRule="auto" w:before="176"/>
        <w:ind w:left="137" w:right="0"/>
        <w:jc w:val="both"/>
        <w:rPr>
          <w:b w:val="0"/>
          <w:bCs w:val="0"/>
        </w:rPr>
      </w:pPr>
      <w:r>
        <w:rPr>
          <w:rFonts w:ascii="Calibri" w:hAnsi="Calibri" w:cs="Calibri" w:eastAsia="Calibri" w:hint="default"/>
        </w:rPr>
        <w:t>2.   </w:t>
      </w:r>
      <w:r>
        <w:rPr>
          <w:rFonts w:ascii="Calibri" w:hAnsi="Calibri" w:cs="Calibri" w:eastAsia="Calibri" w:hint="default"/>
          <w:spacing w:val="21"/>
        </w:rPr>
        <w:t> </w:t>
      </w:r>
      <w:r>
        <w:rPr/>
        <w:t>持续经营</w:t>
      </w:r>
      <w:r>
        <w:rPr>
          <w:b w:val="0"/>
          <w:bCs w:val="0"/>
        </w:rPr>
      </w:r>
    </w:p>
    <w:p>
      <w:pPr>
        <w:pStyle w:val="BodyText"/>
        <w:spacing w:line="240" w:lineRule="auto" w:before="85"/>
        <w:ind w:left="617" w:right="119"/>
        <w:jc w:val="left"/>
      </w:pPr>
      <w:r>
        <w:rPr/>
        <w:t>本财务报表以持续经营为基础列报。</w:t>
      </w:r>
    </w:p>
    <w:p>
      <w:pPr>
        <w:spacing w:line="240" w:lineRule="auto" w:before="0"/>
        <w:rPr>
          <w:rFonts w:ascii="宋体" w:hAnsi="宋体" w:cs="宋体" w:eastAsia="宋体" w:hint="default"/>
          <w:sz w:val="24"/>
          <w:szCs w:val="24"/>
        </w:rPr>
      </w:pPr>
    </w:p>
    <w:p>
      <w:pPr>
        <w:tabs>
          <w:tab w:pos="977" w:val="left" w:leader="none"/>
        </w:tabs>
        <w:spacing w:line="283" w:lineRule="auto" w:before="176"/>
        <w:ind w:left="137" w:right="5577" w:firstLine="0"/>
        <w:jc w:val="left"/>
        <w:rPr>
          <w:rFonts w:ascii="宋体" w:hAnsi="宋体" w:cs="宋体" w:eastAsia="宋体" w:hint="default"/>
          <w:sz w:val="24"/>
          <w:szCs w:val="24"/>
        </w:rPr>
      </w:pPr>
      <w:r>
        <w:rPr>
          <w:rFonts w:ascii="宋体" w:hAnsi="宋体" w:cs="宋体" w:eastAsia="宋体" w:hint="default"/>
          <w:b/>
          <w:bCs/>
          <w:sz w:val="24"/>
          <w:szCs w:val="24"/>
        </w:rPr>
        <w:t>五、</w:t>
        <w:tab/>
        <w:t>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pStyle w:val="BodyText"/>
        <w:spacing w:line="312" w:lineRule="exact" w:before="103"/>
        <w:ind w:right="119" w:firstLine="480"/>
        <w:jc w:val="left"/>
      </w:pPr>
      <w:r>
        <w:rPr/>
        <w:t>本集团根据自身生产经营特点，确定固定资产折旧、无形资产摊销、研发费用资 本化条件以及收入确认政策，具体会计政策参见附注五、</w:t>
      </w:r>
      <w:r>
        <w:rPr>
          <w:rFonts w:ascii="宋体" w:hAnsi="宋体" w:cs="宋体" w:eastAsia="宋体" w:hint="default"/>
        </w:rPr>
        <w:t>16</w:t>
      </w:r>
      <w:r>
        <w:rPr/>
        <w:t>、附注五、</w:t>
      </w:r>
      <w:r>
        <w:rPr>
          <w:rFonts w:ascii="宋体" w:hAnsi="宋体" w:cs="宋体" w:eastAsia="宋体" w:hint="default"/>
        </w:rPr>
        <w:t>19</w:t>
      </w:r>
      <w:r>
        <w:rPr/>
        <w:t>、附注五、</w:t>
      </w:r>
      <w:r>
        <w:rPr>
          <w:spacing w:val="-60"/>
        </w:rPr>
        <w:t> </w:t>
      </w:r>
      <w:r>
        <w:rPr>
          <w:spacing w:val="-60"/>
        </w:rPr>
      </w:r>
      <w:r>
        <w:rPr>
          <w:rFonts w:ascii="宋体" w:hAnsi="宋体" w:cs="宋体" w:eastAsia="宋体" w:hint="default"/>
        </w:rPr>
        <w:t>20</w:t>
      </w:r>
      <w:r>
        <w:rPr>
          <w:rFonts w:ascii="宋体" w:hAnsi="宋体" w:cs="宋体" w:eastAsia="宋体" w:hint="default"/>
          <w:spacing w:val="-61"/>
        </w:rPr>
        <w:t> </w:t>
      </w:r>
      <w:r>
        <w:rPr/>
        <w:t>和附注五、</w:t>
      </w:r>
      <w:r>
        <w:rPr>
          <w:rFonts w:ascii="宋体" w:hAnsi="宋体" w:cs="宋体" w:eastAsia="宋体" w:hint="default"/>
        </w:rPr>
        <w:t>26</w:t>
      </w:r>
      <w:r>
        <w:rPr/>
        <w:t>。</w:t>
      </w:r>
    </w:p>
    <w:p>
      <w:pPr>
        <w:pStyle w:val="Heading2"/>
        <w:spacing w:line="240" w:lineRule="auto" w:before="87"/>
        <w:ind w:left="137" w:right="0"/>
        <w:jc w:val="both"/>
        <w:rPr>
          <w:b w:val="0"/>
          <w:bCs w:val="0"/>
        </w:rPr>
      </w:pPr>
      <w:r>
        <w:rPr>
          <w:rFonts w:ascii="Calibri" w:hAnsi="Calibri" w:cs="Calibri" w:eastAsia="Calibri" w:hint="default"/>
        </w:rPr>
        <w:t>1.   </w:t>
      </w:r>
      <w:r>
        <w:rPr>
          <w:rFonts w:ascii="Calibri" w:hAnsi="Calibri" w:cs="Calibri" w:eastAsia="Calibri" w:hint="default"/>
          <w:spacing w:val="18"/>
        </w:rPr>
        <w:t> </w:t>
      </w:r>
      <w:r>
        <w:rPr/>
        <w:t>遵循企业会计准则的声明</w:t>
      </w:r>
      <w:r>
        <w:rPr>
          <w:b w:val="0"/>
          <w:bCs w:val="0"/>
        </w:rPr>
      </w:r>
    </w:p>
    <w:p>
      <w:pPr>
        <w:pStyle w:val="BodyText"/>
        <w:spacing w:line="313" w:lineRule="exact" w:before="87"/>
        <w:ind w:left="617" w:right="119"/>
        <w:jc w:val="left"/>
      </w:pPr>
      <w:r>
        <w:rPr/>
        <w:t>本财务报表符合企业会计准则的要求，真实、完整地反映了本公司</w:t>
      </w:r>
      <w:r>
        <w:rPr>
          <w:spacing w:val="-72"/>
        </w:rPr>
        <w:t> </w:t>
      </w:r>
      <w:r>
        <w:rPr>
          <w:rFonts w:ascii="宋体" w:hAnsi="宋体" w:cs="宋体" w:eastAsia="宋体" w:hint="default"/>
        </w:rPr>
        <w:t>2015</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p>
    <w:p>
      <w:pPr>
        <w:pStyle w:val="BodyText"/>
        <w:spacing w:line="310" w:lineRule="exact" w:before="31"/>
        <w:ind w:right="216"/>
        <w:jc w:val="left"/>
      </w:pPr>
      <w:r>
        <w:rPr>
          <w:rFonts w:ascii="宋体" w:hAnsi="宋体" w:cs="宋体" w:eastAsia="宋体" w:hint="default"/>
        </w:rPr>
        <w:t>31</w:t>
      </w:r>
      <w:r>
        <w:rPr>
          <w:rFonts w:ascii="宋体" w:hAnsi="宋体" w:cs="宋体" w:eastAsia="宋体" w:hint="default"/>
          <w:spacing w:val="-56"/>
        </w:rPr>
        <w:t> </w:t>
      </w:r>
      <w:r>
        <w:rPr/>
        <w:t>日的合并及公司财务状况以及</w:t>
      </w:r>
      <w:r>
        <w:rPr>
          <w:spacing w:val="-55"/>
        </w:rPr>
        <w:t> </w:t>
      </w:r>
      <w:r>
        <w:rPr>
          <w:rFonts w:ascii="宋体" w:hAnsi="宋体" w:cs="宋体" w:eastAsia="宋体" w:hint="default"/>
        </w:rPr>
        <w:t>2015</w:t>
      </w:r>
      <w:r>
        <w:rPr>
          <w:rFonts w:ascii="宋体" w:hAnsi="宋体" w:cs="宋体" w:eastAsia="宋体" w:hint="default"/>
          <w:spacing w:val="-56"/>
        </w:rPr>
        <w:t> </w:t>
      </w:r>
      <w:r>
        <w:rPr/>
        <w:t>年度的合并及公司经营成果和合并及公司现金 流量等有关信息。</w:t>
      </w:r>
    </w:p>
    <w:p>
      <w:pPr>
        <w:spacing w:line="240" w:lineRule="auto" w:before="4"/>
        <w:rPr>
          <w:rFonts w:ascii="宋体" w:hAnsi="宋体" w:cs="宋体" w:eastAsia="宋体" w:hint="default"/>
          <w:sz w:val="35"/>
          <w:szCs w:val="35"/>
        </w:rPr>
      </w:pPr>
    </w:p>
    <w:p>
      <w:pPr>
        <w:pStyle w:val="Heading2"/>
        <w:spacing w:line="240" w:lineRule="auto" w:before="0"/>
        <w:ind w:left="137" w:right="0"/>
        <w:jc w:val="both"/>
        <w:rPr>
          <w:b w:val="0"/>
          <w:bCs w:val="0"/>
        </w:rPr>
      </w:pPr>
      <w:r>
        <w:rPr>
          <w:rFonts w:ascii="宋体" w:hAnsi="宋体" w:cs="宋体" w:eastAsia="宋体" w:hint="default"/>
        </w:rPr>
        <w:t>2.</w:t>
      </w:r>
      <w:r>
        <w:rPr>
          <w:rFonts w:ascii="宋体" w:hAnsi="宋体" w:cs="宋体" w:eastAsia="宋体" w:hint="default"/>
          <w:spacing w:val="61"/>
        </w:rPr>
        <w:t> </w:t>
      </w:r>
      <w:r>
        <w:rPr/>
        <w:t>会计期间</w:t>
      </w:r>
      <w:r>
        <w:rPr>
          <w:b w:val="0"/>
          <w:bCs w:val="0"/>
        </w:rPr>
      </w:r>
    </w:p>
    <w:p>
      <w:pPr>
        <w:pStyle w:val="BodyText"/>
        <w:spacing w:line="240" w:lineRule="auto" w:before="55"/>
        <w:ind w:left="617" w:right="119"/>
        <w:jc w:val="left"/>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4"/>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3.</w:t>
      </w:r>
      <w:r>
        <w:rPr>
          <w:rFonts w:ascii="宋体" w:hAnsi="宋体" w:cs="宋体" w:eastAsia="宋体" w:hint="default"/>
          <w:spacing w:val="61"/>
        </w:rPr>
        <w:t> </w:t>
      </w:r>
      <w:r>
        <w:rPr/>
        <w:t>营业周期</w:t>
      </w:r>
      <w:r>
        <w:rPr>
          <w:b w:val="0"/>
          <w:bCs w:val="0"/>
        </w:rPr>
      </w:r>
    </w:p>
    <w:p>
      <w:pPr>
        <w:pStyle w:val="BodyText"/>
        <w:spacing w:line="240" w:lineRule="auto" w:before="55"/>
        <w:ind w:left="617" w:right="119"/>
        <w:jc w:val="left"/>
      </w:pPr>
      <w:r>
        <w:rPr/>
        <w:t>本集团的营业周期为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p>
    <w:p>
      <w:pPr>
        <w:spacing w:after="0" w:line="240" w:lineRule="auto"/>
        <w:jc w:val="left"/>
        <w:sectPr>
          <w:footerReference w:type="default" r:id="rId42"/>
          <w:pgSz w:w="11910" w:h="16840"/>
          <w:pgMar w:footer="1195" w:header="882" w:top="1120" w:bottom="1380" w:left="114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283" w:lineRule="auto" w:before="26"/>
        <w:ind w:left="617" w:right="119"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0"/>
          <w:sz w:val="24"/>
          <w:szCs w:val="24"/>
        </w:rPr>
        <w:t> </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pacing w:val="-2"/>
          <w:sz w:val="24"/>
          <w:szCs w:val="24"/>
        </w:rPr>
        <w:t>本公司的记账本位币为人民币。本公司之境外子公司根据其经营所处的主要经济</w:t>
      </w:r>
    </w:p>
    <w:p>
      <w:pPr>
        <w:pStyle w:val="BodyText"/>
        <w:spacing w:line="269" w:lineRule="exact"/>
        <w:ind w:right="119"/>
        <w:jc w:val="left"/>
      </w:pPr>
      <w:r>
        <w:rPr/>
        <w:t>环境中的货币确定其记账本位币。本集团编制本财务报表时所采用的货币为人民币。</w:t>
      </w:r>
    </w:p>
    <w:p>
      <w:pPr>
        <w:spacing w:line="240" w:lineRule="auto" w:before="1"/>
        <w:rPr>
          <w:rFonts w:ascii="宋体" w:hAnsi="宋体" w:cs="宋体" w:eastAsia="宋体" w:hint="default"/>
          <w:sz w:val="28"/>
          <w:szCs w:val="28"/>
        </w:rPr>
      </w:pPr>
    </w:p>
    <w:p>
      <w:pPr>
        <w:pStyle w:val="Heading2"/>
        <w:spacing w:line="240" w:lineRule="auto" w:before="0"/>
        <w:ind w:left="137" w:right="119"/>
        <w:jc w:val="left"/>
        <w:rPr>
          <w:b w:val="0"/>
          <w:bCs w:val="0"/>
        </w:rPr>
      </w:pPr>
      <w:r>
        <w:rPr>
          <w:rFonts w:ascii="宋体" w:hAnsi="宋体" w:cs="宋体" w:eastAsia="宋体" w:hint="default"/>
        </w:rPr>
        <w:t>5.</w:t>
      </w:r>
      <w:r>
        <w:rPr>
          <w:rFonts w:ascii="宋体" w:hAnsi="宋体" w:cs="宋体" w:eastAsia="宋体" w:hint="default"/>
          <w:spacing w:val="57"/>
        </w:rPr>
        <w:t> </w:t>
      </w:r>
      <w:r>
        <w:rPr/>
        <w:t>同一控制下和非同一控制下企业合并的会计处理方法</w:t>
      </w:r>
      <w:r>
        <w:rPr>
          <w:b w:val="0"/>
          <w:bCs w:val="0"/>
        </w:rPr>
      </w:r>
    </w:p>
    <w:p>
      <w:pPr>
        <w:pStyle w:val="BodyText"/>
        <w:spacing w:line="331" w:lineRule="auto" w:before="118"/>
        <w:ind w:left="617" w:right="119" w:hanging="480"/>
        <w:jc w:val="left"/>
      </w:pPr>
      <w:r>
        <w:rPr/>
        <w:t>（</w:t>
      </w:r>
      <w:r>
        <w:rPr>
          <w:rFonts w:ascii="宋体" w:hAnsi="宋体" w:cs="宋体" w:eastAsia="宋体" w:hint="default"/>
        </w:rPr>
        <w:t>1</w:t>
      </w:r>
      <w:r>
        <w:rPr/>
        <w:t>）同一控制下的企业合并 </w:t>
      </w:r>
      <w:r>
        <w:rPr>
          <w:spacing w:val="-2"/>
        </w:rPr>
        <w:t>对于同一控制下的企业合并，合并方在合并中取得的被合并方的资产、负债，除</w:t>
      </w:r>
    </w:p>
    <w:p>
      <w:pPr>
        <w:pStyle w:val="BodyText"/>
        <w:spacing w:line="219" w:lineRule="exact"/>
        <w:ind w:right="119"/>
        <w:jc w:val="left"/>
      </w:pPr>
      <w:r>
        <w:rPr/>
        <w:t>因会计政策不同而进行的调整以外，按合并日被合并方在最终控制方合并财务报表中</w:t>
      </w:r>
    </w:p>
    <w:p>
      <w:pPr>
        <w:pStyle w:val="BodyText"/>
        <w:spacing w:line="311" w:lineRule="exact"/>
        <w:ind w:right="119"/>
        <w:jc w:val="left"/>
      </w:pPr>
      <w:r>
        <w:rPr/>
        <w:t>的账面价值计量。合并对价的账面价值（或发行股份面值总额）与合并中取得的净资</w:t>
      </w:r>
    </w:p>
    <w:p>
      <w:pPr>
        <w:pStyle w:val="BodyText"/>
        <w:spacing w:line="312" w:lineRule="exact" w:before="29"/>
        <w:ind w:right="119"/>
        <w:jc w:val="left"/>
      </w:pPr>
      <w:r>
        <w:rPr/>
        <w:t>产账面价值的差额调整资本公积（股本溢价），资本公积（股本溢价）不足冲减的，</w:t>
      </w:r>
      <w:r>
        <w:rPr>
          <w:spacing w:val="-57"/>
        </w:rPr>
        <w:t> </w:t>
      </w:r>
      <w:r>
        <w:rPr>
          <w:spacing w:val="-57"/>
        </w:rPr>
      </w:r>
      <w:r>
        <w:rPr/>
        <w:t>调整留存收益。</w:t>
      </w:r>
    </w:p>
    <w:p>
      <w:pPr>
        <w:pStyle w:val="BodyText"/>
        <w:spacing w:line="331" w:lineRule="auto" w:before="87"/>
        <w:ind w:left="617" w:right="119"/>
        <w:jc w:val="left"/>
      </w:pPr>
      <w:r>
        <w:rPr/>
        <w:t>通过多次交易分步实现同一控制下的企业合并 </w:t>
      </w:r>
      <w:r>
        <w:rPr>
          <w:spacing w:val="-2"/>
        </w:rPr>
        <w:t>在个别财务报表中，以合并日持股比例计算的合并日应享有被合并方净资产在最</w:t>
      </w:r>
    </w:p>
    <w:p>
      <w:pPr>
        <w:pStyle w:val="BodyText"/>
        <w:spacing w:line="219" w:lineRule="exact"/>
        <w:ind w:right="119"/>
        <w:jc w:val="left"/>
      </w:pPr>
      <w:r>
        <w:rPr/>
        <w:t>终控制方合并财务报表中的账面价值的份额作为该项投资的初始投资成本；初始投资</w:t>
      </w:r>
    </w:p>
    <w:p>
      <w:pPr>
        <w:pStyle w:val="BodyText"/>
        <w:spacing w:line="312" w:lineRule="exact" w:before="28"/>
        <w:ind w:right="119"/>
        <w:jc w:val="left"/>
      </w:pPr>
      <w:r>
        <w:rPr>
          <w:spacing w:val="-2"/>
        </w:rPr>
        <w:t>成本与原持有投资的账面价值加上合并日新支付对价的账面价值之和的差额，调整资</w:t>
      </w:r>
      <w:r>
        <w:rPr>
          <w:spacing w:val="-95"/>
        </w:rPr>
        <w:t> </w:t>
      </w:r>
      <w:r>
        <w:rPr>
          <w:spacing w:val="-95"/>
        </w:rPr>
      </w:r>
      <w:r>
        <w:rPr/>
        <w:t>本公积（股本溢价），资本公积不足冲减的，调整留存收益。</w:t>
      </w:r>
    </w:p>
    <w:p>
      <w:pPr>
        <w:pStyle w:val="BodyText"/>
        <w:spacing w:line="312" w:lineRule="exact" w:before="89"/>
        <w:ind w:left="617" w:right="119"/>
        <w:jc w:val="left"/>
      </w:pPr>
      <w:r>
        <w:rPr/>
        <w:t>在合并财务报表中，合并方在合并中取得的被合并方的资产、负债，除因会计政</w:t>
      </w:r>
    </w:p>
    <w:p>
      <w:pPr>
        <w:pStyle w:val="BodyText"/>
        <w:spacing w:line="237" w:lineRule="auto"/>
        <w:ind w:right="119"/>
        <w:jc w:val="left"/>
      </w:pPr>
      <w:r>
        <w:rPr/>
        <w:t>策不同而进行的调整以外，按合并日在最终控制方合并财务报表中的账面价值计量；</w:t>
      </w:r>
      <w:r>
        <w:rPr>
          <w:spacing w:val="-57"/>
        </w:rPr>
        <w:t> </w:t>
      </w:r>
      <w:r>
        <w:rPr>
          <w:spacing w:val="-57"/>
        </w:rPr>
      </w:r>
      <w:r>
        <w:rPr/>
        <w:t>合并前持有投资的账面价值加上合并日新支付对价的账面价值之和，与合并中取得的</w:t>
      </w:r>
      <w:r>
        <w:rPr/>
        <w:t> 净资产账面价值的差额，调整资本公积（股本溢价），资本公积不足冲减的，调整留 存收益。合并方在达到合并之前持有的长期股权投资，在取得日与合并方与被合并方 同处于同一方最终控制之日孰晚日与合并日之间已确认有关损益、其他综合收益和其 他所有者权益变动，应分别冲减比较报表期间的期初留存收益或当期损益。</w:t>
      </w:r>
    </w:p>
    <w:p>
      <w:pPr>
        <w:pStyle w:val="BodyText"/>
        <w:spacing w:line="328" w:lineRule="auto" w:before="118"/>
        <w:ind w:left="617" w:right="119" w:hanging="480"/>
        <w:jc w:val="left"/>
      </w:pPr>
      <w:r>
        <w:rPr/>
        <w:t>（</w:t>
      </w:r>
      <w:r>
        <w:rPr>
          <w:rFonts w:ascii="宋体" w:hAnsi="宋体" w:cs="宋体" w:eastAsia="宋体" w:hint="default"/>
        </w:rPr>
        <w:t>2</w:t>
      </w:r>
      <w:r>
        <w:rPr/>
        <w:t>）非同一控制下的企业合并 </w:t>
      </w:r>
      <w:r>
        <w:rPr>
          <w:spacing w:val="-2"/>
        </w:rPr>
        <w:t>对于非同一控制下的企业合并，合并成本为购买日为取得对被购买方的控制权而</w:t>
      </w:r>
    </w:p>
    <w:p>
      <w:pPr>
        <w:pStyle w:val="BodyText"/>
        <w:spacing w:line="222" w:lineRule="exact"/>
        <w:ind w:right="119"/>
        <w:jc w:val="left"/>
      </w:pPr>
      <w:r>
        <w:rPr/>
        <w:t>付出的资产、发生或承担的负债以及发行的权益性证券的公允价值。在购买日，取得</w:t>
      </w:r>
    </w:p>
    <w:p>
      <w:pPr>
        <w:pStyle w:val="BodyText"/>
        <w:spacing w:line="328" w:lineRule="auto"/>
        <w:ind w:left="617" w:right="119" w:hanging="480"/>
        <w:jc w:val="left"/>
      </w:pPr>
      <w:r>
        <w:rPr/>
        <w:t>的被购买方的资产、负债及或有负债按公允价值确认。 </w:t>
      </w:r>
      <w:r>
        <w:rPr>
          <w:spacing w:val="-2"/>
        </w:rPr>
        <w:t>对合并成本大于合并中取得的被购买方可辨认净资产公允价值份额的差额，确认</w:t>
      </w:r>
    </w:p>
    <w:p>
      <w:pPr>
        <w:pStyle w:val="BodyText"/>
        <w:spacing w:line="222" w:lineRule="exact"/>
        <w:ind w:right="119"/>
        <w:jc w:val="left"/>
      </w:pPr>
      <w:r>
        <w:rPr/>
        <w:t>为商誉，按成本扣除累计减值准备进行后续计量；对合并成本小于合并中取得的被购</w:t>
      </w:r>
    </w:p>
    <w:p>
      <w:pPr>
        <w:pStyle w:val="BodyText"/>
        <w:spacing w:line="328" w:lineRule="auto"/>
        <w:ind w:left="617" w:right="216" w:hanging="480"/>
        <w:jc w:val="left"/>
      </w:pPr>
      <w:r>
        <w:rPr/>
        <w:t>买方可辨认净资产公允价值份额的差额，经复核后计入当期损益。 所涉及的或有对价按其在购买日的公允价值计入合并成本，购买日后 </w:t>
      </w:r>
      <w:r>
        <w:rPr>
          <w:rFonts w:ascii="宋体" w:hAnsi="宋体" w:cs="宋体" w:eastAsia="宋体" w:hint="default"/>
        </w:rPr>
        <w:t>12</w:t>
      </w:r>
      <w:r>
        <w:rPr>
          <w:rFonts w:ascii="宋体" w:hAnsi="宋体" w:cs="宋体" w:eastAsia="宋体" w:hint="default"/>
          <w:spacing w:val="-47"/>
        </w:rPr>
        <w:t> </w:t>
      </w:r>
      <w:r>
        <w:rPr/>
        <w:t>个月内</w:t>
      </w:r>
    </w:p>
    <w:p>
      <w:pPr>
        <w:pStyle w:val="BodyText"/>
        <w:spacing w:line="222" w:lineRule="exact"/>
        <w:ind w:right="119"/>
        <w:jc w:val="left"/>
      </w:pPr>
      <w:r>
        <w:rPr/>
        <w:t>出现对购买日已存在情况的新的或进一步证据而需要调整或有对价的，相应调整合并</w:t>
      </w:r>
    </w:p>
    <w:p>
      <w:pPr>
        <w:pStyle w:val="BodyText"/>
        <w:spacing w:line="313" w:lineRule="exact"/>
        <w:ind w:right="119"/>
        <w:jc w:val="left"/>
      </w:pPr>
      <w:r>
        <w:rPr/>
        <w:t>商誉。</w:t>
      </w:r>
    </w:p>
    <w:p>
      <w:pPr>
        <w:pStyle w:val="BodyText"/>
        <w:spacing w:line="331" w:lineRule="auto" w:before="115"/>
        <w:ind w:left="617" w:right="119"/>
        <w:jc w:val="left"/>
      </w:pPr>
      <w:r>
        <w:rPr/>
        <w:t>通过多次交易分步实现非同一控制下的企业合并 </w:t>
      </w:r>
      <w:r>
        <w:rPr>
          <w:spacing w:val="-2"/>
        </w:rPr>
        <w:t>在个别财务报表中，以购买日之前所持被购买方的股权投资的账面价值与购买日</w:t>
      </w:r>
    </w:p>
    <w:p>
      <w:pPr>
        <w:pStyle w:val="BodyText"/>
        <w:spacing w:line="219" w:lineRule="exact"/>
        <w:ind w:right="119"/>
        <w:jc w:val="left"/>
      </w:pPr>
      <w:r>
        <w:rPr/>
        <w:t>新增投资成本之和，作为该项投资的初始投资成本。购买日之前持有的股权投资因采</w:t>
      </w:r>
    </w:p>
    <w:p>
      <w:pPr>
        <w:pStyle w:val="BodyText"/>
        <w:spacing w:line="311" w:lineRule="exact"/>
        <w:ind w:right="119"/>
        <w:jc w:val="left"/>
      </w:pPr>
      <w:r>
        <w:rPr/>
        <w:t>用权益法核算而确认的其他综合收益，购买日对这部分其他综合收益不作处理，在处</w:t>
      </w:r>
    </w:p>
    <w:p>
      <w:pPr>
        <w:pStyle w:val="BodyText"/>
        <w:spacing w:line="313" w:lineRule="exact"/>
        <w:ind w:right="119"/>
        <w:jc w:val="left"/>
      </w:pPr>
      <w:r>
        <w:rPr/>
        <w:t>置该项投资时采用与被投资单位直接处置相关资产或负债相同的基础进行会计处理；</w:t>
      </w:r>
    </w:p>
    <w:p>
      <w:pPr>
        <w:spacing w:after="0" w:line="313" w:lineRule="exact"/>
        <w:jc w:val="left"/>
        <w:sectPr>
          <w:footerReference w:type="default" r:id="rId43"/>
          <w:pgSz w:w="11910" w:h="16840"/>
          <w:pgMar w:footer="1195" w:header="882" w:top="1120" w:bottom="1380" w:left="1140" w:right="1560"/>
          <w:pgNumType w:start="91"/>
        </w:sectPr>
      </w:pPr>
    </w:p>
    <w:p>
      <w:pPr>
        <w:spacing w:line="240" w:lineRule="auto" w:before="13"/>
        <w:rPr>
          <w:rFonts w:ascii="宋体" w:hAnsi="宋体" w:cs="宋体" w:eastAsia="宋体" w:hint="default"/>
          <w:sz w:val="18"/>
          <w:szCs w:val="18"/>
        </w:rPr>
      </w:pPr>
    </w:p>
    <w:p>
      <w:pPr>
        <w:pStyle w:val="BodyText"/>
        <w:spacing w:line="237" w:lineRule="auto" w:before="28"/>
        <w:ind w:right="235"/>
        <w:jc w:val="both"/>
      </w:pPr>
      <w:r>
        <w:rPr>
          <w:spacing w:val="-2"/>
        </w:rPr>
        <w:t>因被投资方除净损益、其他综合收益和利润分配以外的其他所有者权益变动而确认的</w:t>
      </w:r>
      <w:r>
        <w:rPr>
          <w:spacing w:val="-94"/>
        </w:rPr>
        <w:t> </w:t>
      </w:r>
      <w:r>
        <w:rPr>
          <w:spacing w:val="-94"/>
        </w:rPr>
      </w:r>
      <w:r>
        <w:rPr>
          <w:spacing w:val="-2"/>
        </w:rPr>
        <w:t>所有者权益，在处置该项投资时转入处置期间的当期损益。购买日之前持有的股权投</w:t>
      </w:r>
      <w:r>
        <w:rPr>
          <w:spacing w:val="-94"/>
        </w:rPr>
        <w:t> </w:t>
      </w:r>
      <w:r>
        <w:rPr>
          <w:spacing w:val="-94"/>
        </w:rPr>
      </w:r>
      <w:r>
        <w:rPr>
          <w:spacing w:val="-2"/>
        </w:rPr>
        <w:t>资采用公允价值计量的，原计入其他综合收益的累计公允价值变动在改按成本法核算</w:t>
      </w:r>
      <w:r>
        <w:rPr>
          <w:spacing w:val="-94"/>
        </w:rPr>
        <w:t> </w:t>
      </w:r>
      <w:r>
        <w:rPr>
          <w:spacing w:val="-94"/>
        </w:rPr>
      </w:r>
      <w:r>
        <w:rPr/>
        <w:t>时转入当期损益。</w:t>
      </w:r>
    </w:p>
    <w:p>
      <w:pPr>
        <w:pStyle w:val="BodyText"/>
        <w:spacing w:line="312" w:lineRule="exact" w:before="118"/>
        <w:ind w:left="617" w:right="119"/>
        <w:jc w:val="left"/>
      </w:pPr>
      <w:r>
        <w:rPr/>
        <w:t>在合并财务报表中，合并成本为购买日支付的对价与购买日之前已经持有的被购</w:t>
      </w:r>
    </w:p>
    <w:p>
      <w:pPr>
        <w:pStyle w:val="BodyText"/>
        <w:spacing w:line="237" w:lineRule="auto"/>
        <w:ind w:right="119"/>
        <w:jc w:val="left"/>
      </w:pPr>
      <w:r>
        <w:rPr/>
        <w:t>买方的股权在购买日的公允价值之和；对于购买日之前已经持有的被购买方的股权，</w:t>
      </w:r>
      <w:r>
        <w:rPr>
          <w:spacing w:val="-57"/>
        </w:rPr>
        <w:t> </w:t>
      </w:r>
      <w:r>
        <w:rPr>
          <w:spacing w:val="-57"/>
        </w:rPr>
      </w:r>
      <w:r>
        <w:rPr/>
        <w:t>按照购买日的公允价值进行重新计量，公允价值与其账面价值之间的差额计入当期收</w:t>
      </w:r>
      <w:r>
        <w:rPr/>
        <w:t> 益；购买日之前已经持有的被购买方的股权涉及其他综合收益、其他所有者权益变动 应当转为购买日当期收益，由于被投资方重新计量设定收益计划净负债或净资产变动 而产生的其他综合收益除外。</w:t>
      </w:r>
    </w:p>
    <w:p>
      <w:pPr>
        <w:pStyle w:val="BodyText"/>
        <w:spacing w:line="331" w:lineRule="auto" w:before="119"/>
        <w:ind w:left="617" w:right="119"/>
        <w:jc w:val="left"/>
      </w:pPr>
      <w:r>
        <w:rPr/>
        <w:t>（</w:t>
      </w: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w:t>
      </w:r>
    </w:p>
    <w:p>
      <w:pPr>
        <w:pStyle w:val="BodyText"/>
        <w:spacing w:line="217" w:lineRule="exact"/>
        <w:ind w:right="119"/>
        <w:jc w:val="left"/>
      </w:pPr>
      <w:r>
        <w:rPr/>
        <w:t>费用，于发生时计入当期损益。作为合并对价发行的权益性证券或债务性证券的交易</w:t>
      </w:r>
    </w:p>
    <w:p>
      <w:pPr>
        <w:pStyle w:val="BodyText"/>
        <w:spacing w:line="313" w:lineRule="exact"/>
        <w:ind w:right="119"/>
        <w:jc w:val="left"/>
      </w:pPr>
      <w:r>
        <w:rPr/>
        <w:t>费用，计入权益性证券或债务性证券的初始确认金额。</w:t>
      </w:r>
    </w:p>
    <w:p>
      <w:pPr>
        <w:spacing w:line="240" w:lineRule="auto" w:before="0"/>
        <w:rPr>
          <w:rFonts w:ascii="宋体" w:hAnsi="宋体" w:cs="宋体" w:eastAsia="宋体" w:hint="default"/>
          <w:sz w:val="24"/>
          <w:szCs w:val="24"/>
        </w:rPr>
      </w:pPr>
    </w:p>
    <w:p>
      <w:pPr>
        <w:pStyle w:val="Heading2"/>
        <w:spacing w:line="240" w:lineRule="auto" w:before="173"/>
        <w:ind w:left="137" w:right="119"/>
        <w:jc w:val="left"/>
        <w:rPr>
          <w:b w:val="0"/>
          <w:bCs w:val="0"/>
        </w:rPr>
      </w:pPr>
      <w:r>
        <w:rPr>
          <w:rFonts w:ascii="宋体" w:hAnsi="宋体" w:cs="宋体" w:eastAsia="宋体" w:hint="default"/>
        </w:rPr>
        <w:t>6.</w:t>
      </w:r>
      <w:r>
        <w:rPr>
          <w:rFonts w:ascii="宋体" w:hAnsi="宋体" w:cs="宋体" w:eastAsia="宋体" w:hint="default"/>
          <w:spacing w:val="58"/>
        </w:rPr>
        <w:t> </w:t>
      </w:r>
      <w:r>
        <w:rPr/>
        <w:t>合并财务报表的编制方法</w:t>
      </w:r>
      <w:r>
        <w:rPr>
          <w:b w:val="0"/>
          <w:bCs w:val="0"/>
        </w:rPr>
      </w:r>
    </w:p>
    <w:p>
      <w:pPr>
        <w:pStyle w:val="BodyText"/>
        <w:spacing w:line="240" w:lineRule="auto" w:before="118"/>
        <w:ind w:right="119"/>
        <w:jc w:val="left"/>
      </w:pPr>
      <w:r>
        <w:rPr/>
        <w:t>（</w:t>
      </w:r>
      <w:r>
        <w:rPr>
          <w:rFonts w:ascii="宋体" w:hAnsi="宋体" w:cs="宋体" w:eastAsia="宋体" w:hint="default"/>
        </w:rPr>
        <w:t>1</w:t>
      </w:r>
      <w:r>
        <w:rPr/>
        <w:t>）合并范围</w:t>
      </w:r>
    </w:p>
    <w:p>
      <w:pPr>
        <w:pStyle w:val="BodyText"/>
        <w:spacing w:line="237" w:lineRule="auto" w:before="120"/>
        <w:ind w:right="235" w:firstLine="480"/>
        <w:jc w:val="both"/>
      </w:pPr>
      <w:r>
        <w:rPr>
          <w:spacing w:val="-2"/>
        </w:rPr>
        <w:t>合并财务报表的合并范围以控制为基础予以确定。控制是指本集团拥有对被投资</w:t>
      </w:r>
      <w:r>
        <w:rPr/>
        <w:t> </w:t>
      </w:r>
      <w:r>
        <w:rPr>
          <w:spacing w:val="-2"/>
        </w:rPr>
        <w:t>单位的权力，通过参与被投资单位的相关活动而享有可变回报，并且有能力运用对被</w:t>
      </w:r>
      <w:r>
        <w:rPr>
          <w:spacing w:val="-94"/>
        </w:rPr>
        <w:t> </w:t>
      </w:r>
      <w:r>
        <w:rPr>
          <w:spacing w:val="-94"/>
        </w:rPr>
      </w:r>
      <w:r>
        <w:rPr>
          <w:spacing w:val="-2"/>
        </w:rPr>
        <w:t>投资单位的权力影响其回报金额。子公司，是指被本公司控制的主体（含企业、被投</w:t>
      </w:r>
      <w:r>
        <w:rPr>
          <w:spacing w:val="-94"/>
        </w:rPr>
        <w:t> </w:t>
      </w:r>
      <w:r>
        <w:rPr>
          <w:spacing w:val="-94"/>
        </w:rPr>
      </w:r>
      <w:r>
        <w:rPr/>
        <w:t>资单位中可分割的部分，结构化主体等）。</w:t>
      </w:r>
    </w:p>
    <w:p>
      <w:pPr>
        <w:pStyle w:val="BodyText"/>
        <w:spacing w:line="331" w:lineRule="auto" w:before="116"/>
        <w:ind w:left="617" w:right="119" w:hanging="480"/>
        <w:jc w:val="left"/>
      </w:pPr>
      <w:r>
        <w:rPr/>
        <w:t>（</w:t>
      </w:r>
      <w:r>
        <w:rPr>
          <w:rFonts w:ascii="宋体" w:hAnsi="宋体" w:cs="宋体" w:eastAsia="宋体" w:hint="default"/>
        </w:rPr>
        <w:t>2</w:t>
      </w:r>
      <w:r>
        <w:rPr/>
        <w:t>）合并财务报表的编制方法 </w:t>
      </w:r>
      <w:r>
        <w:rPr>
          <w:spacing w:val="-2"/>
        </w:rPr>
        <w:t>合并财务报表以本公司和子公司的财务报表为基础，根据其他有关资料，由本公</w:t>
      </w:r>
    </w:p>
    <w:p>
      <w:pPr>
        <w:pStyle w:val="BodyText"/>
        <w:spacing w:line="220" w:lineRule="exact"/>
        <w:ind w:right="119"/>
        <w:jc w:val="left"/>
      </w:pPr>
      <w:r>
        <w:rPr/>
        <w:t>司编制。在编制合并财务报表时，本公司和子公司的会计政策和会计期间要求保持一</w:t>
      </w:r>
    </w:p>
    <w:p>
      <w:pPr>
        <w:pStyle w:val="BodyText"/>
        <w:spacing w:line="328" w:lineRule="auto"/>
        <w:ind w:left="617" w:right="119" w:hanging="480"/>
        <w:jc w:val="left"/>
      </w:pPr>
      <w:r>
        <w:rPr/>
        <w:t>致，公司间的重大交易和往来余额予以抵销。 </w:t>
      </w:r>
      <w:r>
        <w:rPr>
          <w:spacing w:val="-2"/>
        </w:rPr>
        <w:t>在报告期内因同一控制下企业合并增加的子公司以及业务，视同该子公司以及业</w:t>
      </w:r>
    </w:p>
    <w:p>
      <w:pPr>
        <w:pStyle w:val="BodyText"/>
        <w:spacing w:line="222" w:lineRule="exact"/>
        <w:ind w:right="119"/>
        <w:jc w:val="left"/>
      </w:pPr>
      <w:r>
        <w:rPr/>
        <w:t>务自同受最终控制方控制之日起纳入本集团的合并范围，将其自同受最终控制方控制</w:t>
      </w:r>
    </w:p>
    <w:p>
      <w:pPr>
        <w:pStyle w:val="BodyText"/>
        <w:spacing w:line="328" w:lineRule="auto"/>
        <w:ind w:left="617" w:right="119" w:hanging="480"/>
        <w:jc w:val="left"/>
      </w:pPr>
      <w:r>
        <w:rPr/>
        <w:t>之日起的经营成果和现金流量纳入合并利润表和合并现金流量表中。 </w:t>
      </w:r>
      <w:r>
        <w:rPr>
          <w:spacing w:val="-2"/>
        </w:rPr>
        <w:t>在报告期内因非同一控制下企业合并增加的子公司以及业务，将该子公司以及业</w:t>
      </w:r>
    </w:p>
    <w:p>
      <w:pPr>
        <w:pStyle w:val="BodyText"/>
        <w:spacing w:line="222" w:lineRule="exact"/>
        <w:ind w:right="119"/>
        <w:jc w:val="left"/>
      </w:pPr>
      <w:r>
        <w:rPr/>
        <w:t>务自购买日至报告期末的收入、费用、利润纳入合并利润表，将其现金流量纳入合并</w:t>
      </w:r>
    </w:p>
    <w:p>
      <w:pPr>
        <w:pStyle w:val="BodyText"/>
        <w:spacing w:line="313" w:lineRule="exact"/>
        <w:ind w:right="119"/>
        <w:jc w:val="left"/>
      </w:pPr>
      <w:r>
        <w:rPr/>
        <w:t>现金流量表。</w:t>
      </w:r>
    </w:p>
    <w:p>
      <w:pPr>
        <w:pStyle w:val="BodyText"/>
        <w:spacing w:line="237" w:lineRule="auto" w:before="118"/>
        <w:ind w:right="234" w:firstLine="480"/>
        <w:jc w:val="both"/>
      </w:pPr>
      <w:r>
        <w:rPr>
          <w:spacing w:val="4"/>
        </w:rPr>
        <w:t>子公司的股东权益中不属于本公司所拥有的部分作为少数股东权益在合并资产</w:t>
      </w:r>
      <w:r>
        <w:rPr/>
        <w:t> </w:t>
      </w:r>
      <w:r>
        <w:rPr>
          <w:spacing w:val="-2"/>
        </w:rPr>
        <w:t>负债表中股东权益项下单独列示。子公司当期净损益中属于少数股东权益的份额，在</w:t>
      </w:r>
      <w:r>
        <w:rPr>
          <w:spacing w:val="-94"/>
        </w:rPr>
        <w:t> </w:t>
      </w:r>
      <w:r>
        <w:rPr>
          <w:spacing w:val="-94"/>
        </w:rPr>
      </w:r>
      <w:r>
        <w:rPr>
          <w:spacing w:val="-2"/>
        </w:rPr>
        <w:t>合并利润表中净利润项目下以“少数股东损益”项目列示。少数股东分担的子公司的</w:t>
      </w:r>
      <w:r>
        <w:rPr>
          <w:spacing w:val="-94"/>
        </w:rPr>
        <w:t> </w:t>
      </w:r>
      <w:r>
        <w:rPr>
          <w:spacing w:val="-94"/>
        </w:rPr>
      </w:r>
      <w:r>
        <w:rPr>
          <w:spacing w:val="-2"/>
        </w:rPr>
        <w:t>亏损超过了少数股东在该子公司期初所有者权益中所享有的份额，其余额仍冲减少数</w:t>
      </w:r>
      <w:r>
        <w:rPr>
          <w:spacing w:val="-94"/>
        </w:rPr>
        <w:t> </w:t>
      </w:r>
      <w:r>
        <w:rPr>
          <w:spacing w:val="-94"/>
        </w:rPr>
      </w:r>
      <w:r>
        <w:rPr/>
        <w:t>股东权益。</w:t>
      </w:r>
    </w:p>
    <w:p>
      <w:pPr>
        <w:pStyle w:val="BodyText"/>
        <w:spacing w:line="328" w:lineRule="auto" w:before="118"/>
        <w:ind w:left="617" w:right="119" w:hanging="480"/>
        <w:jc w:val="left"/>
      </w:pPr>
      <w:r>
        <w:rPr/>
        <w:t>（</w:t>
      </w:r>
      <w:r>
        <w:rPr>
          <w:rFonts w:ascii="宋体" w:hAnsi="宋体" w:cs="宋体" w:eastAsia="宋体" w:hint="default"/>
        </w:rPr>
        <w:t>3</w:t>
      </w:r>
      <w:r>
        <w:rPr/>
        <w:t>）购买子公司少数股东股权 </w:t>
      </w:r>
      <w:r>
        <w:rPr>
          <w:spacing w:val="4"/>
        </w:rPr>
        <w:t>因购买少数股权新取得的长期股权投资成本与按照新增持股比例计算应享有子</w:t>
      </w:r>
    </w:p>
    <w:p>
      <w:pPr>
        <w:pStyle w:val="BodyText"/>
        <w:spacing w:line="223" w:lineRule="exact"/>
        <w:ind w:right="119"/>
        <w:jc w:val="left"/>
      </w:pPr>
      <w:r>
        <w:rPr/>
        <w:t>公司自购买日或合并日开始持续计算的净资产份额之间的差额，以及在不丧失控制权</w:t>
      </w:r>
    </w:p>
    <w:p>
      <w:pPr>
        <w:spacing w:after="0" w:line="223" w:lineRule="exact"/>
        <w:jc w:val="left"/>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right="355"/>
        <w:jc w:val="both"/>
      </w:pPr>
      <w:r>
        <w:rPr>
          <w:spacing w:val="4"/>
        </w:rPr>
        <w:t>的情况下因部分处置对子公司的股权投资而取得的处置价款与处置长期股权投资相</w:t>
      </w:r>
      <w:r>
        <w:rPr>
          <w:spacing w:val="-105"/>
        </w:rPr>
        <w:t> </w:t>
      </w:r>
      <w:r>
        <w:rPr>
          <w:spacing w:val="-105"/>
        </w:rPr>
      </w:r>
      <w:r>
        <w:rPr>
          <w:spacing w:val="-2"/>
        </w:rPr>
        <w:t>对应享有子公司自购买日或合并日开始持续计算的净资产份额之间的差额，均调整合</w:t>
      </w:r>
      <w:r>
        <w:rPr>
          <w:spacing w:val="-94"/>
        </w:rPr>
        <w:t> </w:t>
      </w:r>
      <w:r>
        <w:rPr>
          <w:spacing w:val="-94"/>
        </w:rPr>
      </w:r>
      <w:r>
        <w:rPr/>
        <w:t>并资产负债表中的资本公积（股本溢价），资本公积不足冲减的，调整留存收益。</w:t>
      </w:r>
    </w:p>
    <w:p>
      <w:pPr>
        <w:pStyle w:val="BodyText"/>
        <w:spacing w:line="331" w:lineRule="auto" w:before="118"/>
        <w:ind w:left="617" w:right="352" w:hanging="480"/>
        <w:jc w:val="left"/>
      </w:pPr>
      <w:r>
        <w:rPr/>
        <w:t>（</w:t>
      </w:r>
      <w:r>
        <w:rPr>
          <w:rFonts w:ascii="宋体" w:hAnsi="宋体" w:cs="宋体" w:eastAsia="宋体" w:hint="default"/>
        </w:rPr>
        <w:t>4</w:t>
      </w:r>
      <w:r>
        <w:rPr/>
        <w:t>）丧失子公司控制权的处理 </w:t>
      </w:r>
      <w:r>
        <w:rPr>
          <w:spacing w:val="-2"/>
        </w:rPr>
        <w:t>因处置部分股权投资或其他原因丧失了对原有子公司控制权的，剩余股权按照其</w:t>
      </w:r>
    </w:p>
    <w:p>
      <w:pPr>
        <w:pStyle w:val="BodyText"/>
        <w:spacing w:line="217" w:lineRule="exact"/>
        <w:ind w:right="0"/>
        <w:jc w:val="both"/>
      </w:pPr>
      <w:r>
        <w:rPr/>
        <w:t>在丧失控制权日的公允价值进行重新计量；处置股权取得的对价与剩余股权公允价值</w:t>
      </w:r>
    </w:p>
    <w:p>
      <w:pPr>
        <w:pStyle w:val="BodyText"/>
        <w:spacing w:line="312" w:lineRule="exact" w:before="29"/>
        <w:ind w:right="355"/>
        <w:jc w:val="both"/>
      </w:pPr>
      <w:r>
        <w:rPr>
          <w:spacing w:val="-2"/>
        </w:rPr>
        <w:t>之和，减去按原持股比例计算应享有原有子公司自购买日开始持续计算的净资产账面</w:t>
      </w:r>
      <w:r>
        <w:rPr>
          <w:spacing w:val="-94"/>
        </w:rPr>
        <w:t> </w:t>
      </w:r>
      <w:r>
        <w:rPr>
          <w:spacing w:val="-94"/>
        </w:rPr>
      </w:r>
      <w:r>
        <w:rPr/>
        <w:t>价值的份额与商誉之和，形成的差额计入丧失控制权当期的投资收益。</w:t>
      </w:r>
    </w:p>
    <w:p>
      <w:pPr>
        <w:pStyle w:val="BodyText"/>
        <w:spacing w:line="237" w:lineRule="auto" w:before="92"/>
        <w:ind w:right="65" w:firstLine="480"/>
        <w:jc w:val="left"/>
      </w:pPr>
      <w:r>
        <w:rPr>
          <w:spacing w:val="-2"/>
        </w:rPr>
        <w:t>与原有子公司的股权投资相关的其他综合收益等，在丧失控制权时转入当期损益，</w:t>
      </w:r>
      <w:r>
        <w:rPr/>
        <w:t> </w:t>
      </w:r>
      <w:r>
        <w:rPr>
          <w:spacing w:val="4"/>
        </w:rPr>
        <w:t>由于被投资方重新计量设定收益计划净负债或净资产变动而产生的其他综合收益除</w:t>
      </w:r>
      <w:r>
        <w:rPr>
          <w:spacing w:val="-105"/>
        </w:rPr>
        <w:t> </w:t>
      </w:r>
      <w:r>
        <w:rPr>
          <w:spacing w:val="-105"/>
        </w:rPr>
      </w:r>
      <w:r>
        <w:rPr/>
        <w:t>外。</w:t>
      </w:r>
    </w:p>
    <w:p>
      <w:pPr>
        <w:pStyle w:val="BodyText"/>
        <w:spacing w:line="328" w:lineRule="auto" w:before="118"/>
        <w:ind w:left="617" w:right="352" w:hanging="480"/>
        <w:jc w:val="left"/>
      </w:pPr>
      <w:r>
        <w:rPr/>
        <w:t>（</w:t>
      </w:r>
      <w:r>
        <w:rPr>
          <w:rFonts w:ascii="宋体" w:hAnsi="宋体" w:cs="宋体" w:eastAsia="宋体" w:hint="default"/>
        </w:rPr>
        <w:t>5</w:t>
      </w:r>
      <w:r>
        <w:rPr/>
        <w:t>）分步处置股权至丧失控制权的处理 </w:t>
      </w:r>
      <w:r>
        <w:rPr>
          <w:spacing w:val="-2"/>
        </w:rPr>
        <w:t>通过多次交易分步处置股权直至丧失控制权的各项交易的条款、条件以及经济影</w:t>
      </w:r>
    </w:p>
    <w:p>
      <w:pPr>
        <w:pStyle w:val="BodyText"/>
        <w:spacing w:line="223" w:lineRule="exact"/>
        <w:ind w:right="0"/>
        <w:jc w:val="both"/>
      </w:pPr>
      <w:r>
        <w:rPr/>
        <w:t>响符合以下一种或多种情况的，本公司将多次交易事项作为一揽子交易进行会计处理：</w:t>
      </w:r>
    </w:p>
    <w:p>
      <w:pPr>
        <w:pStyle w:val="BodyText"/>
        <w:spacing w:line="240" w:lineRule="auto" w:before="118"/>
        <w:ind w:left="617" w:right="352"/>
        <w:jc w:val="left"/>
      </w:pPr>
      <w:r>
        <w:rPr/>
        <w:t>①这些交易是同时或者在考虑了彼此影响的情况下订立的；</w:t>
      </w:r>
    </w:p>
    <w:p>
      <w:pPr>
        <w:pStyle w:val="BodyText"/>
        <w:spacing w:line="240" w:lineRule="auto" w:before="115"/>
        <w:ind w:left="617" w:right="352"/>
        <w:jc w:val="left"/>
      </w:pPr>
      <w:r>
        <w:rPr/>
        <w:t>②这些交易整体才能达成一项完整的商业结果；</w:t>
      </w:r>
    </w:p>
    <w:p>
      <w:pPr>
        <w:pStyle w:val="BodyText"/>
        <w:spacing w:line="240" w:lineRule="auto" w:before="118"/>
        <w:ind w:left="617" w:right="352"/>
        <w:jc w:val="left"/>
      </w:pPr>
      <w:r>
        <w:rPr/>
        <w:t>③一项交易的发生取决于其他至少一项交易的发生；</w:t>
      </w:r>
    </w:p>
    <w:p>
      <w:pPr>
        <w:pStyle w:val="BodyText"/>
        <w:spacing w:line="328" w:lineRule="auto" w:before="118"/>
        <w:ind w:left="617" w:right="229"/>
        <w:jc w:val="left"/>
      </w:pPr>
      <w:r>
        <w:rPr/>
        <w:t>④一项交易单独看是不经济的，但是和其他交易一并考虑时是经济的。 </w:t>
      </w:r>
      <w:r>
        <w:rPr>
          <w:spacing w:val="-5"/>
        </w:rPr>
        <w:t>在个别财务报表中，分步处置股权至丧失控制权的各项交易不属于“一揽子交易”</w:t>
      </w:r>
    </w:p>
    <w:p>
      <w:pPr>
        <w:pStyle w:val="BodyText"/>
        <w:spacing w:line="222" w:lineRule="exact"/>
        <w:ind w:right="0"/>
        <w:jc w:val="both"/>
      </w:pPr>
      <w:r>
        <w:rPr/>
        <w:t>的，相应结转每一次处置股权相对应的长期股权投资的账面价值，所得价款与处置长</w:t>
      </w:r>
    </w:p>
    <w:p>
      <w:pPr>
        <w:pStyle w:val="BodyText"/>
        <w:spacing w:line="237" w:lineRule="auto" w:before="1"/>
        <w:ind w:right="354"/>
        <w:jc w:val="both"/>
      </w:pPr>
      <w:r>
        <w:rPr>
          <w:spacing w:val="-2"/>
        </w:rPr>
        <w:t>期股权投资账面价值之间的差额计入当期投资收益；属于“一揽子交易”的，在丧失</w:t>
      </w:r>
      <w:r>
        <w:rPr>
          <w:spacing w:val="-94"/>
        </w:rPr>
        <w:t> </w:t>
      </w:r>
      <w:r>
        <w:rPr>
          <w:spacing w:val="-94"/>
        </w:rPr>
      </w:r>
      <w:r>
        <w:rPr>
          <w:spacing w:val="4"/>
        </w:rPr>
        <w:t>控制权之前每一次处置价款与所处置的股权对应的长期股权投资账面价值之间的差</w:t>
      </w:r>
      <w:r>
        <w:rPr>
          <w:spacing w:val="-105"/>
        </w:rPr>
        <w:t> </w:t>
      </w:r>
      <w:r>
        <w:rPr>
          <w:spacing w:val="-105"/>
        </w:rPr>
      </w:r>
      <w:r>
        <w:rPr/>
        <w:t>额，先确认为其他综合收益，到丧失控制权时再一并转入丧失控制权的当期损益。</w:t>
      </w:r>
    </w:p>
    <w:p>
      <w:pPr>
        <w:pStyle w:val="BodyText"/>
        <w:spacing w:line="237" w:lineRule="auto" w:before="121"/>
        <w:ind w:right="353" w:firstLine="480"/>
        <w:jc w:val="both"/>
      </w:pPr>
      <w:r>
        <w:rPr>
          <w:spacing w:val="-2"/>
        </w:rPr>
        <w:t>在合并财务报表中，分步处置股权直至丧失控制权时，剩余股权的计量以及有关</w:t>
      </w:r>
      <w:r>
        <w:rPr/>
        <w:t> </w:t>
      </w:r>
      <w:r>
        <w:rPr>
          <w:spacing w:val="-2"/>
        </w:rPr>
        <w:t>处置股权损益的核算比照前述“丧失子公司控制权的处理”。在丧失控制权之前每一</w:t>
      </w:r>
      <w:r>
        <w:rPr>
          <w:spacing w:val="-93"/>
        </w:rPr>
        <w:t> </w:t>
      </w:r>
      <w:r>
        <w:rPr>
          <w:spacing w:val="-93"/>
        </w:rPr>
      </w:r>
      <w:r>
        <w:rPr>
          <w:spacing w:val="4"/>
        </w:rPr>
        <w:t>次处置价款与处置投资对应的享有该子公司自购买日开始持续计算的净资产账面价</w:t>
      </w:r>
      <w:r>
        <w:rPr>
          <w:spacing w:val="-105"/>
        </w:rPr>
        <w:t> </w:t>
      </w:r>
      <w:r>
        <w:rPr>
          <w:spacing w:val="-105"/>
        </w:rPr>
      </w:r>
      <w:r>
        <w:rPr/>
        <w:t>值份额之间的差额，分别进行如下处理：</w:t>
      </w:r>
    </w:p>
    <w:p>
      <w:pPr>
        <w:pStyle w:val="BodyText"/>
        <w:spacing w:line="310" w:lineRule="exact" w:before="151"/>
        <w:ind w:right="352" w:firstLine="480"/>
        <w:jc w:val="left"/>
      </w:pPr>
      <w:r>
        <w:rPr>
          <w:spacing w:val="-2"/>
        </w:rPr>
        <w:t>①属于“一揽子交易”的，确认为其他综合收益。在丧失控制权时一并转入丧失</w:t>
      </w:r>
      <w:r>
        <w:rPr/>
        <w:t> 控制权当期的损益。</w:t>
      </w:r>
    </w:p>
    <w:p>
      <w:pPr>
        <w:pStyle w:val="BodyText"/>
        <w:spacing w:line="312" w:lineRule="exact" w:before="120"/>
        <w:ind w:right="352" w:firstLine="480"/>
        <w:jc w:val="left"/>
      </w:pPr>
      <w:r>
        <w:rPr>
          <w:spacing w:val="-2"/>
        </w:rPr>
        <w:t>②不属于“一揽子交易”的，作为权益性交易计入资本公积（股本溢价）。在丧</w:t>
      </w:r>
      <w:r>
        <w:rPr/>
        <w:t> 失控制权时不得转入丧失控制权当期的损益。</w:t>
      </w:r>
    </w:p>
    <w:p>
      <w:pPr>
        <w:spacing w:line="240" w:lineRule="auto" w:before="1"/>
        <w:rPr>
          <w:rFonts w:ascii="宋体" w:hAnsi="宋体" w:cs="宋体" w:eastAsia="宋体" w:hint="default"/>
          <w:sz w:val="35"/>
          <w:szCs w:val="35"/>
        </w:rPr>
      </w:pPr>
    </w:p>
    <w:p>
      <w:pPr>
        <w:spacing w:line="283" w:lineRule="auto" w:before="0"/>
        <w:ind w:left="617" w:right="352" w:hanging="480"/>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pacing w:val="60"/>
          <w:sz w:val="24"/>
          <w:szCs w:val="24"/>
        </w:rPr>
        <w:t> </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合营安排，是指一项由两个或两个以上的参与方共同控制的安排。本集团合营安</w:t>
      </w:r>
    </w:p>
    <w:p>
      <w:pPr>
        <w:pStyle w:val="BodyText"/>
        <w:spacing w:line="266" w:lineRule="exact"/>
        <w:ind w:right="0"/>
        <w:jc w:val="both"/>
      </w:pPr>
      <w:r>
        <w:rPr/>
        <w:t>排分为共同经营和合营企业。</w:t>
      </w:r>
    </w:p>
    <w:p>
      <w:pPr>
        <w:pStyle w:val="BodyText"/>
        <w:spacing w:line="240" w:lineRule="auto" w:before="118"/>
        <w:ind w:right="0"/>
        <w:jc w:val="both"/>
      </w:pPr>
      <w:r>
        <w:rPr/>
        <w:t>（</w:t>
      </w:r>
      <w:r>
        <w:rPr>
          <w:rFonts w:ascii="宋体" w:hAnsi="宋体" w:cs="宋体" w:eastAsia="宋体" w:hint="default"/>
        </w:rPr>
        <w:t>1</w:t>
      </w:r>
      <w:r>
        <w:rPr/>
        <w:t>）共同经营</w:t>
      </w:r>
    </w:p>
    <w:p>
      <w:pPr>
        <w:pStyle w:val="BodyText"/>
        <w:spacing w:line="240" w:lineRule="auto" w:before="118"/>
        <w:ind w:left="617" w:right="352"/>
        <w:jc w:val="left"/>
      </w:pPr>
      <w:r>
        <w:rPr/>
        <w:t>共同经营是指本集团享有该安排相关资产且承担该安排相关负债的合营安排。</w:t>
      </w:r>
    </w:p>
    <w:p>
      <w:pPr>
        <w:spacing w:after="0" w:line="240" w:lineRule="auto"/>
        <w:jc w:val="left"/>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312" w:lineRule="exact" w:before="56"/>
        <w:ind w:right="235" w:firstLine="480"/>
        <w:jc w:val="both"/>
      </w:pPr>
      <w:r>
        <w:rPr>
          <w:spacing w:val="-2"/>
        </w:rPr>
        <w:t>本集团确认与共同经营中利益份额相关的下列项目，并按照相关企业会计准则的</w:t>
      </w:r>
      <w:r>
        <w:rPr/>
        <w:t> 规定进行会计处理：</w:t>
      </w:r>
    </w:p>
    <w:p>
      <w:pPr>
        <w:pStyle w:val="BodyText"/>
        <w:spacing w:line="328" w:lineRule="auto" w:before="87"/>
        <w:ind w:left="617" w:right="1249"/>
        <w:jc w:val="left"/>
      </w:pP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240" w:lineRule="auto" w:before="29"/>
        <w:ind w:right="119"/>
        <w:jc w:val="left"/>
      </w:pPr>
      <w:r>
        <w:rPr/>
        <w:t>（</w:t>
      </w:r>
      <w:r>
        <w:rPr>
          <w:rFonts w:ascii="宋体" w:hAnsi="宋体" w:cs="宋体" w:eastAsia="宋体" w:hint="default"/>
        </w:rPr>
        <w:t>2</w:t>
      </w:r>
      <w:r>
        <w:rPr/>
        <w:t>）合营企业</w:t>
      </w:r>
    </w:p>
    <w:p>
      <w:pPr>
        <w:pStyle w:val="BodyText"/>
        <w:spacing w:line="328" w:lineRule="auto" w:before="118"/>
        <w:ind w:left="617" w:right="119"/>
        <w:jc w:val="left"/>
      </w:pPr>
      <w:r>
        <w:rPr/>
        <w:t>合营企业是指本集团仅对该安排的净资产享有权利的合营安排。 </w:t>
      </w:r>
      <w:r>
        <w:rPr>
          <w:spacing w:val="4"/>
        </w:rPr>
        <w:t>本集团按照长期股权投资有关权益法核算的规定对合营企业的投资进行会计处</w:t>
      </w:r>
    </w:p>
    <w:p>
      <w:pPr>
        <w:pStyle w:val="BodyText"/>
        <w:spacing w:line="223" w:lineRule="exact"/>
        <w:ind w:right="119"/>
        <w:jc w:val="left"/>
      </w:pPr>
      <w:r>
        <w:rPr/>
        <w:t>理。</w:t>
      </w:r>
    </w:p>
    <w:p>
      <w:pPr>
        <w:spacing w:line="240" w:lineRule="auto" w:before="0"/>
        <w:rPr>
          <w:rFonts w:ascii="宋体" w:hAnsi="宋体" w:cs="宋体" w:eastAsia="宋体" w:hint="default"/>
          <w:sz w:val="24"/>
          <w:szCs w:val="24"/>
        </w:rPr>
      </w:pPr>
    </w:p>
    <w:p>
      <w:pPr>
        <w:spacing w:line="283" w:lineRule="auto" w:before="173"/>
        <w:ind w:left="617" w:right="119" w:hanging="48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pacing w:val="60"/>
          <w:sz w:val="24"/>
          <w:szCs w:val="24"/>
        </w:rPr>
        <w:t> </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pacing w:val="-2"/>
          <w:sz w:val="24"/>
          <w:szCs w:val="24"/>
        </w:rPr>
        <w:t>现金是指库存现金以及可以随时用于支付的存款。现金等价物，是指本集团持有</w:t>
      </w:r>
    </w:p>
    <w:p>
      <w:pPr>
        <w:pStyle w:val="BodyText"/>
        <w:spacing w:line="269" w:lineRule="exact"/>
        <w:ind w:right="119"/>
        <w:jc w:val="left"/>
      </w:pPr>
      <w:r>
        <w:rPr/>
        <w:t>的期限短、流动性强、易于转换为已知金额现金、价值变动风险很小的投资。</w:t>
      </w:r>
    </w:p>
    <w:p>
      <w:pPr>
        <w:spacing w:line="240" w:lineRule="auto" w:before="1"/>
        <w:rPr>
          <w:rFonts w:ascii="宋体" w:hAnsi="宋体" w:cs="宋体" w:eastAsia="宋体" w:hint="default"/>
          <w:sz w:val="28"/>
          <w:szCs w:val="28"/>
        </w:rPr>
      </w:pPr>
    </w:p>
    <w:p>
      <w:pPr>
        <w:pStyle w:val="Heading2"/>
        <w:spacing w:line="240" w:lineRule="auto" w:before="0"/>
        <w:ind w:left="137" w:right="119"/>
        <w:jc w:val="left"/>
        <w:rPr>
          <w:b w:val="0"/>
          <w:bCs w:val="0"/>
        </w:rPr>
      </w:pPr>
      <w:r>
        <w:rPr>
          <w:rFonts w:ascii="宋体" w:hAnsi="宋体" w:cs="宋体" w:eastAsia="宋体" w:hint="default"/>
        </w:rPr>
        <w:t>9.</w:t>
      </w:r>
      <w:r>
        <w:rPr>
          <w:rFonts w:ascii="宋体" w:hAnsi="宋体" w:cs="宋体" w:eastAsia="宋体" w:hint="default"/>
          <w:spacing w:val="58"/>
        </w:rPr>
        <w:t> </w:t>
      </w:r>
      <w:r>
        <w:rPr/>
        <w:t>外币业务和外币报表折算</w:t>
      </w:r>
      <w:r>
        <w:rPr>
          <w:b w:val="0"/>
          <w:bCs w:val="0"/>
        </w:rPr>
      </w:r>
    </w:p>
    <w:p>
      <w:pPr>
        <w:pStyle w:val="BodyText"/>
        <w:spacing w:line="240" w:lineRule="auto" w:before="58"/>
        <w:ind w:right="119"/>
        <w:jc w:val="left"/>
      </w:pPr>
      <w:r>
        <w:rPr/>
        <w:t>（</w:t>
      </w:r>
      <w:r>
        <w:rPr>
          <w:rFonts w:ascii="宋体" w:hAnsi="宋体" w:cs="宋体" w:eastAsia="宋体" w:hint="default"/>
        </w:rPr>
        <w:t>1</w:t>
      </w:r>
      <w:r>
        <w:rPr/>
        <w:t>）外币业务</w:t>
      </w:r>
    </w:p>
    <w:p>
      <w:pPr>
        <w:pStyle w:val="BodyText"/>
        <w:spacing w:line="312" w:lineRule="exact" w:before="146"/>
        <w:ind w:right="235" w:firstLine="480"/>
        <w:jc w:val="both"/>
      </w:pPr>
      <w:r>
        <w:rPr>
          <w:spacing w:val="-2"/>
        </w:rPr>
        <w:t>本集团发生外币业务，采用按照系统合理的方法确定的、与交易发生日即期汇率</w:t>
      </w:r>
      <w:r>
        <w:rPr/>
        <w:t> 近似的汇率折算记账本位币金额。</w:t>
      </w:r>
    </w:p>
    <w:p>
      <w:pPr>
        <w:pStyle w:val="BodyText"/>
        <w:spacing w:line="237" w:lineRule="auto" w:before="92"/>
        <w:ind w:right="233" w:firstLine="480"/>
        <w:jc w:val="both"/>
      </w:pPr>
      <w:r>
        <w:rPr>
          <w:spacing w:val="-2"/>
        </w:rPr>
        <w:t>资产负债表日，对外币货币性项目，采用资产负债表日即期汇率折算。因资产负</w:t>
      </w:r>
      <w:r>
        <w:rPr/>
        <w:t> </w:t>
      </w:r>
      <w:r>
        <w:rPr>
          <w:spacing w:val="4"/>
        </w:rPr>
        <w:t>债表日即期汇率与初始确认时或者前一资产负债表日即期汇率不同而产生的汇兑差</w:t>
      </w:r>
      <w:r>
        <w:rPr>
          <w:spacing w:val="-105"/>
        </w:rPr>
        <w:t> </w:t>
      </w:r>
      <w:r>
        <w:rPr>
          <w:spacing w:val="-105"/>
        </w:rPr>
      </w:r>
      <w:r>
        <w:rPr>
          <w:spacing w:val="-2"/>
        </w:rPr>
        <w:t>额，计入当期损益；对以历史成本计量的外币非货币性项目，仍采用交易发生日的即</w:t>
      </w:r>
      <w:r>
        <w:rPr>
          <w:spacing w:val="-93"/>
        </w:rPr>
        <w:t> </w:t>
      </w:r>
      <w:r>
        <w:rPr>
          <w:spacing w:val="-93"/>
        </w:rPr>
      </w:r>
      <w:r>
        <w:rPr>
          <w:spacing w:val="-2"/>
        </w:rPr>
        <w:t>期汇率折算；对以公允价值计量的外币非货币性项目，采用公允价值确定日的即期汇</w:t>
      </w:r>
      <w:r>
        <w:rPr>
          <w:spacing w:val="-94"/>
        </w:rPr>
        <w:t> </w:t>
      </w:r>
      <w:r>
        <w:rPr>
          <w:spacing w:val="-94"/>
        </w:rPr>
      </w:r>
      <w:r>
        <w:rPr/>
        <w:t>率折算，折算后的记账本位币金额与原记账本位币金额的差额，计入当期损益。</w:t>
      </w:r>
    </w:p>
    <w:p>
      <w:pPr>
        <w:pStyle w:val="BodyText"/>
        <w:spacing w:line="331" w:lineRule="auto" w:before="116"/>
        <w:ind w:left="617" w:right="119" w:hanging="480"/>
        <w:jc w:val="left"/>
      </w:pPr>
      <w:r>
        <w:rPr/>
        <w:t>（</w:t>
      </w:r>
      <w:r>
        <w:rPr>
          <w:rFonts w:ascii="宋体" w:hAnsi="宋体" w:cs="宋体" w:eastAsia="宋体" w:hint="default"/>
        </w:rPr>
        <w:t>2</w:t>
      </w:r>
      <w:r>
        <w:rPr/>
        <w:t>）外币财务报表的折算 </w:t>
      </w:r>
      <w:r>
        <w:rPr>
          <w:spacing w:val="-2"/>
        </w:rPr>
        <w:t>资产负债表日，对境外子公司外币财务报表进行折算时，资产负债表中的资产和</w:t>
      </w:r>
    </w:p>
    <w:p>
      <w:pPr>
        <w:pStyle w:val="BodyText"/>
        <w:spacing w:line="219" w:lineRule="exact"/>
        <w:ind w:right="119"/>
        <w:jc w:val="left"/>
      </w:pPr>
      <w:r>
        <w:rPr/>
        <w:t>负债项目，采用资产负债表日的即期汇率折算，股东权益项目除“未分配利润”外，</w:t>
      </w:r>
    </w:p>
    <w:p>
      <w:pPr>
        <w:pStyle w:val="BodyText"/>
        <w:spacing w:line="331" w:lineRule="auto"/>
        <w:ind w:left="617" w:right="119" w:hanging="480"/>
        <w:jc w:val="left"/>
      </w:pPr>
      <w:r>
        <w:rPr/>
        <w:t>其他项目采用发生日的即期汇率折算。 </w:t>
      </w:r>
      <w:r>
        <w:rPr>
          <w:spacing w:val="-2"/>
        </w:rPr>
        <w:t>利润表中的收入和费用项目，采用按照系统合理的方法确定的、与交易发生日即</w:t>
      </w:r>
    </w:p>
    <w:p>
      <w:pPr>
        <w:pStyle w:val="BodyText"/>
        <w:spacing w:line="221" w:lineRule="exact"/>
        <w:ind w:right="119"/>
        <w:jc w:val="left"/>
      </w:pPr>
      <w:r>
        <w:rPr/>
        <w:t>期汇率近似的汇率折算。</w:t>
      </w:r>
    </w:p>
    <w:p>
      <w:pPr>
        <w:pStyle w:val="BodyText"/>
        <w:spacing w:line="312" w:lineRule="exact" w:before="146"/>
        <w:ind w:right="233" w:firstLine="480"/>
        <w:jc w:val="both"/>
      </w:pPr>
      <w:r>
        <w:rPr>
          <w:spacing w:val="-2"/>
        </w:rPr>
        <w:t>现金流量表所有项目均按照系统合理的方法确定的、与现金流量发生日即期汇率</w:t>
      </w:r>
      <w:r>
        <w:rPr/>
        <w:t> </w:t>
      </w:r>
      <w:r>
        <w:rPr>
          <w:spacing w:val="-2"/>
        </w:rPr>
        <w:t>近似的汇率。汇率变动对现金的影响额作为调节项目，在现金流量表中单独列示“汇</w:t>
      </w:r>
      <w:r>
        <w:rPr>
          <w:spacing w:val="-93"/>
        </w:rPr>
        <w:t> </w:t>
      </w:r>
      <w:r>
        <w:rPr>
          <w:spacing w:val="-93"/>
        </w:rPr>
      </w:r>
      <w:r>
        <w:rPr/>
        <w:t>率变动对现金及现金等价物的影响”项目反映。</w:t>
      </w:r>
    </w:p>
    <w:p>
      <w:pPr>
        <w:pStyle w:val="BodyText"/>
        <w:spacing w:line="240" w:lineRule="auto" w:before="87"/>
        <w:ind w:right="233" w:firstLine="480"/>
        <w:jc w:val="both"/>
      </w:pPr>
      <w:r>
        <w:rPr>
          <w:spacing w:val="-2"/>
        </w:rPr>
        <w:t>由于财务报表折算而产生的差额，在资产负债表股东权益项目下的“其他综合收</w:t>
      </w:r>
      <w:r>
        <w:rPr/>
        <w:t> 益”项目反映。</w:t>
      </w:r>
    </w:p>
    <w:p>
      <w:pPr>
        <w:spacing w:after="0" w:line="240" w:lineRule="auto"/>
        <w:jc w:val="both"/>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312" w:lineRule="exact" w:before="56"/>
        <w:ind w:right="65" w:firstLine="480"/>
        <w:jc w:val="left"/>
      </w:pPr>
      <w:r>
        <w:rPr/>
        <w:t>处置境外经营并丧失控制权时，将资产负债表中股东权益项目下列示的、与该境 </w:t>
      </w:r>
      <w:r>
        <w:rPr>
          <w:spacing w:val="-2"/>
        </w:rPr>
        <w:t>外经营相关的外币报表折算差额，全部或按处置该境外经营的比例转入处置当期损益。</w:t>
      </w:r>
    </w:p>
    <w:p>
      <w:pPr>
        <w:spacing w:line="240" w:lineRule="auto" w:before="12"/>
        <w:rPr>
          <w:rFonts w:ascii="宋体" w:hAnsi="宋体" w:cs="宋体" w:eastAsia="宋体" w:hint="default"/>
          <w:sz w:val="25"/>
          <w:szCs w:val="25"/>
        </w:rPr>
      </w:pPr>
    </w:p>
    <w:p>
      <w:pPr>
        <w:pStyle w:val="Heading2"/>
        <w:spacing w:line="240" w:lineRule="auto" w:before="0"/>
        <w:ind w:left="137" w:right="5801"/>
        <w:jc w:val="left"/>
        <w:rPr>
          <w:b w:val="0"/>
          <w:bCs w:val="0"/>
        </w:rPr>
      </w:pPr>
      <w:r>
        <w:rPr>
          <w:rFonts w:ascii="宋体" w:hAnsi="宋体" w:cs="宋体" w:eastAsia="宋体" w:hint="default"/>
        </w:rPr>
        <w:t>10.</w:t>
      </w:r>
      <w:r>
        <w:rPr>
          <w:rFonts w:ascii="宋体" w:hAnsi="宋体" w:cs="宋体" w:eastAsia="宋体" w:hint="default"/>
          <w:spacing w:val="-60"/>
        </w:rPr>
        <w:t> </w:t>
      </w:r>
      <w:r>
        <w:rPr/>
        <w:t>金融工具</w:t>
      </w:r>
      <w:r>
        <w:rPr>
          <w:b w:val="0"/>
          <w:bCs w:val="0"/>
        </w:rPr>
      </w:r>
    </w:p>
    <w:p>
      <w:pPr>
        <w:pStyle w:val="BodyText"/>
        <w:spacing w:line="310" w:lineRule="exact" w:before="150"/>
        <w:ind w:right="352" w:firstLine="480"/>
        <w:jc w:val="left"/>
      </w:pPr>
      <w:r>
        <w:rPr>
          <w:spacing w:val="-2"/>
        </w:rPr>
        <w:t>金融工具是指形成一个企业的金融资产，并形成其他单位的金融负债或权益工具</w:t>
      </w:r>
      <w:r>
        <w:rPr/>
        <w:t> 的合同。</w:t>
      </w:r>
    </w:p>
    <w:p>
      <w:pPr>
        <w:pStyle w:val="BodyText"/>
        <w:spacing w:line="331" w:lineRule="auto" w:before="89"/>
        <w:ind w:left="617" w:right="1489" w:hanging="480"/>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25"/>
        <w:ind w:left="617" w:right="352"/>
        <w:jc w:val="left"/>
      </w:pPr>
      <w:r>
        <w:rPr/>
        <w:t>①收取该金融资产现金流量的合同权利终止；</w:t>
      </w:r>
    </w:p>
    <w:p>
      <w:pPr>
        <w:pStyle w:val="BodyText"/>
        <w:spacing w:line="240" w:lineRule="auto" w:before="118"/>
        <w:ind w:left="617" w:right="352"/>
        <w:jc w:val="left"/>
      </w:pPr>
      <w:r>
        <w:rPr/>
        <w:t>②该金融资产已转移，且符合下述金融资产转移的终止确认条件。</w:t>
      </w:r>
    </w:p>
    <w:p>
      <w:pPr>
        <w:pStyle w:val="BodyText"/>
        <w:spacing w:line="237" w:lineRule="auto" w:before="120"/>
        <w:ind w:right="65" w:firstLine="480"/>
        <w:jc w:val="left"/>
      </w:pPr>
      <w:r>
        <w:rPr/>
        <w:t>金融负债的现时义务全部或部分已经解除的，终止确认该金融负债或其一部分。</w:t>
      </w:r>
      <w:r>
        <w:rPr>
          <w:spacing w:val="2"/>
        </w:rPr>
        <w:t> </w:t>
      </w:r>
      <w:r>
        <w:rPr>
          <w:spacing w:val="-8"/>
        </w:rPr>
        <w:t>本集团（债务人）与债权人之间签订协议，以承担新金融负债方式替换现存金融负债，</w:t>
      </w:r>
      <w:r>
        <w:rPr>
          <w:spacing w:val="-104"/>
        </w:rPr>
        <w:t> </w:t>
      </w:r>
      <w:r>
        <w:rPr>
          <w:spacing w:val="-104"/>
        </w:rPr>
      </w:r>
      <w:r>
        <w:rPr/>
        <w:t>且新金融负债与现存金融负债的合同条款实质上不同的，终止确认现存金融负债，并</w:t>
      </w:r>
      <w:r>
        <w:rPr/>
        <w:t> 同时确认新金融负债。</w:t>
      </w:r>
    </w:p>
    <w:p>
      <w:pPr>
        <w:pStyle w:val="BodyText"/>
        <w:spacing w:line="240" w:lineRule="auto" w:before="116"/>
        <w:ind w:left="617" w:right="352"/>
        <w:jc w:val="left"/>
      </w:pPr>
      <w:r>
        <w:rPr/>
        <w:t>以常规方式买卖金融资产，按交易日进行会计确认和终止确认。</w:t>
      </w:r>
    </w:p>
    <w:p>
      <w:pPr>
        <w:pStyle w:val="BodyText"/>
        <w:spacing w:line="331" w:lineRule="auto" w:before="118"/>
        <w:ind w:left="617" w:right="352" w:hanging="480"/>
        <w:jc w:val="left"/>
      </w:pPr>
      <w:r>
        <w:rPr/>
        <w:t>（</w:t>
      </w:r>
      <w:r>
        <w:rPr>
          <w:rFonts w:ascii="宋体" w:hAnsi="宋体" w:cs="宋体" w:eastAsia="宋体" w:hint="default"/>
        </w:rPr>
        <w:t>2</w:t>
      </w:r>
      <w:r>
        <w:rPr/>
        <w:t>）金融资产分类和计量 </w:t>
      </w:r>
      <w:r>
        <w:rPr>
          <w:spacing w:val="-2"/>
        </w:rPr>
        <w:t>本集团的金融资产于初始确认时分为以下四类：以公允价值计量且其变动计入当</w:t>
      </w:r>
    </w:p>
    <w:p>
      <w:pPr>
        <w:pStyle w:val="BodyText"/>
        <w:spacing w:line="217" w:lineRule="exact"/>
        <w:ind w:right="65"/>
        <w:jc w:val="left"/>
      </w:pPr>
      <w:r>
        <w:rPr/>
        <w:t>期损益的金融资产、持有至到期投资、贷款和应收款项、可供出售金融资产。金融资</w:t>
      </w:r>
    </w:p>
    <w:p>
      <w:pPr>
        <w:pStyle w:val="BodyText"/>
        <w:spacing w:line="237" w:lineRule="auto" w:before="1"/>
        <w:ind w:right="354"/>
        <w:jc w:val="both"/>
      </w:pPr>
      <w:r>
        <w:rPr>
          <w:spacing w:val="-2"/>
        </w:rPr>
        <w:t>产在初始确认时以公允价值计量。对于以公允价值计量且其变动计入当期损益的金融</w:t>
      </w:r>
      <w:r>
        <w:rPr>
          <w:spacing w:val="-94"/>
        </w:rPr>
        <w:t> </w:t>
      </w:r>
      <w:r>
        <w:rPr>
          <w:spacing w:val="-94"/>
        </w:rPr>
      </w:r>
      <w:r>
        <w:rPr>
          <w:spacing w:val="-2"/>
        </w:rPr>
        <w:t>资产，相关交易费用直接计入当期损益，其他类别的金融资产相关交易费用计入其初</w:t>
      </w:r>
      <w:r>
        <w:rPr>
          <w:spacing w:val="-94"/>
        </w:rPr>
        <w:t> </w:t>
      </w:r>
      <w:r>
        <w:rPr>
          <w:spacing w:val="-94"/>
        </w:rPr>
      </w:r>
      <w:r>
        <w:rPr/>
        <w:t>始确认金额。</w:t>
      </w:r>
    </w:p>
    <w:p>
      <w:pPr>
        <w:pStyle w:val="BodyText"/>
        <w:spacing w:line="331" w:lineRule="auto" w:before="118"/>
        <w:ind w:left="617" w:right="352"/>
        <w:jc w:val="left"/>
      </w:pPr>
      <w:r>
        <w:rPr/>
        <w:t>以公允价值计量且其变动计入当期损益的金融资产 </w:t>
      </w:r>
      <w:r>
        <w:rPr>
          <w:spacing w:val="-2"/>
        </w:rPr>
        <w:t>以公允价值计量且其变动计入当期损益的金融资产，包括交易性金融资产和初始</w:t>
      </w:r>
    </w:p>
    <w:p>
      <w:pPr>
        <w:pStyle w:val="BodyText"/>
        <w:spacing w:line="219" w:lineRule="exact"/>
        <w:ind w:right="0"/>
        <w:jc w:val="left"/>
      </w:pPr>
      <w:r>
        <w:rPr/>
        <w:t>确认时指定为以公允价值计量且其变动计入当期损益的金融资产。对于此类金融资产，</w:t>
      </w:r>
    </w:p>
    <w:p>
      <w:pPr>
        <w:pStyle w:val="BodyText"/>
        <w:spacing w:line="312" w:lineRule="exact" w:before="28"/>
        <w:ind w:right="355"/>
        <w:jc w:val="both"/>
      </w:pPr>
      <w:r>
        <w:rPr>
          <w:spacing w:val="-2"/>
        </w:rPr>
        <w:t>采用公允价值进行后续计量，公允价值变动形成的利得或损失以及与该等金融资产相</w:t>
      </w:r>
      <w:r>
        <w:rPr>
          <w:spacing w:val="-94"/>
        </w:rPr>
        <w:t> </w:t>
      </w:r>
      <w:r>
        <w:rPr>
          <w:spacing w:val="-94"/>
        </w:rPr>
      </w:r>
      <w:r>
        <w:rPr/>
        <w:t>关的股利和利息收入计入当期损益。</w:t>
      </w:r>
    </w:p>
    <w:p>
      <w:pPr>
        <w:pStyle w:val="BodyText"/>
        <w:spacing w:line="328" w:lineRule="auto" w:before="90"/>
        <w:ind w:left="617" w:right="352"/>
        <w:jc w:val="left"/>
      </w:pPr>
      <w:r>
        <w:rPr/>
        <w:t>持有至到期投资 </w:t>
      </w:r>
      <w:r>
        <w:rPr>
          <w:spacing w:val="-2"/>
        </w:rPr>
        <w:t>持有至到期投资，是指到期日固定、回收金额固定或可确定，且本集团有明确意</w:t>
      </w:r>
    </w:p>
    <w:p>
      <w:pPr>
        <w:pStyle w:val="BodyText"/>
        <w:spacing w:line="222" w:lineRule="exact"/>
        <w:ind w:right="65"/>
        <w:jc w:val="left"/>
      </w:pPr>
      <w:r>
        <w:rPr/>
        <w:t>图和能力持有至到期的非衍生金融资产。持有至到期投资采用实际利率法，按照摊余</w:t>
      </w:r>
    </w:p>
    <w:p>
      <w:pPr>
        <w:pStyle w:val="BodyText"/>
        <w:spacing w:line="310" w:lineRule="exact" w:before="31"/>
        <w:ind w:right="355"/>
        <w:jc w:val="both"/>
      </w:pPr>
      <w:r>
        <w:rPr>
          <w:spacing w:val="-2"/>
        </w:rPr>
        <w:t>成本进行后续计量，其终止确认、发生减值或摊销产生的利得或损失，均计入当期损</w:t>
      </w:r>
      <w:r>
        <w:rPr>
          <w:spacing w:val="-96"/>
        </w:rPr>
        <w:t> </w:t>
      </w:r>
      <w:r>
        <w:rPr>
          <w:spacing w:val="-96"/>
        </w:rPr>
      </w:r>
      <w:r>
        <w:rPr/>
        <w:t>益。</w:t>
      </w:r>
    </w:p>
    <w:p>
      <w:pPr>
        <w:pStyle w:val="BodyText"/>
        <w:spacing w:line="331" w:lineRule="auto" w:before="89"/>
        <w:ind w:left="617" w:right="352"/>
        <w:jc w:val="left"/>
      </w:pPr>
      <w:r>
        <w:rPr/>
        <w:t>应收款项 </w:t>
      </w:r>
      <w:r>
        <w:rPr>
          <w:spacing w:val="-2"/>
        </w:rPr>
        <w:t>应收款项，是指在活跃市场中没有报价、回收金额固定或可确定的非衍生金融资</w:t>
      </w:r>
    </w:p>
    <w:p>
      <w:pPr>
        <w:pStyle w:val="BodyText"/>
        <w:spacing w:line="217" w:lineRule="exact"/>
        <w:ind w:right="65"/>
        <w:jc w:val="left"/>
      </w:pPr>
      <w:r>
        <w:rPr/>
        <w:t>产，包括应收账款和其他应收款等（附注五、</w:t>
      </w:r>
      <w:r>
        <w:rPr>
          <w:rFonts w:ascii="宋体" w:hAnsi="宋体" w:cs="宋体" w:eastAsia="宋体" w:hint="default"/>
        </w:rPr>
        <w:t>12</w:t>
      </w:r>
      <w:r>
        <w:rPr/>
        <w:t>）。应收款项采用实际利率法，按摊</w:t>
      </w:r>
    </w:p>
    <w:p>
      <w:pPr>
        <w:pStyle w:val="BodyText"/>
        <w:spacing w:line="240" w:lineRule="auto"/>
        <w:ind w:right="355"/>
        <w:jc w:val="both"/>
      </w:pPr>
      <w:r>
        <w:rPr>
          <w:spacing w:val="-2"/>
        </w:rPr>
        <w:t>余成本进行后续计量，在终止确认、发生减值或摊销时产生的利得或损失，计入当期</w:t>
      </w:r>
      <w:r>
        <w:rPr>
          <w:spacing w:val="-96"/>
        </w:rPr>
        <w:t> </w:t>
      </w:r>
      <w:r>
        <w:rPr>
          <w:spacing w:val="-96"/>
        </w:rPr>
      </w:r>
      <w:r>
        <w:rPr/>
        <w:t>损益。</w:t>
      </w:r>
    </w:p>
    <w:p>
      <w:pPr>
        <w:spacing w:after="0" w:line="240" w:lineRule="auto"/>
        <w:jc w:val="both"/>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331" w:lineRule="auto" w:before="26"/>
        <w:ind w:left="617" w:right="352"/>
        <w:jc w:val="left"/>
      </w:pPr>
      <w:r>
        <w:rPr/>
        <w:t>可供出售金融资产 </w:t>
      </w:r>
      <w:r>
        <w:rPr>
          <w:spacing w:val="-2"/>
        </w:rPr>
        <w:t>可供出售金融资产，是指初始确认时即指定为可供出售的非衍生金融资产，以及</w:t>
      </w:r>
    </w:p>
    <w:p>
      <w:pPr>
        <w:pStyle w:val="BodyText"/>
        <w:spacing w:line="217" w:lineRule="exact"/>
        <w:ind w:right="0"/>
        <w:jc w:val="left"/>
      </w:pPr>
      <w:r>
        <w:rPr/>
        <w:t>除上述金融资产类别以外的金融资产。可供出售金融资产采用公允价值进行后续计量，</w:t>
      </w:r>
    </w:p>
    <w:p>
      <w:pPr>
        <w:pStyle w:val="BodyText"/>
        <w:spacing w:line="237" w:lineRule="auto" w:before="1"/>
        <w:ind w:right="353"/>
        <w:jc w:val="both"/>
      </w:pPr>
      <w:r>
        <w:rPr>
          <w:spacing w:val="-2"/>
        </w:rPr>
        <w:t>其折溢价采用实际利率法摊销并确认为利息收入。除减值损失及外币货币性金融资产</w:t>
      </w:r>
      <w:r>
        <w:rPr>
          <w:spacing w:val="-94"/>
        </w:rPr>
        <w:t> </w:t>
      </w:r>
      <w:r>
        <w:rPr>
          <w:spacing w:val="-94"/>
        </w:rPr>
      </w:r>
      <w:r>
        <w:rPr>
          <w:spacing w:val="-2"/>
        </w:rPr>
        <w:t>的汇兑差额确认为当期损益外，可供出售金融资产的公允价值变动确认为其他综合收</w:t>
      </w:r>
      <w:r>
        <w:rPr>
          <w:spacing w:val="-94"/>
        </w:rPr>
        <w:t> </w:t>
      </w:r>
      <w:r>
        <w:rPr>
          <w:spacing w:val="-94"/>
        </w:rPr>
      </w:r>
      <w:r>
        <w:rPr>
          <w:spacing w:val="-2"/>
        </w:rPr>
        <w:t>益，在该金融资产终止确认时转出，计入当期损益。与可供出售金融资产相关的股利</w:t>
      </w:r>
      <w:r>
        <w:rPr>
          <w:spacing w:val="-94"/>
        </w:rPr>
        <w:t> </w:t>
      </w:r>
      <w:r>
        <w:rPr>
          <w:spacing w:val="-94"/>
        </w:rPr>
      </w:r>
      <w:r>
        <w:rPr/>
        <w:t>或利息收入，计入当期损益。</w:t>
      </w:r>
    </w:p>
    <w:p>
      <w:pPr>
        <w:pStyle w:val="BodyText"/>
        <w:spacing w:line="312" w:lineRule="exact" w:before="149"/>
        <w:ind w:right="355" w:firstLine="480"/>
        <w:jc w:val="both"/>
      </w:pPr>
      <w:r>
        <w:rPr>
          <w:spacing w:val="-2"/>
        </w:rPr>
        <w:t>对于在活跃市场中没有报价且其公允价值不能可靠计量的权益工具投资，以及与</w:t>
      </w:r>
      <w:r>
        <w:rPr/>
        <w:t> 该权益工具挂钩并须通过交付该权益工具结算的衍生金融资产，按成本计量。</w:t>
      </w:r>
    </w:p>
    <w:p>
      <w:pPr>
        <w:pStyle w:val="BodyText"/>
        <w:spacing w:line="331" w:lineRule="auto" w:before="87"/>
        <w:ind w:left="617" w:right="352" w:hanging="480"/>
        <w:jc w:val="left"/>
      </w:pPr>
      <w:r>
        <w:rPr/>
        <w:t>（</w:t>
      </w:r>
      <w:r>
        <w:rPr>
          <w:rFonts w:ascii="宋体" w:hAnsi="宋体" w:cs="宋体" w:eastAsia="宋体" w:hint="default"/>
        </w:rPr>
        <w:t>3</w:t>
      </w:r>
      <w:r>
        <w:rPr/>
        <w:t>）金融负债分类和计量 </w:t>
      </w:r>
      <w:r>
        <w:rPr>
          <w:spacing w:val="-2"/>
        </w:rPr>
        <w:t>本集团的金融负债于初始确认时分类为：以公允价值计量且其变动计入当期损益</w:t>
      </w:r>
    </w:p>
    <w:p>
      <w:pPr>
        <w:pStyle w:val="BodyText"/>
        <w:spacing w:line="219" w:lineRule="exact"/>
        <w:ind w:right="65"/>
        <w:jc w:val="left"/>
      </w:pPr>
      <w:r>
        <w:rPr/>
        <w:t>的金融负债、其他金融负债。对于未划分为以公允价值计量且其变动计入当期损益的</w:t>
      </w:r>
    </w:p>
    <w:p>
      <w:pPr>
        <w:pStyle w:val="BodyText"/>
        <w:spacing w:line="331" w:lineRule="auto"/>
        <w:ind w:left="617" w:right="352" w:hanging="480"/>
        <w:jc w:val="left"/>
      </w:pPr>
      <w:r>
        <w:rPr/>
        <w:t>金融负债的，相关交易费用计入其初始确认金额。 以公允价值计量且其变动计入当期损益的金融负债 </w:t>
      </w:r>
      <w:r>
        <w:rPr>
          <w:spacing w:val="-2"/>
        </w:rPr>
        <w:t>以公允价值计量且其变动计入当期损益的金融负债，包括交易性金融负债和初始</w:t>
      </w:r>
    </w:p>
    <w:p>
      <w:pPr>
        <w:pStyle w:val="BodyText"/>
        <w:spacing w:line="217" w:lineRule="exact"/>
        <w:ind w:right="0"/>
        <w:jc w:val="left"/>
      </w:pPr>
      <w:r>
        <w:rPr/>
        <w:t>确认时指定为以公允价值计量且其变动计入当期损益的金融负债。对于此类金融负债，</w:t>
      </w:r>
    </w:p>
    <w:p>
      <w:pPr>
        <w:pStyle w:val="BodyText"/>
        <w:spacing w:line="312" w:lineRule="exact" w:before="29"/>
        <w:ind w:right="352"/>
        <w:jc w:val="left"/>
      </w:pPr>
      <w:r>
        <w:rPr>
          <w:spacing w:val="-2"/>
        </w:rPr>
        <w:t>按照公允价值进行后续计量，公允价值变动形成的利得或损失以及与该等金融负债相</w:t>
      </w:r>
      <w:r>
        <w:rPr>
          <w:spacing w:val="-94"/>
        </w:rPr>
        <w:t> </w:t>
      </w:r>
      <w:r>
        <w:rPr>
          <w:spacing w:val="-94"/>
        </w:rPr>
      </w:r>
      <w:r>
        <w:rPr/>
        <w:t>关的股利和利息支出计入当期损益。</w:t>
      </w:r>
    </w:p>
    <w:p>
      <w:pPr>
        <w:pStyle w:val="BodyText"/>
        <w:spacing w:line="331" w:lineRule="auto" w:before="87"/>
        <w:ind w:left="617" w:right="352"/>
        <w:jc w:val="left"/>
      </w:pPr>
      <w:r>
        <w:rPr/>
        <w:t>其他金融负债 </w:t>
      </w:r>
      <w:r>
        <w:rPr>
          <w:spacing w:val="-2"/>
        </w:rPr>
        <w:t>与在活跃市场中没有报价、公允价值不能可靠计量的权益工具挂钩并须通过交付</w:t>
      </w:r>
    </w:p>
    <w:p>
      <w:pPr>
        <w:pStyle w:val="BodyText"/>
        <w:spacing w:line="219" w:lineRule="exact"/>
        <w:ind w:right="65"/>
        <w:jc w:val="left"/>
      </w:pPr>
      <w:r>
        <w:rPr/>
        <w:t>该权益工具结算的衍生金融负债，按照成本进行后续计量。其他金融负债采用实际利</w:t>
      </w:r>
    </w:p>
    <w:p>
      <w:pPr>
        <w:pStyle w:val="BodyText"/>
        <w:spacing w:line="331" w:lineRule="auto"/>
        <w:ind w:left="617" w:right="65" w:hanging="480"/>
        <w:jc w:val="left"/>
      </w:pPr>
      <w:r>
        <w:rPr/>
        <w:t>率法，按摊余成本进行后续计量，终止确认或摊销产生的利得或损失计入当期损益。</w:t>
      </w:r>
      <w:r>
        <w:rPr>
          <w:spacing w:val="-63"/>
        </w:rPr>
        <w:t> </w:t>
      </w:r>
      <w:r>
        <w:rPr>
          <w:spacing w:val="-63"/>
        </w:rPr>
      </w:r>
      <w:r>
        <w:rPr/>
        <w:t>金融负债与权益工具的区分</w:t>
      </w:r>
    </w:p>
    <w:p>
      <w:pPr>
        <w:pStyle w:val="BodyText"/>
        <w:spacing w:line="240" w:lineRule="auto" w:before="26"/>
        <w:ind w:left="617" w:right="352"/>
        <w:jc w:val="left"/>
      </w:pPr>
      <w:r>
        <w:rPr/>
        <w:t>金融负债，是指符合下列条件之一的负债：</w:t>
      </w:r>
    </w:p>
    <w:p>
      <w:pPr>
        <w:pStyle w:val="BodyText"/>
        <w:spacing w:line="240" w:lineRule="auto" w:before="118"/>
        <w:ind w:left="617" w:right="352"/>
        <w:jc w:val="left"/>
      </w:pPr>
      <w:r>
        <w:rPr/>
        <w:t>①向其他方交付现金或其他金融资产的合同义务。</w:t>
      </w:r>
    </w:p>
    <w:p>
      <w:pPr>
        <w:pStyle w:val="BodyText"/>
        <w:spacing w:line="240" w:lineRule="auto" w:before="115"/>
        <w:ind w:left="617" w:right="352"/>
        <w:jc w:val="left"/>
      </w:pPr>
      <w:r>
        <w:rPr/>
        <w:t>②在潜在不利条件下，与其他方交换金融资产或金融负债的合同义务。</w:t>
      </w:r>
    </w:p>
    <w:p>
      <w:pPr>
        <w:pStyle w:val="BodyText"/>
        <w:spacing w:line="240" w:lineRule="auto" w:before="118"/>
        <w:ind w:right="355" w:firstLine="480"/>
        <w:jc w:val="both"/>
      </w:pPr>
      <w:r>
        <w:rPr>
          <w:spacing w:val="-2"/>
        </w:rPr>
        <w:t>③将来须用或可用企业自身权益工具进行结算的非衍生工具合同，且企业根据该</w:t>
      </w:r>
      <w:r>
        <w:rPr/>
        <w:t> 合同将交付可变数量的自身权益工具。</w:t>
      </w:r>
    </w:p>
    <w:p>
      <w:pPr>
        <w:pStyle w:val="BodyText"/>
        <w:spacing w:line="312" w:lineRule="exact" w:before="146"/>
        <w:ind w:right="355" w:firstLine="480"/>
        <w:jc w:val="both"/>
      </w:pPr>
      <w:r>
        <w:rPr>
          <w:spacing w:val="-2"/>
        </w:rPr>
        <w:t>④将来须用或可用企业自身权益工具进行结算的衍生工具合同，但以固定数量的</w:t>
      </w:r>
      <w:r>
        <w:rPr/>
        <w:t> 自身权益工具交换固定金额的现金或其他金融资产的衍生工具合同除外。</w:t>
      </w:r>
    </w:p>
    <w:p>
      <w:pPr>
        <w:pStyle w:val="BodyText"/>
        <w:spacing w:line="328" w:lineRule="auto" w:before="89"/>
        <w:ind w:left="617" w:right="65"/>
        <w:jc w:val="left"/>
      </w:pPr>
      <w:r>
        <w:rPr>
          <w:spacing w:val="-2"/>
        </w:rPr>
        <w:t>权益工具，是指能证明拥有某个企业在扣除所有负债后的资产中剩余权益的合同。</w:t>
      </w:r>
      <w:r>
        <w:rPr>
          <w:spacing w:val="-96"/>
        </w:rPr>
        <w:t> </w:t>
      </w:r>
      <w:r>
        <w:rPr>
          <w:spacing w:val="-96"/>
        </w:rPr>
      </w:r>
      <w:r>
        <w:rPr/>
        <w:t>如果本集团不能无条件地避免以交付现金或其他金融资产来履行一项合同义务，</w:t>
      </w:r>
    </w:p>
    <w:p>
      <w:pPr>
        <w:pStyle w:val="BodyText"/>
        <w:spacing w:line="223" w:lineRule="exact"/>
        <w:ind w:right="352"/>
        <w:jc w:val="left"/>
      </w:pPr>
      <w:r>
        <w:rPr/>
        <w:t>则该合同义务符合金融负债的定义。</w:t>
      </w:r>
    </w:p>
    <w:p>
      <w:pPr>
        <w:pStyle w:val="BodyText"/>
        <w:spacing w:line="237" w:lineRule="auto" w:before="120"/>
        <w:ind w:right="355" w:firstLine="480"/>
        <w:jc w:val="both"/>
      </w:pPr>
      <w:r>
        <w:rPr>
          <w:spacing w:val="-2"/>
        </w:rPr>
        <w:t>如果一项金融工具须用或可用本集团自身权益工具进行结算，需要考虑用于结算</w:t>
      </w:r>
      <w:r>
        <w:rPr/>
        <w:t> </w:t>
      </w:r>
      <w:r>
        <w:rPr>
          <w:spacing w:val="-2"/>
        </w:rPr>
        <w:t>该工具的本集团自身权益工具，是作为现金或其他金融资产的替代品，还是为了使该</w:t>
      </w:r>
      <w:r>
        <w:rPr>
          <w:spacing w:val="-94"/>
        </w:rPr>
        <w:t> </w:t>
      </w:r>
      <w:r>
        <w:rPr>
          <w:spacing w:val="-94"/>
        </w:rPr>
      </w:r>
      <w:r>
        <w:rPr>
          <w:spacing w:val="-2"/>
        </w:rPr>
        <w:t>工具持有方享有在发行方扣除所有负债后的资产中的剩余权益。如果是前者，该工具</w:t>
      </w:r>
      <w:r>
        <w:rPr>
          <w:spacing w:val="-94"/>
        </w:rPr>
        <w:t> </w:t>
      </w:r>
      <w:r>
        <w:rPr>
          <w:spacing w:val="-94"/>
        </w:rPr>
      </w:r>
      <w:r>
        <w:rPr/>
        <w:t>是本集团的金融负债；如果是后者，该工具是本集团的权益工具。</w:t>
      </w:r>
    </w:p>
    <w:p>
      <w:pPr>
        <w:spacing w:after="0" w:line="237" w:lineRule="auto"/>
        <w:jc w:val="both"/>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331" w:lineRule="auto" w:before="26"/>
        <w:ind w:left="617" w:right="352" w:hanging="480"/>
        <w:jc w:val="left"/>
      </w:pPr>
      <w:r>
        <w:rPr/>
        <w:t>（</w:t>
      </w:r>
      <w:r>
        <w:rPr>
          <w:rFonts w:ascii="宋体" w:hAnsi="宋体" w:cs="宋体" w:eastAsia="宋体" w:hint="default"/>
        </w:rPr>
        <w:t>4</w:t>
      </w:r>
      <w:r>
        <w:rPr/>
        <w:t>）衍生金融工具及嵌入衍生工具 </w:t>
      </w:r>
      <w:r>
        <w:rPr>
          <w:spacing w:val="-2"/>
        </w:rPr>
        <w:t>本集团衍生金融初始以衍生交易合同签订当日的公允价值进行计量，并以其公允</w:t>
      </w:r>
    </w:p>
    <w:p>
      <w:pPr>
        <w:pStyle w:val="BodyText"/>
        <w:spacing w:line="217" w:lineRule="exact"/>
        <w:ind w:right="65"/>
        <w:jc w:val="left"/>
      </w:pPr>
      <w:r>
        <w:rPr/>
        <w:t>价值进行后续计量。公允价值为正数的衍生金融工具确认为一项资产，公允价值为负</w:t>
      </w:r>
    </w:p>
    <w:p>
      <w:pPr>
        <w:pStyle w:val="BodyText"/>
        <w:spacing w:line="312" w:lineRule="exact" w:before="29"/>
        <w:ind w:right="355"/>
        <w:jc w:val="both"/>
      </w:pPr>
      <w:r>
        <w:rPr>
          <w:spacing w:val="-2"/>
        </w:rPr>
        <w:t>数的确认为一项负债。因公允价值变动而产生的任何不符合套期会计规定的利得或损</w:t>
      </w:r>
      <w:r>
        <w:rPr>
          <w:spacing w:val="-94"/>
        </w:rPr>
        <w:t> </w:t>
      </w:r>
      <w:r>
        <w:rPr>
          <w:spacing w:val="-94"/>
        </w:rPr>
      </w:r>
      <w:r>
        <w:rPr/>
        <w:t>失，直接计入当期损益。</w:t>
      </w:r>
    </w:p>
    <w:p>
      <w:pPr>
        <w:pStyle w:val="BodyText"/>
        <w:spacing w:line="237" w:lineRule="auto" w:before="89"/>
        <w:ind w:right="355" w:firstLine="480"/>
        <w:jc w:val="both"/>
      </w:pPr>
      <w:r>
        <w:rPr>
          <w:spacing w:val="-2"/>
        </w:rPr>
        <w:t>对包含嵌入衍生工具的混合工具，如未指定为以公允价值计量且其变动计入当期</w:t>
      </w:r>
      <w:r>
        <w:rPr/>
        <w:t> </w:t>
      </w:r>
      <w:r>
        <w:rPr>
          <w:spacing w:val="-2"/>
        </w:rPr>
        <w:t>损益的金融资产或金融负债，嵌入衍生工具与该主合同在经济特征及风险方面不存在</w:t>
      </w:r>
      <w:r>
        <w:rPr>
          <w:spacing w:val="-94"/>
        </w:rPr>
        <w:t> </w:t>
      </w:r>
      <w:r>
        <w:rPr>
          <w:spacing w:val="-94"/>
        </w:rPr>
      </w:r>
      <w:r>
        <w:rPr>
          <w:spacing w:val="-2"/>
        </w:rPr>
        <w:t>紧密关系，且与嵌入衍生工具条件相同，单独存在的工具符合衍生工具定义的，嵌入</w:t>
      </w:r>
      <w:r>
        <w:rPr>
          <w:spacing w:val="-96"/>
        </w:rPr>
        <w:t> </w:t>
      </w:r>
      <w:r>
        <w:rPr>
          <w:spacing w:val="-96"/>
        </w:rPr>
      </w:r>
      <w:r>
        <w:rPr>
          <w:spacing w:val="-2"/>
        </w:rPr>
        <w:t>衍生工具从混合工具中分拆，作为单独的衍生金融工具处理。如果无法在取得时或后</w:t>
      </w:r>
      <w:r>
        <w:rPr>
          <w:spacing w:val="-94"/>
        </w:rPr>
        <w:t> </w:t>
      </w:r>
      <w:r>
        <w:rPr>
          <w:spacing w:val="-94"/>
        </w:rPr>
      </w:r>
      <w:r>
        <w:rPr>
          <w:spacing w:val="-2"/>
        </w:rPr>
        <w:t>续的资产负债表日对嵌入衍生工具进行单独计量，则将混合工具整体指定为以公允价</w:t>
      </w:r>
      <w:r>
        <w:rPr>
          <w:spacing w:val="-94"/>
        </w:rPr>
        <w:t> </w:t>
      </w:r>
      <w:r>
        <w:rPr>
          <w:spacing w:val="-94"/>
        </w:rPr>
      </w:r>
      <w:r>
        <w:rPr/>
        <w:t>值计量且其变动计入当期损益的金融资产或金融负债。</w:t>
      </w:r>
    </w:p>
    <w:p>
      <w:pPr>
        <w:pStyle w:val="BodyText"/>
        <w:spacing w:line="328" w:lineRule="auto" w:before="118"/>
        <w:ind w:left="617" w:right="2689" w:hanging="480"/>
        <w:jc w:val="left"/>
      </w:pPr>
      <w:r>
        <w:rPr/>
        <w:t>（</w:t>
      </w:r>
      <w:r>
        <w:rPr>
          <w:rFonts w:ascii="宋体" w:hAnsi="宋体" w:cs="宋体" w:eastAsia="宋体" w:hint="default"/>
        </w:rPr>
        <w:t>5</w:t>
      </w:r>
      <w:r>
        <w:rPr/>
        <w:t>）金融工具的公允价值 金融资产和金融负债的公允价值确定方法见附注五、</w:t>
      </w:r>
      <w:r>
        <w:rPr>
          <w:rFonts w:ascii="宋体" w:hAnsi="宋体" w:cs="宋体" w:eastAsia="宋体" w:hint="default"/>
        </w:rPr>
        <w:t>11</w:t>
      </w:r>
      <w:r>
        <w:rPr/>
        <w:t>。</w:t>
      </w:r>
    </w:p>
    <w:p>
      <w:pPr>
        <w:pStyle w:val="BodyText"/>
        <w:spacing w:line="331" w:lineRule="auto" w:before="29"/>
        <w:ind w:left="617" w:right="352" w:hanging="480"/>
        <w:jc w:val="left"/>
      </w:pPr>
      <w:r>
        <w:rPr/>
        <w:t>（</w:t>
      </w:r>
      <w:r>
        <w:rPr>
          <w:rFonts w:ascii="宋体" w:hAnsi="宋体" w:cs="宋体" w:eastAsia="宋体" w:hint="default"/>
        </w:rPr>
        <w:t>6</w:t>
      </w:r>
      <w:r>
        <w:rPr/>
        <w:t>）金融资产减值 </w:t>
      </w:r>
      <w:r>
        <w:rPr>
          <w:spacing w:val="-2"/>
        </w:rPr>
        <w:t>除了以公允价值计量且其变动计入当期损益的金融资产外，本集团于资产负债表</w:t>
      </w:r>
    </w:p>
    <w:p>
      <w:pPr>
        <w:pStyle w:val="BodyText"/>
        <w:spacing w:line="217" w:lineRule="exact"/>
        <w:ind w:right="65"/>
        <w:jc w:val="left"/>
      </w:pPr>
      <w:r>
        <w:rPr/>
        <w:t>日对其他金融资产的账面价值进行检查，有客观证据表明该金融资产发生减值的，计</w:t>
      </w:r>
    </w:p>
    <w:p>
      <w:pPr>
        <w:pStyle w:val="BodyText"/>
        <w:spacing w:line="237" w:lineRule="auto" w:before="1"/>
        <w:ind w:right="355"/>
        <w:jc w:val="both"/>
      </w:pPr>
      <w:r>
        <w:rPr>
          <w:spacing w:val="-2"/>
        </w:rPr>
        <w:t>提减值准备。表明金融资产发生减值的客观证据，是指金融资产初始确认后实际发生</w:t>
      </w:r>
      <w:r>
        <w:rPr>
          <w:spacing w:val="-94"/>
        </w:rPr>
        <w:t> </w:t>
      </w:r>
      <w:r>
        <w:rPr>
          <w:spacing w:val="-94"/>
        </w:rPr>
      </w:r>
      <w:r>
        <w:rPr>
          <w:spacing w:val="-2"/>
        </w:rPr>
        <w:t>的、对该金融资产的预计未来现金流量有影响，且企业能够对该影响进行可靠计量的</w:t>
      </w:r>
      <w:r>
        <w:rPr>
          <w:spacing w:val="-94"/>
        </w:rPr>
        <w:t> </w:t>
      </w:r>
      <w:r>
        <w:rPr>
          <w:spacing w:val="-94"/>
        </w:rPr>
      </w:r>
      <w:r>
        <w:rPr/>
        <w:t>事项。</w:t>
      </w:r>
    </w:p>
    <w:p>
      <w:pPr>
        <w:pStyle w:val="BodyText"/>
        <w:spacing w:line="240" w:lineRule="auto" w:before="118"/>
        <w:ind w:left="617" w:right="352"/>
        <w:jc w:val="left"/>
      </w:pPr>
      <w:r>
        <w:rPr/>
        <w:t>金融资产发生减值的客观证据，包括下列可观察到的情形：</w:t>
      </w:r>
    </w:p>
    <w:p>
      <w:pPr>
        <w:pStyle w:val="BodyText"/>
        <w:spacing w:line="240" w:lineRule="auto" w:before="118"/>
        <w:ind w:left="617" w:right="352"/>
        <w:jc w:val="left"/>
      </w:pPr>
      <w:r>
        <w:rPr/>
        <w:t>①发行方或债务人发生严重财务困难；</w:t>
      </w:r>
    </w:p>
    <w:p>
      <w:pPr>
        <w:pStyle w:val="BodyText"/>
        <w:spacing w:line="240" w:lineRule="auto" w:before="115"/>
        <w:ind w:left="617" w:right="352"/>
        <w:jc w:val="left"/>
      </w:pPr>
      <w:r>
        <w:rPr/>
        <w:t>②债务人违反了合同条款，如偿付利息或本金发生违约或逾期等；</w:t>
      </w:r>
    </w:p>
    <w:p>
      <w:pPr>
        <w:pStyle w:val="BodyText"/>
        <w:spacing w:line="240" w:lineRule="auto" w:before="118"/>
        <w:ind w:left="617" w:right="0"/>
        <w:jc w:val="left"/>
      </w:pPr>
      <w:r>
        <w:rPr/>
        <w:t>③本集团出于经济或法律等方面因素的考虑，对发生财务困难的债务人作出让步；</w:t>
      </w:r>
    </w:p>
    <w:p>
      <w:pPr>
        <w:pStyle w:val="BodyText"/>
        <w:spacing w:line="240" w:lineRule="auto" w:before="118"/>
        <w:ind w:left="617" w:right="352"/>
        <w:jc w:val="left"/>
      </w:pPr>
      <w:r>
        <w:rPr/>
        <w:t>④债务人很可能倒闭或者进行其他财务重组；</w:t>
      </w:r>
    </w:p>
    <w:p>
      <w:pPr>
        <w:pStyle w:val="BodyText"/>
        <w:spacing w:line="240" w:lineRule="auto" w:before="118"/>
        <w:ind w:left="617" w:right="352"/>
        <w:jc w:val="left"/>
      </w:pPr>
      <w:r>
        <w:rPr/>
        <w:t>⑤因发行方发生重大财务困难，导致金融资产无法在活跃市场继续交易；</w:t>
      </w:r>
    </w:p>
    <w:p>
      <w:pPr>
        <w:pStyle w:val="BodyText"/>
        <w:spacing w:line="237" w:lineRule="auto" w:before="118"/>
        <w:ind w:right="355" w:firstLine="480"/>
        <w:jc w:val="both"/>
      </w:pPr>
      <w:r>
        <w:rPr>
          <w:spacing w:val="-2"/>
        </w:rPr>
        <w:t>⑥无法辨认一组金融资产中的某项资产的现金流量是否已经减少，但根据公开的</w:t>
      </w:r>
      <w:r>
        <w:rPr/>
        <w:t> </w:t>
      </w:r>
      <w:r>
        <w:rPr>
          <w:spacing w:val="-2"/>
        </w:rPr>
        <w:t>数据对其进行总体评价后发现，该组金融资产自初始确认以来的预计未来现金流量确</w:t>
      </w:r>
      <w:r>
        <w:rPr>
          <w:spacing w:val="-94"/>
        </w:rPr>
        <w:t> </w:t>
      </w:r>
      <w:r>
        <w:rPr>
          <w:spacing w:val="-94"/>
        </w:rPr>
      </w:r>
      <w:r>
        <w:rPr/>
        <w:t>已减少且可计量，包括：</w:t>
      </w:r>
    </w:p>
    <w:p>
      <w:pPr>
        <w:pStyle w:val="BodyText"/>
        <w:spacing w:line="240" w:lineRule="auto" w:before="116"/>
        <w:ind w:left="977" w:right="352"/>
        <w:jc w:val="left"/>
      </w:pPr>
      <w:r>
        <w:rPr>
          <w:rFonts w:ascii="宋体" w:hAnsi="宋体" w:cs="宋体" w:eastAsia="宋体" w:hint="default"/>
        </w:rPr>
        <w:t>-</w:t>
      </w:r>
      <w:r>
        <w:rPr/>
        <w:t>该组金融资产的债务人支付能力逐步恶化；</w:t>
      </w:r>
    </w:p>
    <w:p>
      <w:pPr>
        <w:pStyle w:val="BodyText"/>
        <w:spacing w:line="240" w:lineRule="auto" w:before="118"/>
        <w:ind w:left="977" w:right="65"/>
        <w:jc w:val="left"/>
      </w:pPr>
      <w:r>
        <w:rPr>
          <w:rFonts w:ascii="宋体" w:hAnsi="宋体" w:cs="宋体" w:eastAsia="宋体" w:hint="default"/>
        </w:rPr>
        <w:t>-</w:t>
      </w:r>
      <w:r>
        <w:rPr/>
        <w:t>债务人所在国家或地区经济出现了可能导致该组金融资产无法支付的状况；</w:t>
      </w:r>
    </w:p>
    <w:p>
      <w:pPr>
        <w:pStyle w:val="BodyText"/>
        <w:spacing w:line="310" w:lineRule="exact" w:before="150"/>
        <w:ind w:right="355" w:firstLine="480"/>
        <w:jc w:val="both"/>
      </w:pPr>
      <w:r>
        <w:rPr>
          <w:spacing w:val="-2"/>
        </w:rPr>
        <w:t>⑦债务人经营所处的技术、市场、经济或法律环境等发生重大不利变化，使权益</w:t>
      </w:r>
      <w:r>
        <w:rPr/>
        <w:t> 工具投资人可能无法收回投资成本；</w:t>
      </w:r>
    </w:p>
    <w:p>
      <w:pPr>
        <w:pStyle w:val="BodyText"/>
        <w:spacing w:line="237" w:lineRule="auto" w:before="92"/>
        <w:ind w:right="353" w:firstLine="480"/>
        <w:jc w:val="both"/>
      </w:pPr>
      <w:r>
        <w:rPr>
          <w:spacing w:val="-2"/>
        </w:rPr>
        <w:t>⑧权益工具投资的公允价值发生严重或非暂时性下跌，如权益工具投资于资产负</w:t>
      </w:r>
      <w:r>
        <w:rPr/>
        <w:t> 债表日的公允价值低于其初始投资成本超过 </w:t>
      </w:r>
      <w:r>
        <w:rPr>
          <w:rFonts w:ascii="宋体" w:hAnsi="宋体" w:cs="宋体" w:eastAsia="宋体" w:hint="default"/>
        </w:rPr>
        <w:t>50%</w:t>
      </w:r>
      <w:r>
        <w:rPr/>
        <w:t>（含</w:t>
      </w:r>
      <w:r>
        <w:rPr>
          <w:spacing w:val="-48"/>
        </w:rPr>
        <w:t> </w:t>
      </w:r>
      <w:r>
        <w:rPr>
          <w:rFonts w:ascii="宋体" w:hAnsi="宋体" w:cs="宋体" w:eastAsia="宋体" w:hint="default"/>
        </w:rPr>
        <w:t>50%</w:t>
      </w:r>
      <w:r>
        <w:rPr/>
        <w:t>）或低于其初始投资成本持 续时间超过</w:t>
      </w:r>
      <w:r>
        <w:rPr>
          <w:spacing w:val="-49"/>
        </w:rPr>
        <w:t> </w:t>
      </w:r>
      <w:r>
        <w:rPr>
          <w:rFonts w:ascii="宋体" w:hAnsi="宋体" w:cs="宋体" w:eastAsia="宋体" w:hint="default"/>
        </w:rPr>
        <w:t>12</w:t>
      </w:r>
      <w:r>
        <w:rPr>
          <w:rFonts w:ascii="宋体" w:hAnsi="宋体" w:cs="宋体" w:eastAsia="宋体" w:hint="default"/>
          <w:spacing w:val="-48"/>
        </w:rPr>
        <w:t> </w:t>
      </w:r>
      <w:r>
        <w:rPr/>
        <w:t>个月（含</w:t>
      </w:r>
      <w:r>
        <w:rPr>
          <w:spacing w:val="-48"/>
        </w:rPr>
        <w:t> </w:t>
      </w:r>
      <w:r>
        <w:rPr>
          <w:rFonts w:ascii="宋体" w:hAnsi="宋体" w:cs="宋体" w:eastAsia="宋体" w:hint="default"/>
        </w:rPr>
        <w:t>12</w:t>
      </w:r>
      <w:r>
        <w:rPr>
          <w:rFonts w:ascii="宋体" w:hAnsi="宋体" w:cs="宋体" w:eastAsia="宋体" w:hint="default"/>
          <w:spacing w:val="-48"/>
        </w:rPr>
        <w:t> </w:t>
      </w:r>
      <w:r>
        <w:rPr/>
        <w:t>个月）；低于其初始投资成本持续时间超过</w:t>
      </w:r>
      <w:r>
        <w:rPr>
          <w:spacing w:val="-48"/>
        </w:rPr>
        <w:t> </w:t>
      </w:r>
      <w:r>
        <w:rPr>
          <w:rFonts w:ascii="宋体" w:hAnsi="宋体" w:cs="宋体" w:eastAsia="宋体" w:hint="default"/>
        </w:rPr>
        <w:t>12</w:t>
      </w:r>
      <w:r>
        <w:rPr>
          <w:rFonts w:ascii="宋体" w:hAnsi="宋体" w:cs="宋体" w:eastAsia="宋体" w:hint="default"/>
          <w:spacing w:val="-48"/>
        </w:rPr>
        <w:t> </w:t>
      </w:r>
      <w:r>
        <w:rPr/>
        <w:t>个月（含</w:t>
      </w:r>
    </w:p>
    <w:p>
      <w:pPr>
        <w:pStyle w:val="BodyText"/>
        <w:spacing w:line="312" w:lineRule="exact"/>
        <w:ind w:right="65"/>
        <w:jc w:val="left"/>
      </w:pPr>
      <w:r>
        <w:rPr>
          <w:rFonts w:ascii="宋体" w:hAnsi="宋体" w:cs="宋体" w:eastAsia="宋体" w:hint="default"/>
        </w:rPr>
        <w:t>12</w:t>
      </w:r>
      <w:r>
        <w:rPr>
          <w:rFonts w:ascii="宋体" w:hAnsi="宋体" w:cs="宋体" w:eastAsia="宋体" w:hint="default"/>
          <w:spacing w:val="-60"/>
        </w:rPr>
        <w:t> </w:t>
      </w:r>
      <w:r>
        <w:rPr/>
        <w:t>个月</w:t>
      </w:r>
      <w:r>
        <w:rPr>
          <w:spacing w:val="-113"/>
        </w:rPr>
        <w:t>）</w:t>
      </w:r>
      <w:r>
        <w:rPr/>
        <w:t>是指</w:t>
      </w:r>
      <w:r>
        <w:rPr>
          <w:spacing w:val="-113"/>
        </w:rPr>
        <w:t>，</w:t>
      </w:r>
      <w:r>
        <w:rPr/>
        <w:t>权益</w:t>
      </w:r>
      <w:r>
        <w:rPr>
          <w:spacing w:val="-3"/>
        </w:rPr>
        <w:t>工</w:t>
      </w:r>
      <w:r>
        <w:rPr/>
        <w:t>具投资公允价值月度均值连续</w:t>
      </w:r>
      <w:r>
        <w:rPr>
          <w:spacing w:val="-60"/>
        </w:rPr>
        <w:t> </w:t>
      </w:r>
      <w:r>
        <w:rPr>
          <w:rFonts w:ascii="宋体" w:hAnsi="宋体" w:cs="宋体" w:eastAsia="宋体" w:hint="default"/>
        </w:rPr>
        <w:t>12</w:t>
      </w:r>
      <w:r>
        <w:rPr>
          <w:rFonts w:ascii="宋体" w:hAnsi="宋体" w:cs="宋体" w:eastAsia="宋体" w:hint="default"/>
          <w:spacing w:val="-60"/>
        </w:rPr>
        <w:t> </w:t>
      </w:r>
      <w:r>
        <w:rPr/>
        <w:t>个月均低于其初始投资成本；</w:t>
      </w:r>
    </w:p>
    <w:p>
      <w:pPr>
        <w:pStyle w:val="BodyText"/>
        <w:spacing w:line="240" w:lineRule="auto" w:before="118"/>
        <w:ind w:left="617" w:right="352"/>
        <w:jc w:val="left"/>
      </w:pPr>
      <w:r>
        <w:rPr/>
        <w:t>⑨其他表明金融资产发生减值的客观证据。</w:t>
      </w:r>
    </w:p>
    <w:p>
      <w:pPr>
        <w:spacing w:after="0" w:line="240" w:lineRule="auto"/>
        <w:jc w:val="left"/>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331" w:lineRule="auto" w:before="26"/>
        <w:ind w:left="617" w:right="352"/>
        <w:jc w:val="left"/>
      </w:pPr>
      <w:r>
        <w:rPr/>
        <w:t>以摊余成本计量的金融资产 </w:t>
      </w:r>
      <w:r>
        <w:rPr>
          <w:spacing w:val="-2"/>
        </w:rPr>
        <w:t>如果有客观证据表明该金融资产发生减值，则将该金融资产的账面价值减记至预</w:t>
      </w:r>
    </w:p>
    <w:p>
      <w:pPr>
        <w:pStyle w:val="BodyText"/>
        <w:spacing w:line="217" w:lineRule="exact"/>
        <w:ind w:right="65"/>
        <w:jc w:val="left"/>
      </w:pPr>
      <w:r>
        <w:rPr/>
        <w:t>计未来现金流量（不包括尚未发生的未来信用损失）现值，减记金额计入当期损益。</w:t>
      </w:r>
    </w:p>
    <w:p>
      <w:pPr>
        <w:pStyle w:val="BodyText"/>
        <w:spacing w:line="312" w:lineRule="exact" w:before="29"/>
        <w:ind w:right="352"/>
        <w:jc w:val="left"/>
      </w:pPr>
      <w:r>
        <w:rPr>
          <w:spacing w:val="-2"/>
        </w:rPr>
        <w:t>预计未来现金流量现值，按照该金融资产原实际利率折现确定，并考虑相关担保物的</w:t>
      </w:r>
      <w:r>
        <w:rPr>
          <w:spacing w:val="-94"/>
        </w:rPr>
        <w:t> </w:t>
      </w:r>
      <w:r>
        <w:rPr>
          <w:spacing w:val="-94"/>
        </w:rPr>
      </w:r>
      <w:r>
        <w:rPr/>
        <w:t>价值。</w:t>
      </w:r>
    </w:p>
    <w:p>
      <w:pPr>
        <w:pStyle w:val="BodyText"/>
        <w:spacing w:line="312" w:lineRule="exact" w:before="117"/>
        <w:ind w:right="65" w:firstLine="480"/>
        <w:jc w:val="left"/>
      </w:pPr>
      <w:r>
        <w:rPr>
          <w:spacing w:val="-2"/>
        </w:rPr>
        <w:t>对单项金额重大的金融资产单独进行减值测试，如有客观证据表明其已发生减值，</w:t>
      </w:r>
      <w:r>
        <w:rPr/>
        <w:t> 确认减值损失，计入当期损益。对单项金额不重大的金融资产，包括在具有类似信用 风险特征的金融资产组合中进行单独进行减值测试。单独测试未发生减值的金融资产</w:t>
      </w:r>
    </w:p>
    <w:p>
      <w:pPr>
        <w:pStyle w:val="BodyText"/>
        <w:spacing w:line="310" w:lineRule="exact" w:before="1"/>
        <w:ind w:right="352"/>
        <w:jc w:val="left"/>
      </w:pPr>
      <w:r>
        <w:rPr>
          <w:spacing w:val="-2"/>
        </w:rPr>
        <w:t>（包括单项金额重大和不重大的金融资产），包括在具有类似信用风险特征的金融资</w:t>
      </w:r>
      <w:r>
        <w:rPr>
          <w:spacing w:val="-94"/>
        </w:rPr>
        <w:t> </w:t>
      </w:r>
      <w:r>
        <w:rPr>
          <w:spacing w:val="-94"/>
        </w:rPr>
      </w:r>
      <w:r>
        <w:rPr>
          <w:spacing w:val="-2"/>
        </w:rPr>
        <w:t>产组合中再进行减值测试。已单项确认减值损失的金融资产，不包括在具有类似信用</w:t>
      </w:r>
    </w:p>
    <w:p>
      <w:pPr>
        <w:pStyle w:val="BodyText"/>
        <w:spacing w:line="284" w:lineRule="exact"/>
        <w:ind w:right="352"/>
        <w:jc w:val="left"/>
      </w:pPr>
      <w:r>
        <w:rPr/>
        <w:t>风险特征的金融资产组合中进行减值测试。</w:t>
      </w:r>
    </w:p>
    <w:p>
      <w:pPr>
        <w:pStyle w:val="BodyText"/>
        <w:spacing w:line="237" w:lineRule="auto" w:before="120"/>
        <w:ind w:right="352" w:firstLine="480"/>
        <w:jc w:val="both"/>
      </w:pPr>
      <w:r>
        <w:rPr>
          <w:spacing w:val="-2"/>
        </w:rPr>
        <w:t>本集团对以摊余成本计量的金融资产确认减值损失后，如有客观证据表明该金融</w:t>
      </w:r>
      <w:r>
        <w:rPr/>
        <w:t> </w:t>
      </w:r>
      <w:r>
        <w:rPr>
          <w:spacing w:val="-2"/>
        </w:rPr>
        <w:t>资产价值已恢复，且客观上与确认该损失后发生的事项有关，原确认的减值损失予以</w:t>
      </w:r>
      <w:r>
        <w:rPr>
          <w:spacing w:val="-94"/>
        </w:rPr>
        <w:t> </w:t>
      </w:r>
      <w:r>
        <w:rPr>
          <w:spacing w:val="-94"/>
        </w:rPr>
      </w:r>
      <w:r>
        <w:rPr>
          <w:spacing w:val="-2"/>
        </w:rPr>
        <w:t>转回，计入当期损益。但是，该转回后的账面价值不超过假定不计提减值准备情况下</w:t>
      </w:r>
      <w:r>
        <w:rPr>
          <w:spacing w:val="-93"/>
        </w:rPr>
        <w:t> </w:t>
      </w:r>
      <w:r>
        <w:rPr>
          <w:spacing w:val="-93"/>
        </w:rPr>
      </w:r>
      <w:r>
        <w:rPr/>
        <w:t>该金融资产在转回日的摊余成本。</w:t>
      </w:r>
    </w:p>
    <w:p>
      <w:pPr>
        <w:pStyle w:val="BodyText"/>
        <w:spacing w:line="331" w:lineRule="auto" w:before="116"/>
        <w:ind w:left="617" w:right="352"/>
        <w:jc w:val="left"/>
      </w:pPr>
      <w:r>
        <w:rPr/>
        <w:t>可供出售金融资产 </w:t>
      </w:r>
      <w:r>
        <w:rPr>
          <w:spacing w:val="-2"/>
        </w:rPr>
        <w:t>如果有客观证据表明该金融资产发生减值，原直接计入其他综合收益的因公允价</w:t>
      </w:r>
    </w:p>
    <w:p>
      <w:pPr>
        <w:pStyle w:val="BodyText"/>
        <w:spacing w:line="219" w:lineRule="exact"/>
        <w:ind w:right="65"/>
        <w:jc w:val="left"/>
      </w:pPr>
      <w:r>
        <w:rPr/>
        <w:t>值下降形成的累计损失，予以转出，计入当期损益。该转出的累计损失，为可供出售</w:t>
      </w:r>
    </w:p>
    <w:p>
      <w:pPr>
        <w:pStyle w:val="BodyText"/>
        <w:spacing w:line="312" w:lineRule="exact" w:before="28"/>
        <w:ind w:right="352"/>
        <w:jc w:val="left"/>
      </w:pPr>
      <w:r>
        <w:rPr>
          <w:spacing w:val="-2"/>
        </w:rPr>
        <w:t>金融资产的初始取得成本扣除已收回本金和已摊销金额、当前公允价值和原已计入损</w:t>
      </w:r>
      <w:r>
        <w:rPr>
          <w:spacing w:val="-95"/>
        </w:rPr>
        <w:t> </w:t>
      </w:r>
      <w:r>
        <w:rPr>
          <w:spacing w:val="-95"/>
        </w:rPr>
      </w:r>
      <w:r>
        <w:rPr/>
        <w:t>益的减值损失后的余额。</w:t>
      </w:r>
    </w:p>
    <w:p>
      <w:pPr>
        <w:pStyle w:val="BodyText"/>
        <w:spacing w:line="237" w:lineRule="auto" w:before="92"/>
        <w:ind w:right="355" w:firstLine="480"/>
        <w:jc w:val="both"/>
      </w:pPr>
      <w:r>
        <w:rPr>
          <w:spacing w:val="-2"/>
        </w:rPr>
        <w:t>对于已确认减值损失的可供出售债务工具，在随后的会计期间公允价值已上升且</w:t>
      </w:r>
      <w:r>
        <w:rPr/>
        <w:t> </w:t>
      </w:r>
      <w:r>
        <w:rPr>
          <w:spacing w:val="-2"/>
        </w:rPr>
        <w:t>客观上与确认原减值损失确认后发生的事项有关的，原确认的减值损失予以转回，计</w:t>
      </w:r>
      <w:r>
        <w:rPr>
          <w:spacing w:val="-94"/>
        </w:rPr>
        <w:t> </w:t>
      </w:r>
      <w:r>
        <w:rPr>
          <w:spacing w:val="-94"/>
        </w:rPr>
      </w:r>
      <w:r>
        <w:rPr/>
        <w:t>入当期损益。可供出售权益工具投资发生的减值损失，不通过损益转回。</w:t>
      </w:r>
    </w:p>
    <w:p>
      <w:pPr>
        <w:pStyle w:val="BodyText"/>
        <w:spacing w:line="331" w:lineRule="auto" w:before="118"/>
        <w:ind w:left="617" w:right="352"/>
        <w:jc w:val="left"/>
      </w:pPr>
      <w:r>
        <w:rPr/>
        <w:t>以成本计量的金融资产 </w:t>
      </w:r>
      <w:r>
        <w:rPr>
          <w:spacing w:val="-2"/>
        </w:rPr>
        <w:t>在活跃市场中没有报价且其公允价值不能可靠计量的权益工具投资，或与该权益</w:t>
      </w:r>
    </w:p>
    <w:p>
      <w:pPr>
        <w:pStyle w:val="BodyText"/>
        <w:spacing w:line="217" w:lineRule="exact"/>
        <w:ind w:right="65"/>
        <w:jc w:val="left"/>
      </w:pPr>
      <w:r>
        <w:rPr/>
        <w:t>工具挂钩并须通过交付该权益工具结算的衍生金融资产发生减值时，将该金融资产的</w:t>
      </w:r>
    </w:p>
    <w:p>
      <w:pPr>
        <w:pStyle w:val="BodyText"/>
        <w:spacing w:line="312" w:lineRule="exact" w:before="29"/>
        <w:ind w:right="352"/>
        <w:jc w:val="left"/>
      </w:pPr>
      <w:r>
        <w:rPr>
          <w:spacing w:val="-2"/>
        </w:rPr>
        <w:t>账面价值，与按照类似金融资产当时市场收益率对未来现金流量折现确定的现值之间</w:t>
      </w:r>
      <w:r>
        <w:rPr>
          <w:spacing w:val="-94"/>
        </w:rPr>
        <w:t> </w:t>
      </w:r>
      <w:r>
        <w:rPr>
          <w:spacing w:val="-94"/>
        </w:rPr>
      </w:r>
      <w:r>
        <w:rPr/>
        <w:t>的差额，确认为减值损失，计入当期损益。发生的减值损失一经确认，不得转回。</w:t>
      </w:r>
    </w:p>
    <w:p>
      <w:pPr>
        <w:pStyle w:val="BodyText"/>
        <w:spacing w:line="331" w:lineRule="auto" w:before="87"/>
        <w:ind w:left="617" w:right="352" w:hanging="480"/>
        <w:jc w:val="left"/>
      </w:pPr>
      <w:r>
        <w:rPr/>
        <w:t>（</w:t>
      </w:r>
      <w:r>
        <w:rPr>
          <w:rFonts w:ascii="宋体" w:hAnsi="宋体" w:cs="宋体" w:eastAsia="宋体" w:hint="default"/>
        </w:rPr>
        <w:t>7</w:t>
      </w:r>
      <w:r>
        <w:rPr/>
        <w:t>）金融资产转移 </w:t>
      </w:r>
      <w:r>
        <w:rPr>
          <w:spacing w:val="4"/>
        </w:rPr>
        <w:t>金融资产转移，是指将金融资产让与或交付给该金融资产发行方以外的另一方</w:t>
      </w:r>
    </w:p>
    <w:p>
      <w:pPr>
        <w:pStyle w:val="BodyText"/>
        <w:spacing w:line="221" w:lineRule="exact"/>
        <w:ind w:right="5801"/>
        <w:jc w:val="left"/>
      </w:pPr>
      <w:r>
        <w:rPr/>
        <w:t>（转入方）。</w:t>
      </w:r>
    </w:p>
    <w:p>
      <w:pPr>
        <w:pStyle w:val="BodyText"/>
        <w:spacing w:line="312" w:lineRule="exact" w:before="146"/>
        <w:ind w:right="355" w:firstLine="480"/>
        <w:jc w:val="both"/>
      </w:pPr>
      <w:r>
        <w:rPr>
          <w:spacing w:val="-2"/>
        </w:rPr>
        <w:t>本集团已将金融资产所有权上几乎所有的风险和报酬转移给转入方的，终止确认</w:t>
      </w:r>
      <w:r>
        <w:rPr/>
        <w:t> </w:t>
      </w:r>
      <w:r>
        <w:rPr>
          <w:spacing w:val="-2"/>
        </w:rPr>
        <w:t>该金融资产；保留了金融资产所有权上几乎所有的风险和报酬的，不终止确认该金融</w:t>
      </w:r>
      <w:r>
        <w:rPr>
          <w:spacing w:val="-94"/>
        </w:rPr>
        <w:t> </w:t>
      </w:r>
      <w:r>
        <w:rPr>
          <w:spacing w:val="-94"/>
        </w:rPr>
      </w:r>
      <w:r>
        <w:rPr/>
        <w:t>资产。</w:t>
      </w:r>
    </w:p>
    <w:p>
      <w:pPr>
        <w:pStyle w:val="BodyText"/>
        <w:spacing w:line="237" w:lineRule="auto" w:before="89"/>
        <w:ind w:right="354" w:firstLine="480"/>
        <w:jc w:val="both"/>
      </w:pPr>
      <w:r>
        <w:rPr>
          <w:spacing w:val="-2"/>
        </w:rPr>
        <w:t>本集团既没有转移也没有保留金融资产所有权上几乎所有的风险和报酬的，分别</w:t>
      </w:r>
      <w:r>
        <w:rPr/>
        <w:t> </w:t>
      </w:r>
      <w:r>
        <w:rPr>
          <w:spacing w:val="-2"/>
        </w:rPr>
        <w:t>下列情况处理：放弃了对该金融资产控制的，终止确认该金融资产并确认产生的资产</w:t>
      </w:r>
      <w:r>
        <w:rPr>
          <w:spacing w:val="-94"/>
        </w:rPr>
        <w:t> </w:t>
      </w:r>
      <w:r>
        <w:rPr>
          <w:spacing w:val="-94"/>
        </w:rPr>
      </w:r>
      <w:r>
        <w:rPr>
          <w:spacing w:val="-2"/>
        </w:rPr>
        <w:t>和负债；未放弃对该金融资产控制的，按照其继续涉入所转移金融资产的程度确认有</w:t>
      </w:r>
      <w:r>
        <w:rPr>
          <w:spacing w:val="-94"/>
        </w:rPr>
        <w:t> </w:t>
      </w:r>
      <w:r>
        <w:rPr>
          <w:spacing w:val="-94"/>
        </w:rPr>
      </w:r>
      <w:r>
        <w:rPr/>
        <w:t>关金融资产，并相应确认有关负债。</w:t>
      </w:r>
    </w:p>
    <w:p>
      <w:pPr>
        <w:pStyle w:val="BodyText"/>
        <w:spacing w:line="240" w:lineRule="auto" w:before="118"/>
        <w:ind w:right="352"/>
        <w:jc w:val="left"/>
      </w:pPr>
      <w:r>
        <w:rPr/>
        <w:t>（</w:t>
      </w:r>
      <w:r>
        <w:rPr>
          <w:rFonts w:ascii="宋体" w:hAnsi="宋体" w:cs="宋体" w:eastAsia="宋体" w:hint="default"/>
        </w:rPr>
        <w:t>8</w:t>
      </w:r>
      <w:r>
        <w:rPr/>
        <w:t>）金融资产和金融负债的抵销</w:t>
      </w:r>
    </w:p>
    <w:p>
      <w:pPr>
        <w:spacing w:after="0" w:line="240" w:lineRule="auto"/>
        <w:jc w:val="left"/>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237" w:lineRule="auto" w:before="28"/>
        <w:ind w:left="217" w:right="355" w:firstLine="480"/>
        <w:jc w:val="both"/>
      </w:pPr>
      <w:r>
        <w:rPr>
          <w:spacing w:val="-2"/>
        </w:rPr>
        <w:t>当本集团具有抵销已确认金融资产和金融负债的法定权利，且目前可执行该种法</w:t>
      </w:r>
      <w:r>
        <w:rPr/>
        <w:t> </w:t>
      </w:r>
      <w:r>
        <w:rPr>
          <w:spacing w:val="-2"/>
        </w:rPr>
        <w:t>定权利，同时本集团计划以净额结算或同时变现该金融资产和清偿该金融负债时，金</w:t>
      </w:r>
      <w:r>
        <w:rPr>
          <w:spacing w:val="-94"/>
        </w:rPr>
        <w:t> </w:t>
      </w:r>
      <w:r>
        <w:rPr>
          <w:spacing w:val="-94"/>
        </w:rPr>
      </w:r>
      <w:r>
        <w:rPr>
          <w:spacing w:val="-2"/>
        </w:rPr>
        <w:t>融资产和金融负债以相互抵销后的金额在资产负债表内列示。除此以外，金融资产和</w:t>
      </w:r>
      <w:r>
        <w:rPr>
          <w:spacing w:val="-94"/>
        </w:rPr>
        <w:t> </w:t>
      </w:r>
      <w:r>
        <w:rPr>
          <w:spacing w:val="-94"/>
        </w:rPr>
      </w:r>
      <w:r>
        <w:rPr/>
        <w:t>金融负债在资产负债表内分别列示，不予相互抵销。</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1" w:lineRule="auto" w:before="0"/>
        <w:ind w:left="697" w:right="100" w:hanging="480"/>
        <w:jc w:val="left"/>
        <w:rPr>
          <w:rFonts w:ascii="宋体" w:hAnsi="宋体" w:cs="宋体" w:eastAsia="宋体" w:hint="default"/>
          <w:sz w:val="24"/>
          <w:szCs w:val="24"/>
        </w:rPr>
      </w:pPr>
      <w:r>
        <w:rPr>
          <w:rFonts w:ascii="宋体" w:hAnsi="宋体" w:cs="宋体" w:eastAsia="宋体" w:hint="default"/>
          <w:b/>
          <w:bCs/>
          <w:sz w:val="24"/>
          <w:szCs w:val="24"/>
        </w:rPr>
        <w:t>11.</w:t>
      </w:r>
      <w:r>
        <w:rPr>
          <w:rFonts w:ascii="宋体" w:hAnsi="宋体" w:cs="宋体" w:eastAsia="宋体" w:hint="default"/>
          <w:b/>
          <w:bCs/>
          <w:spacing w:val="-59"/>
          <w:sz w:val="24"/>
          <w:szCs w:val="24"/>
        </w:rPr>
        <w:t> </w:t>
      </w:r>
      <w:r>
        <w:rPr>
          <w:rFonts w:ascii="宋体" w:hAnsi="宋体" w:cs="宋体" w:eastAsia="宋体" w:hint="default"/>
          <w:b/>
          <w:bCs/>
          <w:sz w:val="24"/>
          <w:szCs w:val="24"/>
        </w:rPr>
        <w:t>公允价值计量</w:t>
      </w:r>
      <w:r>
        <w:rPr>
          <w:rFonts w:ascii="宋体" w:hAnsi="宋体" w:cs="宋体" w:eastAsia="宋体" w:hint="default"/>
          <w:b/>
          <w:bCs/>
          <w:w w:val="99"/>
          <w:sz w:val="24"/>
          <w:szCs w:val="24"/>
        </w:rPr>
        <w:t> </w:t>
      </w:r>
      <w:r>
        <w:rPr>
          <w:rFonts w:ascii="宋体" w:hAnsi="宋体" w:cs="宋体" w:eastAsia="宋体" w:hint="default"/>
          <w:spacing w:val="-2"/>
          <w:sz w:val="24"/>
          <w:szCs w:val="24"/>
        </w:rPr>
        <w:t>公允价值是指市场参与者在计量日发生的有序交易中，出售一项资产所能收到或</w:t>
      </w:r>
    </w:p>
    <w:p>
      <w:pPr>
        <w:pStyle w:val="BodyText"/>
        <w:spacing w:line="221" w:lineRule="exact"/>
        <w:ind w:left="217" w:right="100"/>
        <w:jc w:val="left"/>
      </w:pPr>
      <w:r>
        <w:rPr/>
        <w:t>者转移一项负债所需支付的价格。</w:t>
      </w:r>
    </w:p>
    <w:p>
      <w:pPr>
        <w:pStyle w:val="BodyText"/>
        <w:spacing w:line="237" w:lineRule="auto" w:before="120"/>
        <w:ind w:left="217" w:right="353" w:firstLine="480"/>
        <w:jc w:val="both"/>
      </w:pPr>
      <w:r>
        <w:rPr>
          <w:spacing w:val="-2"/>
        </w:rPr>
        <w:t>本集团以公允价值计量相关资产或负债，假定出售资产或者转移负债的有序交易</w:t>
      </w:r>
      <w:r>
        <w:rPr/>
        <w:t> </w:t>
      </w:r>
      <w:r>
        <w:rPr>
          <w:spacing w:val="-2"/>
        </w:rPr>
        <w:t>在相关资产或负债的主要市场进行；不存在主要市场的，本集团假定该交易在相关资</w:t>
      </w:r>
      <w:r>
        <w:rPr>
          <w:spacing w:val="-94"/>
        </w:rPr>
        <w:t> </w:t>
      </w:r>
      <w:r>
        <w:rPr>
          <w:spacing w:val="-94"/>
        </w:rPr>
      </w:r>
      <w:r>
        <w:rPr>
          <w:spacing w:val="-2"/>
        </w:rPr>
        <w:t>产或负债的最有利市场进行。主要市场（或最有利市场）是本集团在计量日能够进入</w:t>
      </w:r>
      <w:r>
        <w:rPr>
          <w:spacing w:val="-93"/>
        </w:rPr>
        <w:t> </w:t>
      </w:r>
      <w:r>
        <w:rPr>
          <w:spacing w:val="-93"/>
        </w:rPr>
      </w:r>
      <w:r>
        <w:rPr>
          <w:spacing w:val="-2"/>
        </w:rPr>
        <w:t>的交易市场。本集团采用市场参与者在对该资产或负债定价时为实现其经济利益最大</w:t>
      </w:r>
      <w:r>
        <w:rPr>
          <w:spacing w:val="-94"/>
        </w:rPr>
        <w:t> </w:t>
      </w:r>
      <w:r>
        <w:rPr>
          <w:spacing w:val="-94"/>
        </w:rPr>
      </w:r>
      <w:r>
        <w:rPr/>
        <w:t>化所使用的假设。</w:t>
      </w:r>
    </w:p>
    <w:p>
      <w:pPr>
        <w:pStyle w:val="BodyText"/>
        <w:spacing w:line="312" w:lineRule="exact" w:before="149"/>
        <w:ind w:left="217" w:right="355" w:firstLine="480"/>
        <w:jc w:val="both"/>
      </w:pPr>
      <w:r>
        <w:rPr>
          <w:spacing w:val="-2"/>
        </w:rPr>
        <w:t>存在活跃市场的金融资产或金融负债，本集团采用活跃市场中的报价确定其公允</w:t>
      </w:r>
      <w:r>
        <w:rPr/>
        <w:t> 价值。金融工具不存在活跃市场的，本集团采用估值技术确定其公允价值。</w:t>
      </w:r>
    </w:p>
    <w:p>
      <w:pPr>
        <w:pStyle w:val="BodyText"/>
        <w:spacing w:line="312" w:lineRule="exact" w:before="117"/>
        <w:ind w:left="217" w:right="353" w:firstLine="480"/>
        <w:jc w:val="both"/>
      </w:pPr>
      <w:r>
        <w:rPr>
          <w:spacing w:val="-2"/>
        </w:rPr>
        <w:t>以公允价值计量非金融资产的，考虑市场参与者将该资产用于最佳用途产生经济</w:t>
      </w:r>
      <w:r>
        <w:rPr/>
        <w:t> </w:t>
      </w:r>
      <w:r>
        <w:rPr>
          <w:spacing w:val="-2"/>
        </w:rPr>
        <w:t>利益的能力，或者将该资产出售给能够用于最佳用途的其他市场参与者产生经济利益</w:t>
      </w:r>
      <w:r>
        <w:rPr>
          <w:spacing w:val="-94"/>
        </w:rPr>
        <w:t> </w:t>
      </w:r>
      <w:r>
        <w:rPr>
          <w:spacing w:val="-94"/>
        </w:rPr>
      </w:r>
      <w:r>
        <w:rPr/>
        <w:t>的能力。</w:t>
      </w:r>
    </w:p>
    <w:p>
      <w:pPr>
        <w:pStyle w:val="BodyText"/>
        <w:spacing w:line="312" w:lineRule="exact" w:before="117"/>
        <w:ind w:left="217" w:right="355" w:firstLine="480"/>
        <w:jc w:val="both"/>
      </w:pPr>
      <w:r>
        <w:rPr>
          <w:spacing w:val="4"/>
        </w:rPr>
        <w:t>本集团采用在当前情况下适用并且有足够可利用数据和其他信息支持的估值技</w:t>
      </w:r>
      <w:r>
        <w:rPr/>
        <w:t> </w:t>
      </w:r>
      <w:r>
        <w:rPr>
          <w:spacing w:val="-2"/>
        </w:rPr>
        <w:t>术，优先使用相关可观察输入值，只有在可观察输入值无法取得或取得不切实可行的</w:t>
      </w:r>
      <w:r>
        <w:rPr>
          <w:spacing w:val="-94"/>
        </w:rPr>
        <w:t> </w:t>
      </w:r>
      <w:r>
        <w:rPr>
          <w:spacing w:val="-94"/>
        </w:rPr>
      </w:r>
      <w:r>
        <w:rPr/>
        <w:t>情况下，才使用不可观察输入值。</w:t>
      </w:r>
    </w:p>
    <w:p>
      <w:pPr>
        <w:pStyle w:val="BodyText"/>
        <w:spacing w:line="237" w:lineRule="auto" w:before="89"/>
        <w:ind w:left="217" w:right="100" w:firstLine="480"/>
        <w:jc w:val="left"/>
      </w:pPr>
      <w:r>
        <w:rPr/>
        <w:t>在财务报表中以公允价值计量或披露的资产和负债，根据对公允价值计量整体而 言具有重要意义的最低层次输入值，确定所属的公允价值层次：第一层次输入值，是 </w:t>
      </w:r>
      <w:r>
        <w:rPr>
          <w:spacing w:val="-2"/>
        </w:rPr>
        <w:t>在计量日能够取得的相同资产或负债在活跃市场上未经调整的报价；第二层次输入值，</w:t>
      </w:r>
      <w:r>
        <w:rPr>
          <w:spacing w:val="-92"/>
        </w:rPr>
        <w:t> </w:t>
      </w:r>
      <w:r>
        <w:rPr>
          <w:spacing w:val="-92"/>
        </w:rPr>
      </w:r>
      <w:r>
        <w:rPr>
          <w:spacing w:val="-2"/>
        </w:rPr>
        <w:t>是除第一层次输入值外相关资产或负债直接或间接可观察的输入值；第三层次输入值，</w:t>
      </w:r>
      <w:r>
        <w:rPr>
          <w:spacing w:val="-92"/>
        </w:rPr>
        <w:t> </w:t>
      </w:r>
      <w:r>
        <w:rPr>
          <w:spacing w:val="-92"/>
        </w:rPr>
      </w:r>
      <w:r>
        <w:rPr/>
        <w:t>是相关资产或负债的不可观察输入值。</w:t>
      </w:r>
    </w:p>
    <w:p>
      <w:pPr>
        <w:pStyle w:val="BodyText"/>
        <w:spacing w:line="312" w:lineRule="exact" w:before="149"/>
        <w:ind w:left="217" w:right="355" w:firstLine="480"/>
        <w:jc w:val="both"/>
      </w:pPr>
      <w:r>
        <w:rPr>
          <w:spacing w:val="-2"/>
        </w:rPr>
        <w:t>每个资产负债表日，本集团对在财务报表中确认的持续以公允价值计量的资产和</w:t>
      </w:r>
      <w:r>
        <w:rPr/>
        <w:t> 负债进行重新评估，以确定是否在公允价值计量层次之间发生转换。</w:t>
      </w:r>
    </w:p>
    <w:p>
      <w:pPr>
        <w:spacing w:line="240" w:lineRule="auto" w:before="1"/>
        <w:rPr>
          <w:rFonts w:ascii="宋体" w:hAnsi="宋体" w:cs="宋体" w:eastAsia="宋体" w:hint="default"/>
          <w:sz w:val="35"/>
          <w:szCs w:val="35"/>
        </w:rPr>
      </w:pPr>
    </w:p>
    <w:p>
      <w:pPr>
        <w:pStyle w:val="Heading2"/>
        <w:spacing w:line="240" w:lineRule="auto" w:before="0"/>
        <w:ind w:right="100"/>
        <w:jc w:val="left"/>
        <w:rPr>
          <w:b w:val="0"/>
          <w:bCs w:val="0"/>
        </w:rPr>
      </w:pPr>
      <w:r>
        <w:rPr>
          <w:rFonts w:ascii="宋体" w:hAnsi="宋体" w:cs="宋体" w:eastAsia="宋体" w:hint="default"/>
        </w:rPr>
        <w:t>12.</w:t>
      </w:r>
      <w:r>
        <w:rPr>
          <w:rFonts w:ascii="宋体" w:hAnsi="宋体" w:cs="宋体" w:eastAsia="宋体" w:hint="default"/>
          <w:spacing w:val="-60"/>
        </w:rPr>
        <w:t> </w:t>
      </w:r>
      <w:r>
        <w:rPr/>
        <w:t>应收款项</w:t>
      </w:r>
      <w:r>
        <w:rPr>
          <w:b w:val="0"/>
          <w:bCs w:val="0"/>
        </w:rPr>
      </w:r>
    </w:p>
    <w:p>
      <w:pPr>
        <w:pStyle w:val="BodyText"/>
        <w:spacing w:line="237" w:lineRule="auto" w:before="120"/>
        <w:ind w:left="217" w:right="353" w:firstLine="480"/>
        <w:jc w:val="both"/>
      </w:pPr>
      <w:r>
        <w:rPr>
          <w:spacing w:val="-2"/>
        </w:rPr>
        <w:t>应收款项包括应收账款、其他应收款、长期应收款。本集团对期末应收款项（包</w:t>
      </w:r>
      <w:r>
        <w:rPr/>
        <w:t> </w:t>
      </w:r>
      <w:r>
        <w:rPr>
          <w:spacing w:val="-2"/>
        </w:rPr>
        <w:t>括应收账款、其他应收款、逾期及延期的长期应收款）计提坏账准备采用单独进行减</w:t>
      </w:r>
      <w:r>
        <w:rPr>
          <w:spacing w:val="-94"/>
        </w:rPr>
        <w:t> </w:t>
      </w:r>
      <w:r>
        <w:rPr>
          <w:spacing w:val="-94"/>
        </w:rPr>
      </w:r>
      <w:r>
        <w:rPr>
          <w:spacing w:val="-2"/>
        </w:rPr>
        <w:t>值测试与以账龄为信用风险特征组合相结合的方法。本集团对未逾期及延期的长期应</w:t>
      </w:r>
      <w:r>
        <w:rPr>
          <w:spacing w:val="-94"/>
        </w:rPr>
        <w:t> </w:t>
      </w:r>
      <w:r>
        <w:rPr>
          <w:spacing w:val="-94"/>
        </w:rPr>
      </w:r>
      <w:r>
        <w:rPr/>
        <w:t>收款不计提减值准备，本集团对职工支取的备用金不计提坏账准备。</w:t>
      </w:r>
    </w:p>
    <w:p>
      <w:pPr>
        <w:pStyle w:val="Heading2"/>
        <w:tabs>
          <w:tab w:pos="1057" w:val="left" w:leader="none"/>
        </w:tabs>
        <w:spacing w:line="240" w:lineRule="auto" w:before="116"/>
        <w:ind w:right="100"/>
        <w:jc w:val="left"/>
        <w:rPr>
          <w:b w:val="0"/>
          <w:bCs w:val="0"/>
        </w:rPr>
      </w:pPr>
      <w:r>
        <w:rPr>
          <w:rFonts w:ascii="宋体" w:hAnsi="宋体" w:cs="宋体" w:eastAsia="宋体" w:hint="default"/>
        </w:rPr>
        <w:t>(1).</w:t>
        <w:tab/>
      </w:r>
      <w:r>
        <w:rPr/>
        <w:t>单项金额重大并单独计提坏账准备的应收款项</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725"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147"/>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万元（含</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万元）以上的</w:t>
            </w:r>
            <w:r>
              <w:rPr>
                <w:rFonts w:ascii="宋体" w:hAnsi="宋体" w:cs="宋体" w:eastAsia="宋体" w:hint="default"/>
                <w:w w:val="100"/>
                <w:sz w:val="21"/>
                <w:szCs w:val="21"/>
              </w:rPr>
              <w:t> </w:t>
            </w:r>
            <w:r>
              <w:rPr>
                <w:rFonts w:ascii="宋体" w:hAnsi="宋体" w:cs="宋体" w:eastAsia="宋体" w:hint="default"/>
                <w:sz w:val="21"/>
                <w:szCs w:val="21"/>
              </w:rPr>
              <w:t>应收款项为单项金额重大的应收款项。</w:t>
            </w:r>
          </w:p>
        </w:tc>
      </w:tr>
      <w:tr>
        <w:trPr>
          <w:trHeight w:val="555"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试，有客观证据表明发生了减值，根据其未来</w:t>
            </w:r>
          </w:p>
        </w:tc>
      </w:tr>
    </w:tbl>
    <w:p>
      <w:pPr>
        <w:spacing w:after="0" w:line="274" w:lineRule="exact"/>
        <w:jc w:val="left"/>
        <w:rPr>
          <w:rFonts w:ascii="宋体" w:hAnsi="宋体" w:cs="宋体" w:eastAsia="宋体" w:hint="default"/>
          <w:sz w:val="21"/>
          <w:szCs w:val="21"/>
        </w:rPr>
        <w:sectPr>
          <w:pgSz w:w="11910" w:h="16840"/>
          <w:pgMar w:header="882" w:footer="1195" w:top="1120" w:bottom="1380" w:left="1060" w:right="1440"/>
        </w:sectPr>
      </w:pPr>
    </w:p>
    <w:p>
      <w:pPr>
        <w:spacing w:line="240" w:lineRule="auto" w:before="9"/>
        <w:rPr>
          <w:rFonts w:ascii="宋体" w:hAnsi="宋体" w:cs="宋体" w:eastAsia="宋体" w:hint="default"/>
          <w:b/>
          <w:bCs/>
          <w:sz w:val="23"/>
          <w:szCs w:val="23"/>
        </w:rPr>
      </w:pPr>
    </w:p>
    <w:p>
      <w:pPr>
        <w:spacing w:line="574"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53pt;height:28.7pt;mso-position-horizontal-relative:char;mso-position-vertical-relative:line" coordorigin="0,0" coordsize="9060,574">
            <v:group style="position:absolute;left:10;top:10;width:4573;height:2" coordorigin="10,10" coordsize="4573,2">
              <v:shape style="position:absolute;left:10;top:10;width:4573;height:2" coordorigin="10,10" coordsize="4573,0" path="m10,10l4583,10e" filled="false" stroked="true" strokeweight=".48pt" strokecolor="#000000">
                <v:path arrowok="t"/>
              </v:shape>
            </v:group>
            <v:group style="position:absolute;left:4592;top:10;width:4458;height:2" coordorigin="4592,10" coordsize="4458,2">
              <v:shape style="position:absolute;left:4592;top:10;width:4458;height:2" coordorigin="4592,10" coordsize="4458,0" path="m4592,10l9050,10e" filled="false" stroked="true" strokeweight=".48pt" strokecolor="#000000">
                <v:path arrowok="t"/>
              </v:shape>
            </v:group>
            <v:group style="position:absolute;left:5;top:5;width:2;height:565" coordorigin="5,5" coordsize="2,565">
              <v:shape style="position:absolute;left:5;top:5;width:2;height:565" coordorigin="5,5" coordsize="0,565" path="m5,5l5,569e" filled="false" stroked="true" strokeweight=".48pt" strokecolor="#000000">
                <v:path arrowok="t"/>
              </v:shape>
            </v:group>
            <v:group style="position:absolute;left:10;top:564;width:4573;height:2" coordorigin="10,564" coordsize="4573,2">
              <v:shape style="position:absolute;left:10;top:564;width:4573;height:2" coordorigin="10,564" coordsize="4573,0" path="m10,564l4583,564e" filled="false" stroked="true" strokeweight=".48pt" strokecolor="#000000">
                <v:path arrowok="t"/>
              </v:shape>
            </v:group>
            <v:group style="position:absolute;left:4587;top:5;width:2;height:565" coordorigin="4587,5" coordsize="2,565">
              <v:shape style="position:absolute;left:4587;top:5;width:2;height:565" coordorigin="4587,5" coordsize="0,565" path="m4587,5l4587,569e" filled="false" stroked="true" strokeweight=".48001pt" strokecolor="#000000">
                <v:path arrowok="t"/>
              </v:shape>
            </v:group>
            <v:group style="position:absolute;left:4592;top:564;width:4458;height:2" coordorigin="4592,564" coordsize="4458,2">
              <v:shape style="position:absolute;left:4592;top:564;width:4458;height:2" coordorigin="4592,564" coordsize="4458,0" path="m4592,564l9050,564e" filled="false" stroked="true" strokeweight=".48pt" strokecolor="#000000">
                <v:path arrowok="t"/>
              </v:shape>
            </v:group>
            <v:group style="position:absolute;left:9055;top:5;width:2;height:565" coordorigin="9055,5" coordsize="2,565">
              <v:shape style="position:absolute;left:9055;top:5;width:2;height:565" coordorigin="9055,5" coordsize="0,565" path="m9055,5l9055,569e" filled="false" stroked="true" strokeweight=".47998pt" strokecolor="#000000">
                <v:path arrowok="t"/>
              </v:shape>
              <v:shape style="position:absolute;left:4587;top:10;width:4468;height:555" type="#_x0000_t202" filled="false" stroked="false">
                <v:textbox inset="0,0,0,0">
                  <w:txbxContent>
                    <w:p>
                      <w:pPr>
                        <w:spacing w:line="245"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现金流量现值低于其账面价值的差额计提坏账</w:t>
                      </w:r>
                    </w:p>
                    <w:p>
                      <w:pPr>
                        <w:spacing w:line="27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准备。</w:t>
                      </w:r>
                    </w:p>
                  </w:txbxContent>
                </v:textbox>
                <w10:wrap type="none"/>
              </v:shape>
            </v:group>
          </v:group>
        </w:pict>
      </w:r>
      <w:r>
        <w:rPr>
          <w:rFonts w:ascii="宋体" w:hAnsi="宋体" w:cs="宋体" w:eastAsia="宋体" w:hint="default"/>
          <w:position w:val="-10"/>
          <w:sz w:val="20"/>
          <w:szCs w:val="20"/>
        </w:rPr>
      </w:r>
    </w:p>
    <w:p>
      <w:pPr>
        <w:spacing w:line="240" w:lineRule="auto" w:before="13"/>
        <w:rPr>
          <w:rFonts w:ascii="宋体" w:hAnsi="宋体" w:cs="宋体" w:eastAsia="宋体" w:hint="default"/>
          <w:b/>
          <w:bCs/>
          <w:sz w:val="22"/>
          <w:szCs w:val="22"/>
        </w:rPr>
      </w:pPr>
    </w:p>
    <w:p>
      <w:pPr>
        <w:pStyle w:val="Heading2"/>
        <w:tabs>
          <w:tab w:pos="1057" w:val="left" w:leader="none"/>
        </w:tabs>
        <w:spacing w:line="240" w:lineRule="auto"/>
        <w:ind w:right="2569"/>
        <w:jc w:val="left"/>
        <w:rPr>
          <w:b w:val="0"/>
          <w:bCs w:val="0"/>
        </w:rPr>
      </w:pPr>
      <w:r>
        <w:rPr>
          <w:rFonts w:ascii="宋体" w:hAnsi="宋体" w:cs="宋体" w:eastAsia="宋体" w:hint="default"/>
        </w:rPr>
        <w:t>(2).</w:t>
        <w:tab/>
      </w:r>
      <w:r>
        <w:rPr/>
        <w:t>按信用风险特征组合计提坏账准备的应收款项：</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
        </w:tc>
        <w:tc>
          <w:tcPr>
            <w:tcW w:w="44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8"/>
          <w:szCs w:val="18"/>
        </w:rPr>
      </w:pPr>
    </w:p>
    <w:p>
      <w:pPr>
        <w:pStyle w:val="BodyText"/>
        <w:spacing w:line="313" w:lineRule="exact" w:before="26"/>
        <w:ind w:left="217" w:right="2569"/>
        <w:jc w:val="left"/>
      </w:pPr>
      <w:r>
        <w:rPr/>
        <w:t>组合中，采用账龄分析法计提坏账准备的</w:t>
      </w:r>
    </w:p>
    <w:p>
      <w:pPr>
        <w:pStyle w:val="BodyText"/>
        <w:spacing w:line="313" w:lineRule="exact"/>
        <w:ind w:left="217" w:right="25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10"/>
        <w:rPr>
          <w:rFonts w:ascii="宋体" w:hAnsi="宋体" w:cs="宋体" w:eastAsia="宋体" w:hint="default"/>
          <w:sz w:val="18"/>
          <w:szCs w:val="18"/>
        </w:rPr>
      </w:pPr>
    </w:p>
    <w:p>
      <w:pPr>
        <w:pStyle w:val="BodyText"/>
        <w:spacing w:line="313" w:lineRule="exact" w:before="26"/>
        <w:ind w:left="217" w:right="2569"/>
        <w:jc w:val="left"/>
      </w:pPr>
      <w:r>
        <w:rPr/>
        <w:t>组合中，采用余额百分比法计提坏账准备的</w:t>
      </w:r>
    </w:p>
    <w:p>
      <w:pPr>
        <w:pStyle w:val="BodyText"/>
        <w:spacing w:line="313" w:lineRule="exact"/>
        <w:ind w:left="217" w:right="2569"/>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7" w:right="2569"/>
        <w:jc w:val="left"/>
      </w:pPr>
      <w:r>
        <w:rPr/>
        <w:t>组合中，采用其他方法计提坏账准备的</w:t>
      </w:r>
    </w:p>
    <w:p>
      <w:pPr>
        <w:pStyle w:val="BodyText"/>
        <w:spacing w:line="313" w:lineRule="exact"/>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right="2569"/>
        <w:jc w:val="left"/>
        <w:rPr>
          <w:b w:val="0"/>
          <w:bCs w:val="0"/>
        </w:rPr>
      </w:pPr>
      <w:r>
        <w:rPr>
          <w:rFonts w:ascii="宋体" w:hAnsi="宋体" w:cs="宋体" w:eastAsia="宋体" w:hint="default"/>
        </w:rPr>
        <w:t>(3).</w:t>
        <w:tab/>
      </w:r>
      <w:r>
        <w:rPr/>
        <w:t>单项金额不重大但单独计提坏账准备的应收款项：</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涉诉款项、客户信用状况恶化的应收款项</w:t>
            </w:r>
          </w:p>
        </w:tc>
      </w:tr>
      <w:tr>
        <w:trPr>
          <w:trHeight w:val="63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根据其未来现金流量现值低于其账面价值</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的差额计提坏账准备</w:t>
            </w:r>
          </w:p>
        </w:tc>
      </w:tr>
    </w:tbl>
    <w:p>
      <w:pPr>
        <w:spacing w:line="240" w:lineRule="auto" w:before="2"/>
        <w:rPr>
          <w:rFonts w:ascii="宋体" w:hAnsi="宋体" w:cs="宋体" w:eastAsia="宋体" w:hint="default"/>
          <w:b/>
          <w:bCs/>
          <w:sz w:val="23"/>
          <w:szCs w:val="23"/>
        </w:rPr>
      </w:pPr>
    </w:p>
    <w:p>
      <w:pPr>
        <w:pStyle w:val="Heading2"/>
        <w:spacing w:line="240" w:lineRule="auto"/>
        <w:ind w:right="2569"/>
        <w:jc w:val="left"/>
        <w:rPr>
          <w:b w:val="0"/>
          <w:bCs w:val="0"/>
        </w:rPr>
      </w:pPr>
      <w:r>
        <w:rPr>
          <w:rFonts w:ascii="Calibri" w:hAnsi="Calibri" w:cs="Calibri" w:eastAsia="Calibri" w:hint="default"/>
        </w:rPr>
        <w:t>13. </w:t>
      </w:r>
      <w:r>
        <w:rPr>
          <w:rFonts w:ascii="Calibri" w:hAnsi="Calibri" w:cs="Calibri" w:eastAsia="Calibri" w:hint="default"/>
          <w:spacing w:val="9"/>
        </w:rPr>
        <w:t> </w:t>
      </w:r>
      <w:r>
        <w:rPr/>
        <w:t>存货</w:t>
      </w:r>
      <w:r>
        <w:rPr>
          <w:b w:val="0"/>
          <w:bCs w:val="0"/>
        </w:rPr>
      </w:r>
    </w:p>
    <w:p>
      <w:pPr>
        <w:pStyle w:val="BodyText"/>
        <w:spacing w:line="331" w:lineRule="auto" w:before="27"/>
        <w:ind w:left="697" w:right="221" w:hanging="480"/>
        <w:jc w:val="left"/>
      </w:pPr>
      <w:r>
        <w:rPr/>
        <w:t>（</w:t>
      </w:r>
      <w:r>
        <w:rPr>
          <w:rFonts w:ascii="宋体" w:hAnsi="宋体" w:cs="宋体" w:eastAsia="宋体" w:hint="default"/>
        </w:rPr>
        <w:t>1</w:t>
      </w:r>
      <w:r>
        <w:rPr/>
        <w:t>）存货的分类 </w:t>
      </w:r>
      <w:r>
        <w:rPr>
          <w:spacing w:val="-2"/>
        </w:rPr>
        <w:t>本集团存货分为原材料、外购商品、试用商品、发出商品、外购服务费、劳务成</w:t>
      </w:r>
    </w:p>
    <w:p>
      <w:pPr>
        <w:pStyle w:val="BodyText"/>
        <w:spacing w:line="218" w:lineRule="exact"/>
        <w:ind w:left="217" w:right="2569"/>
        <w:jc w:val="left"/>
      </w:pPr>
      <w:r>
        <w:rPr/>
        <w:t>本。</w:t>
      </w:r>
    </w:p>
    <w:p>
      <w:pPr>
        <w:pStyle w:val="BodyText"/>
        <w:spacing w:line="331" w:lineRule="auto" w:before="118"/>
        <w:ind w:left="697" w:right="1609" w:hanging="480"/>
        <w:jc w:val="left"/>
      </w:pPr>
      <w:r>
        <w:rPr/>
        <w:t>（</w:t>
      </w:r>
      <w:r>
        <w:rPr>
          <w:rFonts w:ascii="宋体" w:hAnsi="宋体" w:cs="宋体" w:eastAsia="宋体" w:hint="default"/>
        </w:rPr>
        <w:t>2</w:t>
      </w:r>
      <w:r>
        <w:rPr/>
        <w:t>）发出存货的计价方法 本集团存货取得时按实际成本计价，发出时采用加权平均法计价。</w:t>
      </w:r>
    </w:p>
    <w:p>
      <w:pPr>
        <w:pStyle w:val="BodyText"/>
        <w:spacing w:line="331" w:lineRule="auto" w:before="24"/>
        <w:ind w:left="697" w:right="221" w:hanging="480"/>
        <w:jc w:val="left"/>
      </w:pPr>
      <w:r>
        <w:rPr/>
        <w:t>（</w:t>
      </w:r>
      <w:r>
        <w:rPr>
          <w:rFonts w:ascii="宋体" w:hAnsi="宋体" w:cs="宋体" w:eastAsia="宋体" w:hint="default"/>
        </w:rPr>
        <w:t>3</w:t>
      </w:r>
      <w:r>
        <w:rPr/>
        <w:t>）存货可变现净值的确定依据及存货跌价准备的计提方法 </w:t>
      </w:r>
      <w:r>
        <w:rPr>
          <w:spacing w:val="-2"/>
        </w:rPr>
        <w:t>存货可变现净值是按存货的估计售价减去至完工时估计将要发生的成本、估计的</w:t>
      </w:r>
    </w:p>
    <w:p>
      <w:pPr>
        <w:pStyle w:val="BodyText"/>
        <w:spacing w:line="219" w:lineRule="exact"/>
        <w:ind w:left="217" w:right="102"/>
        <w:jc w:val="left"/>
      </w:pPr>
      <w:r>
        <w:rPr/>
        <w:t>销售费用以及相关税费后的金额。在确定存货的可变现净值时，以取得的确凿证据为</w:t>
      </w:r>
    </w:p>
    <w:p>
      <w:pPr>
        <w:pStyle w:val="BodyText"/>
        <w:spacing w:line="331" w:lineRule="auto"/>
        <w:ind w:left="697" w:right="221" w:hanging="480"/>
        <w:jc w:val="left"/>
      </w:pPr>
      <w:r>
        <w:rPr/>
        <w:t>基础，同时考虑持有存货的目的以及资产负债表日后事项的影响。 </w:t>
      </w:r>
      <w:r>
        <w:rPr>
          <w:spacing w:val="-2"/>
        </w:rPr>
        <w:t>资产负债表日，存货成本高于其可变现净值的，计提存货跌价准备。本集团通常</w:t>
      </w:r>
    </w:p>
    <w:p>
      <w:pPr>
        <w:pStyle w:val="BodyText"/>
        <w:spacing w:line="219" w:lineRule="exact"/>
        <w:ind w:left="217" w:right="102"/>
        <w:jc w:val="left"/>
      </w:pPr>
      <w:r>
        <w:rPr/>
        <w:t>按照单个存货项目计提存货跌价准备，资产负债表日，以前减记存货价值的影响因素</w:t>
      </w:r>
    </w:p>
    <w:p>
      <w:pPr>
        <w:pStyle w:val="BodyText"/>
        <w:spacing w:line="312" w:lineRule="exact"/>
        <w:ind w:left="217" w:right="2569"/>
        <w:jc w:val="left"/>
      </w:pPr>
      <w:r>
        <w:rPr/>
        <w:t>已经消失的，存货跌价准备在原已计提的金额内转回。</w:t>
      </w:r>
    </w:p>
    <w:p>
      <w:pPr>
        <w:spacing w:after="0" w:line="312" w:lineRule="exact"/>
        <w:jc w:val="left"/>
        <w:sectPr>
          <w:footerReference w:type="default" r:id="rId44"/>
          <w:pgSz w:w="11910" w:h="16840"/>
          <w:pgMar w:footer="1195" w:header="882" w:top="1120" w:bottom="1380" w:left="1060" w:right="1560"/>
        </w:sectPr>
      </w:pPr>
    </w:p>
    <w:p>
      <w:pPr>
        <w:spacing w:line="240" w:lineRule="auto" w:before="13"/>
        <w:rPr>
          <w:rFonts w:ascii="宋体" w:hAnsi="宋体" w:cs="宋体" w:eastAsia="宋体" w:hint="default"/>
          <w:sz w:val="18"/>
          <w:szCs w:val="18"/>
        </w:rPr>
      </w:pPr>
    </w:p>
    <w:p>
      <w:pPr>
        <w:pStyle w:val="BodyText"/>
        <w:spacing w:line="331" w:lineRule="auto" w:before="26"/>
        <w:ind w:left="617" w:right="4489" w:hanging="480"/>
        <w:jc w:val="left"/>
      </w:pPr>
      <w:r>
        <w:rPr/>
        <w:t>（</w:t>
      </w:r>
      <w:r>
        <w:rPr>
          <w:rFonts w:ascii="宋体" w:hAnsi="宋体" w:cs="宋体" w:eastAsia="宋体" w:hint="default"/>
        </w:rPr>
        <w:t>4</w:t>
      </w:r>
      <w:r>
        <w:rPr/>
        <w:t>）存货的盘存制度 本集团存货盘存制度采用永续盘存制。</w:t>
      </w:r>
    </w:p>
    <w:p>
      <w:pPr>
        <w:pStyle w:val="BodyText"/>
        <w:spacing w:line="331" w:lineRule="auto" w:before="24"/>
        <w:ind w:left="617" w:right="2809" w:hanging="480"/>
        <w:jc w:val="left"/>
      </w:pPr>
      <w:r>
        <w:rPr/>
        <w:t>（</w:t>
      </w:r>
      <w:r>
        <w:rPr>
          <w:rFonts w:ascii="宋体" w:hAnsi="宋体" w:cs="宋体" w:eastAsia="宋体" w:hint="default"/>
        </w:rPr>
        <w:t>5</w:t>
      </w:r>
      <w:r>
        <w:rPr/>
        <w:t>）低值易耗品和包装物的摊销方法 本集团低值易耗品领用时采用一次转销法摊销。 周转用包装物按照预计的使用次数分次计入成本费用。</w:t>
      </w:r>
    </w:p>
    <w:p>
      <w:pPr>
        <w:spacing w:line="240" w:lineRule="auto" w:before="4"/>
        <w:rPr>
          <w:rFonts w:ascii="宋体" w:hAnsi="宋体" w:cs="宋体" w:eastAsia="宋体" w:hint="default"/>
          <w:sz w:val="30"/>
          <w:szCs w:val="30"/>
        </w:rPr>
      </w:pPr>
    </w:p>
    <w:p>
      <w:pPr>
        <w:spacing w:line="300" w:lineRule="auto" w:before="0"/>
        <w:ind w:left="617" w:right="119" w:hanging="480"/>
        <w:jc w:val="left"/>
        <w:rPr>
          <w:rFonts w:ascii="宋体" w:hAnsi="宋体" w:cs="宋体" w:eastAsia="宋体" w:hint="default"/>
          <w:sz w:val="24"/>
          <w:szCs w:val="24"/>
        </w:rPr>
      </w:pPr>
      <w:r>
        <w:rPr>
          <w:rFonts w:ascii="Calibri" w:hAnsi="Calibri" w:cs="Calibri" w:eastAsia="Calibri" w:hint="default"/>
          <w:b/>
          <w:bCs/>
          <w:sz w:val="24"/>
          <w:szCs w:val="24"/>
        </w:rPr>
        <w:t>14.</w:t>
      </w:r>
      <w:r>
        <w:rPr>
          <w:rFonts w:ascii="Calibri" w:hAnsi="Calibri" w:cs="Calibri" w:eastAsia="Calibri" w:hint="default"/>
          <w:b/>
          <w:bCs/>
          <w:spacing w:val="6"/>
          <w:sz w:val="24"/>
          <w:szCs w:val="24"/>
        </w:rPr>
        <w:t> </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pacing w:val="-2"/>
          <w:sz w:val="24"/>
          <w:szCs w:val="24"/>
        </w:rPr>
        <w:t>长期股权投资包括对子公司、合营企业和联营企业的权益性投资。本公司能够对</w:t>
      </w:r>
    </w:p>
    <w:p>
      <w:pPr>
        <w:pStyle w:val="BodyText"/>
        <w:spacing w:line="253" w:lineRule="exact"/>
        <w:ind w:right="119"/>
        <w:jc w:val="left"/>
      </w:pPr>
      <w:r>
        <w:rPr/>
        <w:t>被投资单位施加重大影响的，为本公司的联营企业。</w:t>
      </w:r>
    </w:p>
    <w:p>
      <w:pPr>
        <w:pStyle w:val="BodyText"/>
        <w:spacing w:line="331" w:lineRule="auto" w:before="115"/>
        <w:ind w:left="617" w:right="119" w:hanging="480"/>
        <w:jc w:val="left"/>
      </w:pPr>
      <w:r>
        <w:rPr/>
        <w:t>（</w:t>
      </w:r>
      <w:r>
        <w:rPr>
          <w:rFonts w:ascii="宋体" w:hAnsi="宋体" w:cs="宋体" w:eastAsia="宋体" w:hint="default"/>
        </w:rPr>
        <w:t>1</w:t>
      </w:r>
      <w:r>
        <w:rPr/>
        <w:t>）初始投资成本确定 </w:t>
      </w:r>
      <w:r>
        <w:rPr>
          <w:spacing w:val="-2"/>
        </w:rPr>
        <w:t>形成企业合并的长期股权投资：同一控制下企业合并取得的长期股权投资，在合</w:t>
      </w:r>
    </w:p>
    <w:p>
      <w:pPr>
        <w:pStyle w:val="BodyText"/>
        <w:spacing w:line="219" w:lineRule="exact"/>
        <w:ind w:right="119"/>
        <w:jc w:val="left"/>
      </w:pPr>
      <w:r>
        <w:rPr>
          <w:spacing w:val="4"/>
        </w:rPr>
        <w:t>并日按照取得被合并方所有者权益在最终控制方合并财务报表中的账面价值份额作</w:t>
      </w:r>
    </w:p>
    <w:p>
      <w:pPr>
        <w:pStyle w:val="BodyText"/>
        <w:spacing w:line="312" w:lineRule="exact" w:before="28"/>
        <w:ind w:right="119"/>
        <w:jc w:val="left"/>
      </w:pPr>
      <w:r>
        <w:rPr>
          <w:spacing w:val="-2"/>
        </w:rPr>
        <w:t>为投资成本；非同一控制下企业合并取得的长期股权投资，按照合并成本作为长期股</w:t>
      </w:r>
      <w:r>
        <w:rPr>
          <w:spacing w:val="-94"/>
        </w:rPr>
        <w:t> </w:t>
      </w:r>
      <w:r>
        <w:rPr>
          <w:spacing w:val="-94"/>
        </w:rPr>
      </w:r>
      <w:r>
        <w:rPr/>
        <w:t>权投资的投资成本。</w:t>
      </w:r>
    </w:p>
    <w:p>
      <w:pPr>
        <w:pStyle w:val="BodyText"/>
        <w:spacing w:line="237" w:lineRule="auto" w:before="92"/>
        <w:ind w:right="235" w:firstLine="480"/>
        <w:jc w:val="both"/>
      </w:pPr>
      <w:r>
        <w:rPr>
          <w:spacing w:val="-2"/>
        </w:rPr>
        <w:t>对于其他方式取得的长期股权投资：支付现金取得的长期股权投资，按照实际支</w:t>
      </w:r>
      <w:r>
        <w:rPr/>
        <w:t> </w:t>
      </w:r>
      <w:r>
        <w:rPr>
          <w:spacing w:val="-2"/>
        </w:rPr>
        <w:t>付的购买价款作为初始投资成本；发行权益性证券取得的长期股权投资，以发行权益</w:t>
      </w:r>
      <w:r>
        <w:rPr>
          <w:spacing w:val="-94"/>
        </w:rPr>
        <w:t> </w:t>
      </w:r>
      <w:r>
        <w:rPr>
          <w:spacing w:val="-94"/>
        </w:rPr>
      </w:r>
      <w:r>
        <w:rPr/>
        <w:t>性证券的公允价值作为初始投资成本。</w:t>
      </w:r>
    </w:p>
    <w:p>
      <w:pPr>
        <w:pStyle w:val="BodyText"/>
        <w:spacing w:line="328" w:lineRule="auto" w:before="118"/>
        <w:ind w:left="617" w:right="119" w:hanging="480"/>
        <w:jc w:val="left"/>
      </w:pPr>
      <w:r>
        <w:rPr/>
        <w:t>（</w:t>
      </w:r>
      <w:r>
        <w:rPr>
          <w:rFonts w:ascii="宋体" w:hAnsi="宋体" w:cs="宋体" w:eastAsia="宋体" w:hint="default"/>
        </w:rPr>
        <w:t>2</w:t>
      </w:r>
      <w:r>
        <w:rPr/>
        <w:t>）后续计量及损益确认方法 </w:t>
      </w:r>
      <w:r>
        <w:rPr>
          <w:spacing w:val="-2"/>
        </w:rPr>
        <w:t>本公司对子公司的投资采用成本法核算；对联营企业和合营企业的投资采用权益</w:t>
      </w:r>
    </w:p>
    <w:p>
      <w:pPr>
        <w:pStyle w:val="BodyText"/>
        <w:spacing w:line="223" w:lineRule="exact"/>
        <w:ind w:right="119"/>
        <w:jc w:val="left"/>
      </w:pPr>
      <w:r>
        <w:rPr/>
        <w:t>法核算。</w:t>
      </w:r>
    </w:p>
    <w:p>
      <w:pPr>
        <w:pStyle w:val="BodyText"/>
        <w:spacing w:line="237" w:lineRule="auto" w:before="120"/>
        <w:ind w:right="235" w:firstLine="480"/>
        <w:jc w:val="both"/>
      </w:pPr>
      <w:r>
        <w:rPr>
          <w:spacing w:val="-2"/>
        </w:rPr>
        <w:t>采用成本法核算的长期股权投资，除取得投资时实际支付的价款或对价中包含的</w:t>
      </w:r>
      <w:r>
        <w:rPr/>
        <w:t> </w:t>
      </w:r>
      <w:r>
        <w:rPr>
          <w:spacing w:val="-2"/>
        </w:rPr>
        <w:t>已宣告但尚未发放的现金股利或利润外，被投资单位宣告分派的现金股利或利润，确</w:t>
      </w:r>
      <w:r>
        <w:rPr>
          <w:spacing w:val="-94"/>
        </w:rPr>
        <w:t> </w:t>
      </w:r>
      <w:r>
        <w:rPr>
          <w:spacing w:val="-94"/>
        </w:rPr>
      </w:r>
      <w:r>
        <w:rPr/>
        <w:t>认为投资收益计入当期损益。</w:t>
      </w:r>
    </w:p>
    <w:p>
      <w:pPr>
        <w:pStyle w:val="BodyText"/>
        <w:spacing w:line="237" w:lineRule="auto" w:before="121"/>
        <w:ind w:right="235" w:firstLine="480"/>
        <w:jc w:val="both"/>
      </w:pPr>
      <w:r>
        <w:rPr>
          <w:spacing w:val="-2"/>
        </w:rPr>
        <w:t>采用权益法核算的长期股权投资，初始投资成本大于投资时应享有被投资单位可</w:t>
      </w:r>
      <w:r>
        <w:rPr/>
        <w:t> </w:t>
      </w:r>
      <w:r>
        <w:rPr>
          <w:spacing w:val="-2"/>
        </w:rPr>
        <w:t>辨认净资产公允价值份额的，不调整长期股权投资的投资成本；初始投资成本小于投</w:t>
      </w:r>
      <w:r>
        <w:rPr>
          <w:spacing w:val="-94"/>
        </w:rPr>
        <w:t> </w:t>
      </w:r>
      <w:r>
        <w:rPr>
          <w:spacing w:val="-94"/>
        </w:rPr>
      </w:r>
      <w:r>
        <w:rPr>
          <w:spacing w:val="-2"/>
        </w:rPr>
        <w:t>资时应享有被投资单位可辨认净资产公允价值份额的，对长期股权投资的账面价值进</w:t>
      </w:r>
      <w:r>
        <w:rPr>
          <w:spacing w:val="-94"/>
        </w:rPr>
        <w:t> </w:t>
      </w:r>
      <w:r>
        <w:rPr>
          <w:spacing w:val="-94"/>
        </w:rPr>
      </w:r>
      <w:r>
        <w:rPr/>
        <w:t>行调整，差额计入投资当期的损益。</w:t>
      </w:r>
    </w:p>
    <w:p>
      <w:pPr>
        <w:pStyle w:val="BodyText"/>
        <w:spacing w:line="237" w:lineRule="auto" w:before="121"/>
        <w:ind w:right="0" w:firstLine="480"/>
        <w:jc w:val="left"/>
      </w:pPr>
      <w:r>
        <w:rPr/>
        <w:t>采用权益法核算时，按照应享有或应分担的被投资单位实现的净损益和其他综合 </w:t>
      </w:r>
      <w:r>
        <w:rPr>
          <w:spacing w:val="-5"/>
        </w:rPr>
        <w:t>收益的份额，分别确认投资收益和其他综合收益，同时调整长期股权投资的账面价值；</w:t>
      </w:r>
      <w:r>
        <w:rPr>
          <w:spacing w:val="-98"/>
        </w:rPr>
        <w:t> </w:t>
      </w:r>
      <w:r>
        <w:rPr>
          <w:spacing w:val="-98"/>
        </w:rPr>
      </w:r>
      <w:r>
        <w:rPr/>
        <w:t>按照被投资单位宣告分派的利润或现金股利计算应享有的部分，相应减少长期股权投</w:t>
      </w:r>
      <w:r>
        <w:rPr/>
        <w:t> 资的账面价值；被投资单位除净损益、其他综合收益和利润分配以外所有者权益的其 他变动，调整长期股权投资的账面价值并计入所有者权益。在确认应享有被投资单位 净损益的份额时，以取得投资时被投资单位各项可辨认资产等的公允价值为基础，并 按照本集团的会计政策及会计期间，对被投资单位的净利润进行调整后确认。</w:t>
      </w:r>
    </w:p>
    <w:p>
      <w:pPr>
        <w:pStyle w:val="BodyText"/>
        <w:spacing w:line="237" w:lineRule="auto" w:before="118"/>
        <w:ind w:right="235" w:firstLine="480"/>
        <w:jc w:val="both"/>
      </w:pPr>
      <w:r>
        <w:rPr>
          <w:spacing w:val="4"/>
        </w:rPr>
        <w:t>因追加投资等原因能够对被投资单位施加重大影响或实施共同控制但不构成控</w:t>
      </w:r>
      <w:r>
        <w:rPr/>
        <w:t> </w:t>
      </w:r>
      <w:r>
        <w:rPr>
          <w:spacing w:val="-2"/>
        </w:rPr>
        <w:t>制的，按照原持有的股权投资的公允价值加上新增投资成本之和，作为改按权益法核</w:t>
      </w:r>
      <w:r>
        <w:rPr>
          <w:spacing w:val="-94"/>
        </w:rPr>
        <w:t> </w:t>
      </w:r>
      <w:r>
        <w:rPr>
          <w:spacing w:val="-94"/>
        </w:rPr>
      </w:r>
      <w:r>
        <w:rPr>
          <w:spacing w:val="-2"/>
        </w:rPr>
        <w:t>算的初始投资成本。原股权于转换日的公允价值与账面价值之间的差额，以及原计入</w:t>
      </w:r>
      <w:r>
        <w:rPr>
          <w:spacing w:val="-95"/>
        </w:rPr>
        <w:t> </w:t>
      </w:r>
      <w:r>
        <w:rPr>
          <w:spacing w:val="-95"/>
        </w:rPr>
      </w:r>
      <w:r>
        <w:rPr/>
        <w:t>其他综合收益的累计公允价值变动转入改按权益法核算的当期损益。</w:t>
      </w:r>
    </w:p>
    <w:p>
      <w:pPr>
        <w:spacing w:after="0" w:line="237" w:lineRule="auto"/>
        <w:jc w:val="both"/>
        <w:sectPr>
          <w:footerReference w:type="default" r:id="rId45"/>
          <w:pgSz w:w="11910" w:h="16840"/>
          <w:pgMar w:footer="1195" w:header="882" w:top="1120" w:bottom="1380" w:left="1140" w:right="1560"/>
          <w:pgNumType w:start="101"/>
        </w:sectPr>
      </w:pPr>
    </w:p>
    <w:p>
      <w:pPr>
        <w:spacing w:line="240" w:lineRule="auto" w:before="13"/>
        <w:rPr>
          <w:rFonts w:ascii="宋体" w:hAnsi="宋体" w:cs="宋体" w:eastAsia="宋体" w:hint="default"/>
          <w:sz w:val="18"/>
          <w:szCs w:val="18"/>
        </w:rPr>
      </w:pPr>
    </w:p>
    <w:p>
      <w:pPr>
        <w:pStyle w:val="BodyText"/>
        <w:spacing w:line="237" w:lineRule="auto" w:before="28"/>
        <w:ind w:right="113" w:firstLine="480"/>
        <w:jc w:val="both"/>
      </w:pPr>
      <w:r>
        <w:rPr>
          <w:spacing w:val="-2"/>
        </w:rPr>
        <w:t>因处置部分股权投资等原因丧失了对被投资单位的共同控制或重大影响的，处置</w:t>
      </w:r>
      <w:r>
        <w:rPr/>
        <w:t> 后的剩余股权在丧失共同控制或重大影响之日改按《企业会计准则第 </w:t>
      </w:r>
      <w:r>
        <w:rPr>
          <w:rFonts w:ascii="宋体" w:hAnsi="宋体" w:cs="宋体" w:eastAsia="宋体" w:hint="default"/>
        </w:rPr>
        <w:t>22</w:t>
      </w:r>
      <w:r>
        <w:rPr>
          <w:rFonts w:ascii="宋体" w:hAnsi="宋体" w:cs="宋体" w:eastAsia="宋体" w:hint="default"/>
          <w:spacing w:val="-48"/>
        </w:rPr>
        <w:t> </w:t>
      </w:r>
      <w:r>
        <w:rPr/>
        <w:t>号—金融工 </w:t>
      </w:r>
      <w:r>
        <w:rPr>
          <w:spacing w:val="-2"/>
        </w:rPr>
        <w:t>具确认和计量》进行会计处理，公允价值与账面价值之间的差额计入当期损益。原股</w:t>
      </w:r>
      <w:r>
        <w:rPr>
          <w:spacing w:val="-96"/>
        </w:rPr>
        <w:t> </w:t>
      </w:r>
      <w:r>
        <w:rPr>
          <w:spacing w:val="-96"/>
        </w:rPr>
      </w:r>
      <w:r>
        <w:rPr>
          <w:spacing w:val="-2"/>
        </w:rPr>
        <w:t>权投资因采用权益法核算而确认的其他综合收益，在终止采用权益法核算时采用与被</w:t>
      </w:r>
      <w:r>
        <w:rPr>
          <w:spacing w:val="-94"/>
        </w:rPr>
        <w:t> </w:t>
      </w:r>
      <w:r>
        <w:rPr>
          <w:spacing w:val="-94"/>
        </w:rPr>
      </w:r>
      <w:r>
        <w:rPr>
          <w:spacing w:val="-2"/>
        </w:rPr>
        <w:t>投资单位直接处置相关资产或负债相同的基础进行会计处理；原股权投资相关的其他</w:t>
      </w:r>
      <w:r>
        <w:rPr>
          <w:spacing w:val="-94"/>
        </w:rPr>
        <w:t> </w:t>
      </w:r>
      <w:r>
        <w:rPr>
          <w:spacing w:val="-94"/>
        </w:rPr>
      </w:r>
      <w:r>
        <w:rPr/>
        <w:t>所有者权益变动转入当期损益。</w:t>
      </w:r>
    </w:p>
    <w:p>
      <w:pPr>
        <w:pStyle w:val="BodyText"/>
        <w:spacing w:line="237" w:lineRule="auto" w:before="121"/>
        <w:ind w:right="114" w:firstLine="480"/>
        <w:jc w:val="both"/>
      </w:pPr>
      <w:r>
        <w:rPr>
          <w:spacing w:val="-2"/>
        </w:rPr>
        <w:t>因处置部分股权投资等原因丧失了对被投资单位的控制的，处置后的剩余股权能</w:t>
      </w:r>
      <w:r>
        <w:rPr/>
        <w:t> </w:t>
      </w:r>
      <w:r>
        <w:rPr>
          <w:spacing w:val="-2"/>
        </w:rPr>
        <w:t>够对被投资单位实施共同控制或施加重大影响的，改按权益法核算，并对该剩余股权</w:t>
      </w:r>
      <w:r>
        <w:rPr>
          <w:spacing w:val="-94"/>
        </w:rPr>
        <w:t> </w:t>
      </w:r>
      <w:r>
        <w:rPr>
          <w:spacing w:val="-94"/>
        </w:rPr>
      </w:r>
      <w:r>
        <w:rPr>
          <w:spacing w:val="-2"/>
        </w:rPr>
        <w:t>视同自取得时即采用权益法核算进行调整；处置后的剩余股权不能对被投资单位实施</w:t>
      </w:r>
      <w:r>
        <w:rPr>
          <w:spacing w:val="-94"/>
        </w:rPr>
        <w:t> </w:t>
      </w:r>
      <w:r>
        <w:rPr>
          <w:spacing w:val="-94"/>
        </w:rPr>
      </w:r>
      <w:r>
        <w:rPr/>
        <w:t>共同控制或施加重大影响的，改按《企业会计准则第 </w:t>
      </w:r>
      <w:r>
        <w:rPr>
          <w:rFonts w:ascii="宋体" w:hAnsi="宋体" w:cs="宋体" w:eastAsia="宋体" w:hint="default"/>
        </w:rPr>
        <w:t>22</w:t>
      </w:r>
      <w:r>
        <w:rPr>
          <w:rFonts w:ascii="宋体" w:hAnsi="宋体" w:cs="宋体" w:eastAsia="宋体" w:hint="default"/>
          <w:spacing w:val="-48"/>
        </w:rPr>
        <w:t> </w:t>
      </w:r>
      <w:r>
        <w:rPr/>
        <w:t>号—金融工具确认和计量》 </w:t>
      </w:r>
      <w:r>
        <w:rPr>
          <w:spacing w:val="-2"/>
        </w:rPr>
        <w:t>的有关规定进行会计处理，其在丧失控制之日的公允价值与账面价值间的差额计入当</w:t>
      </w:r>
      <w:r>
        <w:rPr>
          <w:spacing w:val="-94"/>
        </w:rPr>
        <w:t> </w:t>
      </w:r>
      <w:r>
        <w:rPr>
          <w:spacing w:val="-94"/>
        </w:rPr>
      </w:r>
      <w:r>
        <w:rPr/>
        <w:t>期损益。</w:t>
      </w:r>
    </w:p>
    <w:p>
      <w:pPr>
        <w:pStyle w:val="BodyText"/>
        <w:spacing w:line="237" w:lineRule="auto" w:before="118"/>
        <w:ind w:right="115" w:firstLine="480"/>
        <w:jc w:val="both"/>
      </w:pPr>
      <w:r>
        <w:rPr>
          <w:spacing w:val="-2"/>
        </w:rPr>
        <w:t>因其他投资方增资而导致本公司持股比例下降、从而丧失控制权但能对被投资单</w:t>
      </w:r>
      <w:r>
        <w:rPr/>
        <w:t> </w:t>
      </w:r>
      <w:r>
        <w:rPr>
          <w:spacing w:val="-2"/>
        </w:rPr>
        <w:t>位实施共同控制或施加重大影响的，按照新的持股比例确认本公司应享有的被投资单</w:t>
      </w:r>
      <w:r>
        <w:rPr>
          <w:spacing w:val="-94"/>
        </w:rPr>
        <w:t> </w:t>
      </w:r>
      <w:r>
        <w:rPr>
          <w:spacing w:val="-94"/>
        </w:rPr>
      </w:r>
      <w:r>
        <w:rPr>
          <w:spacing w:val="-2"/>
        </w:rPr>
        <w:t>位因增资扩股而增加净资产的份额，与应结转持股比例下降部分所对应的长期股权投</w:t>
      </w:r>
      <w:r>
        <w:rPr>
          <w:spacing w:val="-94"/>
        </w:rPr>
        <w:t> </w:t>
      </w:r>
      <w:r>
        <w:rPr>
          <w:spacing w:val="-94"/>
        </w:rPr>
      </w:r>
      <w:r>
        <w:rPr>
          <w:spacing w:val="-2"/>
        </w:rPr>
        <w:t>资原账面价值之间的差额计入当期损益；然后，按照新的持股比例视同自取得投资时</w:t>
      </w:r>
      <w:r>
        <w:rPr>
          <w:spacing w:val="-95"/>
        </w:rPr>
        <w:t> </w:t>
      </w:r>
      <w:r>
        <w:rPr>
          <w:spacing w:val="-95"/>
        </w:rPr>
      </w:r>
      <w:r>
        <w:rPr/>
        <w:t>即采用权益法核算进行调整。</w:t>
      </w:r>
    </w:p>
    <w:p>
      <w:pPr>
        <w:pStyle w:val="BodyText"/>
        <w:spacing w:line="237" w:lineRule="auto" w:before="121"/>
        <w:ind w:right="115" w:firstLine="480"/>
        <w:jc w:val="both"/>
      </w:pPr>
      <w:r>
        <w:rPr>
          <w:spacing w:val="4"/>
        </w:rPr>
        <w:t>本集团与联营企业及合营企业之间发生的未实现内部交易损益按照持股比例计</w:t>
      </w:r>
      <w:r>
        <w:rPr/>
        <w:t> </w:t>
      </w:r>
      <w:r>
        <w:rPr>
          <w:spacing w:val="-2"/>
        </w:rPr>
        <w:t>算归属于本集团的部分，在抵销基础上确认投资损益。但本集团与被投资单位发生的</w:t>
      </w:r>
      <w:r>
        <w:rPr>
          <w:spacing w:val="-94"/>
        </w:rPr>
        <w:t> </w:t>
      </w:r>
      <w:r>
        <w:rPr>
          <w:spacing w:val="-94"/>
        </w:rPr>
      </w:r>
      <w:r>
        <w:rPr/>
        <w:t>未实现内部交易损失，属于所转让资产减值损失的，不予以抵销。</w:t>
      </w:r>
    </w:p>
    <w:p>
      <w:pPr>
        <w:pStyle w:val="BodyText"/>
        <w:spacing w:line="328" w:lineRule="auto" w:before="118"/>
        <w:ind w:left="617" w:right="0" w:hanging="480"/>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w:t>
      </w:r>
    </w:p>
    <w:p>
      <w:pPr>
        <w:pStyle w:val="BodyText"/>
        <w:spacing w:line="222" w:lineRule="exact"/>
        <w:ind w:right="0"/>
        <w:jc w:val="both"/>
      </w:pPr>
      <w:r>
        <w:rPr/>
        <w:t>必须经过分享控制权的参与方一致同意后才能决策。在判断是否存在共同控制时，首</w:t>
      </w:r>
    </w:p>
    <w:p>
      <w:pPr>
        <w:pStyle w:val="BodyText"/>
        <w:spacing w:line="237" w:lineRule="auto" w:before="1"/>
        <w:ind w:right="114"/>
        <w:jc w:val="both"/>
      </w:pPr>
      <w:r>
        <w:rPr>
          <w:spacing w:val="-2"/>
        </w:rPr>
        <w:t>先判断所有参与方或参与方组合是否集体控制该安排，如果所有参与方或一组参与方</w:t>
      </w:r>
      <w:r>
        <w:rPr>
          <w:spacing w:val="-94"/>
        </w:rPr>
        <w:t> </w:t>
      </w:r>
      <w:r>
        <w:rPr>
          <w:spacing w:val="-94"/>
        </w:rPr>
      </w:r>
      <w:r>
        <w:rPr>
          <w:spacing w:val="-2"/>
        </w:rPr>
        <w:t>必须一致行动才能决定某项安排的相关活动，则认为所有参与方或一组参与方集体控</w:t>
      </w:r>
      <w:r>
        <w:rPr>
          <w:spacing w:val="-94"/>
        </w:rPr>
        <w:t> </w:t>
      </w:r>
      <w:r>
        <w:rPr>
          <w:spacing w:val="-94"/>
        </w:rPr>
      </w:r>
      <w:r>
        <w:rPr>
          <w:spacing w:val="-2"/>
        </w:rPr>
        <w:t>制该安排。其次再判断该安排相关活动的决策是否必须经过这些集体控制该安排的参</w:t>
      </w:r>
      <w:r>
        <w:rPr>
          <w:spacing w:val="-94"/>
        </w:rPr>
        <w:t> </w:t>
      </w:r>
      <w:r>
        <w:rPr>
          <w:spacing w:val="-94"/>
        </w:rPr>
      </w:r>
      <w:r>
        <w:rPr>
          <w:spacing w:val="-2"/>
        </w:rPr>
        <w:t>与方一致同意。如果存在两个或两个以上的参与方组合能够集体控制某项安排的，不</w:t>
      </w:r>
      <w:r>
        <w:rPr>
          <w:spacing w:val="-94"/>
        </w:rPr>
        <w:t> </w:t>
      </w:r>
      <w:r>
        <w:rPr>
          <w:spacing w:val="-94"/>
        </w:rPr>
      </w:r>
      <w:r>
        <w:rPr/>
        <w:t>构成共同控制。判断是否存在共同控制时，不考虑享有的保护性权利。</w:t>
      </w:r>
    </w:p>
    <w:p>
      <w:pPr>
        <w:pStyle w:val="BodyText"/>
        <w:spacing w:line="237" w:lineRule="auto" w:before="118"/>
        <w:ind w:right="114" w:firstLine="480"/>
        <w:jc w:val="both"/>
      </w:pPr>
      <w:r>
        <w:rPr>
          <w:spacing w:val="-2"/>
        </w:rPr>
        <w:t>重大影响，是指投资方对被投资单位的财务和经营政策有参与决策的权力，但并</w:t>
      </w:r>
      <w:r>
        <w:rPr/>
        <w:t> </w:t>
      </w:r>
      <w:r>
        <w:rPr>
          <w:spacing w:val="-2"/>
        </w:rPr>
        <w:t>不能够控制或者与其他方一起共同控制这些政策的制定。在确定能否对被投资单位施</w:t>
      </w:r>
      <w:r>
        <w:rPr>
          <w:spacing w:val="-94"/>
        </w:rPr>
        <w:t> </w:t>
      </w:r>
      <w:r>
        <w:rPr>
          <w:spacing w:val="-94"/>
        </w:rPr>
      </w:r>
      <w:r>
        <w:rPr>
          <w:spacing w:val="-2"/>
        </w:rPr>
        <w:t>加重大影响时，考虑投资方直接或间接持有被投资单位的表决权股份以及投资方及其</w:t>
      </w:r>
      <w:r>
        <w:rPr>
          <w:spacing w:val="-94"/>
        </w:rPr>
        <w:t> </w:t>
      </w:r>
      <w:r>
        <w:rPr>
          <w:spacing w:val="-94"/>
        </w:rPr>
      </w:r>
      <w:r>
        <w:rPr>
          <w:spacing w:val="4"/>
        </w:rPr>
        <w:t>他方持有的当期可执行潜在表决权在假定转换为对被投资方单位的股权后产生的影</w:t>
      </w:r>
      <w:r>
        <w:rPr>
          <w:spacing w:val="-105"/>
        </w:rPr>
        <w:t> </w:t>
      </w:r>
      <w:r>
        <w:rPr>
          <w:spacing w:val="-105"/>
        </w:rPr>
      </w:r>
      <w:r>
        <w:rPr>
          <w:spacing w:val="-2"/>
        </w:rPr>
        <w:t>响，包括被投资单位发行的当期可转换的认股权证、股份期权及可转换公司债券等的</w:t>
      </w:r>
      <w:r>
        <w:rPr>
          <w:spacing w:val="-94"/>
        </w:rPr>
        <w:t> </w:t>
      </w:r>
      <w:r>
        <w:rPr>
          <w:spacing w:val="-94"/>
        </w:rPr>
      </w:r>
      <w:r>
        <w:rPr/>
        <w:t>影响。</w:t>
      </w:r>
    </w:p>
    <w:p>
      <w:pPr>
        <w:pStyle w:val="BodyText"/>
        <w:spacing w:line="237" w:lineRule="auto" w:before="118"/>
        <w:ind w:right="107" w:firstLine="480"/>
        <w:jc w:val="both"/>
      </w:pPr>
      <w:r>
        <w:rPr/>
        <w:t>当本公司直接或通过子公司间接拥有被投资单位 </w:t>
      </w:r>
      <w:r>
        <w:rPr>
          <w:rFonts w:ascii="宋体" w:hAnsi="宋体" w:cs="宋体" w:eastAsia="宋体" w:hint="default"/>
        </w:rPr>
        <w:t>20%</w:t>
      </w:r>
      <w:r>
        <w:rPr/>
        <w:t>（含 </w:t>
      </w:r>
      <w:r>
        <w:rPr>
          <w:rFonts w:ascii="宋体" w:hAnsi="宋体" w:cs="宋体" w:eastAsia="宋体" w:hint="default"/>
        </w:rPr>
        <w:t>20%</w:t>
      </w:r>
      <w:r>
        <w:rPr/>
        <w:t>）以上但低于</w:t>
      </w:r>
      <w:r>
        <w:rPr>
          <w:spacing w:val="-48"/>
        </w:rPr>
        <w:t> </w:t>
      </w:r>
      <w:r>
        <w:rPr>
          <w:rFonts w:ascii="宋体" w:hAnsi="宋体" w:cs="宋体" w:eastAsia="宋体" w:hint="default"/>
        </w:rPr>
        <w:t>50% </w:t>
      </w:r>
      <w:r>
        <w:rPr>
          <w:spacing w:val="-2"/>
        </w:rPr>
        <w:t>的表决权股份时，一般认为对被投资单位具有重大影响，除非有明确证据表明该种情</w:t>
      </w:r>
      <w:r>
        <w:rPr>
          <w:spacing w:val="-95"/>
        </w:rPr>
        <w:t> </w:t>
      </w:r>
      <w:r>
        <w:rPr>
          <w:spacing w:val="-95"/>
        </w:rPr>
      </w:r>
      <w:r>
        <w:rPr>
          <w:spacing w:val="-2"/>
        </w:rPr>
        <w:t>况下不能参与被投资单位的生产经营决策，不形成重大影响；本公司拥有被投资单位</w:t>
      </w:r>
      <w:r>
        <w:rPr>
          <w:spacing w:val="-94"/>
        </w:rPr>
        <w:t> </w:t>
      </w:r>
      <w:r>
        <w:rPr>
          <w:spacing w:val="-94"/>
        </w:rPr>
      </w:r>
      <w:r>
        <w:rPr>
          <w:rFonts w:ascii="宋体" w:hAnsi="宋体" w:cs="宋体" w:eastAsia="宋体" w:hint="default"/>
        </w:rPr>
        <w:t>20%</w:t>
      </w:r>
      <w:r>
        <w:rPr/>
        <w:t>（不含）以下的表决权股份，一般不认为对被投资单位具有重大影响，除非有明</w:t>
      </w:r>
      <w:r>
        <w:rPr>
          <w:spacing w:val="-55"/>
        </w:rPr>
        <w:t> </w:t>
      </w:r>
      <w:r>
        <w:rPr>
          <w:spacing w:val="-55"/>
        </w:rPr>
      </w:r>
      <w:r>
        <w:rPr/>
        <w:t>确证据表明该种情况下能够参与被投资单位的生产经营决策，形成重大影响。</w:t>
      </w:r>
    </w:p>
    <w:p>
      <w:pPr>
        <w:pStyle w:val="BodyText"/>
        <w:spacing w:line="240" w:lineRule="auto" w:before="118"/>
        <w:ind w:right="0"/>
        <w:jc w:val="both"/>
      </w:pPr>
      <w:r>
        <w:rPr/>
        <w:t>（</w:t>
      </w:r>
      <w:r>
        <w:rPr>
          <w:rFonts w:ascii="宋体" w:hAnsi="宋体" w:cs="宋体" w:eastAsia="宋体" w:hint="default"/>
        </w:rPr>
        <w:t>4</w:t>
      </w:r>
      <w:r>
        <w:rPr/>
        <w:t>）减值测试方法及减值准备计提方法</w:t>
      </w:r>
    </w:p>
    <w:p>
      <w:pPr>
        <w:spacing w:after="0" w:line="240" w:lineRule="auto"/>
        <w:jc w:val="both"/>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pStyle w:val="BodyText"/>
        <w:spacing w:line="312" w:lineRule="exact" w:before="56"/>
        <w:ind w:left="217" w:right="102" w:firstLine="480"/>
        <w:jc w:val="left"/>
      </w:pPr>
      <w:r>
        <w:rPr/>
        <w:t>对子公司、联营企业及合营企业的投资，本集团计提资产减值的方法见附注五、 </w:t>
      </w:r>
      <w:r>
        <w:rPr>
          <w:rFonts w:ascii="宋体" w:hAnsi="宋体" w:cs="宋体" w:eastAsia="宋体" w:hint="default"/>
        </w:rPr>
        <w:t>21</w:t>
      </w:r>
      <w:r>
        <w:rPr/>
        <w:t>。</w:t>
      </w:r>
    </w:p>
    <w:p>
      <w:pPr>
        <w:spacing w:line="240" w:lineRule="auto" w:before="1"/>
        <w:rPr>
          <w:rFonts w:ascii="宋体" w:hAnsi="宋体" w:cs="宋体" w:eastAsia="宋体" w:hint="default"/>
          <w:sz w:val="35"/>
          <w:szCs w:val="35"/>
        </w:rPr>
      </w:pPr>
    </w:p>
    <w:p>
      <w:pPr>
        <w:spacing w:line="300" w:lineRule="auto" w:before="0"/>
        <w:ind w:left="697" w:right="221" w:hanging="480"/>
        <w:jc w:val="left"/>
        <w:rPr>
          <w:rFonts w:ascii="宋体" w:hAnsi="宋体" w:cs="宋体" w:eastAsia="宋体" w:hint="default"/>
          <w:sz w:val="24"/>
          <w:szCs w:val="24"/>
        </w:rPr>
      </w:pPr>
      <w:r>
        <w:rPr>
          <w:rFonts w:ascii="Calibri" w:hAnsi="Calibri" w:cs="Calibri" w:eastAsia="Calibri" w:hint="default"/>
          <w:b/>
          <w:bCs/>
          <w:sz w:val="24"/>
          <w:szCs w:val="24"/>
        </w:rPr>
        <w:t>15.</w:t>
      </w:r>
      <w:r>
        <w:rPr>
          <w:rFonts w:ascii="Calibri" w:hAnsi="Calibri" w:cs="Calibri" w:eastAsia="Calibri" w:hint="default"/>
          <w:b/>
          <w:bCs/>
          <w:spacing w:val="6"/>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pacing w:val="-2"/>
          <w:sz w:val="24"/>
          <w:szCs w:val="24"/>
        </w:rPr>
        <w:t>投资性房地产是指为赚取租金或资本增值，或两者兼有而持有的房地产。本集团</w:t>
      </w:r>
    </w:p>
    <w:p>
      <w:pPr>
        <w:pStyle w:val="BodyText"/>
        <w:spacing w:line="250" w:lineRule="exact"/>
        <w:ind w:left="217" w:right="2569"/>
        <w:jc w:val="left"/>
      </w:pPr>
      <w:r>
        <w:rPr/>
        <w:t>投资性房地产包括已出租的建筑物。</w:t>
      </w:r>
    </w:p>
    <w:p>
      <w:pPr>
        <w:tabs>
          <w:tab w:pos="1057" w:val="left" w:leader="none"/>
        </w:tabs>
        <w:spacing w:line="283" w:lineRule="auto" w:before="118"/>
        <w:ind w:left="217" w:right="5336"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如果采用成本计量模式的：</w:t>
      </w:r>
      <w:r>
        <w:rPr>
          <w:rFonts w:ascii="宋体" w:hAnsi="宋体" w:cs="宋体" w:eastAsia="宋体" w:hint="default"/>
          <w:b/>
          <w:bCs/>
          <w:w w:val="99"/>
          <w:sz w:val="24"/>
          <w:szCs w:val="24"/>
        </w:rPr>
        <w:t> </w:t>
      </w:r>
      <w:r>
        <w:rPr>
          <w:rFonts w:ascii="宋体" w:hAnsi="宋体" w:cs="宋体" w:eastAsia="宋体" w:hint="default"/>
          <w:sz w:val="24"/>
          <w:szCs w:val="24"/>
        </w:rPr>
        <w:t>折旧或摊销方法</w:t>
      </w:r>
    </w:p>
    <w:p>
      <w:pPr>
        <w:pStyle w:val="BodyText"/>
        <w:spacing w:line="310" w:lineRule="exact" w:before="107"/>
        <w:ind w:left="217" w:right="221" w:firstLine="480"/>
        <w:jc w:val="left"/>
      </w:pPr>
      <w:r>
        <w:rPr>
          <w:spacing w:val="-2"/>
        </w:rPr>
        <w:t>本集团投资性房地产按照取得时的成本进行初始计量，并按照固定资产或无形资</w:t>
      </w:r>
      <w:r>
        <w:rPr/>
        <w:t> 产的有关规定，按期计提折旧或摊销。</w:t>
      </w:r>
    </w:p>
    <w:p>
      <w:pPr>
        <w:pStyle w:val="BodyText"/>
        <w:spacing w:line="331" w:lineRule="auto" w:before="89"/>
        <w:ind w:left="697" w:right="102"/>
        <w:jc w:val="left"/>
      </w:pPr>
      <w:r>
        <w:rPr/>
        <w:t>采用成本模式进行后续计量的投资性房地产，计提资产减值方法见附注五、</w:t>
      </w:r>
      <w:r>
        <w:rPr>
          <w:rFonts w:ascii="宋体" w:hAnsi="宋体" w:cs="宋体" w:eastAsia="宋体" w:hint="default"/>
        </w:rPr>
        <w:t>21</w:t>
      </w:r>
      <w:r>
        <w:rPr/>
        <w:t>。</w:t>
      </w:r>
      <w:r>
        <w:rPr>
          <w:spacing w:val="-56"/>
        </w:rPr>
        <w:t> </w:t>
      </w:r>
      <w:r>
        <w:rPr/>
        <w:t>投资性房地产出售、转让、报废或毁损的处置收入扣除其账面价值和相关税费后</w:t>
      </w:r>
    </w:p>
    <w:p>
      <w:pPr>
        <w:pStyle w:val="BodyText"/>
        <w:spacing w:line="218" w:lineRule="exact"/>
        <w:ind w:left="217" w:right="2569"/>
        <w:jc w:val="left"/>
      </w:pPr>
      <w:r>
        <w:rPr/>
        <w:t>的差额计入当期损益。</w:t>
      </w:r>
    </w:p>
    <w:p>
      <w:pPr>
        <w:spacing w:line="240" w:lineRule="auto" w:before="0"/>
        <w:rPr>
          <w:rFonts w:ascii="宋体" w:hAnsi="宋体" w:cs="宋体" w:eastAsia="宋体" w:hint="default"/>
          <w:sz w:val="24"/>
          <w:szCs w:val="24"/>
        </w:rPr>
      </w:pPr>
    </w:p>
    <w:p>
      <w:pPr>
        <w:pStyle w:val="Heading2"/>
        <w:spacing w:line="240" w:lineRule="auto" w:before="176"/>
        <w:ind w:right="2569"/>
        <w:jc w:val="left"/>
        <w:rPr>
          <w:b w:val="0"/>
          <w:bCs w:val="0"/>
        </w:rPr>
      </w:pPr>
      <w:r>
        <w:rPr>
          <w:rFonts w:ascii="Calibri" w:hAnsi="Calibri" w:cs="Calibri" w:eastAsia="Calibri" w:hint="default"/>
        </w:rPr>
        <w:t>16. </w:t>
      </w:r>
      <w:r>
        <w:rPr>
          <w:rFonts w:ascii="Calibri" w:hAnsi="Calibri" w:cs="Calibri" w:eastAsia="Calibri" w:hint="default"/>
          <w:spacing w:val="7"/>
        </w:rPr>
        <w:t> </w:t>
      </w:r>
      <w:r>
        <w:rPr/>
        <w:t>固定资产</w:t>
      </w:r>
      <w:r>
        <w:rPr>
          <w:b w:val="0"/>
          <w:bCs w:val="0"/>
        </w:rPr>
      </w:r>
    </w:p>
    <w:p>
      <w:pPr>
        <w:tabs>
          <w:tab w:pos="1057" w:val="left" w:leader="none"/>
        </w:tabs>
        <w:spacing w:line="283" w:lineRule="auto" w:before="25"/>
        <w:ind w:left="697" w:right="235" w:hanging="48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确认条件</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本集团固定资产是指为生产商品、提供劳务、出租或经营管理而持有的，使用寿</w:t>
      </w:r>
    </w:p>
    <w:p>
      <w:pPr>
        <w:pStyle w:val="BodyText"/>
        <w:spacing w:line="269" w:lineRule="exact"/>
        <w:ind w:left="217" w:right="2569"/>
        <w:jc w:val="left"/>
      </w:pPr>
      <w:r>
        <w:rPr/>
        <w:t>命超过一个会计年度的有形资产。</w:t>
      </w:r>
    </w:p>
    <w:p>
      <w:pPr>
        <w:pStyle w:val="BodyText"/>
        <w:spacing w:line="312" w:lineRule="exact" w:before="146"/>
        <w:ind w:left="217" w:right="221" w:firstLine="480"/>
        <w:jc w:val="left"/>
      </w:pPr>
      <w:r>
        <w:rPr>
          <w:spacing w:val="-2"/>
        </w:rPr>
        <w:t>与该固定资产有关的经济利益很可能流入企业，并且该固定资产的成本能够可靠</w:t>
      </w:r>
      <w:r>
        <w:rPr/>
        <w:t> 地计量时，固定资产才能予以确认。</w:t>
      </w:r>
    </w:p>
    <w:p>
      <w:pPr>
        <w:pStyle w:val="BodyText"/>
        <w:spacing w:line="240" w:lineRule="auto" w:before="89"/>
        <w:ind w:left="697" w:right="2569"/>
        <w:jc w:val="left"/>
      </w:pPr>
      <w:r>
        <w:rPr/>
        <w:t>本集团固定资产按照取得时的实际成本进行初始计量。</w:t>
      </w:r>
    </w:p>
    <w:p>
      <w:pPr>
        <w:spacing w:line="240" w:lineRule="auto" w:before="0"/>
        <w:rPr>
          <w:rFonts w:ascii="宋体" w:hAnsi="宋体" w:cs="宋体" w:eastAsia="宋体" w:hint="default"/>
          <w:sz w:val="24"/>
          <w:szCs w:val="24"/>
        </w:rPr>
      </w:pPr>
    </w:p>
    <w:p>
      <w:pPr>
        <w:tabs>
          <w:tab w:pos="1057" w:val="left" w:leader="none"/>
        </w:tabs>
        <w:spacing w:line="283" w:lineRule="auto" w:before="173"/>
        <w:ind w:left="697" w:right="235" w:hanging="480"/>
        <w:jc w:val="left"/>
        <w:rPr>
          <w:rFonts w:ascii="宋体" w:hAnsi="宋体" w:cs="宋体" w:eastAsia="宋体" w:hint="default"/>
          <w:sz w:val="24"/>
          <w:szCs w:val="24"/>
        </w:rPr>
      </w:pPr>
      <w:r>
        <w:rPr>
          <w:rFonts w:ascii="宋体" w:hAnsi="宋体" w:cs="宋体" w:eastAsia="宋体" w:hint="default"/>
          <w:b/>
          <w:bCs/>
          <w:sz w:val="24"/>
          <w:szCs w:val="24"/>
        </w:rPr>
        <w:t>(2).</w:t>
        <w:tab/>
      </w:r>
      <w:r>
        <w:rPr>
          <w:rFonts w:ascii="宋体" w:hAnsi="宋体" w:cs="宋体" w:eastAsia="宋体" w:hint="default"/>
          <w:b/>
          <w:bCs/>
          <w:sz w:val="24"/>
          <w:szCs w:val="24"/>
        </w:rPr>
        <w:t>折旧方法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本集团采用年限平均法计提折旧。固定资产自达到预定可使用状态时开始计提折</w:t>
      </w:r>
    </w:p>
    <w:p>
      <w:pPr>
        <w:pStyle w:val="BodyText"/>
        <w:spacing w:line="267" w:lineRule="exact"/>
        <w:ind w:left="217" w:right="102"/>
        <w:jc w:val="left"/>
      </w:pPr>
      <w:r>
        <w:rPr/>
        <w:t>旧，终止确认时或划分为持有待售非流动资产时停止计提折旧。在不考虑减值准备的</w:t>
      </w:r>
    </w:p>
    <w:p>
      <w:pPr>
        <w:pStyle w:val="BodyText"/>
        <w:spacing w:line="312" w:lineRule="exact" w:before="28"/>
        <w:ind w:left="217" w:right="221"/>
        <w:jc w:val="left"/>
      </w:pPr>
      <w:r>
        <w:rPr>
          <w:spacing w:val="-2"/>
        </w:rPr>
        <w:t>情况下，按固定资产类别、预计使用寿命和预计残值，本集团确定各类固定资产的年</w:t>
      </w:r>
      <w:r>
        <w:rPr>
          <w:spacing w:val="-94"/>
        </w:rPr>
        <w:t> </w:t>
      </w:r>
      <w:r>
        <w:rPr>
          <w:spacing w:val="-94"/>
        </w:rPr>
      </w:r>
      <w:r>
        <w:rPr/>
        <w:t>折旧率如下：</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4"/>
                <w:sz w:val="21"/>
                <w:szCs w:val="21"/>
              </w:rPr>
              <w:t>个月、</w:t>
            </w:r>
            <w:r>
              <w:rPr>
                <w:rFonts w:ascii="宋体" w:hAnsi="宋体" w:cs="宋体" w:eastAsia="宋体" w:hint="default"/>
                <w:spacing w:val="-4"/>
                <w:sz w:val="21"/>
                <w:szCs w:val="21"/>
              </w:rPr>
              <w:t>40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2.375-2.643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18.00-33.33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18.00-33.33</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18.00-20.00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10.00-50.00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19.00-20.00</w:t>
            </w:r>
          </w:p>
        </w:tc>
      </w:tr>
    </w:tbl>
    <w:p>
      <w:pPr>
        <w:spacing w:line="240" w:lineRule="auto" w:before="12"/>
        <w:rPr>
          <w:rFonts w:ascii="宋体" w:hAnsi="宋体" w:cs="宋体" w:eastAsia="宋体" w:hint="default"/>
          <w:sz w:val="4"/>
          <w:szCs w:val="4"/>
        </w:rPr>
      </w:pPr>
    </w:p>
    <w:p>
      <w:pPr>
        <w:pStyle w:val="BodyText"/>
        <w:spacing w:line="240" w:lineRule="auto" w:before="26"/>
        <w:ind w:left="217" w:right="221" w:firstLine="480"/>
        <w:jc w:val="left"/>
      </w:pPr>
      <w:r>
        <w:rPr>
          <w:spacing w:val="-2"/>
        </w:rPr>
        <w:t>其中，已计提减值准备的固定资产，还应扣除已计提的固定资产减值准备累计金</w:t>
      </w:r>
      <w:r>
        <w:rPr/>
        <w:t> 额计算确定折旧率。</w:t>
      </w:r>
    </w:p>
    <w:p>
      <w:pPr>
        <w:spacing w:after="0" w:line="240" w:lineRule="auto"/>
        <w:jc w:val="left"/>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Heading2"/>
        <w:tabs>
          <w:tab w:pos="977" w:val="left" w:leader="none"/>
        </w:tabs>
        <w:spacing w:line="240" w:lineRule="auto"/>
        <w:ind w:left="137" w:right="352"/>
        <w:jc w:val="left"/>
        <w:rPr>
          <w:b w:val="0"/>
          <w:bCs w:val="0"/>
        </w:rPr>
      </w:pPr>
      <w:r>
        <w:rPr>
          <w:rFonts w:ascii="宋体" w:hAnsi="宋体" w:cs="宋体" w:eastAsia="宋体" w:hint="default"/>
        </w:rPr>
        <w:t>(3).</w:t>
        <w:tab/>
      </w:r>
      <w:r>
        <w:rPr/>
        <w:t>固定资产的减值测试方法、减值准备计提方法见附注五、</w:t>
      </w:r>
      <w:r>
        <w:rPr>
          <w:rFonts w:ascii="Calibri" w:hAnsi="Calibri" w:cs="Calibri" w:eastAsia="Calibri" w:hint="default"/>
        </w:rPr>
        <w:t>21</w:t>
      </w:r>
      <w:r>
        <w:rPr/>
        <w:t>。</w:t>
      </w:r>
      <w:r>
        <w:rPr>
          <w:b w:val="0"/>
          <w:bCs w:val="0"/>
        </w:rPr>
      </w:r>
    </w:p>
    <w:p>
      <w:pPr>
        <w:spacing w:line="240" w:lineRule="auto" w:before="4"/>
        <w:rPr>
          <w:rFonts w:ascii="宋体" w:hAnsi="宋体" w:cs="宋体" w:eastAsia="宋体" w:hint="default"/>
          <w:b/>
          <w:bCs/>
          <w:sz w:val="30"/>
          <w:szCs w:val="30"/>
        </w:rPr>
      </w:pPr>
    </w:p>
    <w:p>
      <w:pPr>
        <w:tabs>
          <w:tab w:pos="977" w:val="left" w:leader="none"/>
        </w:tabs>
        <w:spacing w:line="283" w:lineRule="auto" w:before="0"/>
        <w:ind w:left="617" w:right="115" w:hanging="480"/>
        <w:jc w:val="left"/>
        <w:rPr>
          <w:rFonts w:ascii="宋体" w:hAnsi="宋体" w:cs="宋体" w:eastAsia="宋体" w:hint="default"/>
          <w:sz w:val="24"/>
          <w:szCs w:val="24"/>
        </w:rPr>
      </w:pPr>
      <w:r>
        <w:rPr>
          <w:rFonts w:ascii="宋体" w:hAnsi="宋体" w:cs="宋体" w:eastAsia="宋体" w:hint="default"/>
          <w:b/>
          <w:bCs/>
          <w:sz w:val="24"/>
          <w:szCs w:val="24"/>
        </w:rPr>
        <w:t>(4).</w:t>
        <w:tab/>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pacing w:val="-2"/>
          <w:sz w:val="24"/>
          <w:szCs w:val="24"/>
        </w:rPr>
        <w:t>当本集团租入的固定资产符合下列一项或数项标准时，确认为融资租入固定资产：</w:t>
      </w:r>
    </w:p>
    <w:p>
      <w:pPr>
        <w:pStyle w:val="BodyText"/>
        <w:spacing w:line="240" w:lineRule="auto" w:before="74"/>
        <w:ind w:left="617" w:right="352"/>
        <w:jc w:val="left"/>
      </w:pPr>
      <w:r>
        <w:rPr/>
        <w:t>①在租赁期届满时，租赁资产的所有权转移给本集团。</w:t>
      </w:r>
    </w:p>
    <w:p>
      <w:pPr>
        <w:pStyle w:val="BodyText"/>
        <w:spacing w:line="312" w:lineRule="exact" w:before="146"/>
        <w:ind w:right="355" w:firstLine="480"/>
        <w:jc w:val="both"/>
      </w:pPr>
      <w:r>
        <w:rPr>
          <w:spacing w:val="-2"/>
        </w:rPr>
        <w:t>②本集团有购买租赁资产的选择权，所订立的购买价款预计将远低于行使选择权</w:t>
      </w:r>
      <w:r>
        <w:rPr/>
        <w:t> </w:t>
      </w:r>
      <w:r>
        <w:rPr>
          <w:spacing w:val="-2"/>
        </w:rPr>
        <w:t>时租赁资产的公允价值，因而在租赁开始日就可以合理确定本集团将会行使这种选择</w:t>
      </w:r>
      <w:r>
        <w:rPr>
          <w:spacing w:val="-94"/>
        </w:rPr>
        <w:t> </w:t>
      </w:r>
      <w:r>
        <w:rPr>
          <w:spacing w:val="-94"/>
        </w:rPr>
      </w:r>
      <w:r>
        <w:rPr/>
        <w:t>权。</w:t>
      </w:r>
    </w:p>
    <w:p>
      <w:pPr>
        <w:pStyle w:val="BodyText"/>
        <w:spacing w:line="240" w:lineRule="auto" w:before="89"/>
        <w:ind w:left="617" w:right="352"/>
        <w:jc w:val="left"/>
      </w:pPr>
      <w:r>
        <w:rPr/>
        <w:t>③即使资产的所有权不转移，但租赁期占租赁资产使用寿命的大部分。</w:t>
      </w:r>
    </w:p>
    <w:p>
      <w:pPr>
        <w:pStyle w:val="BodyText"/>
        <w:spacing w:line="312" w:lineRule="exact" w:before="147"/>
        <w:ind w:right="355" w:firstLine="480"/>
        <w:jc w:val="both"/>
      </w:pPr>
      <w:r>
        <w:rPr>
          <w:spacing w:val="-2"/>
        </w:rPr>
        <w:t>④本集团在租赁开始日的最低租赁付款额现值，几乎相当于租赁开始日租赁资产</w:t>
      </w:r>
      <w:r>
        <w:rPr/>
        <w:t> 公允价值。</w:t>
      </w:r>
    </w:p>
    <w:p>
      <w:pPr>
        <w:pStyle w:val="BodyText"/>
        <w:spacing w:line="328" w:lineRule="auto" w:before="89"/>
        <w:ind w:left="617" w:right="352"/>
        <w:jc w:val="left"/>
      </w:pPr>
      <w:r>
        <w:rPr/>
        <w:t>⑤租赁资产性质特殊，如果不作较大改造，只有本集团才能使用。 </w:t>
      </w:r>
      <w:r>
        <w:rPr>
          <w:spacing w:val="-2"/>
        </w:rPr>
        <w:t>融资租赁租入的固定资产，按租赁开始日租赁资产公允价值与最低租赁付款额的</w:t>
      </w:r>
    </w:p>
    <w:p>
      <w:pPr>
        <w:pStyle w:val="BodyText"/>
        <w:spacing w:line="222" w:lineRule="exact"/>
        <w:ind w:right="65"/>
        <w:jc w:val="left"/>
      </w:pPr>
      <w:r>
        <w:rPr/>
        <w:t>现值两者中较低者，作为入账价值。最低租赁付款额作为长期应付款的入账价值，其</w:t>
      </w:r>
    </w:p>
    <w:p>
      <w:pPr>
        <w:pStyle w:val="BodyText"/>
        <w:spacing w:line="237" w:lineRule="auto" w:before="1"/>
        <w:ind w:right="355"/>
        <w:jc w:val="both"/>
      </w:pPr>
      <w:r>
        <w:rPr>
          <w:spacing w:val="-2"/>
        </w:rPr>
        <w:t>差额作为未确认融资费用。在租赁谈判和签订租赁合同过程中发生的，可归属于租赁</w:t>
      </w:r>
      <w:r>
        <w:rPr>
          <w:spacing w:val="-94"/>
        </w:rPr>
        <w:t> </w:t>
      </w:r>
      <w:r>
        <w:rPr>
          <w:spacing w:val="-94"/>
        </w:rPr>
      </w:r>
      <w:r>
        <w:rPr>
          <w:spacing w:val="-2"/>
        </w:rPr>
        <w:t>项目的手续费、律师费、差旅费、印花税等初始直接费用，计入租入资产价值。未确</w:t>
      </w:r>
      <w:r>
        <w:rPr>
          <w:spacing w:val="-96"/>
        </w:rPr>
        <w:t> </w:t>
      </w:r>
      <w:r>
        <w:rPr>
          <w:spacing w:val="-96"/>
        </w:rPr>
      </w:r>
      <w:r>
        <w:rPr/>
        <w:t>认融资费用在租赁期内各个期间采用实际利率法进行分摊。</w:t>
      </w:r>
    </w:p>
    <w:p>
      <w:pPr>
        <w:pStyle w:val="BodyText"/>
        <w:spacing w:line="237" w:lineRule="auto" w:before="121"/>
        <w:ind w:right="354" w:firstLine="480"/>
        <w:jc w:val="both"/>
      </w:pPr>
      <w:r>
        <w:rPr>
          <w:spacing w:val="-2"/>
        </w:rPr>
        <w:t>融资租入的固定资产采用与自有固定资产一致的政策计提租赁资产折旧。能够合</w:t>
      </w:r>
      <w:r>
        <w:rPr/>
        <w:t> </w:t>
      </w:r>
      <w:r>
        <w:rPr>
          <w:spacing w:val="-2"/>
        </w:rPr>
        <w:t>理确定租赁期届满时将会取得租赁资产所有权的，在租赁资产尚可使用年限内计提折</w:t>
      </w:r>
      <w:r>
        <w:rPr>
          <w:spacing w:val="-94"/>
        </w:rPr>
        <w:t> </w:t>
      </w:r>
      <w:r>
        <w:rPr>
          <w:spacing w:val="-94"/>
        </w:rPr>
      </w:r>
      <w:r>
        <w:rPr>
          <w:spacing w:val="-2"/>
        </w:rPr>
        <w:t>旧；无法合理确定租赁期届满时能够取得租赁资产所有权的，在租赁期与租赁资产尚</w:t>
      </w:r>
      <w:r>
        <w:rPr>
          <w:spacing w:val="-94"/>
        </w:rPr>
        <w:t> </w:t>
      </w:r>
      <w:r>
        <w:rPr>
          <w:spacing w:val="-94"/>
        </w:rPr>
      </w:r>
      <w:r>
        <w:rPr/>
        <w:t>可使用年限两者中较短的期间内计提折旧。</w:t>
      </w:r>
    </w:p>
    <w:p>
      <w:pPr>
        <w:tabs>
          <w:tab w:pos="977" w:val="left" w:leader="none"/>
        </w:tabs>
        <w:spacing w:line="261" w:lineRule="auto" w:before="116"/>
        <w:ind w:left="562" w:right="355" w:hanging="425"/>
        <w:jc w:val="left"/>
        <w:rPr>
          <w:rFonts w:ascii="宋体" w:hAnsi="宋体" w:cs="宋体" w:eastAsia="宋体" w:hint="default"/>
          <w:sz w:val="24"/>
          <w:szCs w:val="24"/>
        </w:rPr>
      </w:pPr>
      <w:r>
        <w:rPr>
          <w:rFonts w:ascii="宋体" w:hAnsi="宋体" w:cs="宋体" w:eastAsia="宋体" w:hint="default"/>
          <w:b/>
          <w:bCs/>
          <w:sz w:val="24"/>
          <w:szCs w:val="24"/>
        </w:rPr>
        <w:t>(5).</w:t>
        <w:tab/>
      </w:r>
      <w:r>
        <w:rPr>
          <w:rFonts w:ascii="宋体" w:hAnsi="宋体" w:cs="宋体" w:eastAsia="宋体" w:hint="default"/>
          <w:b/>
          <w:bCs/>
          <w:sz w:val="24"/>
          <w:szCs w:val="24"/>
        </w:rPr>
        <w:t>每年年度终了，本集团对固定资产的使用寿命、预计净残值和折旧方法进行</w:t>
      </w:r>
      <w:r>
        <w:rPr>
          <w:rFonts w:ascii="宋体" w:hAnsi="宋体" w:cs="宋体" w:eastAsia="宋体" w:hint="default"/>
          <w:b/>
          <w:bCs/>
          <w:spacing w:val="-93"/>
          <w:sz w:val="24"/>
          <w:szCs w:val="24"/>
        </w:rPr>
        <w:t> </w:t>
      </w:r>
      <w:r>
        <w:rPr>
          <w:rFonts w:ascii="宋体" w:hAnsi="宋体" w:cs="宋体" w:eastAsia="宋体" w:hint="default"/>
          <w:b/>
          <w:bCs/>
          <w:spacing w:val="-93"/>
          <w:sz w:val="24"/>
          <w:szCs w:val="24"/>
        </w:rPr>
      </w:r>
      <w:r>
        <w:rPr>
          <w:rFonts w:ascii="宋体" w:hAnsi="宋体" w:cs="宋体" w:eastAsia="宋体" w:hint="default"/>
          <w:b/>
          <w:bCs/>
          <w:sz w:val="24"/>
          <w:szCs w:val="24"/>
        </w:rPr>
        <w:t>复核。</w:t>
      </w:r>
      <w:r>
        <w:rPr>
          <w:rFonts w:ascii="宋体" w:hAnsi="宋体" w:cs="宋体" w:eastAsia="宋体" w:hint="default"/>
          <w:b/>
          <w:bCs/>
          <w:w w:val="99"/>
          <w:sz w:val="24"/>
          <w:szCs w:val="24"/>
        </w:rPr>
        <w:t> </w:t>
      </w:r>
      <w:r>
        <w:rPr>
          <w:rFonts w:ascii="宋体" w:hAnsi="宋体" w:cs="宋体" w:eastAsia="宋体" w:hint="default"/>
          <w:spacing w:val="-2"/>
          <w:sz w:val="24"/>
          <w:szCs w:val="24"/>
        </w:rPr>
        <w:t>使用寿命预计数与原先估计数有差异的，调整固定资产使用寿命；预计净残值预</w:t>
      </w:r>
    </w:p>
    <w:p>
      <w:pPr>
        <w:pStyle w:val="BodyText"/>
        <w:spacing w:line="290" w:lineRule="exact"/>
        <w:ind w:right="352"/>
        <w:jc w:val="left"/>
      </w:pPr>
      <w:r>
        <w:rPr/>
        <w:t>计数与原先估计数有差异的，调整预计净残值。</w:t>
      </w:r>
    </w:p>
    <w:p>
      <w:pPr>
        <w:tabs>
          <w:tab w:pos="977" w:val="left" w:leader="none"/>
        </w:tabs>
        <w:spacing w:line="283" w:lineRule="auto" w:before="115"/>
        <w:ind w:left="617" w:right="355" w:hanging="480"/>
        <w:jc w:val="left"/>
        <w:rPr>
          <w:rFonts w:ascii="宋体" w:hAnsi="宋体" w:cs="宋体" w:eastAsia="宋体" w:hint="default"/>
          <w:sz w:val="24"/>
          <w:szCs w:val="24"/>
        </w:rPr>
      </w:pPr>
      <w:r>
        <w:rPr>
          <w:rFonts w:ascii="宋体" w:hAnsi="宋体" w:cs="宋体" w:eastAsia="宋体" w:hint="default"/>
          <w:b/>
          <w:bCs/>
          <w:sz w:val="24"/>
          <w:szCs w:val="24"/>
        </w:rPr>
        <w:t>(6).</w:t>
        <w:tab/>
      </w:r>
      <w:r>
        <w:rPr>
          <w:rFonts w:ascii="宋体" w:hAnsi="宋体" w:cs="宋体" w:eastAsia="宋体" w:hint="default"/>
          <w:b/>
          <w:bCs/>
          <w:sz w:val="24"/>
          <w:szCs w:val="24"/>
        </w:rPr>
        <w:t>大修理费用</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本集团对固定资产进行定期检查发生的大修理费用，有确凿证据表明符合固定资</w:t>
      </w:r>
    </w:p>
    <w:p>
      <w:pPr>
        <w:pStyle w:val="BodyText"/>
        <w:spacing w:line="267" w:lineRule="exact"/>
        <w:ind w:right="65"/>
        <w:jc w:val="left"/>
      </w:pPr>
      <w:r>
        <w:rPr/>
        <w:t>产确认条件的部分，计入固定资产成本，不符合固定资产确认条件的计入当期损益。</w:t>
      </w:r>
    </w:p>
    <w:p>
      <w:pPr>
        <w:pStyle w:val="BodyText"/>
        <w:spacing w:line="312" w:lineRule="exact"/>
        <w:ind w:right="352"/>
        <w:jc w:val="left"/>
      </w:pPr>
      <w:r>
        <w:rPr/>
        <w:t>固定资产在定期大修理间隔期间，照提折旧。</w:t>
      </w:r>
    </w:p>
    <w:p>
      <w:pPr>
        <w:spacing w:line="240" w:lineRule="auto" w:before="0"/>
        <w:rPr>
          <w:rFonts w:ascii="宋体" w:hAnsi="宋体" w:cs="宋体" w:eastAsia="宋体" w:hint="default"/>
          <w:sz w:val="24"/>
          <w:szCs w:val="24"/>
        </w:rPr>
      </w:pPr>
    </w:p>
    <w:p>
      <w:pPr>
        <w:pStyle w:val="Heading2"/>
        <w:spacing w:line="240" w:lineRule="auto" w:before="176"/>
        <w:ind w:left="137" w:right="5801"/>
        <w:jc w:val="left"/>
        <w:rPr>
          <w:b w:val="0"/>
          <w:bCs w:val="0"/>
        </w:rPr>
      </w:pPr>
      <w:r>
        <w:rPr>
          <w:rFonts w:ascii="Calibri" w:hAnsi="Calibri" w:cs="Calibri" w:eastAsia="Calibri" w:hint="default"/>
        </w:rPr>
        <w:t>17. </w:t>
      </w:r>
      <w:r>
        <w:rPr>
          <w:rFonts w:ascii="Calibri" w:hAnsi="Calibri" w:cs="Calibri" w:eastAsia="Calibri" w:hint="default"/>
          <w:spacing w:val="7"/>
        </w:rPr>
        <w:t> </w:t>
      </w:r>
      <w:r>
        <w:rPr/>
        <w:t>在建工程</w:t>
      </w:r>
      <w:r>
        <w:rPr>
          <w:b w:val="0"/>
          <w:bCs w:val="0"/>
        </w:rPr>
      </w:r>
    </w:p>
    <w:p>
      <w:pPr>
        <w:pStyle w:val="BodyText"/>
        <w:spacing w:line="312" w:lineRule="exact" w:before="55"/>
        <w:ind w:right="355" w:firstLine="480"/>
        <w:jc w:val="both"/>
      </w:pPr>
      <w:r>
        <w:rPr>
          <w:spacing w:val="-2"/>
        </w:rPr>
        <w:t>本集团在建工程成本按实际工程支出确定，包括在建期间发生的各项必要工程支</w:t>
      </w:r>
      <w:r>
        <w:rPr/>
        <w:t> 出、工程达到预定可使用状态前的应予资本化的借款费用以及其他相关费用等。</w:t>
      </w:r>
    </w:p>
    <w:p>
      <w:pPr>
        <w:pStyle w:val="BodyText"/>
        <w:spacing w:line="328" w:lineRule="auto" w:before="89"/>
        <w:ind w:left="617" w:right="3409"/>
        <w:jc w:val="left"/>
      </w:pPr>
      <w:r>
        <w:rPr/>
        <w:t>在建工程在达到预定可使用状态时转入固定资产。 在建工程计提资产减值方法见附注五、</w:t>
      </w:r>
      <w:r>
        <w:rPr>
          <w:rFonts w:ascii="宋体" w:hAnsi="宋体" w:cs="宋体" w:eastAsia="宋体" w:hint="default"/>
        </w:rPr>
        <w:t>21</w:t>
      </w:r>
      <w:r>
        <w:rPr/>
        <w:t>。</w:t>
      </w:r>
    </w:p>
    <w:p>
      <w:pPr>
        <w:spacing w:after="0" w:line="328" w:lineRule="auto"/>
        <w:jc w:val="left"/>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Heading2"/>
        <w:spacing w:line="240" w:lineRule="auto"/>
        <w:ind w:right="100"/>
        <w:jc w:val="left"/>
        <w:rPr>
          <w:b w:val="0"/>
          <w:bCs w:val="0"/>
        </w:rPr>
      </w:pPr>
      <w:r>
        <w:rPr>
          <w:rFonts w:ascii="Calibri" w:hAnsi="Calibri" w:cs="Calibri" w:eastAsia="Calibri" w:hint="default"/>
        </w:rPr>
        <w:t>18. </w:t>
      </w:r>
      <w:r>
        <w:rPr>
          <w:rFonts w:ascii="Calibri" w:hAnsi="Calibri" w:cs="Calibri" w:eastAsia="Calibri" w:hint="default"/>
          <w:spacing w:val="7"/>
        </w:rPr>
        <w:t> </w:t>
      </w:r>
      <w:r>
        <w:rPr/>
        <w:t>借款费用</w:t>
      </w:r>
      <w:r>
        <w:rPr>
          <w:b w:val="0"/>
          <w:bCs w:val="0"/>
        </w:rPr>
      </w:r>
    </w:p>
    <w:p>
      <w:pPr>
        <w:pStyle w:val="BodyText"/>
        <w:spacing w:line="328" w:lineRule="auto" w:before="27"/>
        <w:ind w:left="697" w:right="100" w:hanging="480"/>
        <w:jc w:val="left"/>
      </w:pPr>
      <w:r>
        <w:rPr/>
        <w:t>（</w:t>
      </w:r>
      <w:r>
        <w:rPr>
          <w:rFonts w:ascii="宋体" w:hAnsi="宋体" w:cs="宋体" w:eastAsia="宋体" w:hint="default"/>
        </w:rPr>
        <w:t>1</w:t>
      </w:r>
      <w:r>
        <w:rPr/>
        <w:t>）借款费用资本化的确认原则 </w:t>
      </w:r>
      <w:r>
        <w:rPr>
          <w:spacing w:val="-2"/>
        </w:rPr>
        <w:t>本集团发生的借款费用，可直接归属于符合资本化条件的资产的购建或者生产的，</w:t>
      </w:r>
    </w:p>
    <w:p>
      <w:pPr>
        <w:pStyle w:val="BodyText"/>
        <w:spacing w:line="222" w:lineRule="exact"/>
        <w:ind w:left="217" w:right="100"/>
        <w:jc w:val="left"/>
      </w:pPr>
      <w:r>
        <w:rPr>
          <w:spacing w:val="-8"/>
        </w:rPr>
        <w:t>予以资本化，计入相关资产成本；其他借款费用，在发生时根据其发生额确认为费用，</w:t>
      </w:r>
    </w:p>
    <w:p>
      <w:pPr>
        <w:pStyle w:val="BodyText"/>
        <w:spacing w:line="313" w:lineRule="exact"/>
        <w:ind w:left="217" w:right="100"/>
        <w:jc w:val="left"/>
      </w:pPr>
      <w:r>
        <w:rPr/>
        <w:t>计入当期损益。借款费用同时满足下列条件的，开始资本化：</w:t>
      </w:r>
    </w:p>
    <w:p>
      <w:pPr>
        <w:pStyle w:val="BodyText"/>
        <w:spacing w:line="312" w:lineRule="exact" w:before="146"/>
        <w:ind w:left="217" w:right="100" w:firstLine="480"/>
        <w:jc w:val="left"/>
      </w:pPr>
      <w:r>
        <w:rPr>
          <w:spacing w:val="-2"/>
        </w:rPr>
        <w:t>①资产支出已经发生，资产支出包括为购建或者生产符合资本化条件的资产而以</w:t>
      </w:r>
      <w:r>
        <w:rPr/>
        <w:t> 支付现金、转移非现金资产或者承担带息债务形式发生的支出；</w:t>
      </w:r>
    </w:p>
    <w:p>
      <w:pPr>
        <w:pStyle w:val="BodyText"/>
        <w:spacing w:line="240" w:lineRule="auto" w:before="89"/>
        <w:ind w:left="697" w:right="100"/>
        <w:jc w:val="left"/>
      </w:pPr>
      <w:r>
        <w:rPr/>
        <w:t>②借款费用已经发生；</w:t>
      </w:r>
    </w:p>
    <w:p>
      <w:pPr>
        <w:pStyle w:val="BodyText"/>
        <w:spacing w:line="310" w:lineRule="exact" w:before="150"/>
        <w:ind w:left="217" w:right="100" w:firstLine="480"/>
        <w:jc w:val="left"/>
      </w:pPr>
      <w:r>
        <w:rPr>
          <w:spacing w:val="4"/>
        </w:rPr>
        <w:t>③为使资产达到预定可使用或者可销售状态所必要的购建或者生产活动已经开</w:t>
      </w:r>
      <w:r>
        <w:rPr/>
        <w:t> 始。</w:t>
      </w:r>
    </w:p>
    <w:p>
      <w:pPr>
        <w:pStyle w:val="BodyText"/>
        <w:spacing w:line="240" w:lineRule="auto" w:before="89"/>
        <w:ind w:left="217" w:right="100"/>
        <w:jc w:val="left"/>
      </w:pPr>
      <w:r>
        <w:rPr/>
        <w:t>（</w:t>
      </w:r>
      <w:r>
        <w:rPr>
          <w:rFonts w:ascii="宋体" w:hAnsi="宋体" w:cs="宋体" w:eastAsia="宋体" w:hint="default"/>
        </w:rPr>
        <w:t>2</w:t>
      </w:r>
      <w:r>
        <w:rPr/>
        <w:t>）借款费用资本化期间</w:t>
      </w:r>
    </w:p>
    <w:p>
      <w:pPr>
        <w:pStyle w:val="BodyText"/>
        <w:spacing w:line="237" w:lineRule="auto" w:before="120"/>
        <w:ind w:left="217" w:right="100" w:firstLine="480"/>
        <w:jc w:val="left"/>
      </w:pPr>
      <w:r>
        <w:rPr/>
        <w:t>本集团购建或者生产符合资本化条件的资产达到预定可使用或者可销售状态时，</w:t>
      </w:r>
      <w:r>
        <w:rPr>
          <w:spacing w:val="2"/>
        </w:rPr>
        <w:t> </w:t>
      </w:r>
      <w:r>
        <w:rPr/>
        <w:t>借款费用停止资本化。在符合资本化条件的资产达到预定可使用或者可销售状态之后</w:t>
      </w:r>
      <w:r>
        <w:rPr/>
        <w:t> 所发生的借款费用，在发生时根据其发生额确认为费用，计入当期损益。</w:t>
      </w:r>
    </w:p>
    <w:p>
      <w:pPr>
        <w:pStyle w:val="BodyText"/>
        <w:spacing w:line="310" w:lineRule="exact" w:before="150"/>
        <w:ind w:left="217" w:right="100" w:firstLine="480"/>
        <w:jc w:val="left"/>
      </w:pPr>
      <w:r>
        <w:rPr>
          <w:spacing w:val="-2"/>
        </w:rPr>
        <w:t>符合资本化条件的资产在购建或者生产过程中发生非正常中断、且中断时间连续</w:t>
      </w:r>
      <w:r>
        <w:rPr/>
        <w:t> 超过</w:t>
      </w:r>
      <w:r>
        <w:rPr>
          <w:spacing w:val="-60"/>
        </w:rPr>
        <w:t> </w:t>
      </w:r>
      <w:r>
        <w:rPr>
          <w:rFonts w:ascii="宋体" w:hAnsi="宋体" w:cs="宋体" w:eastAsia="宋体" w:hint="default"/>
        </w:rPr>
        <w:t>3</w:t>
      </w:r>
      <w:r>
        <w:rPr>
          <w:rFonts w:ascii="宋体" w:hAnsi="宋体" w:cs="宋体" w:eastAsia="宋体" w:hint="default"/>
          <w:spacing w:val="-60"/>
        </w:rPr>
        <w:t> </w:t>
      </w:r>
      <w:r>
        <w:rPr/>
        <w:t>个月的，暂停借款费用的资本化；正常中断期间的借款费用继续资本化。</w:t>
      </w:r>
    </w:p>
    <w:p>
      <w:pPr>
        <w:pStyle w:val="BodyText"/>
        <w:spacing w:line="331" w:lineRule="auto" w:before="89"/>
        <w:ind w:left="697" w:right="100" w:hanging="480"/>
        <w:jc w:val="left"/>
      </w:pPr>
      <w:r>
        <w:rPr/>
        <w:t>（</w:t>
      </w:r>
      <w:r>
        <w:rPr>
          <w:rFonts w:ascii="宋体" w:hAnsi="宋体" w:cs="宋体" w:eastAsia="宋体" w:hint="default"/>
        </w:rPr>
        <w:t>3</w:t>
      </w:r>
      <w:r>
        <w:rPr/>
        <w:t>）借款费用资本化率以及资本化金额的计算方法 </w:t>
      </w:r>
      <w:r>
        <w:rPr>
          <w:spacing w:val="-2"/>
        </w:rPr>
        <w:t>专门借款当期实际发生的利息费用，减去尚未动用的借款资金存入银行取得的利</w:t>
      </w:r>
    </w:p>
    <w:p>
      <w:pPr>
        <w:pStyle w:val="BodyText"/>
        <w:spacing w:line="218" w:lineRule="exact"/>
        <w:ind w:left="217" w:right="100"/>
        <w:jc w:val="left"/>
      </w:pPr>
      <w:r>
        <w:rPr/>
        <w:t>息收入或进行暂时性投资取得的投资收益后的金额予以资本化；一般借款根据累计资</w:t>
      </w:r>
    </w:p>
    <w:p>
      <w:pPr>
        <w:pStyle w:val="BodyText"/>
        <w:spacing w:line="312" w:lineRule="exact" w:before="29"/>
        <w:ind w:left="217" w:right="100"/>
        <w:jc w:val="left"/>
      </w:pPr>
      <w:r>
        <w:rPr>
          <w:spacing w:val="-2"/>
        </w:rPr>
        <w:t>产支出超过专门借款部分的资产支出加权平均数乘以所占用一般借款的资本化率，确</w:t>
      </w:r>
      <w:r>
        <w:rPr>
          <w:spacing w:val="-94"/>
        </w:rPr>
        <w:t> </w:t>
      </w:r>
      <w:r>
        <w:rPr>
          <w:spacing w:val="-94"/>
        </w:rPr>
      </w:r>
      <w:r>
        <w:rPr/>
        <w:t>定资本化金额。资本化率根据一般借款的加权平均利率计算确定。</w:t>
      </w:r>
    </w:p>
    <w:p>
      <w:pPr>
        <w:pStyle w:val="BodyText"/>
        <w:spacing w:line="312" w:lineRule="exact" w:before="117"/>
        <w:ind w:left="217" w:right="100" w:firstLine="480"/>
        <w:jc w:val="left"/>
      </w:pPr>
      <w:r>
        <w:rPr>
          <w:spacing w:val="-2"/>
        </w:rPr>
        <w:t>资本化期间内，外币专门借款的汇兑差额全部予以资本化；外币一般借款的汇兑</w:t>
      </w:r>
      <w:r>
        <w:rPr/>
        <w:t> 差额计入当期损益。</w:t>
      </w:r>
    </w:p>
    <w:p>
      <w:pPr>
        <w:spacing w:line="240" w:lineRule="auto" w:before="1"/>
        <w:rPr>
          <w:rFonts w:ascii="宋体" w:hAnsi="宋体" w:cs="宋体" w:eastAsia="宋体" w:hint="default"/>
          <w:sz w:val="26"/>
          <w:szCs w:val="26"/>
        </w:rPr>
      </w:pPr>
    </w:p>
    <w:p>
      <w:pPr>
        <w:pStyle w:val="Heading2"/>
        <w:spacing w:line="240" w:lineRule="auto" w:before="0"/>
        <w:ind w:right="100"/>
        <w:jc w:val="left"/>
        <w:rPr>
          <w:b w:val="0"/>
          <w:bCs w:val="0"/>
        </w:rPr>
      </w:pPr>
      <w:r>
        <w:rPr>
          <w:rFonts w:ascii="Calibri" w:hAnsi="Calibri" w:cs="Calibri" w:eastAsia="Calibri" w:hint="default"/>
        </w:rPr>
        <w:t>19. </w:t>
      </w:r>
      <w:r>
        <w:rPr>
          <w:rFonts w:ascii="Calibri" w:hAnsi="Calibri" w:cs="Calibri" w:eastAsia="Calibri" w:hint="default"/>
          <w:spacing w:val="7"/>
        </w:rPr>
        <w:t> </w:t>
      </w:r>
      <w:r>
        <w:rPr/>
        <w:t>无形资产</w:t>
      </w:r>
      <w:r>
        <w:rPr>
          <w:b w:val="0"/>
          <w:bCs w:val="0"/>
        </w:rPr>
      </w:r>
    </w:p>
    <w:p>
      <w:pPr>
        <w:pStyle w:val="BodyText"/>
        <w:spacing w:line="331" w:lineRule="auto" w:before="85"/>
        <w:ind w:left="697" w:right="100"/>
        <w:jc w:val="left"/>
      </w:pPr>
      <w:r>
        <w:rPr/>
        <w:t>本集团无形资产包括外购软件、土地使用权、其他软件。 </w:t>
      </w:r>
      <w:r>
        <w:rPr>
          <w:spacing w:val="-2"/>
        </w:rPr>
        <w:t>无形资产按照成本进行初始计量，并于取得无形资产时分析判断其使用寿命。使</w:t>
      </w:r>
    </w:p>
    <w:p>
      <w:pPr>
        <w:pStyle w:val="BodyText"/>
        <w:spacing w:line="219" w:lineRule="exact"/>
        <w:ind w:left="217" w:right="100"/>
        <w:jc w:val="left"/>
      </w:pPr>
      <w:r>
        <w:rPr/>
        <w:t>用寿命为有限的，自无形资产可供使用时起，采用能反映与该资产有关的经济利益的</w:t>
      </w:r>
    </w:p>
    <w:p>
      <w:pPr>
        <w:pStyle w:val="BodyText"/>
        <w:spacing w:line="312" w:lineRule="exact" w:before="28"/>
        <w:ind w:left="217" w:right="100"/>
        <w:jc w:val="left"/>
      </w:pPr>
      <w:r>
        <w:rPr/>
        <w:t>预期实现方式的摊销方法，在预计使用年限内摊销；无法可靠确定预期实现方式的，</w:t>
      </w:r>
      <w:r>
        <w:rPr>
          <w:spacing w:val="-57"/>
        </w:rPr>
        <w:t> </w:t>
      </w:r>
      <w:r>
        <w:rPr>
          <w:spacing w:val="-57"/>
        </w:rPr>
      </w:r>
      <w:r>
        <w:rPr/>
        <w:t>采用直线法摊销；使用寿命不确定的无形资产，不作摊销。</w:t>
      </w:r>
    </w:p>
    <w:p>
      <w:pPr>
        <w:pStyle w:val="BodyText"/>
        <w:spacing w:line="240" w:lineRule="auto" w:before="89"/>
        <w:ind w:left="697" w:right="100"/>
        <w:jc w:val="left"/>
      </w:pPr>
      <w:r>
        <w:rPr/>
        <w:t>使用寿命有限的无形资产摊销方法如下：</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707"/>
        <w:gridCol w:w="2460"/>
        <w:gridCol w:w="2883"/>
      </w:tblGrid>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直线法摊销</w:t>
            </w: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直线法摊销</w:t>
            </w: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直线法摊销</w:t>
            </w:r>
          </w:p>
        </w:tc>
      </w:tr>
    </w:tbl>
    <w:p>
      <w:pPr>
        <w:pStyle w:val="BodyText"/>
        <w:spacing w:line="312" w:lineRule="exact" w:before="111"/>
        <w:ind w:left="217" w:right="100" w:firstLine="480"/>
        <w:jc w:val="left"/>
      </w:pPr>
      <w:r>
        <w:rPr>
          <w:spacing w:val="-2"/>
        </w:rPr>
        <w:t>本集团于每年年度终了，对使用寿命有限的无形资产的使用寿命及摊销方法进行</w:t>
      </w:r>
      <w:r>
        <w:rPr/>
        <w:t> 复核，与以前估计不同的，调整原先估计数，并按会计估计变更处理。</w:t>
      </w:r>
    </w:p>
    <w:p>
      <w:pPr>
        <w:spacing w:after="0" w:line="312" w:lineRule="exact"/>
        <w:jc w:val="left"/>
        <w:sectPr>
          <w:pgSz w:w="11910" w:h="16840"/>
          <w:pgMar w:header="882" w:footer="1195" w:top="1120" w:bottom="1380" w:left="1060" w:right="1440"/>
        </w:sectPr>
      </w:pPr>
    </w:p>
    <w:p>
      <w:pPr>
        <w:spacing w:line="240" w:lineRule="auto" w:before="13"/>
        <w:rPr>
          <w:rFonts w:ascii="宋体" w:hAnsi="宋体" w:cs="宋体" w:eastAsia="宋体" w:hint="default"/>
          <w:sz w:val="18"/>
          <w:szCs w:val="18"/>
        </w:rPr>
      </w:pPr>
    </w:p>
    <w:p>
      <w:pPr>
        <w:pStyle w:val="BodyText"/>
        <w:spacing w:line="312" w:lineRule="exact" w:before="56"/>
        <w:ind w:right="235" w:firstLine="480"/>
        <w:jc w:val="both"/>
      </w:pPr>
      <w:r>
        <w:rPr>
          <w:spacing w:val="-2"/>
        </w:rPr>
        <w:t>资产负债表日预计某项无形资产已经不能给企业带来未来经济利益的，将该项无</w:t>
      </w:r>
      <w:r>
        <w:rPr/>
        <w:t> 形资产的账面价值全部转入当期损益。</w:t>
      </w:r>
    </w:p>
    <w:p>
      <w:pPr>
        <w:pStyle w:val="BodyText"/>
        <w:spacing w:line="240" w:lineRule="auto" w:before="87"/>
        <w:ind w:left="617" w:right="119"/>
        <w:jc w:val="left"/>
      </w:pPr>
      <w:r>
        <w:rPr/>
        <w:t>无形资产计提资产减值方法见附注五、</w:t>
      </w:r>
      <w:r>
        <w:rPr>
          <w:rFonts w:ascii="宋体" w:hAnsi="宋体" w:cs="宋体" w:eastAsia="宋体" w:hint="default"/>
        </w:rPr>
        <w:t>21</w:t>
      </w:r>
      <w:r>
        <w:rPr/>
        <w:t>。</w:t>
      </w:r>
    </w:p>
    <w:p>
      <w:pPr>
        <w:spacing w:line="240" w:lineRule="auto" w:before="0"/>
        <w:rPr>
          <w:rFonts w:ascii="宋体" w:hAnsi="宋体" w:cs="宋体" w:eastAsia="宋体" w:hint="default"/>
          <w:sz w:val="24"/>
          <w:szCs w:val="24"/>
        </w:rPr>
      </w:pPr>
    </w:p>
    <w:p>
      <w:pPr>
        <w:spacing w:line="256" w:lineRule="auto" w:before="176"/>
        <w:ind w:left="617" w:right="649" w:hanging="480"/>
        <w:jc w:val="left"/>
        <w:rPr>
          <w:rFonts w:ascii="宋体" w:hAnsi="宋体" w:cs="宋体" w:eastAsia="宋体" w:hint="default"/>
          <w:sz w:val="24"/>
          <w:szCs w:val="24"/>
        </w:rPr>
      </w:pPr>
      <w:r>
        <w:rPr>
          <w:rFonts w:ascii="Calibri" w:hAnsi="Calibri" w:cs="Calibri" w:eastAsia="Calibri" w:hint="default"/>
          <w:b/>
          <w:bCs/>
          <w:sz w:val="24"/>
          <w:szCs w:val="24"/>
        </w:rPr>
        <w:t>20.</w:t>
      </w:r>
      <w:r>
        <w:rPr>
          <w:rFonts w:ascii="Calibri" w:hAnsi="Calibri" w:cs="Calibri" w:eastAsia="Calibri" w:hint="default"/>
          <w:b/>
          <w:bCs/>
          <w:spacing w:val="6"/>
          <w:sz w:val="24"/>
          <w:szCs w:val="24"/>
        </w:rPr>
        <w:t> </w:t>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z w:val="24"/>
          <w:szCs w:val="24"/>
        </w:rPr>
        <w:t>本集团将内部研究开发项目的支出，区分为研究阶段支出和开发阶段支出。</w:t>
      </w:r>
    </w:p>
    <w:p>
      <w:pPr>
        <w:pStyle w:val="BodyText"/>
        <w:spacing w:line="331" w:lineRule="auto" w:before="101"/>
        <w:ind w:left="617" w:right="119"/>
        <w:jc w:val="left"/>
      </w:pPr>
      <w:r>
        <w:rPr/>
        <w:t>研究阶段的支出，于发生时计入当期损益。 </w:t>
      </w:r>
      <w:r>
        <w:rPr>
          <w:spacing w:val="-2"/>
        </w:rPr>
        <w:t>开发阶段的支出，同时满足下列条件的，才能予以资本化，即：完成该无形资产</w:t>
      </w:r>
    </w:p>
    <w:p>
      <w:pPr>
        <w:pStyle w:val="BodyText"/>
        <w:spacing w:line="219" w:lineRule="exact"/>
        <w:ind w:right="119"/>
        <w:jc w:val="left"/>
      </w:pPr>
      <w:r>
        <w:rPr/>
        <w:t>以使其能够使用或出售在技术上具有可行性；具有完成该无形资产并使用或出售的意</w:t>
      </w:r>
    </w:p>
    <w:p>
      <w:pPr>
        <w:pStyle w:val="BodyText"/>
        <w:spacing w:line="237" w:lineRule="auto" w:before="1"/>
        <w:ind w:right="233"/>
        <w:jc w:val="both"/>
      </w:pPr>
      <w:r>
        <w:rPr>
          <w:spacing w:val="-2"/>
        </w:rPr>
        <w:t>图；无形资产产生经济利益的方式，包括能够证明运用该无形资产生产的产品存在市</w:t>
      </w:r>
      <w:r>
        <w:rPr>
          <w:spacing w:val="-94"/>
        </w:rPr>
        <w:t> </w:t>
      </w:r>
      <w:r>
        <w:rPr>
          <w:spacing w:val="-94"/>
        </w:rPr>
      </w:r>
      <w:r>
        <w:rPr>
          <w:spacing w:val="-2"/>
        </w:rPr>
        <w:t>场或无形资产自身存在市场，无形资产将在内部使用的，能够证明其有用性；有足够</w:t>
      </w:r>
      <w:r>
        <w:rPr>
          <w:spacing w:val="-96"/>
        </w:rPr>
        <w:t> </w:t>
      </w:r>
      <w:r>
        <w:rPr>
          <w:spacing w:val="-96"/>
        </w:rPr>
      </w:r>
      <w:r>
        <w:rPr>
          <w:spacing w:val="-2"/>
        </w:rPr>
        <w:t>的技术、财务资源和其他资源支持，以完成该无形资产的开发，并有能力使用或出售</w:t>
      </w:r>
      <w:r>
        <w:rPr>
          <w:spacing w:val="-94"/>
        </w:rPr>
        <w:t> </w:t>
      </w:r>
      <w:r>
        <w:rPr>
          <w:spacing w:val="-94"/>
        </w:rPr>
      </w:r>
      <w:r>
        <w:rPr>
          <w:spacing w:val="-2"/>
        </w:rPr>
        <w:t>该无形资产；归属于该无形资产开发阶段的支出能够可靠地计量。不满足上述条件的</w:t>
      </w:r>
      <w:r>
        <w:rPr>
          <w:spacing w:val="-94"/>
        </w:rPr>
        <w:t> </w:t>
      </w:r>
      <w:r>
        <w:rPr>
          <w:spacing w:val="-94"/>
        </w:rPr>
      </w:r>
      <w:r>
        <w:rPr/>
        <w:t>开发支出计入当期损益。</w:t>
      </w:r>
    </w:p>
    <w:p>
      <w:pPr>
        <w:pStyle w:val="BodyText"/>
        <w:spacing w:line="310" w:lineRule="exact" w:before="150"/>
        <w:ind w:right="234" w:firstLine="480"/>
        <w:jc w:val="both"/>
      </w:pPr>
      <w:r>
        <w:rPr>
          <w:spacing w:val="-2"/>
        </w:rPr>
        <w:t>本集团研究开发项目在满足上述条件，通过技术可行性及经济可行性研究，形成</w:t>
      </w:r>
      <w:r>
        <w:rPr/>
        <w:t> 项目立项后，进入开发阶段。</w:t>
      </w:r>
    </w:p>
    <w:p>
      <w:pPr>
        <w:pStyle w:val="BodyText"/>
        <w:spacing w:line="312" w:lineRule="exact" w:before="120"/>
        <w:ind w:right="235" w:firstLine="480"/>
        <w:jc w:val="both"/>
      </w:pPr>
      <w:r>
        <w:rPr>
          <w:spacing w:val="-2"/>
        </w:rPr>
        <w:t>已资本化的开发阶段的支出在资产负债表上列示为开发支出，自该项目达到预定</w:t>
      </w:r>
      <w:r>
        <w:rPr/>
        <w:t> 可使用状态之日转为无形资产。</w:t>
      </w:r>
    </w:p>
    <w:p>
      <w:pPr>
        <w:pStyle w:val="BodyText"/>
        <w:spacing w:line="331" w:lineRule="auto" w:before="87"/>
        <w:ind w:left="617" w:right="119"/>
        <w:jc w:val="left"/>
      </w:pPr>
      <w:r>
        <w:rPr/>
        <w:t>本集团开发支出资本化的具体方法： </w:t>
      </w:r>
      <w:r>
        <w:rPr>
          <w:spacing w:val="-2"/>
        </w:rPr>
        <w:t>本集团研究开发支出在研究阶段是探索性的，主要为进一步的开发活动进行资料</w:t>
      </w:r>
    </w:p>
    <w:p>
      <w:pPr>
        <w:pStyle w:val="BodyText"/>
        <w:spacing w:line="219" w:lineRule="exact"/>
        <w:ind w:right="119"/>
        <w:jc w:val="left"/>
      </w:pPr>
      <w:r>
        <w:rPr/>
        <w:t>以及相关方面准备，不形成阶段性成果，通过开发后是否形成无形资产也具有很大不</w:t>
      </w:r>
    </w:p>
    <w:p>
      <w:pPr>
        <w:pStyle w:val="BodyText"/>
        <w:spacing w:line="312" w:lineRule="exact"/>
        <w:ind w:left="0" w:right="234"/>
        <w:jc w:val="right"/>
      </w:pPr>
      <w:r>
        <w:rPr>
          <w:spacing w:val="-8"/>
        </w:rPr>
        <w:t>确定性，因此，不予立项审批，研究阶段的有关支出在发生时费用化，计入当期损益；</w:t>
      </w:r>
    </w:p>
    <w:p>
      <w:pPr>
        <w:pStyle w:val="BodyText"/>
        <w:spacing w:line="237" w:lineRule="auto" w:before="120"/>
        <w:ind w:right="234" w:firstLine="480"/>
        <w:jc w:val="both"/>
      </w:pPr>
      <w:r>
        <w:rPr>
          <w:spacing w:val="-2"/>
        </w:rPr>
        <w:t>本集团研究开发支出在开发阶段具有针对性，形成一项新产品或者新技术的基本</w:t>
      </w:r>
      <w:r>
        <w:rPr/>
        <w:t> </w:t>
      </w:r>
      <w:r>
        <w:rPr>
          <w:spacing w:val="-2"/>
        </w:rPr>
        <w:t>条件已经具备，且该阶段的支出能够可靠计量、未来经济利益流入能够可靠预计。此</w:t>
      </w:r>
      <w:r>
        <w:rPr>
          <w:spacing w:val="-96"/>
        </w:rPr>
        <w:t> </w:t>
      </w:r>
      <w:r>
        <w:rPr>
          <w:spacing w:val="-96"/>
        </w:rPr>
      </w:r>
      <w:r>
        <w:rPr>
          <w:spacing w:val="-2"/>
        </w:rPr>
        <w:t>阶段由项目组负责申请立项，项目管理部负责组织立项文档及各阶段产品评审，副总</w:t>
      </w:r>
      <w:r>
        <w:rPr>
          <w:spacing w:val="-94"/>
        </w:rPr>
        <w:t> </w:t>
      </w:r>
      <w:r>
        <w:rPr>
          <w:spacing w:val="-94"/>
        </w:rPr>
      </w:r>
      <w:r>
        <w:rPr>
          <w:spacing w:val="-2"/>
        </w:rPr>
        <w:t>裁及以上领导负责立项终审。经立项审批后，项目研究进入开发阶段，有关支出于发</w:t>
      </w:r>
      <w:r>
        <w:rPr>
          <w:spacing w:val="-95"/>
        </w:rPr>
        <w:t> </w:t>
      </w:r>
      <w:r>
        <w:rPr>
          <w:spacing w:val="-95"/>
        </w:rPr>
      </w:r>
      <w:r>
        <w:rPr/>
        <w:t>生时予以资本化。</w:t>
      </w:r>
    </w:p>
    <w:p>
      <w:pPr>
        <w:spacing w:line="240" w:lineRule="auto" w:before="2"/>
        <w:rPr>
          <w:rFonts w:ascii="宋体" w:hAnsi="宋体" w:cs="宋体" w:eastAsia="宋体" w:hint="default"/>
          <w:sz w:val="28"/>
          <w:szCs w:val="28"/>
        </w:rPr>
      </w:pPr>
    </w:p>
    <w:p>
      <w:pPr>
        <w:spacing w:line="300" w:lineRule="auto" w:before="0"/>
        <w:ind w:left="617" w:right="119" w:hanging="480"/>
        <w:jc w:val="left"/>
        <w:rPr>
          <w:rFonts w:ascii="宋体" w:hAnsi="宋体" w:cs="宋体" w:eastAsia="宋体" w:hint="default"/>
          <w:sz w:val="24"/>
          <w:szCs w:val="24"/>
        </w:rPr>
      </w:pPr>
      <w:r>
        <w:rPr>
          <w:rFonts w:ascii="Calibri" w:hAnsi="Calibri" w:cs="Calibri" w:eastAsia="Calibri" w:hint="default"/>
          <w:b/>
          <w:bCs/>
          <w:sz w:val="24"/>
          <w:szCs w:val="24"/>
        </w:rPr>
        <w:t>21.</w:t>
      </w:r>
      <w:r>
        <w:rPr>
          <w:rFonts w:ascii="Calibri" w:hAnsi="Calibri" w:cs="Calibri" w:eastAsia="Calibri" w:hint="default"/>
          <w:b/>
          <w:bCs/>
          <w:spacing w:val="6"/>
          <w:sz w:val="24"/>
          <w:szCs w:val="24"/>
        </w:rPr>
        <w:t> </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pacing w:val="-2"/>
          <w:sz w:val="24"/>
          <w:szCs w:val="24"/>
        </w:rPr>
        <w:t>对子公司、联营企业和合营企业的长期股权投资、采用成本模式进行后续计量的</w:t>
      </w:r>
    </w:p>
    <w:p>
      <w:pPr>
        <w:pStyle w:val="BodyText"/>
        <w:spacing w:line="250" w:lineRule="exact"/>
        <w:ind w:right="119"/>
        <w:jc w:val="left"/>
      </w:pPr>
      <w:r>
        <w:rPr/>
        <w:t>投资性房地产、固定资产、在建工程、无形资产、商誉等（存货、递延所得税资产、</w:t>
      </w:r>
    </w:p>
    <w:p>
      <w:pPr>
        <w:pStyle w:val="BodyText"/>
        <w:spacing w:line="331" w:lineRule="auto"/>
        <w:ind w:left="617" w:right="119" w:hanging="480"/>
        <w:jc w:val="left"/>
      </w:pPr>
      <w:r>
        <w:rPr/>
        <w:t>金融资产除外）的资产减值，按以下方法确定： </w:t>
      </w:r>
      <w:r>
        <w:rPr>
          <w:spacing w:val="-2"/>
        </w:rPr>
        <w:t>于资产负债表日判断资产是否存在可能发生减值的迹象，存在减值迹象的，本集</w:t>
      </w:r>
    </w:p>
    <w:p>
      <w:pPr>
        <w:pStyle w:val="BodyText"/>
        <w:spacing w:line="219" w:lineRule="exact"/>
        <w:ind w:right="119"/>
        <w:jc w:val="left"/>
      </w:pPr>
      <w:r>
        <w:rPr/>
        <w:t>团将估计其可收回金额，进行减值测试。对因企业合并所形成的商誉、使用寿命不确</w:t>
      </w:r>
    </w:p>
    <w:p>
      <w:pPr>
        <w:pStyle w:val="BodyText"/>
        <w:spacing w:line="312" w:lineRule="exact" w:before="28"/>
        <w:ind w:right="235"/>
        <w:jc w:val="both"/>
      </w:pPr>
      <w:r>
        <w:rPr>
          <w:spacing w:val="-2"/>
        </w:rPr>
        <w:t>定的无形资产和尚未达到可使用状态的无形资产无论是否存在减值迹象，每年都进行</w:t>
      </w:r>
      <w:r>
        <w:rPr>
          <w:spacing w:val="-94"/>
        </w:rPr>
        <w:t> </w:t>
      </w:r>
      <w:r>
        <w:rPr>
          <w:spacing w:val="-94"/>
        </w:rPr>
      </w:r>
      <w:r>
        <w:rPr/>
        <w:t>减值测试。</w:t>
      </w:r>
    </w:p>
    <w:p>
      <w:pPr>
        <w:pStyle w:val="BodyText"/>
        <w:spacing w:line="237" w:lineRule="auto" w:before="92"/>
        <w:ind w:right="235" w:firstLine="480"/>
        <w:jc w:val="both"/>
      </w:pPr>
      <w:r>
        <w:rPr>
          <w:spacing w:val="4"/>
        </w:rPr>
        <w:t>可收回金额根据资产的公允价值减去处置费用后的净额与资产预计未来现金流</w:t>
      </w:r>
      <w:r>
        <w:rPr/>
        <w:t> </w:t>
      </w:r>
      <w:r>
        <w:rPr>
          <w:spacing w:val="-2"/>
        </w:rPr>
        <w:t>量的现值两者之间较高者确定。本集团以单项资产为基础估计其可收回金额；难以对</w:t>
      </w:r>
      <w:r>
        <w:rPr>
          <w:spacing w:val="-94"/>
        </w:rPr>
        <w:t> </w:t>
      </w:r>
      <w:r>
        <w:rPr>
          <w:spacing w:val="-94"/>
        </w:rPr>
      </w:r>
      <w:r>
        <w:rPr>
          <w:spacing w:val="-2"/>
        </w:rPr>
        <w:t>单项资产的可收回金额进行估计的，以该资产所属的资产组为基础确定资产组的可收</w:t>
      </w:r>
    </w:p>
    <w:p>
      <w:pPr>
        <w:spacing w:after="0" w:line="237" w:lineRule="auto"/>
        <w:jc w:val="both"/>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312" w:lineRule="exact" w:before="56"/>
        <w:ind w:right="119"/>
        <w:jc w:val="left"/>
      </w:pPr>
      <w:r>
        <w:rPr>
          <w:spacing w:val="-2"/>
        </w:rPr>
        <w:t>回金额。资产组的认定，以资产组产生的主要现金流入是否独立于其他资产或者资产</w:t>
      </w:r>
      <w:r>
        <w:rPr>
          <w:spacing w:val="-94"/>
        </w:rPr>
        <w:t> </w:t>
      </w:r>
      <w:r>
        <w:rPr>
          <w:spacing w:val="-94"/>
        </w:rPr>
      </w:r>
      <w:r>
        <w:rPr/>
        <w:t>组的现金流入为依据。</w:t>
      </w:r>
    </w:p>
    <w:p>
      <w:pPr>
        <w:pStyle w:val="BodyText"/>
        <w:spacing w:line="312" w:lineRule="exact" w:before="117"/>
        <w:ind w:right="233" w:firstLine="480"/>
        <w:jc w:val="both"/>
      </w:pPr>
      <w:r>
        <w:rPr>
          <w:spacing w:val="-2"/>
        </w:rPr>
        <w:t>当资产或资产组的可收回金额低于其账面价值时，本集团将其账面价值减记至可</w:t>
      </w:r>
      <w:r>
        <w:rPr/>
        <w:t> 收回金额，减记的金额计入当期损益，同时计提相应的资产减值准备。</w:t>
      </w:r>
    </w:p>
    <w:p>
      <w:pPr>
        <w:pStyle w:val="BodyText"/>
        <w:spacing w:line="237" w:lineRule="auto" w:before="92"/>
        <w:ind w:right="235" w:firstLine="480"/>
        <w:jc w:val="both"/>
      </w:pPr>
      <w:r>
        <w:rPr>
          <w:spacing w:val="-2"/>
        </w:rPr>
        <w:t>就商誉的减值测试而言，对于因企业合并形成的商誉的账面价值，自购买日起按</w:t>
      </w:r>
      <w:r>
        <w:rPr/>
        <w:t> </w:t>
      </w:r>
      <w:r>
        <w:rPr>
          <w:spacing w:val="-2"/>
        </w:rPr>
        <w:t>照合理的方法分摊至相关的资产组；难以分摊至相关的资产组的，将其分摊至相关的</w:t>
      </w:r>
      <w:r>
        <w:rPr>
          <w:spacing w:val="-94"/>
        </w:rPr>
        <w:t> </w:t>
      </w:r>
      <w:r>
        <w:rPr>
          <w:spacing w:val="-94"/>
        </w:rPr>
      </w:r>
      <w:r>
        <w:rPr>
          <w:spacing w:val="-2"/>
        </w:rPr>
        <w:t>资产组组合。相关的资产组或资产组组合，是能够从企业合并的协同效应中受益的资</w:t>
      </w:r>
      <w:r>
        <w:rPr>
          <w:spacing w:val="-94"/>
        </w:rPr>
        <w:t> </w:t>
      </w:r>
      <w:r>
        <w:rPr>
          <w:spacing w:val="-94"/>
        </w:rPr>
      </w:r>
      <w:r>
        <w:rPr/>
        <w:t>产组或者资产组组合，且不大于本集团确定的报告分部。</w:t>
      </w:r>
    </w:p>
    <w:p>
      <w:pPr>
        <w:pStyle w:val="BodyText"/>
        <w:spacing w:line="237" w:lineRule="auto" w:before="121"/>
        <w:ind w:right="234" w:firstLine="480"/>
        <w:jc w:val="both"/>
      </w:pPr>
      <w:r>
        <w:rPr>
          <w:spacing w:val="-2"/>
        </w:rPr>
        <w:t>减值测试时，如与商誉相关的资产组或者资产组组合存在减值迹象的，首先对不</w:t>
      </w:r>
      <w:r>
        <w:rPr/>
        <w:t> </w:t>
      </w:r>
      <w:r>
        <w:rPr>
          <w:spacing w:val="-2"/>
        </w:rPr>
        <w:t>包含商誉的资产组或者资产组组合进行减值测试，计算可收回金额，确认相应的减值</w:t>
      </w:r>
      <w:r>
        <w:rPr>
          <w:spacing w:val="-94"/>
        </w:rPr>
        <w:t> </w:t>
      </w:r>
      <w:r>
        <w:rPr>
          <w:spacing w:val="-94"/>
        </w:rPr>
      </w:r>
      <w:r>
        <w:rPr>
          <w:spacing w:val="-2"/>
        </w:rPr>
        <w:t>损失。然后对包含商誉的资产组或者资产组组合进行减值测试，比较其账面价值与可</w:t>
      </w:r>
      <w:r>
        <w:rPr>
          <w:spacing w:val="-94"/>
        </w:rPr>
        <w:t> </w:t>
      </w:r>
      <w:r>
        <w:rPr>
          <w:spacing w:val="-94"/>
        </w:rPr>
      </w:r>
      <w:r>
        <w:rPr/>
        <w:t>收回金额，如可收回金额低于账面价值的，确认商誉的减值损失。</w:t>
      </w:r>
    </w:p>
    <w:p>
      <w:pPr>
        <w:pStyle w:val="BodyText"/>
        <w:spacing w:line="240" w:lineRule="auto" w:before="116"/>
        <w:ind w:left="617" w:right="119"/>
        <w:jc w:val="left"/>
      </w:pPr>
      <w:r>
        <w:rPr/>
        <w:t>资产减值损失一经确认，在以后会计期间不再转回。</w:t>
      </w:r>
    </w:p>
    <w:p>
      <w:pPr>
        <w:spacing w:line="240" w:lineRule="auto" w:before="0"/>
        <w:rPr>
          <w:rFonts w:ascii="宋体" w:hAnsi="宋体" w:cs="宋体" w:eastAsia="宋体" w:hint="default"/>
          <w:sz w:val="24"/>
          <w:szCs w:val="24"/>
        </w:rPr>
      </w:pPr>
    </w:p>
    <w:p>
      <w:pPr>
        <w:spacing w:line="256" w:lineRule="auto" w:before="176"/>
        <w:ind w:left="617" w:right="119" w:hanging="480"/>
        <w:jc w:val="left"/>
        <w:rPr>
          <w:rFonts w:ascii="宋体" w:hAnsi="宋体" w:cs="宋体" w:eastAsia="宋体" w:hint="default"/>
          <w:sz w:val="24"/>
          <w:szCs w:val="24"/>
        </w:rPr>
      </w:pPr>
      <w:r>
        <w:rPr>
          <w:rFonts w:ascii="Calibri" w:hAnsi="Calibri" w:cs="Calibri" w:eastAsia="Calibri" w:hint="default"/>
          <w:b/>
          <w:bCs/>
          <w:sz w:val="24"/>
          <w:szCs w:val="24"/>
        </w:rPr>
        <w:t>22.</w:t>
      </w:r>
      <w:r>
        <w:rPr>
          <w:rFonts w:ascii="Calibri" w:hAnsi="Calibri" w:cs="Calibri" w:eastAsia="Calibri" w:hint="default"/>
          <w:b/>
          <w:bCs/>
          <w:spacing w:val="6"/>
          <w:sz w:val="24"/>
          <w:szCs w:val="24"/>
        </w:rPr>
        <w:t> </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本集团发生的长期待摊费用按实际成本计价，并按预计受益期限平均摊销。对不</w:t>
      </w:r>
    </w:p>
    <w:p>
      <w:pPr>
        <w:pStyle w:val="BodyText"/>
        <w:spacing w:line="295" w:lineRule="exact"/>
        <w:ind w:right="119"/>
        <w:jc w:val="left"/>
      </w:pPr>
      <w:r>
        <w:rPr/>
        <w:t>能使以后会计期间受益的长期待摊费用项目，其摊余价值全部计入当期损益。</w:t>
      </w:r>
    </w:p>
    <w:p>
      <w:pPr>
        <w:pStyle w:val="BodyText"/>
        <w:spacing w:line="240" w:lineRule="auto" w:before="118"/>
        <w:ind w:left="617" w:right="119"/>
        <w:jc w:val="left"/>
      </w:pPr>
      <w:r>
        <w:rPr/>
        <w:t>本公司会员会费采用直线法按</w:t>
      </w:r>
      <w:r>
        <w:rPr>
          <w:spacing w:val="-60"/>
        </w:rPr>
        <w:t> </w:t>
      </w:r>
      <w:r>
        <w:rPr>
          <w:rFonts w:ascii="宋体" w:hAnsi="宋体" w:cs="宋体" w:eastAsia="宋体" w:hint="default"/>
        </w:rPr>
        <w:t>10</w:t>
      </w:r>
      <w:r>
        <w:rPr>
          <w:rFonts w:ascii="宋体" w:hAnsi="宋体" w:cs="宋体" w:eastAsia="宋体" w:hint="default"/>
          <w:spacing w:val="-60"/>
        </w:rPr>
        <w:t> </w:t>
      </w:r>
      <w:r>
        <w:rPr/>
        <w:t>年分期摊销。</w:t>
      </w:r>
    </w:p>
    <w:p>
      <w:pPr>
        <w:spacing w:line="240" w:lineRule="auto" w:before="2"/>
        <w:rPr>
          <w:rFonts w:ascii="宋体" w:hAnsi="宋体" w:cs="宋体" w:eastAsia="宋体" w:hint="default"/>
          <w:sz w:val="28"/>
          <w:szCs w:val="28"/>
        </w:rPr>
      </w:pPr>
    </w:p>
    <w:p>
      <w:pPr>
        <w:pStyle w:val="Heading2"/>
        <w:spacing w:line="259" w:lineRule="auto" w:before="0"/>
        <w:ind w:left="137" w:right="6759"/>
        <w:jc w:val="left"/>
        <w:rPr>
          <w:b w:val="0"/>
          <w:bCs w:val="0"/>
        </w:rPr>
      </w:pPr>
      <w:r>
        <w:rPr>
          <w:rFonts w:ascii="Calibri" w:hAnsi="Calibri" w:cs="Calibri" w:eastAsia="Calibri" w:hint="default"/>
        </w:rPr>
        <w:t>23.</w:t>
      </w:r>
      <w:r>
        <w:rPr>
          <w:rFonts w:ascii="Calibri" w:hAnsi="Calibri" w:cs="Calibri" w:eastAsia="Calibri" w:hint="default"/>
          <w:spacing w:val="7"/>
        </w:rPr>
        <w:t> </w:t>
      </w:r>
      <w:r>
        <w:rPr/>
        <w:t>职工薪酬</w:t>
      </w:r>
      <w:r>
        <w:rPr>
          <w:w w:val="99"/>
        </w:rPr>
        <w:t> </w:t>
      </w:r>
      <w:r>
        <w:rPr>
          <w:rFonts w:ascii="宋体" w:hAnsi="宋体" w:cs="宋体" w:eastAsia="宋体" w:hint="default"/>
        </w:rPr>
        <w:t>(1)</w:t>
      </w:r>
      <w:r>
        <w:rPr/>
        <w:t>、职工薪酬的范围</w:t>
      </w:r>
      <w:r>
        <w:rPr>
          <w:b w:val="0"/>
          <w:bCs w:val="0"/>
        </w:rPr>
      </w:r>
    </w:p>
    <w:p>
      <w:pPr>
        <w:pStyle w:val="BodyText"/>
        <w:spacing w:line="313" w:lineRule="exact" w:before="96"/>
        <w:ind w:left="617" w:right="119"/>
        <w:jc w:val="left"/>
      </w:pPr>
      <w:r>
        <w:rPr/>
        <w:t>职工薪酬，是指企业为获得职工提供的服务或解除劳动关系而给予的各种形式的</w:t>
      </w:r>
    </w:p>
    <w:p>
      <w:pPr>
        <w:pStyle w:val="BodyText"/>
        <w:spacing w:line="312" w:lineRule="exact" w:before="29"/>
        <w:ind w:right="119"/>
        <w:jc w:val="left"/>
      </w:pPr>
      <w:r>
        <w:rPr/>
        <w:t>报酬或补偿。职工薪酬包括短期薪酬、离职后福利、辞退福利和其他长期职工福利。</w:t>
      </w:r>
      <w:r>
        <w:rPr>
          <w:spacing w:val="-57"/>
        </w:rPr>
        <w:t> </w:t>
      </w:r>
      <w:r>
        <w:rPr>
          <w:spacing w:val="-57"/>
        </w:rPr>
      </w:r>
      <w:r>
        <w:rPr/>
        <w:t>企业提供给职工配偶、子女、受赡养人、已故员工遗属及其他受益人等的福利，也属</w:t>
      </w:r>
      <w:r>
        <w:rPr/>
        <w:t> 于职工薪酬。</w:t>
      </w:r>
    </w:p>
    <w:p>
      <w:pPr>
        <w:pStyle w:val="BodyText"/>
        <w:spacing w:line="312" w:lineRule="exact" w:before="117"/>
        <w:ind w:right="233" w:firstLine="480"/>
        <w:jc w:val="both"/>
      </w:pPr>
      <w:r>
        <w:rPr>
          <w:spacing w:val="-2"/>
        </w:rPr>
        <w:t>根据流动性，职工薪酬分别列示于资产负债表的“应付职工薪酬”项目和“长期</w:t>
      </w:r>
      <w:r>
        <w:rPr/>
        <w:t> 应付职工薪酬”项目。</w:t>
      </w:r>
    </w:p>
    <w:p>
      <w:pPr>
        <w:spacing w:line="240" w:lineRule="auto" w:before="1"/>
        <w:rPr>
          <w:rFonts w:ascii="宋体" w:hAnsi="宋体" w:cs="宋体" w:eastAsia="宋体" w:hint="default"/>
          <w:sz w:val="35"/>
          <w:szCs w:val="35"/>
        </w:rPr>
      </w:pPr>
    </w:p>
    <w:p>
      <w:pPr>
        <w:spacing w:line="283" w:lineRule="auto" w:before="0"/>
        <w:ind w:left="617" w:right="119"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本集团在职工提供服务的会计期间，将实际发生的职工工资、奖金、按规定的基</w:t>
      </w:r>
    </w:p>
    <w:p>
      <w:pPr>
        <w:pStyle w:val="BodyText"/>
        <w:spacing w:line="267" w:lineRule="exact"/>
        <w:ind w:right="119"/>
        <w:jc w:val="left"/>
      </w:pPr>
      <w:r>
        <w:rPr/>
        <w:t>准和比例为职工缴纳的医疗保险费、工伤保险费和生育保险费等社会保险费和住房公</w:t>
      </w:r>
    </w:p>
    <w:p>
      <w:pPr>
        <w:pStyle w:val="BodyText"/>
        <w:spacing w:line="312" w:lineRule="exact" w:before="28"/>
        <w:ind w:right="233"/>
        <w:jc w:val="both"/>
      </w:pPr>
      <w:r>
        <w:rPr>
          <w:spacing w:val="-2"/>
        </w:rPr>
        <w:t>积金，确认为负债，并计入当期损益或相关资产成本。如果该负债预期在职工提供相</w:t>
      </w:r>
      <w:r>
        <w:rPr>
          <w:spacing w:val="-93"/>
        </w:rPr>
        <w:t> </w:t>
      </w:r>
      <w:r>
        <w:rPr>
          <w:spacing w:val="-93"/>
        </w:rPr>
      </w:r>
      <w:r>
        <w:rPr>
          <w:spacing w:val="-2"/>
        </w:rPr>
        <w:t>关服务的年度报告期结束后十二个月内不能完全支付，且财务影响重大的，则该负债</w:t>
      </w:r>
      <w:r>
        <w:rPr>
          <w:spacing w:val="-94"/>
        </w:rPr>
        <w:t> </w:t>
      </w:r>
      <w:r>
        <w:rPr>
          <w:spacing w:val="-94"/>
        </w:rPr>
      </w:r>
      <w:r>
        <w:rPr/>
        <w:t>将以折现后的金额计量。</w:t>
      </w:r>
    </w:p>
    <w:p>
      <w:pPr>
        <w:spacing w:line="331" w:lineRule="auto" w:before="27"/>
        <w:ind w:left="617" w:right="119"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离职后福利计划包括设定提存计划和设定受益计划。其中，设定提存计划，是指</w:t>
      </w:r>
    </w:p>
    <w:p>
      <w:pPr>
        <w:pStyle w:val="BodyText"/>
        <w:spacing w:line="219" w:lineRule="exact"/>
        <w:ind w:right="119"/>
        <w:jc w:val="left"/>
      </w:pPr>
      <w:r>
        <w:rPr/>
        <w:t>向独立的基金缴存固定费用后，企业不再承担进一步支付义务的离职后福利计划；设</w:t>
      </w:r>
    </w:p>
    <w:p>
      <w:pPr>
        <w:pStyle w:val="BodyText"/>
        <w:spacing w:line="312" w:lineRule="exact"/>
        <w:ind w:right="119"/>
        <w:jc w:val="left"/>
      </w:pPr>
      <w:r>
        <w:rPr/>
        <w:t>定受益计划，是指除设定提存计划以外的离职后福利计划。</w:t>
      </w:r>
    </w:p>
    <w:p>
      <w:pPr>
        <w:spacing w:after="0" w:line="312" w:lineRule="exact"/>
        <w:jc w:val="left"/>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331" w:lineRule="auto" w:before="26"/>
        <w:ind w:left="617" w:right="2329"/>
        <w:jc w:val="left"/>
      </w:pPr>
      <w:r>
        <w:rPr/>
        <w:t>设定提存计划 设定提存计划包括基本养老保险、失业保险、强积金计划。</w:t>
      </w:r>
    </w:p>
    <w:p>
      <w:pPr>
        <w:pStyle w:val="BodyText"/>
        <w:spacing w:line="312" w:lineRule="exact" w:before="55"/>
        <w:ind w:right="119" w:firstLine="480"/>
        <w:jc w:val="left"/>
      </w:pPr>
      <w:r>
        <w:rPr/>
        <w:t>在职工提供服务的会计期间，根据设定提存计划计算的应缴存金额确认为负债，</w:t>
      </w:r>
      <w:r>
        <w:rPr>
          <w:spacing w:val="2"/>
        </w:rPr>
        <w:t> </w:t>
      </w:r>
      <w:r>
        <w:rPr/>
        <w:t>并计入当期损益或相关资产成本。</w:t>
      </w:r>
    </w:p>
    <w:p>
      <w:pPr>
        <w:spacing w:line="240" w:lineRule="auto" w:before="1"/>
        <w:rPr>
          <w:rFonts w:ascii="宋体" w:hAnsi="宋体" w:cs="宋体" w:eastAsia="宋体" w:hint="default"/>
          <w:sz w:val="35"/>
          <w:szCs w:val="35"/>
        </w:rPr>
      </w:pPr>
    </w:p>
    <w:p>
      <w:pPr>
        <w:spacing w:line="331" w:lineRule="auto" w:before="0"/>
        <w:ind w:left="617" w:right="119"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本集团向职工提供辞退福利的，在下列两者孰早日确认辞退福利产生的职工薪酬</w:t>
      </w:r>
    </w:p>
    <w:p>
      <w:pPr>
        <w:pStyle w:val="BodyText"/>
        <w:spacing w:line="220" w:lineRule="exact"/>
        <w:ind w:right="119"/>
        <w:jc w:val="left"/>
      </w:pPr>
      <w:r>
        <w:rPr/>
        <w:t>负债，并计入当期损益：本集团不能单方面撤回因解除劳动关系计划或裁减建议所提</w:t>
      </w:r>
    </w:p>
    <w:p>
      <w:pPr>
        <w:pStyle w:val="BodyText"/>
        <w:spacing w:line="328" w:lineRule="auto"/>
        <w:ind w:left="617" w:right="119" w:hanging="480"/>
        <w:jc w:val="left"/>
      </w:pPr>
      <w:r>
        <w:rPr/>
        <w:t>供的辞退福利时；本集团确认与涉及支付辞退福利的重组相关的成本或费用时。 </w:t>
      </w:r>
      <w:r>
        <w:rPr>
          <w:spacing w:val="-2"/>
        </w:rPr>
        <w:t>实行职工内部退休计划的，在正式退休日之前的经济补偿，属于辞退福利，自职</w:t>
      </w:r>
    </w:p>
    <w:p>
      <w:pPr>
        <w:pStyle w:val="BodyText"/>
        <w:spacing w:line="222" w:lineRule="exact"/>
        <w:ind w:right="119"/>
        <w:jc w:val="left"/>
      </w:pPr>
      <w:r>
        <w:rPr/>
        <w:t>工停止提供服务日至正常退休日期间，拟支付的内退职工工资和缴纳的社会保险费等</w:t>
      </w:r>
    </w:p>
    <w:p>
      <w:pPr>
        <w:pStyle w:val="BodyText"/>
        <w:spacing w:line="310" w:lineRule="exact" w:before="31"/>
        <w:ind w:right="119"/>
        <w:jc w:val="left"/>
      </w:pPr>
      <w:r>
        <w:rPr>
          <w:spacing w:val="-2"/>
        </w:rPr>
        <w:t>一次性计入当期损益。正式退休日期之后的经济补偿（如正常养老退休金），按照离</w:t>
      </w:r>
      <w:r>
        <w:rPr>
          <w:spacing w:val="-94"/>
        </w:rPr>
        <w:t> </w:t>
      </w:r>
      <w:r>
        <w:rPr>
          <w:spacing w:val="-94"/>
        </w:rPr>
      </w:r>
      <w:r>
        <w:rPr/>
        <w:t>职后福利处理。</w:t>
      </w:r>
    </w:p>
    <w:p>
      <w:pPr>
        <w:spacing w:line="331" w:lineRule="auto" w:before="29"/>
        <w:ind w:left="617" w:right="119" w:hanging="48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本集团向职工提供的其他长期职工福利，符合设定提存计划条件的，按照上述关</w:t>
      </w:r>
    </w:p>
    <w:p>
      <w:pPr>
        <w:pStyle w:val="BodyText"/>
        <w:spacing w:line="217" w:lineRule="exact"/>
        <w:ind w:right="119"/>
        <w:jc w:val="left"/>
      </w:pPr>
      <w:r>
        <w:rPr/>
        <w:t>于设定提存计划的有关规定进行处理。符合设定受益计划的，按照上述关于设定受益</w:t>
      </w:r>
    </w:p>
    <w:p>
      <w:pPr>
        <w:pStyle w:val="BodyText"/>
        <w:spacing w:line="312" w:lineRule="exact" w:before="29"/>
        <w:ind w:right="119"/>
        <w:jc w:val="left"/>
      </w:pPr>
      <w:r>
        <w:rPr>
          <w:spacing w:val="-2"/>
        </w:rPr>
        <w:t>计划的有关规定进行处理，但相关职工薪酬成本中“重新计量设定受益计划净负债或</w:t>
      </w:r>
      <w:r>
        <w:rPr>
          <w:spacing w:val="-94"/>
        </w:rPr>
        <w:t> </w:t>
      </w:r>
      <w:r>
        <w:rPr>
          <w:spacing w:val="-94"/>
        </w:rPr>
      </w:r>
      <w:r>
        <w:rPr/>
        <w:t>净资产所产生的变动”部分计入当期损益或相关资产成本。</w:t>
      </w:r>
    </w:p>
    <w:p>
      <w:pPr>
        <w:spacing w:line="240" w:lineRule="auto" w:before="1"/>
        <w:rPr>
          <w:rFonts w:ascii="宋体" w:hAnsi="宋体" w:cs="宋体" w:eastAsia="宋体" w:hint="default"/>
          <w:sz w:val="35"/>
          <w:szCs w:val="35"/>
        </w:rPr>
      </w:pPr>
    </w:p>
    <w:p>
      <w:pPr>
        <w:pStyle w:val="Heading2"/>
        <w:spacing w:line="240" w:lineRule="auto" w:before="0"/>
        <w:ind w:left="137" w:right="119"/>
        <w:jc w:val="left"/>
        <w:rPr>
          <w:b w:val="0"/>
          <w:bCs w:val="0"/>
        </w:rPr>
      </w:pPr>
      <w:r>
        <w:rPr>
          <w:rFonts w:ascii="Calibri" w:hAnsi="Calibri" w:cs="Calibri" w:eastAsia="Calibri" w:hint="default"/>
        </w:rPr>
        <w:t>24. </w:t>
      </w:r>
      <w:r>
        <w:rPr>
          <w:rFonts w:ascii="Calibri" w:hAnsi="Calibri" w:cs="Calibri" w:eastAsia="Calibri" w:hint="default"/>
          <w:spacing w:val="7"/>
        </w:rPr>
        <w:t> </w:t>
      </w:r>
      <w:r>
        <w:rPr/>
        <w:t>预计负债</w:t>
      </w:r>
      <w:r>
        <w:rPr>
          <w:b w:val="0"/>
          <w:bCs w:val="0"/>
        </w:rPr>
      </w:r>
    </w:p>
    <w:p>
      <w:pPr>
        <w:pStyle w:val="BodyText"/>
        <w:spacing w:line="240" w:lineRule="auto" w:before="27"/>
        <w:ind w:left="617" w:right="119"/>
        <w:jc w:val="left"/>
      </w:pPr>
      <w:r>
        <w:rPr/>
        <w:t>如果与或有事项相关的义务同时符合以下条件，本集团将其确认为预计负债：</w:t>
      </w:r>
    </w:p>
    <w:p>
      <w:pPr>
        <w:pStyle w:val="BodyText"/>
        <w:spacing w:line="240" w:lineRule="auto" w:before="115"/>
        <w:ind w:left="617" w:right="119"/>
        <w:jc w:val="left"/>
      </w:pPr>
      <w:r>
        <w:rPr/>
        <w:t>（</w:t>
      </w:r>
      <w:r>
        <w:rPr>
          <w:rFonts w:ascii="宋体" w:hAnsi="宋体" w:cs="宋体" w:eastAsia="宋体" w:hint="default"/>
        </w:rPr>
        <w:t>1</w:t>
      </w:r>
      <w:r>
        <w:rPr/>
        <w:t>）该义务是本集团承担的现时义务；</w:t>
      </w:r>
    </w:p>
    <w:p>
      <w:pPr>
        <w:pStyle w:val="BodyText"/>
        <w:spacing w:line="240" w:lineRule="auto" w:before="118"/>
        <w:ind w:left="617" w:right="119"/>
        <w:jc w:val="left"/>
      </w:pPr>
      <w:r>
        <w:rPr/>
        <w:t>（</w:t>
      </w:r>
      <w:r>
        <w:rPr>
          <w:rFonts w:ascii="宋体" w:hAnsi="宋体" w:cs="宋体" w:eastAsia="宋体" w:hint="default"/>
        </w:rPr>
        <w:t>2</w:t>
      </w:r>
      <w:r>
        <w:rPr/>
        <w:t>）该义务的履行很可能导致经济利益流出本集团；</w:t>
      </w:r>
    </w:p>
    <w:p>
      <w:pPr>
        <w:pStyle w:val="BodyText"/>
        <w:spacing w:line="331" w:lineRule="auto" w:before="118"/>
        <w:ind w:left="617" w:right="119"/>
        <w:jc w:val="left"/>
      </w:pPr>
      <w:r>
        <w:rPr/>
        <w:t>（</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w:t>
      </w:r>
    </w:p>
    <w:p>
      <w:pPr>
        <w:pStyle w:val="BodyText"/>
        <w:spacing w:line="217" w:lineRule="exact"/>
        <w:ind w:right="119"/>
        <w:jc w:val="left"/>
      </w:pPr>
      <w:r>
        <w:rPr/>
        <w:t>虑与或有事项有关的风险、不确定性和货币时间价值等因素。货币时间价值影响重大</w:t>
      </w:r>
    </w:p>
    <w:p>
      <w:pPr>
        <w:pStyle w:val="BodyText"/>
        <w:spacing w:line="240" w:lineRule="auto"/>
        <w:ind w:right="119"/>
        <w:jc w:val="left"/>
      </w:pPr>
      <w:r>
        <w:rPr>
          <w:spacing w:val="-2"/>
        </w:rPr>
        <w:t>的，通过对相关未来现金流出进行折现后确定最佳估计数。本集团于资产负债表日对</w:t>
      </w:r>
      <w:r>
        <w:rPr>
          <w:spacing w:val="-94"/>
        </w:rPr>
        <w:t> </w:t>
      </w:r>
      <w:r>
        <w:rPr>
          <w:spacing w:val="-94"/>
        </w:rPr>
      </w:r>
      <w:r>
        <w:rPr/>
        <w:t>预计负债的账面价值进行复核，并对账面价值进行调整以反映当前最佳估计数。</w:t>
      </w:r>
    </w:p>
    <w:p>
      <w:pPr>
        <w:pStyle w:val="BodyText"/>
        <w:spacing w:line="312" w:lineRule="exact" w:before="146"/>
        <w:ind w:right="235" w:firstLine="480"/>
        <w:jc w:val="both"/>
      </w:pPr>
      <w:r>
        <w:rPr>
          <w:spacing w:val="-2"/>
        </w:rPr>
        <w:t>如果清偿已确认预计负债所需支出全部或部分预期由第三方或其他方补偿，则补</w:t>
      </w:r>
      <w:r>
        <w:rPr/>
        <w:t> </w:t>
      </w:r>
      <w:r>
        <w:rPr>
          <w:spacing w:val="-2"/>
        </w:rPr>
        <w:t>偿金额只能在基本确定能收到时，作为资产单独确认。确认的补偿金额不超过所确认</w:t>
      </w:r>
      <w:r>
        <w:rPr>
          <w:spacing w:val="-94"/>
        </w:rPr>
        <w:t> </w:t>
      </w:r>
      <w:r>
        <w:rPr>
          <w:spacing w:val="-94"/>
        </w:rPr>
      </w:r>
      <w:r>
        <w:rPr/>
        <w:t>负债的账面价值。</w:t>
      </w:r>
    </w:p>
    <w:p>
      <w:pPr>
        <w:spacing w:line="240" w:lineRule="auto" w:before="12"/>
        <w:rPr>
          <w:rFonts w:ascii="宋体" w:hAnsi="宋体" w:cs="宋体" w:eastAsia="宋体" w:hint="default"/>
          <w:sz w:val="25"/>
          <w:szCs w:val="25"/>
        </w:rPr>
      </w:pPr>
    </w:p>
    <w:p>
      <w:pPr>
        <w:pStyle w:val="Heading2"/>
        <w:spacing w:line="240" w:lineRule="auto" w:before="0"/>
        <w:ind w:left="137" w:right="119"/>
        <w:jc w:val="left"/>
        <w:rPr>
          <w:b w:val="0"/>
          <w:bCs w:val="0"/>
        </w:rPr>
      </w:pPr>
      <w:r>
        <w:rPr>
          <w:rFonts w:ascii="Calibri" w:hAnsi="Calibri" w:cs="Calibri" w:eastAsia="Calibri" w:hint="default"/>
        </w:rPr>
        <w:t>25. </w:t>
      </w:r>
      <w:r>
        <w:rPr>
          <w:rFonts w:ascii="Calibri" w:hAnsi="Calibri" w:cs="Calibri" w:eastAsia="Calibri" w:hint="default"/>
          <w:spacing w:val="7"/>
        </w:rPr>
        <w:t> </w:t>
      </w:r>
      <w:r>
        <w:rPr/>
        <w:t>股份支付</w:t>
      </w:r>
      <w:r>
        <w:rPr>
          <w:b w:val="0"/>
          <w:bCs w:val="0"/>
        </w:rPr>
      </w:r>
    </w:p>
    <w:p>
      <w:pPr>
        <w:pStyle w:val="BodyText"/>
        <w:spacing w:line="328" w:lineRule="auto" w:before="27"/>
        <w:ind w:left="617" w:right="1129" w:hanging="480"/>
        <w:jc w:val="left"/>
      </w:pPr>
      <w:r>
        <w:rPr/>
        <w:t>（</w:t>
      </w:r>
      <w:r>
        <w:rPr>
          <w:rFonts w:ascii="宋体" w:hAnsi="宋体" w:cs="宋体" w:eastAsia="宋体" w:hint="default"/>
        </w:rPr>
        <w:t>1</w:t>
      </w:r>
      <w:r>
        <w:rPr/>
        <w:t>）股份支付的种类 本集团股份支付分为以权益结算的股份支付和以现金结算的股份支付。</w:t>
      </w:r>
    </w:p>
    <w:p>
      <w:pPr>
        <w:pStyle w:val="BodyText"/>
        <w:spacing w:line="240" w:lineRule="auto" w:before="29"/>
        <w:ind w:right="119"/>
        <w:jc w:val="left"/>
      </w:pPr>
      <w:r>
        <w:rPr/>
        <w:t>（</w:t>
      </w:r>
      <w:r>
        <w:rPr>
          <w:rFonts w:ascii="宋体" w:hAnsi="宋体" w:cs="宋体" w:eastAsia="宋体" w:hint="default"/>
        </w:rPr>
        <w:t>2</w:t>
      </w:r>
      <w:r>
        <w:rPr/>
        <w:t>）权益工具公允价值的确定方法</w:t>
      </w:r>
    </w:p>
    <w:p>
      <w:pPr>
        <w:spacing w:after="0" w:line="240" w:lineRule="auto"/>
        <w:jc w:val="left"/>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right="353" w:firstLine="480"/>
        <w:jc w:val="both"/>
      </w:pPr>
      <w:r>
        <w:rPr>
          <w:spacing w:val="-2"/>
        </w:rPr>
        <w:t>本集团对于授予的存在活跃市场的期权等权益工具，按照活跃市场中的报价确定</w:t>
      </w:r>
      <w:r>
        <w:rPr/>
        <w:t> </w:t>
      </w:r>
      <w:r>
        <w:rPr>
          <w:spacing w:val="-2"/>
        </w:rPr>
        <w:t>其公允价值。对于授予的不存在活跃市场的期权等权益工具，采用期权定价模型等确</w:t>
      </w:r>
      <w:r>
        <w:rPr>
          <w:spacing w:val="-94"/>
        </w:rPr>
        <w:t> </w:t>
      </w:r>
      <w:r>
        <w:rPr>
          <w:spacing w:val="-94"/>
        </w:rPr>
      </w:r>
      <w:r>
        <w:rPr>
          <w:spacing w:val="-2"/>
        </w:rPr>
        <w:t>定其公允价值。选用的期权定价模型考虑以下因素：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w:t>
      </w:r>
      <w:r>
        <w:rPr>
          <w:spacing w:val="-92"/>
        </w:rPr>
        <w:t> </w:t>
      </w:r>
      <w:r>
        <w:rPr>
          <w:spacing w:val="-92"/>
        </w:rPr>
      </w:r>
      <w:r>
        <w:rPr>
          <w:spacing w:val="-2"/>
        </w:rPr>
        <w:t>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、股价预计波动率；</w:t>
      </w:r>
      <w:r>
        <w:rPr>
          <w:rFonts w:ascii="宋体" w:hAnsi="宋体" w:cs="宋体" w:eastAsia="宋体" w:hint="default"/>
          <w:spacing w:val="-2"/>
        </w:rPr>
        <w:t>E</w:t>
      </w:r>
      <w:r>
        <w:rPr>
          <w:spacing w:val="-2"/>
        </w:rPr>
        <w:t>、股份的预计股利；</w:t>
      </w:r>
      <w:r>
        <w:rPr>
          <w:rFonts w:ascii="宋体" w:hAnsi="宋体" w:cs="宋体" w:eastAsia="宋体" w:hint="default"/>
          <w:spacing w:val="-2"/>
        </w:rPr>
        <w:t>F</w:t>
      </w:r>
      <w:r>
        <w:rPr>
          <w:spacing w:val="-2"/>
        </w:rPr>
        <w:t>、期</w:t>
      </w:r>
      <w:r>
        <w:rPr>
          <w:spacing w:val="-96"/>
        </w:rPr>
        <w:t> </w:t>
      </w:r>
      <w:r>
        <w:rPr/>
        <w:t>权有效期内的无风险利率。</w:t>
      </w:r>
    </w:p>
    <w:p>
      <w:pPr>
        <w:pStyle w:val="BodyText"/>
        <w:spacing w:line="331" w:lineRule="auto" w:before="116"/>
        <w:ind w:left="617" w:right="352" w:hanging="480"/>
        <w:jc w:val="left"/>
      </w:pPr>
      <w:r>
        <w:rPr/>
        <w:t>（</w:t>
      </w:r>
      <w:r>
        <w:rPr>
          <w:rFonts w:ascii="宋体" w:hAnsi="宋体" w:cs="宋体" w:eastAsia="宋体" w:hint="default"/>
        </w:rPr>
        <w:t>3</w:t>
      </w:r>
      <w:r>
        <w:rPr/>
        <w:t>）确认可行权权益工具最佳估计的依据 </w:t>
      </w:r>
      <w:r>
        <w:rPr>
          <w:spacing w:val="-2"/>
        </w:rPr>
        <w:t>等待期内每个资产负债表日，本集团根据最新取得的可行权职工人数变动等后续</w:t>
      </w:r>
    </w:p>
    <w:p>
      <w:pPr>
        <w:pStyle w:val="BodyText"/>
        <w:spacing w:line="220" w:lineRule="exact"/>
        <w:ind w:right="65"/>
        <w:jc w:val="left"/>
      </w:pPr>
      <w:r>
        <w:rPr/>
        <w:t>信息作出最佳估计，修正预计可行权的权益工具数量。在可行权日，最终预计可行权</w:t>
      </w:r>
    </w:p>
    <w:p>
      <w:pPr>
        <w:pStyle w:val="BodyText"/>
        <w:spacing w:line="313" w:lineRule="exact"/>
        <w:ind w:right="352"/>
        <w:jc w:val="left"/>
      </w:pPr>
      <w:r>
        <w:rPr/>
        <w:t>权益工具的数量应当与实际可行权数量一致。</w:t>
      </w:r>
    </w:p>
    <w:p>
      <w:pPr>
        <w:pStyle w:val="BodyText"/>
        <w:spacing w:line="331" w:lineRule="auto" w:before="115"/>
        <w:ind w:left="617" w:right="352" w:hanging="480"/>
        <w:jc w:val="left"/>
      </w:pPr>
      <w:r>
        <w:rPr/>
        <w:t>（</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w:t>
      </w:r>
    </w:p>
    <w:p>
      <w:pPr>
        <w:pStyle w:val="BodyText"/>
        <w:spacing w:line="219" w:lineRule="exact"/>
        <w:ind w:right="65"/>
        <w:jc w:val="left"/>
      </w:pPr>
      <w:r>
        <w:rPr/>
        <w:t>权的，在授予日按照权益工具的公允价值计入相关成本或费用，相应增加资本公积。</w:t>
      </w:r>
    </w:p>
    <w:p>
      <w:pPr>
        <w:pStyle w:val="BodyText"/>
        <w:spacing w:line="237" w:lineRule="auto"/>
        <w:ind w:right="65"/>
        <w:jc w:val="left"/>
      </w:pPr>
      <w:r>
        <w:rPr/>
        <w:t>在完成等待期内的服务或达到规定业绩条件才可行权的，在等待期内的每个资产负债 </w:t>
      </w:r>
      <w:r>
        <w:rPr>
          <w:spacing w:val="-5"/>
        </w:rPr>
        <w:t>表日，以对可行权权益工具数量的最佳估计为基础，按照权益工具授予日的公允价值，</w:t>
      </w:r>
      <w:r>
        <w:rPr>
          <w:spacing w:val="-98"/>
        </w:rPr>
        <w:t> </w:t>
      </w:r>
      <w:r>
        <w:rPr>
          <w:spacing w:val="-98"/>
        </w:rPr>
      </w:r>
      <w:r>
        <w:rPr/>
        <w:t>将当期取得的服务计入相关成本或费用和资本公积。在可行权日之后不再对已确认的</w:t>
      </w:r>
      <w:r>
        <w:rPr/>
        <w:t> 相关成本或费用和所有者权益总额进行调整。</w:t>
      </w:r>
    </w:p>
    <w:p>
      <w:pPr>
        <w:pStyle w:val="BodyText"/>
        <w:spacing w:line="237" w:lineRule="auto" w:before="121"/>
        <w:ind w:right="65" w:firstLine="480"/>
        <w:jc w:val="left"/>
      </w:pPr>
      <w:r>
        <w:rPr/>
        <w:t>以现金结算的股份支付，按照本集团承担的以股份或其他权益工具为基础计算确 定的负债的公允价值计量。授予后立即可行权的，在授予日以本集团承担负债的公允 价值计入相关成本或费用，相应增加负债。在完成等待期内的服务或达到规定业绩条 件以后才可行权的以现金结算的股份支付，在等待期内的每个资产负债表日，以对可 行权情况的最佳估计为基础，按照本集团承担负债的公允价值金额，将当期取得的服 </w:t>
      </w:r>
      <w:r>
        <w:rPr>
          <w:spacing w:val="-2"/>
        </w:rPr>
        <w:t>务计入成本或费用和相应的负债。在相关负债结算前的每个资产负债表日以及结算日，</w:t>
      </w:r>
      <w:r>
        <w:rPr>
          <w:spacing w:val="-93"/>
        </w:rPr>
        <w:t> </w:t>
      </w:r>
      <w:r>
        <w:rPr>
          <w:spacing w:val="-93"/>
        </w:rPr>
      </w:r>
      <w:r>
        <w:rPr/>
        <w:t>对负债的公允价值重新计量，其变动计入当期损益。</w:t>
      </w:r>
    </w:p>
    <w:p>
      <w:pPr>
        <w:pStyle w:val="BodyText"/>
        <w:spacing w:line="237" w:lineRule="auto" w:before="121"/>
        <w:ind w:right="65" w:firstLine="480"/>
        <w:jc w:val="left"/>
      </w:pPr>
      <w:r>
        <w:rPr/>
        <w:t>本集团对股份支付计划进行修改时，若修改增加了所授予权益工具的公允价值，</w:t>
      </w:r>
      <w:r>
        <w:rPr>
          <w:spacing w:val="2"/>
        </w:rPr>
        <w:t> </w:t>
      </w:r>
      <w:r>
        <w:rPr/>
        <w:t>按照权益工具公允价值的增加相应地确认取得服务的增加；若修改增加了所授予权益</w:t>
      </w:r>
      <w:r>
        <w:rPr/>
        <w:t> 工具的数量，则将增加的权益工具的公允价值相应地确认为取得服务的增加。权益工 具公允价值的增加是指修改前后的权益工具在修改日的公允价值之间的差额。若修改 </w:t>
      </w:r>
      <w:r>
        <w:rPr>
          <w:spacing w:val="4"/>
        </w:rPr>
        <w:t>减少了股份支付公允价值总额或采用了其他不利于职工的方式修改股份支付计划的</w:t>
      </w:r>
      <w:r>
        <w:rPr>
          <w:spacing w:val="-105"/>
        </w:rPr>
        <w:t> </w:t>
      </w:r>
      <w:r>
        <w:rPr>
          <w:spacing w:val="-105"/>
        </w:rPr>
      </w:r>
      <w:r>
        <w:rPr/>
        <w:t>条款和条件，则仍继续对取得的服务进行会计处理，视同该变更从未发生，除非本集</w:t>
      </w:r>
      <w:r>
        <w:rPr/>
        <w:t> 团取消了部分或全部已授予的权益工具。</w:t>
      </w:r>
    </w:p>
    <w:p>
      <w:pPr>
        <w:pStyle w:val="BodyText"/>
        <w:spacing w:line="237" w:lineRule="auto" w:before="121"/>
        <w:ind w:right="244" w:firstLine="480"/>
        <w:jc w:val="both"/>
      </w:pPr>
      <w:r>
        <w:rPr/>
        <w:t>在等待期内，如果取消了授予的权益工具（因未满足可行权条件的非市场条件而 被取消的除外），本集团对取消所授予的权益性工具作为加速行权处理，将剩余等待 期内应确认的金额立即计入当期损益，同时确认资本公积。职工或其他方能够选择满 足非可行权条件但在等待期内未满足的，本集团将其作为授予权益工具的取消处理。</w:t>
      </w:r>
    </w:p>
    <w:p>
      <w:pPr>
        <w:spacing w:line="240" w:lineRule="auto" w:before="1"/>
        <w:rPr>
          <w:rFonts w:ascii="宋体" w:hAnsi="宋体" w:cs="宋体" w:eastAsia="宋体" w:hint="default"/>
          <w:sz w:val="28"/>
          <w:szCs w:val="28"/>
        </w:rPr>
      </w:pPr>
    </w:p>
    <w:p>
      <w:pPr>
        <w:pStyle w:val="Heading2"/>
        <w:spacing w:line="240" w:lineRule="auto" w:before="0"/>
        <w:ind w:left="137" w:right="5801"/>
        <w:jc w:val="left"/>
        <w:rPr>
          <w:b w:val="0"/>
          <w:bCs w:val="0"/>
        </w:rPr>
      </w:pPr>
      <w:r>
        <w:rPr>
          <w:rFonts w:ascii="Calibri" w:hAnsi="Calibri" w:cs="Calibri" w:eastAsia="Calibri" w:hint="default"/>
        </w:rPr>
        <w:t>26. </w:t>
      </w:r>
      <w:r>
        <w:rPr>
          <w:rFonts w:ascii="Calibri" w:hAnsi="Calibri" w:cs="Calibri" w:eastAsia="Calibri" w:hint="default"/>
          <w:spacing w:val="9"/>
        </w:rPr>
        <w:t> </w:t>
      </w:r>
      <w:r>
        <w:rPr/>
        <w:t>收入</w:t>
      </w:r>
      <w:r>
        <w:rPr>
          <w:b w:val="0"/>
          <w:bCs w:val="0"/>
        </w:rPr>
      </w:r>
    </w:p>
    <w:p>
      <w:pPr>
        <w:pStyle w:val="BodyText"/>
        <w:spacing w:line="240" w:lineRule="auto" w:before="27"/>
        <w:ind w:right="5801"/>
        <w:jc w:val="left"/>
      </w:pPr>
      <w:r>
        <w:rPr/>
        <w:t>（</w:t>
      </w:r>
      <w:r>
        <w:rPr>
          <w:rFonts w:ascii="宋体" w:hAnsi="宋体" w:cs="宋体" w:eastAsia="宋体" w:hint="default"/>
        </w:rPr>
        <w:t>1</w:t>
      </w:r>
      <w:r>
        <w:rPr/>
        <w:t>）一般原则</w:t>
      </w:r>
    </w:p>
    <w:p>
      <w:pPr>
        <w:pStyle w:val="BodyText"/>
        <w:spacing w:line="331" w:lineRule="auto" w:before="115"/>
        <w:ind w:left="617" w:right="352"/>
        <w:jc w:val="left"/>
      </w:pPr>
      <w:r>
        <w:rPr/>
        <w:t>①销售商品 </w:t>
      </w:r>
      <w:r>
        <w:rPr>
          <w:spacing w:val="-2"/>
        </w:rPr>
        <w:t>在已将商品所有权上的主要风险和报酬转移给购货方，既没有保留通常与所有权</w:t>
      </w:r>
    </w:p>
    <w:p>
      <w:pPr>
        <w:pStyle w:val="BodyText"/>
        <w:spacing w:line="221" w:lineRule="exact"/>
        <w:ind w:right="65"/>
        <w:jc w:val="left"/>
      </w:pPr>
      <w:r>
        <w:rPr>
          <w:spacing w:val="-5"/>
        </w:rPr>
        <w:t>相联系的继续管理权，也没有对已售商品实施有效控制，收入的金额能够可靠地计量，</w:t>
      </w:r>
    </w:p>
    <w:p>
      <w:pPr>
        <w:spacing w:after="0" w:line="221" w:lineRule="exact"/>
        <w:jc w:val="left"/>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312" w:lineRule="exact" w:before="56"/>
        <w:ind w:right="119"/>
        <w:jc w:val="left"/>
      </w:pPr>
      <w:r>
        <w:rPr/>
        <w:t>相关的经济利益很可能流入企业，相关的已发生或将发生的成本能够可靠地计量时，</w:t>
      </w:r>
      <w:r>
        <w:rPr>
          <w:spacing w:val="-57"/>
        </w:rPr>
        <w:t> </w:t>
      </w:r>
      <w:r>
        <w:rPr>
          <w:spacing w:val="-57"/>
        </w:rPr>
      </w:r>
      <w:r>
        <w:rPr/>
        <w:t>确认商品销售收入的实现。</w:t>
      </w:r>
    </w:p>
    <w:p>
      <w:pPr>
        <w:pStyle w:val="BodyText"/>
        <w:spacing w:line="331" w:lineRule="auto" w:before="87"/>
        <w:ind w:left="617" w:right="119"/>
        <w:jc w:val="left"/>
      </w:pPr>
      <w:r>
        <w:rPr/>
        <w:t>②提供劳务 </w:t>
      </w:r>
      <w:r>
        <w:rPr>
          <w:spacing w:val="-2"/>
        </w:rPr>
        <w:t>对在提供劳务交易的结果能够可靠估计的情况下，本集团于资产负债表日按完工</w:t>
      </w:r>
    </w:p>
    <w:p>
      <w:pPr>
        <w:pStyle w:val="BodyText"/>
        <w:spacing w:line="221" w:lineRule="exact"/>
        <w:ind w:right="119"/>
        <w:jc w:val="left"/>
      </w:pPr>
      <w:r>
        <w:rPr/>
        <w:t>百分比法确认收入。</w:t>
      </w:r>
    </w:p>
    <w:p>
      <w:pPr>
        <w:pStyle w:val="BodyText"/>
        <w:spacing w:line="240" w:lineRule="auto" w:before="115"/>
        <w:ind w:left="617" w:right="119"/>
        <w:jc w:val="left"/>
      </w:pPr>
      <w:r>
        <w:rPr/>
        <w:t>劳务交易的完工进度按已经发生的劳务成本占估计总成本的比例确定。</w:t>
      </w:r>
    </w:p>
    <w:p>
      <w:pPr>
        <w:pStyle w:val="BodyText"/>
        <w:spacing w:line="312" w:lineRule="exact" w:before="148"/>
        <w:ind w:right="231" w:firstLine="480"/>
        <w:jc w:val="both"/>
      </w:pPr>
      <w:r>
        <w:rPr/>
        <w:t>提供劳务交易的结果能够可靠估计是指同时满足：</w:t>
      </w:r>
      <w:r>
        <w:rPr>
          <w:rFonts w:ascii="宋体" w:hAnsi="宋体" w:cs="宋体" w:eastAsia="宋体" w:hint="default"/>
        </w:rPr>
        <w:t>A</w:t>
      </w:r>
      <w:r>
        <w:rPr/>
        <w:t>、收入的金额能够可靠地计 量；</w:t>
      </w:r>
      <w:r>
        <w:rPr>
          <w:rFonts w:ascii="宋体" w:hAnsi="宋体" w:cs="宋体" w:eastAsia="宋体" w:hint="default"/>
        </w:rPr>
        <w:t>B</w:t>
      </w:r>
      <w:r>
        <w:rPr/>
        <w:t>、相关的经济利益很可能流入企业；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w:t>
      </w:r>
      <w:r>
        <w:rPr>
          <w:spacing w:val="-55"/>
        </w:rPr>
        <w:t> </w:t>
      </w:r>
      <w:r>
        <w:rPr/>
        <w:t>交易中已发生和将发生的成本能够可靠地计量。</w:t>
      </w:r>
    </w:p>
    <w:p>
      <w:pPr>
        <w:pStyle w:val="BodyText"/>
        <w:spacing w:line="312" w:lineRule="exact" w:before="118"/>
        <w:ind w:right="235" w:firstLine="480"/>
        <w:jc w:val="both"/>
      </w:pPr>
      <w:r>
        <w:rPr>
          <w:spacing w:val="-2"/>
        </w:rPr>
        <w:t>如果提供劳务交易的结果不能够可靠估计，则按已经发生并预计能够得到补偿的</w:t>
      </w:r>
      <w:r>
        <w:rPr/>
        <w:t> </w:t>
      </w:r>
      <w:r>
        <w:rPr>
          <w:spacing w:val="-2"/>
        </w:rPr>
        <w:t>劳务成本金额确认提供的劳务收入，并将已发生的劳务成本作为当期费用。已经发生</w:t>
      </w:r>
      <w:r>
        <w:rPr>
          <w:spacing w:val="-94"/>
        </w:rPr>
        <w:t> </w:t>
      </w:r>
      <w:r>
        <w:rPr>
          <w:spacing w:val="-94"/>
        </w:rPr>
      </w:r>
      <w:r>
        <w:rPr/>
        <w:t>的劳务成本如预计不能得到补偿的，则不确认收入。</w:t>
      </w:r>
    </w:p>
    <w:p>
      <w:pPr>
        <w:pStyle w:val="BodyText"/>
        <w:spacing w:line="331" w:lineRule="auto" w:before="87"/>
        <w:ind w:left="617" w:right="119"/>
        <w:jc w:val="left"/>
      </w:pPr>
      <w:r>
        <w:rPr/>
        <w:t>③让渡资产使用权 </w:t>
      </w:r>
      <w:r>
        <w:rPr>
          <w:spacing w:val="-2"/>
        </w:rPr>
        <w:t>与资产使用权让渡相关的经济利益能够流入及收入的金额能够可靠地计量时，本</w:t>
      </w:r>
    </w:p>
    <w:p>
      <w:pPr>
        <w:pStyle w:val="BodyText"/>
        <w:spacing w:line="221" w:lineRule="exact"/>
        <w:ind w:right="119"/>
        <w:jc w:val="left"/>
      </w:pPr>
      <w:r>
        <w:rPr/>
        <w:t>集团确认收入。</w:t>
      </w:r>
    </w:p>
    <w:p>
      <w:pPr>
        <w:pStyle w:val="BodyText"/>
        <w:spacing w:line="240" w:lineRule="auto" w:before="115"/>
        <w:ind w:right="119"/>
        <w:jc w:val="left"/>
      </w:pPr>
      <w:r>
        <w:rPr/>
        <w:t>（</w:t>
      </w:r>
      <w:r>
        <w:rPr>
          <w:rFonts w:ascii="宋体" w:hAnsi="宋体" w:cs="宋体" w:eastAsia="宋体" w:hint="default"/>
        </w:rPr>
        <w:t>2</w:t>
      </w:r>
      <w:r>
        <w:rPr/>
        <w:t>）收入确认的具体方法</w:t>
      </w:r>
    </w:p>
    <w:p>
      <w:pPr>
        <w:pStyle w:val="BodyText"/>
        <w:spacing w:line="331" w:lineRule="auto" w:before="118"/>
        <w:ind w:left="617" w:right="119"/>
        <w:jc w:val="left"/>
      </w:pPr>
      <w:r>
        <w:rPr/>
        <w:t>①简单系统集成 </w:t>
      </w:r>
      <w:r>
        <w:rPr>
          <w:spacing w:val="-2"/>
        </w:rPr>
        <w:t>对于不需要安装验收或只需简单测试的系统集成销售，在合同已签订，货物已交</w:t>
      </w:r>
    </w:p>
    <w:p>
      <w:pPr>
        <w:pStyle w:val="BodyText"/>
        <w:spacing w:line="218" w:lineRule="exact"/>
        <w:ind w:right="119"/>
        <w:jc w:val="left"/>
      </w:pPr>
      <w:r>
        <w:rPr/>
        <w:t>付并取得买方确认的货物签收单时确认收入。</w:t>
      </w:r>
    </w:p>
    <w:p>
      <w:pPr>
        <w:pStyle w:val="BodyText"/>
        <w:spacing w:line="331" w:lineRule="auto" w:before="118"/>
        <w:ind w:left="617" w:right="119"/>
        <w:jc w:val="left"/>
      </w:pPr>
      <w:r>
        <w:rPr/>
        <w:t>②复杂系统集成 </w:t>
      </w:r>
      <w:r>
        <w:rPr>
          <w:spacing w:val="-2"/>
        </w:rPr>
        <w:t>对于需要安装验收的系统集成销售，在合同已签订，货物已交付并取得买方确认</w:t>
      </w:r>
    </w:p>
    <w:p>
      <w:pPr>
        <w:pStyle w:val="BodyText"/>
        <w:spacing w:line="218" w:lineRule="exact"/>
        <w:ind w:right="119"/>
        <w:jc w:val="left"/>
      </w:pPr>
      <w:r>
        <w:rPr/>
        <w:t>的安装验收报告时确认收入。</w:t>
      </w:r>
    </w:p>
    <w:p>
      <w:pPr>
        <w:pStyle w:val="BodyText"/>
        <w:spacing w:line="331" w:lineRule="auto" w:before="118"/>
        <w:ind w:left="617" w:right="119"/>
        <w:jc w:val="left"/>
      </w:pPr>
      <w:r>
        <w:rPr/>
        <w:t>③开发服务收入 对于开发服务在交易结果能够可靠估计的情况下，采用完工百分比法确认收入。</w:t>
      </w:r>
    </w:p>
    <w:p>
      <w:pPr>
        <w:pStyle w:val="BodyText"/>
        <w:spacing w:line="328" w:lineRule="auto" w:before="26"/>
        <w:ind w:left="617" w:right="119"/>
        <w:jc w:val="left"/>
      </w:pPr>
      <w:r>
        <w:rPr/>
        <w:t>④专业服务收入 </w:t>
      </w:r>
      <w:r>
        <w:rPr>
          <w:spacing w:val="-2"/>
        </w:rPr>
        <w:t>对于一次性提供的专业服务，在服务已经提供，收入已经取得或取得了收款的凭</w:t>
      </w:r>
    </w:p>
    <w:p>
      <w:pPr>
        <w:pStyle w:val="BodyText"/>
        <w:spacing w:line="223" w:lineRule="exact"/>
        <w:ind w:right="119"/>
        <w:jc w:val="left"/>
      </w:pPr>
      <w:r>
        <w:rPr/>
        <w:t>据时确认收入；对于需在一定期限内（不跨年度）提供的专业服务，在服务期满时，</w:t>
      </w:r>
    </w:p>
    <w:p>
      <w:pPr>
        <w:pStyle w:val="BodyText"/>
        <w:spacing w:line="310" w:lineRule="exact" w:before="31"/>
        <w:ind w:right="0"/>
        <w:jc w:val="left"/>
      </w:pPr>
      <w:r>
        <w:rPr/>
        <w:t>根据已签订的专业服务合同总金额确认收入；对于需在一定期限内（跨年度）提供的 </w:t>
      </w:r>
      <w:r>
        <w:rPr>
          <w:spacing w:val="-5"/>
        </w:rPr>
        <w:t>专业服务，在资产负债表日，根据已签订的专业服务合同总金额及时间比例确认收入。</w:t>
      </w:r>
    </w:p>
    <w:p>
      <w:pPr>
        <w:pStyle w:val="BodyText"/>
        <w:spacing w:line="331" w:lineRule="auto" w:before="89"/>
        <w:ind w:left="617" w:right="119"/>
        <w:jc w:val="left"/>
      </w:pPr>
      <w:r>
        <w:rPr/>
        <w:t>⑤金融服务类收入 </w:t>
      </w:r>
      <w:r>
        <w:rPr>
          <w:spacing w:val="-2"/>
        </w:rPr>
        <w:t>融资租赁收入，自租赁开始日，将未确认融资收益按实际利率法确认为当期的融</w:t>
      </w:r>
    </w:p>
    <w:p>
      <w:pPr>
        <w:pStyle w:val="BodyText"/>
        <w:spacing w:line="218" w:lineRule="exact"/>
        <w:ind w:right="119"/>
        <w:jc w:val="left"/>
      </w:pPr>
      <w:r>
        <w:rPr/>
        <w:t>资租赁收入。</w:t>
      </w:r>
    </w:p>
    <w:p>
      <w:pPr>
        <w:pStyle w:val="BodyText"/>
        <w:spacing w:line="312" w:lineRule="exact" w:before="148"/>
        <w:ind w:right="234" w:firstLine="480"/>
        <w:jc w:val="both"/>
      </w:pPr>
      <w:r>
        <w:rPr>
          <w:spacing w:val="-2"/>
        </w:rPr>
        <w:t>其他金融服务类收入，在服务已经提供，收入已经取得或取得了收款的凭据时确</w:t>
      </w:r>
      <w:r>
        <w:rPr/>
        <w:t> 认收入。</w:t>
      </w:r>
    </w:p>
    <w:p>
      <w:pPr>
        <w:spacing w:after="0" w:line="312" w:lineRule="exact"/>
        <w:jc w:val="both"/>
        <w:sectPr>
          <w:footerReference w:type="default" r:id="rId46"/>
          <w:pgSz w:w="11910" w:h="16840"/>
          <w:pgMar w:footer="1195" w:header="882" w:top="1120" w:bottom="1380" w:left="1140" w:right="1560"/>
        </w:sectPr>
      </w:pPr>
    </w:p>
    <w:p>
      <w:pPr>
        <w:spacing w:line="240" w:lineRule="auto" w:before="13"/>
        <w:rPr>
          <w:rFonts w:ascii="宋体" w:hAnsi="宋体" w:cs="宋体" w:eastAsia="宋体" w:hint="default"/>
          <w:sz w:val="18"/>
          <w:szCs w:val="18"/>
        </w:rPr>
      </w:pPr>
    </w:p>
    <w:p>
      <w:pPr>
        <w:pStyle w:val="Heading2"/>
        <w:spacing w:line="259" w:lineRule="auto"/>
        <w:ind w:left="137" w:right="3505"/>
        <w:jc w:val="left"/>
        <w:rPr>
          <w:b w:val="0"/>
          <w:bCs w:val="0"/>
        </w:rPr>
      </w:pPr>
      <w:r>
        <w:rPr>
          <w:rFonts w:ascii="Calibri" w:hAnsi="Calibri" w:cs="Calibri" w:eastAsia="Calibri" w:hint="default"/>
        </w:rPr>
        <w:t>27.</w:t>
      </w:r>
      <w:r>
        <w:rPr>
          <w:rFonts w:ascii="Calibri" w:hAnsi="Calibri" w:cs="Calibri" w:eastAsia="Calibri" w:hint="default"/>
          <w:spacing w:val="7"/>
        </w:rPr>
        <w:t> </w:t>
      </w:r>
      <w:r>
        <w:rPr/>
        <w:t>政府补助</w:t>
      </w:r>
      <w:r>
        <w:rPr>
          <w:w w:val="99"/>
        </w:rPr>
        <w:t> </w:t>
      </w:r>
      <w:r>
        <w:rPr>
          <w:rFonts w:ascii="宋体" w:hAnsi="宋体" w:cs="宋体" w:eastAsia="宋体" w:hint="default"/>
        </w:rPr>
        <w:t>(1)</w:t>
      </w:r>
      <w:r>
        <w:rPr/>
        <w:t>、与资产相关的政府补助判断依据及会计处理方法</w:t>
      </w:r>
      <w:r>
        <w:rPr>
          <w:b w:val="0"/>
          <w:bCs w:val="0"/>
        </w:rPr>
      </w:r>
    </w:p>
    <w:p>
      <w:pPr>
        <w:pStyle w:val="BodyText"/>
        <w:spacing w:line="331" w:lineRule="auto" w:before="36"/>
        <w:ind w:left="617" w:right="352"/>
        <w:jc w:val="left"/>
      </w:pPr>
      <w:r>
        <w:rPr/>
        <w:t>政府补助在满足政府补助所附条件并能够收到时确认。 </w:t>
      </w:r>
      <w:r>
        <w:rPr>
          <w:spacing w:val="-2"/>
        </w:rPr>
        <w:t>对于货币性资产的政府补助，按照收到或应收的金额计量。其中，对期末有确凿</w:t>
      </w:r>
    </w:p>
    <w:p>
      <w:pPr>
        <w:pStyle w:val="BodyText"/>
        <w:spacing w:line="219" w:lineRule="exact"/>
        <w:ind w:right="65"/>
        <w:jc w:val="left"/>
      </w:pPr>
      <w:r>
        <w:rPr/>
        <w:t>证据表明能够符合财政扶持政策规定的相关条件且预计能够收到财政扶持资金时，按</w:t>
      </w:r>
    </w:p>
    <w:p>
      <w:pPr>
        <w:pStyle w:val="BodyText"/>
        <w:spacing w:line="312" w:lineRule="exact" w:before="28"/>
        <w:ind w:right="352"/>
        <w:jc w:val="left"/>
      </w:pPr>
      <w:r>
        <w:rPr>
          <w:spacing w:val="-2"/>
        </w:rPr>
        <w:t>应收金额计量；否则，按照实际收到的金额计量。对于非货币性资产的政府补助，按</w:t>
      </w:r>
      <w:r>
        <w:rPr>
          <w:spacing w:val="-94"/>
        </w:rPr>
        <w:t> </w:t>
      </w:r>
      <w:r>
        <w:rPr>
          <w:spacing w:val="-94"/>
        </w:rPr>
      </w:r>
      <w:r>
        <w:rPr/>
        <w:t>照公允价值计量；公允价值不能够可靠取得的，按照名义金额</w:t>
      </w:r>
      <w:r>
        <w:rPr>
          <w:spacing w:val="-60"/>
        </w:rPr>
        <w:t> </w:t>
      </w:r>
      <w:r>
        <w:rPr>
          <w:rFonts w:ascii="宋体" w:hAnsi="宋体" w:cs="宋体" w:eastAsia="宋体" w:hint="default"/>
        </w:rPr>
        <w:t>1</w:t>
      </w:r>
      <w:r>
        <w:rPr>
          <w:rFonts w:ascii="宋体" w:hAnsi="宋体" w:cs="宋体" w:eastAsia="宋体" w:hint="default"/>
          <w:spacing w:val="-60"/>
        </w:rPr>
        <w:t> </w:t>
      </w:r>
      <w:r>
        <w:rPr/>
        <w:t>元计量。</w:t>
      </w:r>
    </w:p>
    <w:p>
      <w:pPr>
        <w:pStyle w:val="BodyText"/>
        <w:spacing w:line="312" w:lineRule="exact" w:before="120"/>
        <w:ind w:right="352" w:firstLine="480"/>
        <w:jc w:val="left"/>
      </w:pPr>
      <w:r>
        <w:rPr>
          <w:spacing w:val="-2"/>
        </w:rPr>
        <w:t>与资产相关的政府补助，是指本集团取得的、用于购建或以其他方式形成长期资</w:t>
      </w:r>
      <w:r>
        <w:rPr/>
        <w:t> 产的政府补助；除此之外，作为与收益相关的政府补助。</w:t>
      </w:r>
    </w:p>
    <w:p>
      <w:pPr>
        <w:pStyle w:val="BodyText"/>
        <w:spacing w:line="313" w:lineRule="exact" w:before="87"/>
        <w:ind w:left="617" w:right="65"/>
        <w:jc w:val="left"/>
      </w:pPr>
      <w:r>
        <w:rPr/>
        <w:t>对于政府文件未明确规定补助对象的，能够形成长期资产的，与资产价值相对应</w:t>
      </w:r>
    </w:p>
    <w:p>
      <w:pPr>
        <w:pStyle w:val="BodyText"/>
        <w:spacing w:line="312" w:lineRule="exact" w:before="29"/>
        <w:ind w:right="65"/>
        <w:jc w:val="left"/>
      </w:pPr>
      <w:r>
        <w:rPr/>
        <w:t>的政府补助部分作为与资产相关的政府补助，其余部分作为与收益相关的政府补助；</w:t>
      </w:r>
      <w:r>
        <w:rPr>
          <w:spacing w:val="-57"/>
        </w:rPr>
        <w:t> </w:t>
      </w:r>
      <w:r>
        <w:rPr>
          <w:spacing w:val="-57"/>
        </w:rPr>
      </w:r>
      <w:r>
        <w:rPr/>
        <w:t>难以区分的，将政府补助整体作为与收益相关的政府补助。</w:t>
      </w:r>
    </w:p>
    <w:p>
      <w:pPr>
        <w:pStyle w:val="BodyText"/>
        <w:spacing w:line="237" w:lineRule="auto" w:before="89"/>
        <w:ind w:right="355"/>
        <w:jc w:val="both"/>
      </w:pPr>
      <w:r>
        <w:rPr>
          <w:spacing w:val="-2"/>
        </w:rPr>
        <w:t>与资产相关的政府补助，确认为递延收益，并在相关资产使用期限内平均分配，计入</w:t>
      </w:r>
      <w:r>
        <w:rPr>
          <w:spacing w:val="-95"/>
        </w:rPr>
        <w:t> </w:t>
      </w:r>
      <w:r>
        <w:rPr>
          <w:spacing w:val="-95"/>
        </w:rPr>
      </w:r>
      <w:r>
        <w:rPr>
          <w:spacing w:val="-2"/>
        </w:rPr>
        <w:t>当期损益。与收益相关的政府补助，如果用于补偿已发生的相关费用或损失，则计入</w:t>
      </w:r>
      <w:r>
        <w:rPr>
          <w:spacing w:val="-96"/>
        </w:rPr>
        <w:t> </w:t>
      </w:r>
      <w:r>
        <w:rPr>
          <w:spacing w:val="-96"/>
        </w:rPr>
      </w:r>
      <w:r>
        <w:rPr>
          <w:spacing w:val="-2"/>
        </w:rPr>
        <w:t>当期损益；如果用于补偿以后期间的相关费用或损失，则计入递延收益，于费用确认</w:t>
      </w:r>
      <w:r>
        <w:rPr>
          <w:spacing w:val="-96"/>
        </w:rPr>
        <w:t> </w:t>
      </w:r>
      <w:r>
        <w:rPr>
          <w:spacing w:val="-96"/>
        </w:rPr>
      </w:r>
      <w:r>
        <w:rPr/>
        <w:t>期间计入当期损益。按照名义金额计量的政府补助，直接计入当期损益。</w:t>
      </w:r>
    </w:p>
    <w:p>
      <w:pPr>
        <w:spacing w:line="283" w:lineRule="auto" w:before="58"/>
        <w:ind w:left="617" w:right="352"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已确认的政府补助需要返还时，存在相关递延收益余额的，冲减相关递延收益账</w:t>
      </w:r>
    </w:p>
    <w:p>
      <w:pPr>
        <w:pStyle w:val="BodyText"/>
        <w:spacing w:line="266" w:lineRule="exact"/>
        <w:ind w:right="352"/>
        <w:jc w:val="left"/>
      </w:pPr>
      <w:r>
        <w:rPr/>
        <w:t>面余额，超出部分计入当期损益；不存在相关递延收益的，直接计入当期损益。</w:t>
      </w:r>
    </w:p>
    <w:p>
      <w:pPr>
        <w:spacing w:line="240" w:lineRule="auto" w:before="4"/>
        <w:rPr>
          <w:rFonts w:ascii="宋体" w:hAnsi="宋体" w:cs="宋体" w:eastAsia="宋体" w:hint="default"/>
          <w:sz w:val="28"/>
          <w:szCs w:val="28"/>
        </w:rPr>
      </w:pPr>
    </w:p>
    <w:p>
      <w:pPr>
        <w:spacing w:line="256" w:lineRule="auto" w:before="0"/>
        <w:ind w:left="617" w:right="352" w:hanging="480"/>
        <w:jc w:val="left"/>
        <w:rPr>
          <w:rFonts w:ascii="宋体" w:hAnsi="宋体" w:cs="宋体" w:eastAsia="宋体" w:hint="default"/>
          <w:sz w:val="24"/>
          <w:szCs w:val="24"/>
        </w:rPr>
      </w:pPr>
      <w:r>
        <w:rPr>
          <w:rFonts w:ascii="Calibri" w:hAnsi="Calibri" w:cs="Calibri" w:eastAsia="Calibri" w:hint="default"/>
          <w:b/>
          <w:bCs/>
          <w:sz w:val="24"/>
          <w:szCs w:val="24"/>
        </w:rPr>
        <w:t>28.</w:t>
      </w:r>
      <w:r>
        <w:rPr>
          <w:rFonts w:ascii="Calibri" w:hAnsi="Calibri" w:cs="Calibri" w:eastAsia="Calibri" w:hint="default"/>
          <w:b/>
          <w:bCs/>
          <w:spacing w:val="6"/>
          <w:sz w:val="24"/>
          <w:szCs w:val="24"/>
        </w:rPr>
        <w:t> </w:t>
      </w:r>
      <w:r>
        <w:rPr>
          <w:rFonts w:ascii="宋体" w:hAnsi="宋体" w:cs="宋体" w:eastAsia="宋体" w:hint="default"/>
          <w:b/>
          <w:bCs/>
          <w:sz w:val="24"/>
          <w:szCs w:val="24"/>
        </w:rPr>
        <w:t>递延所得税资产</w:t>
      </w:r>
      <w:r>
        <w:rPr>
          <w:rFonts w:ascii="Calibri" w:hAnsi="Calibri" w:cs="Calibri" w:eastAsia="Calibri"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pacing w:val="-2"/>
          <w:sz w:val="24"/>
          <w:szCs w:val="24"/>
        </w:rPr>
        <w:t>所得税包括当期所得税和递延所得税。除由于企业合并产生的调整商誉，或与直</w:t>
      </w:r>
    </w:p>
    <w:p>
      <w:pPr>
        <w:pStyle w:val="BodyText"/>
        <w:spacing w:line="312" w:lineRule="exact" w:before="12"/>
        <w:ind w:right="352"/>
        <w:jc w:val="left"/>
      </w:pPr>
      <w:r>
        <w:rPr>
          <w:spacing w:val="-2"/>
        </w:rPr>
        <w:t>接计入所有者权益的交易或者事项相关的递延所得税计入所有者权益外，均作为所得</w:t>
      </w:r>
      <w:r>
        <w:rPr>
          <w:spacing w:val="-94"/>
        </w:rPr>
        <w:t> </w:t>
      </w:r>
      <w:r>
        <w:rPr>
          <w:spacing w:val="-94"/>
        </w:rPr>
      </w:r>
      <w:r>
        <w:rPr/>
        <w:t>税费用计入当期损益。</w:t>
      </w:r>
    </w:p>
    <w:p>
      <w:pPr>
        <w:pStyle w:val="BodyText"/>
        <w:spacing w:line="310" w:lineRule="exact" w:before="121"/>
        <w:ind w:right="65" w:firstLine="480"/>
        <w:jc w:val="left"/>
      </w:pPr>
      <w:r>
        <w:rPr>
          <w:spacing w:val="-2"/>
        </w:rPr>
        <w:t>本集团根据资产、负债于资产负债表日的账面价值与计税基础之间的暂时性差异，</w:t>
      </w:r>
      <w:r>
        <w:rPr/>
        <w:t> 采用资产负债表债务法确认递延所得税。</w:t>
      </w:r>
    </w:p>
    <w:p>
      <w:pPr>
        <w:pStyle w:val="BodyText"/>
        <w:spacing w:line="312" w:lineRule="exact" w:before="120"/>
        <w:ind w:right="352" w:firstLine="480"/>
        <w:jc w:val="left"/>
      </w:pPr>
      <w:r>
        <w:rPr>
          <w:spacing w:val="-2"/>
        </w:rPr>
        <w:t>各项应纳税暂时性差异均确认相关的递延所得税负债，除非该应纳税暂时性差异</w:t>
      </w:r>
      <w:r>
        <w:rPr/>
        <w:t> 是在以下交易中产生的：</w:t>
      </w:r>
    </w:p>
    <w:p>
      <w:pPr>
        <w:pStyle w:val="BodyText"/>
        <w:spacing w:line="312" w:lineRule="exact" w:before="118"/>
        <w:ind w:right="65" w:firstLine="480"/>
        <w:jc w:val="left"/>
      </w:pPr>
      <w:r>
        <w:rPr/>
        <w:t>（</w:t>
      </w:r>
      <w:r>
        <w:rPr>
          <w:rFonts w:ascii="宋体" w:hAnsi="宋体" w:cs="宋体" w:eastAsia="宋体" w:hint="default"/>
        </w:rPr>
        <w:t>1</w:t>
      </w:r>
      <w:r>
        <w:rPr/>
        <w:t>）商誉的初始确认，或者具有以下特征的交易中产生的资产或负债的初始确</w:t>
      </w:r>
      <w:r>
        <w:rPr>
          <w:spacing w:val="2"/>
        </w:rPr>
        <w:t> </w:t>
      </w:r>
      <w:r>
        <w:rPr>
          <w:spacing w:val="-5"/>
        </w:rPr>
        <w:t>认：该交易不是企业合并，并且交易发生时既不影响会计利润也不影响应纳税所得额；</w:t>
      </w:r>
    </w:p>
    <w:p>
      <w:pPr>
        <w:pStyle w:val="BodyText"/>
        <w:spacing w:line="310" w:lineRule="exact" w:before="121"/>
        <w:ind w:right="352" w:firstLine="480"/>
        <w:jc w:val="left"/>
      </w:pPr>
      <w:r>
        <w:rPr/>
        <w:t>（</w:t>
      </w:r>
      <w:r>
        <w:rPr>
          <w:rFonts w:ascii="宋体" w:hAnsi="宋体" w:cs="宋体" w:eastAsia="宋体" w:hint="default"/>
        </w:rPr>
        <w:t>2</w:t>
      </w:r>
      <w:r>
        <w:rPr/>
        <w:t>）对于与子公司、合营企业及联营企业投资相关的应纳税暂时性差异，该暂</w:t>
      </w:r>
      <w:r>
        <w:rPr>
          <w:spacing w:val="2"/>
        </w:rPr>
        <w:t> </w:t>
      </w:r>
      <w:r>
        <w:rPr/>
        <w:t>时性差异转回的时间能够控制并且该暂时性差异在可预见的未来很可能不会转回。</w:t>
      </w:r>
    </w:p>
    <w:p>
      <w:pPr>
        <w:pStyle w:val="BodyText"/>
        <w:spacing w:line="237" w:lineRule="auto" w:before="92"/>
        <w:ind w:right="354" w:firstLine="480"/>
        <w:jc w:val="both"/>
      </w:pPr>
      <w:r>
        <w:rPr>
          <w:spacing w:val="-2"/>
        </w:rPr>
        <w:t>对于可抵扣暂时性差异、能够结转以后年度的可抵扣亏损和税款抵减，本集团以</w:t>
      </w:r>
      <w:r>
        <w:rPr/>
        <w:t> </w:t>
      </w:r>
      <w:r>
        <w:rPr>
          <w:spacing w:val="-2"/>
        </w:rPr>
        <w:t>很可能取得用来抵扣可抵扣暂时性差异、可抵扣亏损和税款抵减的未来应纳税所得额</w:t>
      </w:r>
      <w:r>
        <w:rPr>
          <w:spacing w:val="-94"/>
        </w:rPr>
        <w:t> </w:t>
      </w:r>
      <w:r>
        <w:rPr>
          <w:spacing w:val="-94"/>
        </w:rPr>
      </w:r>
      <w:r>
        <w:rPr>
          <w:spacing w:val="-2"/>
        </w:rPr>
        <w:t>为限，确认由此产生的递延所得税资产，除非该可抵扣暂时性差异是在以下交易中产</w:t>
      </w:r>
      <w:r>
        <w:rPr>
          <w:spacing w:val="-94"/>
        </w:rPr>
        <w:t> </w:t>
      </w:r>
      <w:r>
        <w:rPr>
          <w:spacing w:val="-94"/>
        </w:rPr>
      </w:r>
      <w:r>
        <w:rPr/>
        <w:t>生的：</w:t>
      </w:r>
    </w:p>
    <w:p>
      <w:pPr>
        <w:pStyle w:val="BodyText"/>
        <w:spacing w:line="310" w:lineRule="exact" w:before="150"/>
        <w:ind w:right="352" w:firstLine="480"/>
        <w:jc w:val="left"/>
      </w:pPr>
      <w:r>
        <w:rPr/>
        <w:t>（</w:t>
      </w:r>
      <w:r>
        <w:rPr>
          <w:rFonts w:ascii="宋体" w:hAnsi="宋体" w:cs="宋体" w:eastAsia="宋体" w:hint="default"/>
        </w:rPr>
        <w:t>1</w:t>
      </w:r>
      <w:r>
        <w:rPr/>
        <w:t>）该交易不是企业合并，并且交易发生时既不影响会计利润也不影响应纳税</w:t>
      </w:r>
      <w:r>
        <w:rPr>
          <w:spacing w:val="2"/>
        </w:rPr>
        <w:t> </w:t>
      </w:r>
      <w:r>
        <w:rPr/>
        <w:t>所得额；</w:t>
      </w:r>
    </w:p>
    <w:p>
      <w:pPr>
        <w:spacing w:after="0" w:line="310" w:lineRule="exact"/>
        <w:jc w:val="left"/>
        <w:sectPr>
          <w:footerReference w:type="default" r:id="rId47"/>
          <w:pgSz w:w="11910" w:h="16840"/>
          <w:pgMar w:footer="1195" w:header="882" w:top="1120" w:bottom="1380" w:left="1140" w:right="1440"/>
          <w:pgNumType w:start="111"/>
        </w:sectPr>
      </w:pPr>
    </w:p>
    <w:p>
      <w:pPr>
        <w:spacing w:line="240" w:lineRule="auto" w:before="13"/>
        <w:rPr>
          <w:rFonts w:ascii="宋体" w:hAnsi="宋体" w:cs="宋体" w:eastAsia="宋体" w:hint="default"/>
          <w:sz w:val="18"/>
          <w:szCs w:val="18"/>
        </w:rPr>
      </w:pPr>
    </w:p>
    <w:p>
      <w:pPr>
        <w:pStyle w:val="BodyText"/>
        <w:spacing w:line="237" w:lineRule="auto" w:before="28"/>
        <w:ind w:right="350" w:firstLine="480"/>
        <w:jc w:val="both"/>
      </w:pPr>
      <w:r>
        <w:rPr/>
        <w:t>（</w:t>
      </w:r>
      <w:r>
        <w:rPr>
          <w:rFonts w:ascii="宋体" w:hAnsi="宋体" w:cs="宋体" w:eastAsia="宋体" w:hint="default"/>
        </w:rPr>
        <w:t>2</w:t>
      </w:r>
      <w:r>
        <w:rPr/>
        <w:t>）对于与子公司、合营企业及联营企业投资相关的可抵扣暂时性差异，同时</w:t>
      </w:r>
      <w:r>
        <w:rPr>
          <w:spacing w:val="2"/>
        </w:rPr>
        <w:t> </w:t>
      </w:r>
      <w:r>
        <w:rPr>
          <w:spacing w:val="-2"/>
        </w:rPr>
        <w:t>满足下列条件的，确认相应的递延所得税资产：暂时性差异在可预见的未来很可能转</w:t>
      </w:r>
      <w:r>
        <w:rPr>
          <w:spacing w:val="-94"/>
        </w:rPr>
        <w:t> </w:t>
      </w:r>
      <w:r>
        <w:rPr>
          <w:spacing w:val="-94"/>
        </w:rPr>
      </w:r>
      <w:r>
        <w:rPr/>
        <w:t>回，且未来很可能获得用来抵扣可抵扣暂时性差异的应纳税所得额。</w:t>
      </w:r>
    </w:p>
    <w:p>
      <w:pPr>
        <w:pStyle w:val="BodyText"/>
        <w:spacing w:line="237" w:lineRule="auto" w:before="121"/>
        <w:ind w:right="355" w:firstLine="480"/>
        <w:jc w:val="both"/>
      </w:pPr>
      <w:r>
        <w:rPr>
          <w:spacing w:val="-2"/>
        </w:rPr>
        <w:t>于资产负债表日，本集团对递延所得税资产和递延所得税负债，按照预期收回该</w:t>
      </w:r>
      <w:r>
        <w:rPr/>
        <w:t> </w:t>
      </w:r>
      <w:r>
        <w:rPr>
          <w:spacing w:val="-2"/>
        </w:rPr>
        <w:t>资产或清偿该负债期间的适用税率计量，并反映资产负债表日预期收回资产或清偿负</w:t>
      </w:r>
      <w:r>
        <w:rPr>
          <w:spacing w:val="-94"/>
        </w:rPr>
        <w:t> </w:t>
      </w:r>
      <w:r>
        <w:rPr>
          <w:spacing w:val="-94"/>
        </w:rPr>
      </w:r>
      <w:r>
        <w:rPr/>
        <w:t>债方式的所得税影响。</w:t>
      </w:r>
    </w:p>
    <w:p>
      <w:pPr>
        <w:pStyle w:val="BodyText"/>
        <w:spacing w:line="312" w:lineRule="exact" w:before="149"/>
        <w:ind w:right="355" w:firstLine="480"/>
        <w:jc w:val="both"/>
      </w:pPr>
      <w:r>
        <w:rPr>
          <w:spacing w:val="-2"/>
        </w:rPr>
        <w:t>于资产负债表日，本集团对递延所得税资产的账面价值进行复核。如果未来期间</w:t>
      </w:r>
      <w:r>
        <w:rPr/>
        <w:t> </w:t>
      </w:r>
      <w:r>
        <w:rPr>
          <w:spacing w:val="-2"/>
        </w:rPr>
        <w:t>很可能无法获得足够的应纳税所得额用以抵扣递延所得税资产的利益，减记递延所得</w:t>
      </w:r>
      <w:r>
        <w:rPr>
          <w:spacing w:val="-94"/>
        </w:rPr>
        <w:t> </w:t>
      </w:r>
      <w:r>
        <w:rPr>
          <w:spacing w:val="-94"/>
        </w:rPr>
      </w:r>
      <w:r>
        <w:rPr/>
        <w:t>税资产的账面价值。在很可能获得足够的应纳税所得额时，减记的金额予以转回。</w:t>
      </w:r>
    </w:p>
    <w:p>
      <w:pPr>
        <w:spacing w:line="240" w:lineRule="auto" w:before="1"/>
        <w:rPr>
          <w:rFonts w:ascii="宋体" w:hAnsi="宋体" w:cs="宋体" w:eastAsia="宋体" w:hint="default"/>
          <w:sz w:val="35"/>
          <w:szCs w:val="35"/>
        </w:rPr>
      </w:pPr>
    </w:p>
    <w:p>
      <w:pPr>
        <w:pStyle w:val="Heading2"/>
        <w:spacing w:line="240" w:lineRule="auto" w:before="0"/>
        <w:ind w:left="137" w:right="5801"/>
        <w:jc w:val="left"/>
        <w:rPr>
          <w:b w:val="0"/>
          <w:bCs w:val="0"/>
        </w:rPr>
      </w:pPr>
      <w:r>
        <w:rPr>
          <w:rFonts w:ascii="Calibri" w:hAnsi="Calibri" w:cs="Calibri" w:eastAsia="Calibri" w:hint="default"/>
        </w:rPr>
        <w:t>29. </w:t>
      </w:r>
      <w:r>
        <w:rPr>
          <w:rFonts w:ascii="Calibri" w:hAnsi="Calibri" w:cs="Calibri" w:eastAsia="Calibri" w:hint="default"/>
          <w:spacing w:val="9"/>
        </w:rPr>
        <w:t> </w:t>
      </w:r>
      <w:r>
        <w:rPr/>
        <w:t>租赁</w:t>
      </w:r>
      <w:r>
        <w:rPr>
          <w:b w:val="0"/>
          <w:bCs w:val="0"/>
        </w:rPr>
      </w:r>
    </w:p>
    <w:p>
      <w:pPr>
        <w:pStyle w:val="BodyText"/>
        <w:spacing w:line="310" w:lineRule="exact" w:before="59"/>
        <w:ind w:right="363" w:firstLine="480"/>
        <w:jc w:val="both"/>
      </w:pPr>
      <w:r>
        <w:rPr>
          <w:spacing w:val="4"/>
        </w:rPr>
        <w:t>本集团将实质上转移了与资产所有权有关的全部风险和报酬的租赁确认为融资</w:t>
      </w:r>
      <w:r>
        <w:rPr/>
        <w:t> 租赁，除融资租赁之外的其他租赁确认为经营租赁。</w:t>
      </w:r>
    </w:p>
    <w:p>
      <w:pPr>
        <w:pStyle w:val="Heading2"/>
        <w:spacing w:line="240" w:lineRule="auto" w:before="29"/>
        <w:ind w:left="137" w:right="5801"/>
        <w:jc w:val="left"/>
        <w:rPr>
          <w:b w:val="0"/>
          <w:bCs w:val="0"/>
        </w:rPr>
      </w:pPr>
      <w:r>
        <w:rPr>
          <w:rFonts w:ascii="宋体" w:hAnsi="宋体" w:cs="宋体" w:eastAsia="宋体" w:hint="default"/>
        </w:rPr>
        <w:t>(1)</w:t>
      </w:r>
      <w:r>
        <w:rPr/>
        <w:t>、经营租赁的会计处理方法</w:t>
      </w:r>
      <w:r>
        <w:rPr>
          <w:b w:val="0"/>
          <w:bCs w:val="0"/>
        </w:rPr>
      </w:r>
    </w:p>
    <w:p>
      <w:pPr>
        <w:pStyle w:val="BodyText"/>
        <w:spacing w:line="328" w:lineRule="auto" w:before="58"/>
        <w:ind w:left="617" w:right="352" w:hanging="480"/>
        <w:jc w:val="left"/>
      </w:pPr>
      <w:r>
        <w:rPr/>
        <w:t>①本集团作为出租人 </w:t>
      </w:r>
      <w:r>
        <w:rPr>
          <w:spacing w:val="-2"/>
        </w:rPr>
        <w:t>经营租赁中的租金，本集团在租赁期内各个期间按照直线法确认当期损益。发生</w:t>
      </w:r>
    </w:p>
    <w:p>
      <w:pPr>
        <w:pStyle w:val="BodyText"/>
        <w:spacing w:line="223" w:lineRule="exact"/>
        <w:ind w:right="352"/>
        <w:jc w:val="left"/>
      </w:pPr>
      <w:r>
        <w:rPr/>
        <w:t>的初始直接费用，计入当期损益。</w:t>
      </w:r>
    </w:p>
    <w:p>
      <w:pPr>
        <w:pStyle w:val="BodyText"/>
        <w:spacing w:line="328" w:lineRule="auto" w:before="118"/>
        <w:ind w:left="617" w:right="352" w:hanging="480"/>
        <w:jc w:val="left"/>
      </w:pPr>
      <w:r>
        <w:rPr/>
        <w:t>②本集团作为承租人 </w:t>
      </w:r>
      <w:r>
        <w:rPr>
          <w:spacing w:val="-2"/>
        </w:rPr>
        <w:t>经营租赁中的租金，本集团在租赁期内各个期间按照直线法计入相关资产成本或</w:t>
      </w:r>
    </w:p>
    <w:p>
      <w:pPr>
        <w:pStyle w:val="BodyText"/>
        <w:spacing w:line="223" w:lineRule="exact"/>
        <w:ind w:right="352"/>
        <w:jc w:val="left"/>
      </w:pPr>
      <w:r>
        <w:rPr/>
        <w:t>当期损益；发生的初始直接费用，计入当期损益。</w:t>
      </w:r>
    </w:p>
    <w:p>
      <w:pPr>
        <w:spacing w:line="240" w:lineRule="auto" w:before="0"/>
        <w:rPr>
          <w:rFonts w:ascii="宋体" w:hAnsi="宋体" w:cs="宋体" w:eastAsia="宋体" w:hint="default"/>
          <w:sz w:val="24"/>
          <w:szCs w:val="24"/>
        </w:rPr>
      </w:pPr>
    </w:p>
    <w:p>
      <w:pPr>
        <w:pStyle w:val="Heading2"/>
        <w:spacing w:line="240" w:lineRule="auto" w:before="173"/>
        <w:ind w:left="137" w:right="5801"/>
        <w:jc w:val="left"/>
        <w:rPr>
          <w:b w:val="0"/>
          <w:bCs w:val="0"/>
        </w:rPr>
      </w:pPr>
      <w:r>
        <w:rPr>
          <w:rFonts w:ascii="宋体" w:hAnsi="宋体" w:cs="宋体" w:eastAsia="宋体" w:hint="default"/>
        </w:rPr>
        <w:t>(2)</w:t>
      </w:r>
      <w:r>
        <w:rPr/>
        <w:t>、融资租赁的会计处理方法</w:t>
      </w:r>
      <w:r>
        <w:rPr>
          <w:b w:val="0"/>
          <w:bCs w:val="0"/>
        </w:rPr>
      </w:r>
    </w:p>
    <w:p>
      <w:pPr>
        <w:pStyle w:val="BodyText"/>
        <w:spacing w:line="312" w:lineRule="exact" w:before="88"/>
        <w:ind w:left="617" w:right="352" w:hanging="480"/>
        <w:jc w:val="left"/>
      </w:pPr>
      <w:r>
        <w:rPr/>
        <w:t>①本集团作为出租人 </w:t>
      </w:r>
      <w:r>
        <w:rPr>
          <w:spacing w:val="-2"/>
        </w:rPr>
        <w:t>融资租赁中，在租赁开始日本集团按最低租赁收款额与初始直接费用之和作为应</w:t>
      </w:r>
    </w:p>
    <w:p>
      <w:pPr>
        <w:pStyle w:val="BodyText"/>
        <w:spacing w:line="310" w:lineRule="exact" w:before="1"/>
        <w:ind w:right="352"/>
        <w:jc w:val="left"/>
      </w:pPr>
      <w:r>
        <w:rPr>
          <w:spacing w:val="-2"/>
        </w:rPr>
        <w:t>收融资租赁款的入账价值，同时记录未担保余值；将最低租赁收款额、初始直接费用</w:t>
      </w:r>
      <w:r>
        <w:rPr>
          <w:spacing w:val="-96"/>
        </w:rPr>
        <w:t> </w:t>
      </w:r>
      <w:r>
        <w:rPr>
          <w:spacing w:val="-96"/>
        </w:rPr>
      </w:r>
      <w:r>
        <w:rPr>
          <w:spacing w:val="-2"/>
        </w:rPr>
        <w:t>及未担保余值之和与其现值之和的差额确认为未实现融资收益。未实现融资收益在租</w:t>
      </w:r>
    </w:p>
    <w:p>
      <w:pPr>
        <w:pStyle w:val="BodyText"/>
        <w:spacing w:line="283" w:lineRule="exact"/>
        <w:ind w:right="352"/>
        <w:jc w:val="left"/>
      </w:pPr>
      <w:r>
        <w:rPr/>
        <w:t>赁期内各个期间采用实际利率法计算确认当期的融资收入。</w:t>
      </w:r>
    </w:p>
    <w:p>
      <w:pPr>
        <w:pStyle w:val="BodyText"/>
        <w:spacing w:line="328" w:lineRule="auto"/>
        <w:ind w:left="617" w:right="352" w:hanging="480"/>
        <w:jc w:val="left"/>
      </w:pPr>
      <w:r>
        <w:rPr/>
        <w:t>②本集团作为承租人 </w:t>
      </w:r>
      <w:r>
        <w:rPr>
          <w:spacing w:val="-2"/>
        </w:rPr>
        <w:t>融资租赁中，在租赁开始日本集团将租赁资产公允价值与最低租赁付款额现值两</w:t>
      </w:r>
    </w:p>
    <w:p>
      <w:pPr>
        <w:pStyle w:val="BodyText"/>
        <w:spacing w:line="222" w:lineRule="exact"/>
        <w:ind w:right="0"/>
        <w:jc w:val="left"/>
      </w:pPr>
      <w:r>
        <w:rPr/>
        <w:t>者中较低者作为租入资产的入账价值，将最低租赁付款额作为长期应付款的入账价值，</w:t>
      </w:r>
    </w:p>
    <w:p>
      <w:pPr>
        <w:pStyle w:val="BodyText"/>
        <w:spacing w:line="237" w:lineRule="auto" w:before="1"/>
        <w:ind w:right="355"/>
        <w:jc w:val="both"/>
      </w:pPr>
      <w:r>
        <w:rPr>
          <w:spacing w:val="-2"/>
        </w:rPr>
        <w:t>其差额作为未确认融资费用。初始直接费用计入租入资产价值。未确认融资费用在租</w:t>
      </w:r>
      <w:r>
        <w:rPr>
          <w:spacing w:val="-94"/>
        </w:rPr>
        <w:t> </w:t>
      </w:r>
      <w:r>
        <w:rPr>
          <w:spacing w:val="-94"/>
        </w:rPr>
      </w:r>
      <w:r>
        <w:rPr>
          <w:spacing w:val="-2"/>
        </w:rPr>
        <w:t>赁期内各个期间采用实际利率法计算确认当期的融资费用。本集团采用与自有固定资</w:t>
      </w:r>
      <w:r>
        <w:rPr>
          <w:spacing w:val="-94"/>
        </w:rPr>
        <w:t> </w:t>
      </w:r>
      <w:r>
        <w:rPr>
          <w:spacing w:val="-94"/>
        </w:rPr>
      </w:r>
      <w:r>
        <w:rPr/>
        <w:t>产相一致的折旧政策计提租赁资产折旧。</w:t>
      </w:r>
    </w:p>
    <w:p>
      <w:pPr>
        <w:spacing w:line="240" w:lineRule="auto" w:before="0"/>
        <w:rPr>
          <w:rFonts w:ascii="宋体" w:hAnsi="宋体" w:cs="宋体" w:eastAsia="宋体" w:hint="default"/>
          <w:sz w:val="24"/>
          <w:szCs w:val="24"/>
        </w:rPr>
      </w:pPr>
    </w:p>
    <w:p>
      <w:pPr>
        <w:pStyle w:val="Heading2"/>
        <w:spacing w:line="240" w:lineRule="auto" w:before="174"/>
        <w:ind w:left="137" w:right="5801"/>
        <w:jc w:val="left"/>
        <w:rPr>
          <w:b w:val="0"/>
          <w:bCs w:val="0"/>
        </w:rPr>
      </w:pPr>
      <w:r>
        <w:rPr>
          <w:rFonts w:ascii="Calibri" w:hAnsi="Calibri" w:cs="Calibri" w:eastAsia="Calibri" w:hint="default"/>
        </w:rPr>
        <w:t>30. </w:t>
      </w:r>
      <w:r>
        <w:rPr>
          <w:rFonts w:ascii="Calibri" w:hAnsi="Calibri" w:cs="Calibri" w:eastAsia="Calibri" w:hint="default"/>
          <w:spacing w:val="7"/>
        </w:rPr>
        <w:t> </w:t>
      </w:r>
      <w:r>
        <w:rPr/>
        <w:t>回购股份</w:t>
      </w:r>
      <w:r>
        <w:rPr>
          <w:b w:val="0"/>
          <w:bCs w:val="0"/>
        </w:rPr>
      </w:r>
    </w:p>
    <w:p>
      <w:pPr>
        <w:pStyle w:val="BodyText"/>
        <w:spacing w:line="237" w:lineRule="auto" w:before="30"/>
        <w:ind w:right="355" w:firstLine="480"/>
        <w:jc w:val="both"/>
      </w:pPr>
      <w:r>
        <w:rPr>
          <w:spacing w:val="-2"/>
        </w:rPr>
        <w:t>本公司回购的股份在注销或者转让之前，作为库存股管理，回购股份的全部支出</w:t>
      </w:r>
      <w:r>
        <w:rPr/>
        <w:t> </w:t>
      </w:r>
      <w:r>
        <w:rPr>
          <w:spacing w:val="-2"/>
        </w:rPr>
        <w:t>转作库存股成本。股份回购中支付的对价和交易费用减少所有者权益，回购、转上或</w:t>
      </w:r>
      <w:r>
        <w:rPr>
          <w:spacing w:val="-95"/>
        </w:rPr>
        <w:t> </w:t>
      </w:r>
      <w:r>
        <w:rPr>
          <w:spacing w:val="-95"/>
        </w:rPr>
      </w:r>
      <w:r>
        <w:rPr/>
        <w:t>注销本公司股份时，不确认利得或损失。</w:t>
      </w:r>
    </w:p>
    <w:p>
      <w:pPr>
        <w:spacing w:after="0" w:line="237" w:lineRule="auto"/>
        <w:jc w:val="both"/>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237" w:lineRule="auto" w:before="28"/>
        <w:ind w:right="232" w:firstLine="480"/>
        <w:jc w:val="both"/>
      </w:pPr>
      <w:r>
        <w:rPr>
          <w:spacing w:val="-2"/>
        </w:rPr>
        <w:t>转让库存股，按实际收到的金额与库存股账面金额的差额，计入资本公积，资本</w:t>
      </w:r>
      <w:r>
        <w:rPr/>
        <w:t> </w:t>
      </w:r>
      <w:r>
        <w:rPr>
          <w:spacing w:val="-2"/>
        </w:rPr>
        <w:t>公积不足冲减的，冲减盈余公积和未分配利润。注销库存股，按股票面值和注销股数</w:t>
      </w:r>
      <w:r>
        <w:rPr>
          <w:spacing w:val="-93"/>
        </w:rPr>
        <w:t> </w:t>
      </w:r>
      <w:r>
        <w:rPr>
          <w:spacing w:val="-93"/>
        </w:rPr>
      </w:r>
      <w:r>
        <w:rPr>
          <w:spacing w:val="-2"/>
        </w:rPr>
        <w:t>减少股本，按注销库存股的账面余额与面值的差额，冲减资本公积，资本公积不足冲</w:t>
      </w:r>
      <w:r>
        <w:rPr>
          <w:spacing w:val="-93"/>
        </w:rPr>
        <w:t> </w:t>
      </w:r>
      <w:r>
        <w:rPr>
          <w:spacing w:val="-93"/>
        </w:rPr>
      </w:r>
      <w:r>
        <w:rPr/>
        <w:t>减的，冲减盈余公积和未分配利润。</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240" w:lineRule="auto" w:before="0"/>
        <w:ind w:left="137" w:right="119"/>
        <w:jc w:val="left"/>
        <w:rPr>
          <w:b w:val="0"/>
          <w:bCs w:val="0"/>
        </w:rPr>
      </w:pPr>
      <w:r>
        <w:rPr>
          <w:rFonts w:ascii="Calibri" w:hAnsi="Calibri" w:cs="Calibri" w:eastAsia="Calibri" w:hint="default"/>
        </w:rPr>
        <w:t>31. </w:t>
      </w:r>
      <w:r>
        <w:rPr>
          <w:rFonts w:ascii="Calibri" w:hAnsi="Calibri" w:cs="Calibri" w:eastAsia="Calibri" w:hint="default"/>
          <w:spacing w:val="6"/>
        </w:rPr>
        <w:t> </w:t>
      </w:r>
      <w:r>
        <w:rPr/>
        <w:t>限制性股票</w:t>
      </w:r>
      <w:r>
        <w:rPr>
          <w:b w:val="0"/>
          <w:bCs w:val="0"/>
        </w:rPr>
      </w:r>
    </w:p>
    <w:p>
      <w:pPr>
        <w:pStyle w:val="BodyText"/>
        <w:spacing w:line="261" w:lineRule="auto" w:before="116"/>
        <w:ind w:right="119" w:firstLine="480"/>
        <w:jc w:val="left"/>
      </w:pPr>
      <w:r>
        <w:rPr/>
        <w:t>股权激励计划中，本公司授予被激励对象限制性股票，被激励对象先认购股票，</w:t>
      </w:r>
      <w:r>
        <w:rPr>
          <w:spacing w:val="2"/>
        </w:rPr>
        <w:t> </w:t>
      </w:r>
      <w:r>
        <w:rPr/>
        <w:t>如果后续未达到股权激励计划规定的解锁条件，则本公司按照事先约定的价格回购股</w:t>
      </w:r>
    </w:p>
    <w:p>
      <w:pPr>
        <w:pStyle w:val="BodyText"/>
        <w:spacing w:line="261" w:lineRule="auto" w:before="2"/>
        <w:ind w:right="119"/>
        <w:jc w:val="left"/>
      </w:pPr>
      <w:r>
        <w:rPr/>
        <w:t>票。向职工发行的限制性股票按有关规定履行了注册登记等增资手续的，在授予日，</w:t>
      </w:r>
      <w:r>
        <w:rPr>
          <w:spacing w:val="-57"/>
        </w:rPr>
        <w:t> </w:t>
      </w:r>
      <w:r>
        <w:rPr>
          <w:spacing w:val="-57"/>
        </w:rPr>
      </w:r>
      <w:r>
        <w:rPr/>
        <w:t>本公司根据收到的职工缴纳的认股款确认股本和资本公积（股本溢价）；同时就回购</w:t>
      </w:r>
      <w:r>
        <w:rPr/>
        <w:t> 义务确认库存股和其他应付款。</w:t>
      </w:r>
    </w:p>
    <w:p>
      <w:pPr>
        <w:spacing w:line="240" w:lineRule="auto" w:before="0"/>
        <w:rPr>
          <w:rFonts w:ascii="宋体" w:hAnsi="宋体" w:cs="宋体" w:eastAsia="宋体" w:hint="default"/>
          <w:sz w:val="24"/>
          <w:szCs w:val="24"/>
        </w:rPr>
      </w:pPr>
    </w:p>
    <w:p>
      <w:pPr>
        <w:spacing w:line="300" w:lineRule="auto" w:before="212"/>
        <w:ind w:left="617" w:right="119" w:hanging="480"/>
        <w:jc w:val="left"/>
        <w:rPr>
          <w:rFonts w:ascii="宋体" w:hAnsi="宋体" w:cs="宋体" w:eastAsia="宋体" w:hint="default"/>
          <w:sz w:val="24"/>
          <w:szCs w:val="24"/>
        </w:rPr>
      </w:pPr>
      <w:r>
        <w:rPr>
          <w:rFonts w:ascii="Calibri" w:hAnsi="Calibri" w:cs="Calibri" w:eastAsia="Calibri" w:hint="default"/>
          <w:b/>
          <w:bCs/>
          <w:sz w:val="24"/>
          <w:szCs w:val="24"/>
        </w:rPr>
        <w:t>32.</w:t>
      </w:r>
      <w:r>
        <w:rPr>
          <w:rFonts w:ascii="Calibri" w:hAnsi="Calibri" w:cs="Calibri" w:eastAsia="Calibri" w:hint="default"/>
          <w:b/>
          <w:bCs/>
          <w:spacing w:val="7"/>
          <w:sz w:val="24"/>
          <w:szCs w:val="24"/>
        </w:rPr>
        <w:t> </w:t>
      </w:r>
      <w:r>
        <w:rPr>
          <w:rFonts w:ascii="宋体" w:hAnsi="宋体" w:cs="宋体" w:eastAsia="宋体" w:hint="default"/>
          <w:b/>
          <w:bCs/>
          <w:sz w:val="24"/>
          <w:szCs w:val="24"/>
        </w:rPr>
        <w:t>重大会计判断和估计</w:t>
      </w:r>
      <w:r>
        <w:rPr>
          <w:rFonts w:ascii="宋体" w:hAnsi="宋体" w:cs="宋体" w:eastAsia="宋体" w:hint="default"/>
          <w:b/>
          <w:bCs/>
          <w:w w:val="99"/>
          <w:sz w:val="24"/>
          <w:szCs w:val="24"/>
        </w:rPr>
        <w:t> </w:t>
      </w:r>
      <w:r>
        <w:rPr>
          <w:rFonts w:ascii="宋体" w:hAnsi="宋体" w:cs="宋体" w:eastAsia="宋体" w:hint="default"/>
          <w:spacing w:val="-2"/>
          <w:sz w:val="24"/>
          <w:szCs w:val="24"/>
        </w:rPr>
        <w:t>本集团根据历史经验和其它因素，包括对未来事项的合理预期，对所采用的重要</w:t>
      </w:r>
    </w:p>
    <w:p>
      <w:pPr>
        <w:pStyle w:val="BodyText"/>
        <w:spacing w:line="252" w:lineRule="exact"/>
        <w:ind w:right="119"/>
        <w:jc w:val="left"/>
      </w:pPr>
      <w:r>
        <w:rPr/>
        <w:t>会计估计和关键假设进行持续的评价。</w:t>
      </w:r>
    </w:p>
    <w:p>
      <w:pPr>
        <w:pStyle w:val="BodyText"/>
        <w:spacing w:line="312" w:lineRule="exact" w:before="146"/>
        <w:ind w:right="409" w:firstLine="480"/>
        <w:jc w:val="left"/>
      </w:pPr>
      <w:r>
        <w:rPr/>
        <w:t>很可能导致下一会计年度资产和负债的账面价值出现重大调整风险的重要会计 估计和关键假设列示如下：</w:t>
      </w:r>
    </w:p>
    <w:p>
      <w:pPr>
        <w:pStyle w:val="BodyText"/>
        <w:spacing w:line="328" w:lineRule="auto" w:before="89"/>
        <w:ind w:left="617" w:right="119"/>
        <w:jc w:val="left"/>
      </w:pPr>
      <w:r>
        <w:rPr/>
        <w:t>商誉减值 </w:t>
      </w:r>
      <w:r>
        <w:rPr>
          <w:spacing w:val="-2"/>
        </w:rPr>
        <w:t>本集团至少每年评估商誉是否发生减值。要求对分配了商誉的资产组的使用价值</w:t>
      </w:r>
    </w:p>
    <w:p>
      <w:pPr>
        <w:pStyle w:val="BodyText"/>
        <w:spacing w:line="222" w:lineRule="exact"/>
        <w:ind w:right="119"/>
        <w:jc w:val="left"/>
      </w:pPr>
      <w:r>
        <w:rPr/>
        <w:t>进行估计。估计使用价值时，本集团需要估计未来来自资产组的现金流量，同时选择</w:t>
      </w:r>
    </w:p>
    <w:p>
      <w:pPr>
        <w:pStyle w:val="BodyText"/>
        <w:spacing w:line="328" w:lineRule="auto"/>
        <w:ind w:left="617" w:right="4729" w:hanging="480"/>
        <w:jc w:val="left"/>
      </w:pPr>
      <w:r>
        <w:rPr/>
        <w:t>恰当的折现率计算未来现金流量的现值。 开发支出</w:t>
      </w:r>
    </w:p>
    <w:p>
      <w:pPr>
        <w:pStyle w:val="BodyText"/>
        <w:spacing w:line="312" w:lineRule="exact" w:before="60"/>
        <w:ind w:right="119" w:firstLine="480"/>
        <w:jc w:val="left"/>
      </w:pPr>
      <w:r>
        <w:rPr>
          <w:spacing w:val="-2"/>
        </w:rPr>
        <w:t>确定资本化的金额时，管理层必须做出有关资产的预期未来现金的产生、应采用</w:t>
      </w:r>
      <w:r>
        <w:rPr/>
        <w:t> 的折现率以及预计受益期间的假设。</w:t>
      </w:r>
    </w:p>
    <w:p>
      <w:pPr>
        <w:pStyle w:val="BodyText"/>
        <w:spacing w:line="331" w:lineRule="auto" w:before="87"/>
        <w:ind w:left="617" w:right="119"/>
        <w:jc w:val="left"/>
      </w:pPr>
      <w:r>
        <w:rPr/>
        <w:t>递延所得税资产 </w:t>
      </w:r>
      <w:r>
        <w:rPr>
          <w:spacing w:val="-2"/>
        </w:rPr>
        <w:t>在很有可能有足够的应纳税利润来抵扣亏损的限度内，应就所有未利用的税务亏</w:t>
      </w:r>
    </w:p>
    <w:p>
      <w:pPr>
        <w:pStyle w:val="BodyText"/>
        <w:spacing w:line="219" w:lineRule="exact"/>
        <w:ind w:right="119"/>
        <w:jc w:val="left"/>
      </w:pPr>
      <w:r>
        <w:rPr/>
        <w:t>损确认递延所得税资产。这需要管理层运用大量的判断来估计未来应纳税利润发生的</w:t>
      </w:r>
    </w:p>
    <w:p>
      <w:pPr>
        <w:pStyle w:val="BodyText"/>
        <w:spacing w:line="312" w:lineRule="exact"/>
        <w:ind w:right="119"/>
        <w:jc w:val="left"/>
      </w:pPr>
      <w:r>
        <w:rPr/>
        <w:t>时间和金额，结合纳税筹划策略，以决定应确认的递延所得税资产的金额。</w:t>
      </w:r>
    </w:p>
    <w:p>
      <w:pPr>
        <w:spacing w:line="240" w:lineRule="auto" w:before="0"/>
        <w:rPr>
          <w:rFonts w:ascii="宋体" w:hAnsi="宋体" w:cs="宋体" w:eastAsia="宋体" w:hint="default"/>
          <w:sz w:val="24"/>
          <w:szCs w:val="24"/>
        </w:rPr>
      </w:pPr>
    </w:p>
    <w:p>
      <w:pPr>
        <w:pStyle w:val="Heading2"/>
        <w:spacing w:line="259" w:lineRule="auto" w:before="176"/>
        <w:ind w:left="137" w:right="2844"/>
        <w:jc w:val="left"/>
        <w:rPr>
          <w:b w:val="0"/>
          <w:bCs w:val="0"/>
        </w:rPr>
      </w:pPr>
      <w:r>
        <w:rPr>
          <w:rFonts w:ascii="Calibri" w:hAnsi="Calibri" w:cs="Calibri" w:eastAsia="Calibri" w:hint="default"/>
        </w:rPr>
        <w:t>33.</w:t>
      </w:r>
      <w:r>
        <w:rPr>
          <w:rFonts w:ascii="Calibri" w:hAnsi="Calibri" w:cs="Calibri" w:eastAsia="Calibri" w:hint="default"/>
          <w:spacing w:val="5"/>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right="119"/>
        <w:jc w:val="left"/>
      </w:pPr>
      <w:r>
        <w:rPr/>
        <w:t>√适用</w:t>
      </w:r>
      <w:r>
        <w:rPr>
          <w:spacing w:val="-1"/>
        </w:rPr>
        <w:t> </w:t>
      </w:r>
      <w:r>
        <w:rPr/>
        <w:t>□不适用</w:t>
      </w:r>
    </w:p>
    <w:p>
      <w:pPr>
        <w:pStyle w:val="BodyText"/>
        <w:spacing w:line="313" w:lineRule="exact" w:before="118"/>
        <w:ind w:left="617" w:right="119"/>
        <w:jc w:val="left"/>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日，财政部发布了《企业会计准则解释第</w:t>
      </w:r>
      <w:r>
        <w:rPr>
          <w:spacing w:val="-59"/>
        </w:rPr>
        <w:t> </w:t>
      </w:r>
      <w:r>
        <w:rPr>
          <w:rFonts w:ascii="宋体" w:hAnsi="宋体" w:cs="宋体" w:eastAsia="宋体" w:hint="default"/>
        </w:rPr>
        <w:t>7</w:t>
      </w:r>
      <w:r>
        <w:rPr>
          <w:rFonts w:ascii="宋体" w:hAnsi="宋体" w:cs="宋体" w:eastAsia="宋体" w:hint="default"/>
          <w:spacing w:val="-60"/>
        </w:rPr>
        <w:t> </w:t>
      </w:r>
      <w:r>
        <w:rPr/>
        <w:t>号》，会计处理按照</w:t>
      </w:r>
    </w:p>
    <w:p>
      <w:pPr>
        <w:pStyle w:val="BodyText"/>
        <w:spacing w:line="237" w:lineRule="auto" w:before="1"/>
        <w:ind w:right="235"/>
        <w:jc w:val="both"/>
      </w:pPr>
      <w:r>
        <w:rPr/>
        <w:t>规定在</w:t>
      </w:r>
      <w:r>
        <w:rPr>
          <w:spacing w:val="-61"/>
        </w:rPr>
        <w:t> </w:t>
      </w:r>
      <w:r>
        <w:rPr>
          <w:rFonts w:ascii="宋体" w:hAnsi="宋体" w:cs="宋体" w:eastAsia="宋体" w:hint="default"/>
        </w:rPr>
        <w:t>2015</w:t>
      </w:r>
      <w:r>
        <w:rPr>
          <w:rFonts w:ascii="宋体" w:hAnsi="宋体" w:cs="宋体" w:eastAsia="宋体" w:hint="default"/>
          <w:spacing w:val="-60"/>
        </w:rPr>
        <w:t> </w:t>
      </w:r>
      <w:r>
        <w:rPr/>
        <w:t>年年度及以后期间的财务报告中使用。本公司变更限制性股票在等待期 </w:t>
      </w:r>
      <w:r>
        <w:rPr>
          <w:spacing w:val="-2"/>
        </w:rPr>
        <w:t>内发放现金股利的会计处理和基本每股收益、稀释每股收益的计算方法，本公司对上</w:t>
      </w:r>
      <w:r>
        <w:rPr>
          <w:spacing w:val="-94"/>
        </w:rPr>
        <w:t> </w:t>
      </w:r>
      <w:r>
        <w:rPr>
          <w:spacing w:val="-94"/>
        </w:rPr>
      </w:r>
      <w:r>
        <w:rPr/>
        <w:t>述会计政策变更采用追溯调整法处理</w:t>
      </w:r>
    </w:p>
    <w:p>
      <w:pPr>
        <w:spacing w:after="0" w:line="237" w:lineRule="auto"/>
        <w:jc w:val="both"/>
        <w:sectPr>
          <w:pgSz w:w="11910" w:h="16840"/>
          <w:pgMar w:header="882" w:footer="1195" w:top="1120" w:bottom="1380" w:left="1140" w:right="1560"/>
        </w:sectPr>
      </w:pPr>
    </w:p>
    <w:p>
      <w:pPr>
        <w:spacing w:line="240" w:lineRule="auto" w:before="0"/>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332"/>
        <w:gridCol w:w="864"/>
        <w:gridCol w:w="2057"/>
        <w:gridCol w:w="2326"/>
        <w:gridCol w:w="1596"/>
      </w:tblGrid>
      <w:tr>
        <w:trPr>
          <w:trHeight w:val="82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108" w:hanging="212"/>
              <w:jc w:val="left"/>
              <w:rPr>
                <w:rFonts w:ascii="宋体" w:hAnsi="宋体" w:cs="宋体" w:eastAsia="宋体" w:hint="default"/>
                <w:sz w:val="21"/>
                <w:szCs w:val="21"/>
              </w:rPr>
            </w:pPr>
            <w:r>
              <w:rPr>
                <w:rFonts w:ascii="宋体" w:hAnsi="宋体" w:cs="宋体" w:eastAsia="宋体" w:hint="default"/>
                <w:sz w:val="21"/>
                <w:szCs w:val="21"/>
              </w:rPr>
              <w:t>审批程</w:t>
            </w:r>
            <w:r>
              <w:rPr>
                <w:rFonts w:ascii="宋体" w:hAnsi="宋体" w:cs="宋体" w:eastAsia="宋体" w:hint="default"/>
                <w:spacing w:val="-102"/>
                <w:sz w:val="21"/>
                <w:szCs w:val="21"/>
              </w:rPr>
              <w:t> </w:t>
            </w:r>
            <w:r>
              <w:rPr>
                <w:rFonts w:ascii="宋体" w:hAnsi="宋体" w:cs="宋体" w:eastAsia="宋体" w:hint="default"/>
                <w:sz w:val="21"/>
                <w:szCs w:val="21"/>
              </w:rPr>
              <w:t>序</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会计报表项目名称</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3" w:lineRule="exact"/>
              <w:ind w:right="0"/>
              <w:jc w:val="center"/>
              <w:rPr>
                <w:rFonts w:ascii="宋体" w:hAnsi="宋体" w:cs="宋体" w:eastAsia="宋体" w:hint="default"/>
                <w:sz w:val="21"/>
                <w:szCs w:val="21"/>
              </w:rPr>
            </w:pPr>
            <w:r>
              <w:rPr>
                <w:rFonts w:ascii="宋体"/>
                <w:sz w:val="21"/>
              </w:rPr>
              <w:t>2014.12.31)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w:t>
            </w:r>
          </w:p>
          <w:p>
            <w:pPr>
              <w:pStyle w:val="TableParagraph"/>
              <w:spacing w:line="272" w:lineRule="exact" w:before="27"/>
              <w:ind w:left="213" w:right="161" w:hanging="53"/>
              <w:jc w:val="left"/>
              <w:rPr>
                <w:rFonts w:ascii="宋体" w:hAnsi="宋体" w:cs="宋体" w:eastAsia="宋体" w:hint="default"/>
                <w:sz w:val="21"/>
                <w:szCs w:val="21"/>
              </w:rPr>
            </w:pPr>
            <w:r>
              <w:rPr>
                <w:rFonts w:ascii="宋体" w:hAnsi="宋体" w:cs="宋体" w:eastAsia="宋体" w:hint="default"/>
                <w:sz w:val="21"/>
                <w:szCs w:val="21"/>
              </w:rPr>
              <w:t>响的报表项目</w:t>
            </w:r>
            <w:r>
              <w:rPr>
                <w:rFonts w:ascii="宋体" w:hAnsi="宋体" w:cs="宋体" w:eastAsia="宋体" w:hint="default"/>
                <w:w w:val="100"/>
                <w:sz w:val="21"/>
                <w:szCs w:val="21"/>
              </w:rPr>
              <w:t> </w:t>
            </w: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46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根据《企业会计准则解释第 </w:t>
            </w:r>
            <w:r>
              <w:rPr>
                <w:rFonts w:ascii="宋体" w:hAnsi="宋体" w:cs="宋体" w:eastAsia="宋体" w:hint="default"/>
                <w:sz w:val="21"/>
                <w:szCs w:val="21"/>
              </w:rPr>
              <w:t>7</w:t>
            </w:r>
            <w:r>
              <w:rPr>
                <w:rFonts w:ascii="宋体" w:hAnsi="宋体" w:cs="宋体" w:eastAsia="宋体" w:hint="default"/>
                <w:spacing w:val="-71"/>
                <w:sz w:val="21"/>
                <w:szCs w:val="21"/>
              </w:rPr>
              <w:t> </w:t>
            </w:r>
            <w:r>
              <w:rPr>
                <w:rFonts w:ascii="宋体" w:hAnsi="宋体" w:cs="宋体" w:eastAsia="宋体" w:hint="default"/>
                <w:spacing w:val="-25"/>
                <w:sz w:val="21"/>
                <w:szCs w:val="21"/>
              </w:rPr>
              <w:t>号》，</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本公司变更限制性股票在等待期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9"/>
                <w:sz w:val="21"/>
                <w:szCs w:val="21"/>
              </w:rPr>
              <w:t>内发放现金股利的会计处理和基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本每股收益、稀释每股收益的计算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方法，本公司对上述会计政策变更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采用追溯调整法处理。</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①资本公积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②库存股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③未分配利润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47"/>
                <w:sz w:val="21"/>
                <w:szCs w:val="21"/>
              </w:rPr>
              <w:t> </w:t>
            </w:r>
            <w:r>
              <w:rPr>
                <w:rFonts w:ascii="宋体" w:hAnsi="宋体" w:cs="宋体" w:eastAsia="宋体" w:hint="default"/>
                <w:sz w:val="21"/>
                <w:szCs w:val="21"/>
              </w:rPr>
              <w:t>其他应付款</w:t>
            </w:r>
          </w:p>
          <w:p>
            <w:pPr>
              <w:pStyle w:val="TableParagraph"/>
              <w:spacing w:line="272" w:lineRule="exact" w:before="27"/>
              <w:ind w:left="100" w:right="262"/>
              <w:jc w:val="left"/>
              <w:rPr>
                <w:rFonts w:ascii="宋体" w:hAnsi="宋体" w:cs="宋体" w:eastAsia="宋体" w:hint="default"/>
                <w:sz w:val="21"/>
                <w:szCs w:val="21"/>
              </w:rPr>
            </w:pPr>
            <w:r>
              <w:rPr>
                <w:rFonts w:ascii="宋体" w:hAnsi="宋体" w:cs="宋体" w:eastAsia="宋体" w:hint="default"/>
                <w:sz w:val="21"/>
                <w:szCs w:val="21"/>
              </w:rPr>
              <w:t>⑤一年内到期的非</w:t>
            </w:r>
            <w:r>
              <w:rPr>
                <w:rFonts w:ascii="宋体" w:hAnsi="宋体" w:cs="宋体" w:eastAsia="宋体" w:hint="default"/>
                <w:w w:val="100"/>
                <w:sz w:val="21"/>
                <w:szCs w:val="21"/>
              </w:rPr>
              <w:t> </w:t>
            </w:r>
            <w:r>
              <w:rPr>
                <w:rFonts w:ascii="宋体" w:hAnsi="宋体" w:cs="宋体" w:eastAsia="宋体" w:hint="default"/>
                <w:sz w:val="21"/>
                <w:szCs w:val="21"/>
              </w:rPr>
              <w:t>流动负债</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⑥基本每股收益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⑦稀释每股收益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-2,797,884.63</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1,376,828.10</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4,174,712.73</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z w:val="21"/>
                <w:szCs w:val="21"/>
              </w:rPr>
              <w:t>27,555,953.85</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⑥</w:t>
            </w:r>
            <w:r>
              <w:rPr>
                <w:rFonts w:ascii="宋体" w:hAnsi="宋体" w:cs="宋体" w:eastAsia="宋体" w:hint="default"/>
                <w:spacing w:val="46"/>
                <w:sz w:val="21"/>
                <w:szCs w:val="21"/>
              </w:rPr>
              <w:t> </w:t>
            </w:r>
            <w:r>
              <w:rPr>
                <w:rFonts w:ascii="宋体" w:hAnsi="宋体" w:cs="宋体" w:eastAsia="宋体" w:hint="default"/>
                <w:sz w:val="21"/>
                <w:szCs w:val="21"/>
              </w:rPr>
              <w:t>-27,555,953.85</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⑥原为</w:t>
            </w:r>
            <w:r>
              <w:rPr>
                <w:rFonts w:ascii="宋体" w:hAnsi="宋体" w:cs="宋体" w:eastAsia="宋体" w:hint="default"/>
                <w:spacing w:val="-52"/>
                <w:sz w:val="21"/>
                <w:szCs w:val="21"/>
              </w:rPr>
              <w:t> </w:t>
            </w:r>
            <w:r>
              <w:rPr>
                <w:rFonts w:ascii="宋体" w:hAnsi="宋体" w:cs="宋体" w:eastAsia="宋体" w:hint="default"/>
                <w:sz w:val="21"/>
                <w:szCs w:val="21"/>
              </w:rPr>
              <w:t>0.1477</w:t>
            </w:r>
            <w:r>
              <w:rPr>
                <w:rFonts w:ascii="宋体" w:hAnsi="宋体" w:cs="宋体" w:eastAsia="宋体" w:hint="default"/>
                <w:spacing w:val="-54"/>
                <w:sz w:val="21"/>
                <w:szCs w:val="21"/>
              </w:rPr>
              <w:t> </w:t>
            </w:r>
            <w:r>
              <w:rPr>
                <w:rFonts w:ascii="宋体" w:hAnsi="宋体" w:cs="宋体" w:eastAsia="宋体" w:hint="default"/>
                <w:sz w:val="21"/>
                <w:szCs w:val="21"/>
              </w:rPr>
              <w:t>变更为</w:t>
            </w:r>
          </w:p>
          <w:p>
            <w:pPr>
              <w:pStyle w:val="TableParagraph"/>
              <w:spacing w:line="272" w:lineRule="exact"/>
              <w:ind w:left="100" w:right="0"/>
              <w:jc w:val="left"/>
              <w:rPr>
                <w:rFonts w:ascii="宋体" w:hAnsi="宋体" w:cs="宋体" w:eastAsia="宋体" w:hint="default"/>
                <w:sz w:val="21"/>
                <w:szCs w:val="21"/>
              </w:rPr>
            </w:pPr>
            <w:r>
              <w:rPr>
                <w:rFonts w:ascii="宋体"/>
                <w:sz w:val="21"/>
              </w:rPr>
              <w:t>0.1492</w:t>
            </w:r>
          </w:p>
          <w:p>
            <w:pPr>
              <w:pStyle w:val="TableParagraph"/>
              <w:spacing w:line="240" w:lineRule="auto"/>
              <w:ind w:left="100" w:right="531"/>
              <w:jc w:val="left"/>
              <w:rPr>
                <w:rFonts w:ascii="宋体" w:hAnsi="宋体" w:cs="宋体" w:eastAsia="宋体" w:hint="default"/>
                <w:sz w:val="21"/>
                <w:szCs w:val="21"/>
              </w:rPr>
            </w:pPr>
            <w:r>
              <w:rPr>
                <w:rFonts w:ascii="宋体" w:hAnsi="宋体" w:cs="宋体" w:eastAsia="宋体" w:hint="default"/>
                <w:sz w:val="21"/>
                <w:szCs w:val="21"/>
              </w:rPr>
              <w:t>⑦原为零，变更为</w:t>
            </w:r>
            <w:r>
              <w:rPr>
                <w:rFonts w:ascii="宋体" w:hAnsi="宋体" w:cs="宋体" w:eastAsia="宋体" w:hint="default"/>
                <w:w w:val="100"/>
                <w:sz w:val="21"/>
                <w:szCs w:val="21"/>
              </w:rPr>
              <w:t> </w:t>
            </w:r>
            <w:r>
              <w:rPr>
                <w:rFonts w:ascii="宋体" w:hAnsi="宋体" w:cs="宋体" w:eastAsia="宋体" w:hint="default"/>
                <w:sz w:val="21"/>
                <w:szCs w:val="21"/>
              </w:rPr>
              <w:t>0.1492</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left="657" w:right="636"/>
        <w:jc w:val="left"/>
      </w:pPr>
      <w:r>
        <w:rPr/>
        <w:t>其他说明：无</w:t>
      </w:r>
    </w:p>
    <w:p>
      <w:pPr>
        <w:spacing w:line="240" w:lineRule="auto" w:before="1"/>
        <w:rPr>
          <w:rFonts w:ascii="宋体" w:hAnsi="宋体" w:cs="宋体" w:eastAsia="宋体" w:hint="default"/>
          <w:sz w:val="28"/>
          <w:szCs w:val="28"/>
        </w:rPr>
      </w:pPr>
    </w:p>
    <w:p>
      <w:pPr>
        <w:pStyle w:val="Heading2"/>
        <w:spacing w:line="240" w:lineRule="auto" w:before="0"/>
        <w:ind w:left="657" w:right="636"/>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657" w:right="636"/>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59" w:lineRule="auto" w:before="0"/>
        <w:ind w:left="657" w:right="8677"/>
        <w:jc w:val="left"/>
        <w:rPr>
          <w:rFonts w:ascii="宋体" w:hAnsi="宋体" w:cs="宋体" w:eastAsia="宋体" w:hint="default"/>
          <w:b w:val="0"/>
          <w:bCs w:val="0"/>
        </w:rPr>
      </w:pPr>
      <w:r>
        <w:rPr>
          <w:rFonts w:ascii="Calibri" w:hAnsi="Calibri" w:cs="Calibri" w:eastAsia="Calibri" w:hint="default"/>
        </w:rPr>
        <w:t>34.</w:t>
      </w:r>
      <w:r>
        <w:rPr>
          <w:rFonts w:ascii="Calibri" w:hAnsi="Calibri" w:cs="Calibri" w:eastAsia="Calibri" w:hint="default"/>
          <w:spacing w:val="8"/>
        </w:rPr>
        <w:t> </w:t>
      </w:r>
      <w:r>
        <w:rPr/>
        <w:t>其他</w:t>
      </w:r>
      <w:r>
        <w:rPr>
          <w:spacing w:val="2"/>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tabs>
          <w:tab w:pos="1497" w:val="left" w:leader="none"/>
        </w:tabs>
        <w:spacing w:line="240" w:lineRule="auto" w:before="0"/>
        <w:ind w:left="657" w:right="636"/>
        <w:jc w:val="left"/>
        <w:rPr>
          <w:b w:val="0"/>
          <w:bCs w:val="0"/>
        </w:rPr>
      </w:pPr>
      <w:r>
        <w:rPr/>
        <w:t>六、</w:t>
        <w:tab/>
        <w:t>税项</w:t>
      </w:r>
      <w:r>
        <w:rPr>
          <w:b w:val="0"/>
          <w:bCs w:val="0"/>
        </w:rPr>
      </w:r>
    </w:p>
    <w:p>
      <w:pPr>
        <w:pStyle w:val="Heading2"/>
        <w:tabs>
          <w:tab w:pos="1082" w:val="left" w:leader="none"/>
        </w:tabs>
        <w:spacing w:line="240" w:lineRule="auto" w:before="58"/>
        <w:ind w:left="657" w:right="636"/>
        <w:jc w:val="left"/>
        <w:rPr>
          <w:b w:val="0"/>
          <w:bCs w:val="0"/>
        </w:rPr>
      </w:pPr>
      <w:r>
        <w:rPr>
          <w:rFonts w:ascii="Calibri" w:hAnsi="Calibri" w:cs="Calibri" w:eastAsia="Calibri" w:hint="default"/>
        </w:rPr>
        <w:t>1.</w:t>
        <w:tab/>
      </w:r>
      <w:r>
        <w:rPr/>
        <w:t>主要税种及税率</w:t>
      </w:r>
      <w:r>
        <w:rPr>
          <w:b w:val="0"/>
          <w:bCs w:val="0"/>
        </w:rPr>
      </w:r>
    </w:p>
    <w:p>
      <w:pPr>
        <w:spacing w:line="240" w:lineRule="auto" w:before="2"/>
        <w:rPr>
          <w:rFonts w:ascii="宋体" w:hAnsi="宋体" w:cs="宋体" w:eastAsia="宋体" w:hint="default"/>
          <w:b/>
          <w:bCs/>
          <w:sz w:val="5"/>
          <w:szCs w:val="5"/>
        </w:rPr>
      </w:pPr>
    </w:p>
    <w:tbl>
      <w:tblPr>
        <w:tblW w:w="0" w:type="auto"/>
        <w:jc w:val="left"/>
        <w:tblInd w:w="544"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25%</w:t>
            </w:r>
          </w:p>
        </w:tc>
      </w:tr>
    </w:tbl>
    <w:p>
      <w:pPr>
        <w:pStyle w:val="BodyText"/>
        <w:spacing w:line="274" w:lineRule="exact"/>
        <w:ind w:left="657" w:right="636"/>
        <w:jc w:val="left"/>
      </w:pPr>
      <w:r>
        <w:rPr/>
        <w:t>说明：本公司控股的境外子公司根据其本国相关法律、法规缴纳相关的税金。</w:t>
      </w:r>
    </w:p>
    <w:p>
      <w:pPr>
        <w:spacing w:line="240" w:lineRule="auto" w:before="9"/>
        <w:rPr>
          <w:rFonts w:ascii="宋体" w:hAnsi="宋体" w:cs="宋体" w:eastAsia="宋体" w:hint="default"/>
          <w:sz w:val="23"/>
          <w:szCs w:val="23"/>
        </w:rPr>
      </w:pPr>
    </w:p>
    <w:p>
      <w:pPr>
        <w:pStyle w:val="BodyText"/>
        <w:spacing w:line="312" w:lineRule="exact"/>
        <w:ind w:left="657" w:right="636"/>
        <w:jc w:val="left"/>
      </w:pPr>
      <w:r>
        <w:rPr/>
        <w:t>存在不同企业所得税税率纳税主体的，披露情况说明</w:t>
      </w:r>
    </w:p>
    <w:p>
      <w:pPr>
        <w:pStyle w:val="BodyText"/>
        <w:spacing w:line="312" w:lineRule="exact"/>
        <w:ind w:left="657" w:right="636"/>
        <w:jc w:val="left"/>
      </w:pPr>
      <w:r>
        <w:rPr/>
        <w:t>□适用</w:t>
      </w:r>
      <w:r>
        <w:rPr>
          <w:spacing w:val="-1"/>
        </w:rPr>
        <w:t> </w:t>
      </w:r>
      <w:r>
        <w:rPr/>
        <w:t>√不适用</w:t>
      </w:r>
    </w:p>
    <w:p>
      <w:pPr>
        <w:pStyle w:val="Heading2"/>
        <w:tabs>
          <w:tab w:pos="1082" w:val="left" w:leader="none"/>
        </w:tabs>
        <w:spacing w:line="240" w:lineRule="auto" w:before="58"/>
        <w:ind w:left="657" w:right="636"/>
        <w:jc w:val="left"/>
        <w:rPr>
          <w:b w:val="0"/>
          <w:bCs w:val="0"/>
        </w:rPr>
      </w:pPr>
      <w:r>
        <w:rPr>
          <w:rFonts w:ascii="Calibri" w:hAnsi="Calibri" w:cs="Calibri" w:eastAsia="Calibri" w:hint="default"/>
        </w:rPr>
        <w:t>2.</w:t>
        <w:tab/>
      </w:r>
      <w:r>
        <w:rPr/>
        <w:t>税收优惠</w:t>
      </w:r>
      <w:r>
        <w:rPr>
          <w:b w:val="0"/>
          <w:bCs w:val="0"/>
        </w:rPr>
      </w:r>
    </w:p>
    <w:p>
      <w:pPr>
        <w:pStyle w:val="BodyText"/>
        <w:spacing w:line="237" w:lineRule="auto" w:before="90"/>
        <w:ind w:left="657" w:right="911" w:firstLine="480"/>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2014</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spacing w:val="-4"/>
        </w:rPr>
        <w:t>月，本公司取得北京市科委、市财政局、市国税局、市地税局联</w:t>
      </w:r>
      <w:r>
        <w:rPr/>
        <w:t> </w:t>
      </w:r>
      <w:r>
        <w:rPr>
          <w:spacing w:val="-5"/>
        </w:rPr>
        <w:t>合颁发的《高新技术企业证书》，有效期为三年。故本公司</w:t>
      </w:r>
      <w:r>
        <w:rPr>
          <w:spacing w:val="-54"/>
        </w:rPr>
        <w:t> </w:t>
      </w:r>
      <w:r>
        <w:rPr>
          <w:rFonts w:ascii="宋体" w:hAnsi="宋体" w:cs="宋体" w:eastAsia="宋体" w:hint="default"/>
        </w:rPr>
        <w:t>2015</w:t>
      </w:r>
      <w:r>
        <w:rPr>
          <w:rFonts w:ascii="宋体" w:hAnsi="宋体" w:cs="宋体" w:eastAsia="宋体" w:hint="default"/>
          <w:spacing w:val="-54"/>
        </w:rPr>
        <w:t> </w:t>
      </w:r>
      <w:r>
        <w:rPr/>
        <w:t>年度按</w:t>
      </w:r>
      <w:r>
        <w:rPr>
          <w:spacing w:val="-54"/>
        </w:rPr>
        <w:t> </w:t>
      </w:r>
      <w:r>
        <w:rPr>
          <w:rFonts w:ascii="宋体" w:hAnsi="宋体" w:cs="宋体" w:eastAsia="宋体" w:hint="default"/>
        </w:rPr>
        <w:t>15%</w:t>
      </w:r>
      <w:r>
        <w:rPr/>
        <w:t>税率计缴 企业所得税；</w:t>
      </w:r>
    </w:p>
    <w:p>
      <w:pPr>
        <w:pStyle w:val="BodyText"/>
        <w:spacing w:line="237" w:lineRule="auto" w:before="121"/>
        <w:ind w:left="657" w:right="913" w:firstLine="480"/>
        <w:jc w:val="both"/>
      </w:pPr>
      <w:r>
        <w:rPr>
          <w:spacing w:val="-3"/>
        </w:rPr>
        <w:t>（</w:t>
      </w:r>
      <w:r>
        <w:rPr>
          <w:rFonts w:ascii="宋体" w:hAnsi="宋体" w:cs="宋体" w:eastAsia="宋体" w:hint="default"/>
          <w:spacing w:val="-3"/>
        </w:rPr>
        <w:t>2</w:t>
      </w:r>
      <w:r>
        <w:rPr>
          <w:spacing w:val="-3"/>
        </w:rPr>
        <w:t>）根据财税</w:t>
      </w:r>
      <w:r>
        <w:rPr>
          <w:rFonts w:ascii="宋体" w:hAnsi="宋体" w:cs="宋体" w:eastAsia="宋体" w:hint="default"/>
          <w:spacing w:val="-3"/>
        </w:rPr>
        <w:t>[2011]100</w:t>
      </w:r>
      <w:r>
        <w:rPr>
          <w:rFonts w:ascii="宋体" w:hAnsi="宋体" w:cs="宋体" w:eastAsia="宋体" w:hint="default"/>
          <w:spacing w:val="-51"/>
        </w:rPr>
        <w:t> </w:t>
      </w:r>
      <w:r>
        <w:rPr>
          <w:spacing w:val="-3"/>
        </w:rPr>
        <w:t>号文件《财政部、国家税务总局关于软件产品增值税政</w:t>
      </w:r>
      <w:r>
        <w:rPr/>
        <w:t> 策的通知》规定，增值税一般纳税人销售其自行开发生产的软件产品，按</w:t>
      </w:r>
      <w:r>
        <w:rPr>
          <w:spacing w:val="-47"/>
        </w:rPr>
        <w:t> </w:t>
      </w:r>
      <w:r>
        <w:rPr>
          <w:rFonts w:ascii="宋体" w:hAnsi="宋体" w:cs="宋体" w:eastAsia="宋体" w:hint="default"/>
        </w:rPr>
        <w:t>17%</w:t>
      </w:r>
      <w:r>
        <w:rPr/>
        <w:t>税率征 收增值税后，对其增值税实际税负超过</w:t>
      </w:r>
      <w:r>
        <w:rPr>
          <w:spacing w:val="-61"/>
        </w:rPr>
        <w:t> </w:t>
      </w:r>
      <w:r>
        <w:rPr>
          <w:rFonts w:ascii="宋体" w:hAnsi="宋体" w:cs="宋体" w:eastAsia="宋体" w:hint="default"/>
        </w:rPr>
        <w:t>3%</w:t>
      </w:r>
      <w:r>
        <w:rPr/>
        <w:t>的部分实行即征即退政策；</w:t>
      </w:r>
    </w:p>
    <w:p>
      <w:pPr>
        <w:pStyle w:val="BodyText"/>
        <w:spacing w:line="310" w:lineRule="exact" w:before="150"/>
        <w:ind w:left="657" w:right="913" w:firstLine="480"/>
        <w:jc w:val="both"/>
      </w:pPr>
      <w:r>
        <w:rPr/>
        <w:t>（</w:t>
      </w:r>
      <w:r>
        <w:rPr>
          <w:rFonts w:ascii="宋体" w:hAnsi="宋体" w:cs="宋体" w:eastAsia="宋体" w:hint="default"/>
        </w:rPr>
        <w:t>3</w:t>
      </w:r>
      <w:r>
        <w:rPr/>
        <w:t>）根据财税</w:t>
      </w:r>
      <w:r>
        <w:rPr>
          <w:rFonts w:ascii="宋体" w:hAnsi="宋体" w:cs="宋体" w:eastAsia="宋体" w:hint="default"/>
        </w:rPr>
        <w:t>[2013]37</w:t>
      </w:r>
      <w:r>
        <w:rPr>
          <w:rFonts w:ascii="宋体" w:hAnsi="宋体" w:cs="宋体" w:eastAsia="宋体" w:hint="default"/>
          <w:spacing w:val="-49"/>
        </w:rPr>
        <w:t> </w:t>
      </w:r>
      <w:r>
        <w:rPr/>
        <w:t>号《关于在全国开展交通运输业和部分现代服务业营业 税改征增值税试点税收政策的通知》和财政部、国家税务总局财税〔</w:t>
      </w:r>
      <w:r>
        <w:rPr>
          <w:rFonts w:ascii="宋体" w:hAnsi="宋体" w:cs="宋体" w:eastAsia="宋体" w:hint="default"/>
        </w:rPr>
        <w:t>2013</w:t>
      </w:r>
      <w:r>
        <w:rPr/>
        <w:t>〕</w:t>
      </w:r>
      <w:r>
        <w:rPr>
          <w:rFonts w:ascii="宋体" w:hAnsi="宋体" w:cs="宋体" w:eastAsia="宋体" w:hint="default"/>
        </w:rPr>
        <w:t>106</w:t>
      </w:r>
      <w:r>
        <w:rPr>
          <w:rFonts w:ascii="宋体" w:hAnsi="宋体" w:cs="宋体" w:eastAsia="宋体" w:hint="default"/>
          <w:spacing w:val="-48"/>
        </w:rPr>
        <w:t> </w:t>
      </w:r>
      <w:r>
        <w:rPr/>
        <w:t>号：</w:t>
      </w:r>
    </w:p>
    <w:p>
      <w:pPr>
        <w:pStyle w:val="BodyText"/>
        <w:spacing w:line="312" w:lineRule="exact" w:before="1"/>
        <w:ind w:left="657" w:right="636"/>
        <w:jc w:val="left"/>
      </w:pPr>
      <w:r>
        <w:rPr>
          <w:spacing w:val="-2"/>
        </w:rPr>
        <w:t>《关于将铁路运输和邮政业纳入营业税改征增值税试点的通知》文件规定，试点纳税</w:t>
      </w:r>
      <w:r>
        <w:rPr>
          <w:spacing w:val="-94"/>
        </w:rPr>
        <w:t> </w:t>
      </w:r>
      <w:r>
        <w:rPr>
          <w:spacing w:val="-94"/>
        </w:rPr>
      </w:r>
      <w:r>
        <w:rPr/>
        <w:t>人提供技术转让、技术开发和与之相关的技术咨询、技术服务免征增值税；</w:t>
      </w:r>
    </w:p>
    <w:p>
      <w:pPr>
        <w:spacing w:after="0" w:line="312" w:lineRule="exact"/>
        <w:jc w:val="left"/>
        <w:sectPr>
          <w:pgSz w:w="11910" w:h="16840"/>
          <w:pgMar w:header="882" w:footer="1195" w:top="1120" w:bottom="1380" w:left="620" w:right="880"/>
        </w:sectPr>
      </w:pPr>
    </w:p>
    <w:p>
      <w:pPr>
        <w:spacing w:line="240" w:lineRule="auto" w:before="13"/>
        <w:rPr>
          <w:rFonts w:ascii="宋体" w:hAnsi="宋体" w:cs="宋体" w:eastAsia="宋体" w:hint="default"/>
          <w:sz w:val="18"/>
          <w:szCs w:val="18"/>
        </w:rPr>
      </w:pPr>
    </w:p>
    <w:p>
      <w:pPr>
        <w:pStyle w:val="BodyText"/>
        <w:spacing w:line="237" w:lineRule="auto" w:before="28"/>
        <w:ind w:right="233" w:firstLine="480"/>
        <w:jc w:val="both"/>
      </w:pPr>
      <w:r>
        <w:rPr/>
        <w:t>（</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8"/>
        </w:rPr>
        <w:t> </w:t>
      </w:r>
      <w:r>
        <w:rPr>
          <w:rFonts w:ascii="宋体" w:hAnsi="宋体" w:cs="宋体" w:eastAsia="宋体" w:hint="default"/>
        </w:rPr>
        <w:t>30</w:t>
      </w:r>
      <w:r>
        <w:rPr>
          <w:rFonts w:ascii="宋体" w:hAnsi="宋体" w:cs="宋体" w:eastAsia="宋体" w:hint="default"/>
          <w:spacing w:val="-59"/>
        </w:rPr>
        <w:t> </w:t>
      </w:r>
      <w:r>
        <w:rPr/>
        <w:t>日，本公司之子公司北京华胜天成软件技术有限公司取得 </w:t>
      </w:r>
      <w:r>
        <w:rPr>
          <w:spacing w:val="-8"/>
        </w:rPr>
        <w:t>北京市科委、市财政局、市国税局、市地税局联合颁发的《高新技术企业证书》，</w:t>
      </w:r>
      <w:r>
        <w:rPr>
          <w:rFonts w:ascii="宋体" w:hAnsi="宋体" w:cs="宋体" w:eastAsia="宋体" w:hint="default"/>
          <w:spacing w:val="-8"/>
        </w:rPr>
        <w:t>2014</w:t>
      </w:r>
      <w:r>
        <w:rPr>
          <w:rFonts w:ascii="宋体" w:hAnsi="宋体" w:cs="宋体" w:eastAsia="宋体" w:hint="default"/>
          <w:spacing w:val="-87"/>
        </w:rPr>
        <w:t> </w:t>
      </w:r>
      <w:r>
        <w:rPr/>
        <w:t>至</w:t>
      </w:r>
      <w:r>
        <w:rPr>
          <w:spacing w:val="-60"/>
        </w:rPr>
        <w:t> </w:t>
      </w:r>
      <w:r>
        <w:rPr>
          <w:rFonts w:ascii="宋体" w:hAnsi="宋体" w:cs="宋体" w:eastAsia="宋体" w:hint="default"/>
        </w:rPr>
        <w:t>2016</w:t>
      </w:r>
      <w:r>
        <w:rPr>
          <w:rFonts w:ascii="宋体" w:hAnsi="宋体" w:cs="宋体" w:eastAsia="宋体" w:hint="default"/>
          <w:spacing w:val="-61"/>
        </w:rPr>
        <w:t> </w:t>
      </w:r>
      <w:r>
        <w:rPr/>
        <w:t>年度按</w:t>
      </w:r>
      <w:r>
        <w:rPr>
          <w:spacing w:val="-60"/>
        </w:rPr>
        <w:t> </w:t>
      </w:r>
      <w:r>
        <w:rPr>
          <w:rFonts w:ascii="宋体" w:hAnsi="宋体" w:cs="宋体" w:eastAsia="宋体" w:hint="default"/>
        </w:rPr>
        <w:t>15%</w:t>
      </w:r>
      <w:r>
        <w:rPr/>
        <w:t>税率计缴企业所得税；</w:t>
      </w:r>
    </w:p>
    <w:p>
      <w:pPr>
        <w:pStyle w:val="BodyText"/>
        <w:spacing w:line="237" w:lineRule="auto" w:before="121"/>
        <w:ind w:right="101" w:firstLine="480"/>
        <w:jc w:val="left"/>
      </w:pPr>
      <w:r>
        <w:rPr/>
        <w:t>（</w:t>
      </w:r>
      <w:r>
        <w:rPr>
          <w:rFonts w:ascii="宋体" w:hAnsi="宋体" w:cs="宋体" w:eastAsia="宋体" w:hint="default"/>
        </w:rPr>
        <w:t>5</w:t>
      </w:r>
      <w:r>
        <w:rPr/>
        <w:t>）</w:t>
      </w:r>
      <w:r>
        <w:rPr>
          <w:rFonts w:ascii="宋体" w:hAnsi="宋体" w:cs="宋体" w:eastAsia="宋体" w:hint="default"/>
        </w:rPr>
        <w:t>2009</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6</w:t>
      </w:r>
      <w:r>
        <w:rPr>
          <w:rFonts w:ascii="宋体" w:hAnsi="宋体" w:cs="宋体" w:eastAsia="宋体" w:hint="default"/>
          <w:spacing w:val="-58"/>
        </w:rPr>
        <w:t> </w:t>
      </w:r>
      <w:r>
        <w:rPr/>
        <w:t>日，本公司之间接控制子公司摩卡软件（天津）有限公司， </w:t>
      </w:r>
      <w:r>
        <w:rPr>
          <w:spacing w:val="-4"/>
        </w:rPr>
        <w:t>获得天津市科学技术委员会颁发的软件企业认定证书，根据财税</w:t>
      </w:r>
      <w:r>
        <w:rPr>
          <w:rFonts w:ascii="宋体" w:hAnsi="宋体" w:cs="宋体" w:eastAsia="宋体" w:hint="default"/>
          <w:spacing w:val="-4"/>
        </w:rPr>
        <w:t>[2008]1</w:t>
      </w:r>
      <w:r>
        <w:rPr>
          <w:rFonts w:ascii="宋体" w:hAnsi="宋体" w:cs="宋体" w:eastAsia="宋体" w:hint="default"/>
          <w:spacing w:val="-32"/>
        </w:rPr>
        <w:t> </w:t>
      </w:r>
      <w:r>
        <w:rPr/>
        <w:t>号文件规定，</w:t>
      </w:r>
      <w:r>
        <w:rPr>
          <w:spacing w:val="-117"/>
        </w:rPr>
        <w:t> </w:t>
      </w:r>
      <w:r>
        <w:rPr/>
        <w:t>自获利年度起，享受两免三减半的企业所得税优惠政策。</w:t>
      </w:r>
      <w:r>
        <w:rPr>
          <w:rFonts w:ascii="宋体" w:hAnsi="宋体" w:cs="宋体" w:eastAsia="宋体" w:hint="default"/>
        </w:rPr>
        <w:t>2011</w:t>
      </w:r>
      <w:r>
        <w:rPr>
          <w:rFonts w:ascii="宋体" w:hAnsi="宋体" w:cs="宋体" w:eastAsia="宋体" w:hint="default"/>
          <w:spacing w:val="-56"/>
        </w:rPr>
        <w:t> </w:t>
      </w:r>
      <w:r>
        <w:rPr/>
        <w:t>至</w:t>
      </w:r>
      <w:r>
        <w:rPr>
          <w:spacing w:val="-56"/>
        </w:rPr>
        <w:t> </w:t>
      </w:r>
      <w:r>
        <w:rPr>
          <w:rFonts w:ascii="宋体" w:hAnsi="宋体" w:cs="宋体" w:eastAsia="宋体" w:hint="default"/>
        </w:rPr>
        <w:t>2012</w:t>
      </w:r>
      <w:r>
        <w:rPr>
          <w:rFonts w:ascii="宋体" w:hAnsi="宋体" w:cs="宋体" w:eastAsia="宋体" w:hint="default"/>
          <w:spacing w:val="-56"/>
        </w:rPr>
        <w:t> </w:t>
      </w:r>
      <w:r>
        <w:rPr/>
        <w:t>年免征企业所 得税，</w:t>
      </w:r>
      <w:r>
        <w:rPr>
          <w:rFonts w:ascii="宋体" w:hAnsi="宋体" w:cs="宋体" w:eastAsia="宋体" w:hint="default"/>
        </w:rPr>
        <w:t>2013</w:t>
      </w:r>
      <w:r>
        <w:rPr>
          <w:rFonts w:ascii="宋体" w:hAnsi="宋体" w:cs="宋体" w:eastAsia="宋体" w:hint="default"/>
          <w:spacing w:val="-61"/>
        </w:rPr>
        <w:t> </w:t>
      </w:r>
      <w:r>
        <w:rPr/>
        <w:t>至</w:t>
      </w:r>
      <w:r>
        <w:rPr>
          <w:spacing w:val="-60"/>
        </w:rPr>
        <w:t> </w:t>
      </w:r>
      <w:r>
        <w:rPr>
          <w:rFonts w:ascii="宋体" w:hAnsi="宋体" w:cs="宋体" w:eastAsia="宋体" w:hint="default"/>
        </w:rPr>
        <w:t>2015</w:t>
      </w:r>
      <w:r>
        <w:rPr>
          <w:rFonts w:ascii="宋体" w:hAnsi="宋体" w:cs="宋体" w:eastAsia="宋体" w:hint="default"/>
          <w:spacing w:val="-60"/>
        </w:rPr>
        <w:t> </w:t>
      </w:r>
      <w:r>
        <w:rPr/>
        <w:t>年按</w:t>
      </w:r>
      <w:r>
        <w:rPr>
          <w:spacing w:val="-60"/>
        </w:rPr>
        <w:t> </w:t>
      </w:r>
      <w:r>
        <w:rPr>
          <w:rFonts w:ascii="宋体" w:hAnsi="宋体" w:cs="宋体" w:eastAsia="宋体" w:hint="default"/>
        </w:rPr>
        <w:t>12.5%</w:t>
      </w:r>
      <w:r>
        <w:rPr/>
        <w:t>计缴企业所得税；</w:t>
      </w:r>
    </w:p>
    <w:p>
      <w:pPr>
        <w:pStyle w:val="BodyText"/>
        <w:spacing w:line="237" w:lineRule="auto" w:before="121"/>
        <w:ind w:right="230" w:firstLine="480"/>
        <w:jc w:val="both"/>
      </w:pPr>
      <w:r>
        <w:rPr/>
        <w:t>（</w:t>
      </w:r>
      <w:r>
        <w:rPr>
          <w:rFonts w:ascii="宋体" w:hAnsi="宋体" w:cs="宋体" w:eastAsia="宋体" w:hint="default"/>
        </w:rPr>
        <w:t>6</w:t>
      </w:r>
      <w:r>
        <w:rPr/>
        <w:t>）本公司之间接控制子公司摩卡软件（天津）有限公司系在天津新技术产业</w:t>
      </w:r>
      <w:r>
        <w:rPr>
          <w:spacing w:val="2"/>
        </w:rPr>
        <w:t> </w:t>
      </w:r>
      <w:r>
        <w:rPr>
          <w:spacing w:val="-2"/>
        </w:rPr>
        <w:t>园区注册的外商投资企业，根据《天津新技术产业园区加快软件与服务外包产业发展</w:t>
      </w:r>
      <w:r>
        <w:rPr>
          <w:spacing w:val="-94"/>
        </w:rPr>
        <w:t> </w:t>
      </w:r>
      <w:r>
        <w:rPr>
          <w:spacing w:val="-94"/>
        </w:rPr>
      </w:r>
      <w:r>
        <w:rPr/>
        <w:t>的鼓励办法》（津园区管发</w:t>
      </w:r>
      <w:r>
        <w:rPr>
          <w:rFonts w:ascii="宋体" w:hAnsi="宋体" w:cs="宋体" w:eastAsia="宋体" w:hint="default"/>
        </w:rPr>
        <w:t>[2008]3 </w:t>
      </w:r>
      <w:r>
        <w:rPr/>
        <w:t>号）的规定，公司营业税执行</w:t>
      </w:r>
      <w:r>
        <w:rPr>
          <w:spacing w:val="-48"/>
        </w:rPr>
        <w:t> </w:t>
      </w:r>
      <w:r>
        <w:rPr>
          <w:rFonts w:ascii="宋体" w:hAnsi="宋体" w:cs="宋体" w:eastAsia="宋体" w:hint="default"/>
        </w:rPr>
        <w:t>88%</w:t>
      </w:r>
      <w:r>
        <w:rPr/>
        <w:t>的退税优惠政 策；</w:t>
      </w:r>
    </w:p>
    <w:p>
      <w:pPr>
        <w:pStyle w:val="BodyText"/>
        <w:spacing w:line="237" w:lineRule="auto" w:before="121"/>
        <w:ind w:right="234" w:firstLine="480"/>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8"/>
        </w:rPr>
        <w:t> </w:t>
      </w:r>
      <w:r>
        <w:rPr>
          <w:rFonts w:ascii="宋体" w:hAnsi="宋体" w:cs="宋体" w:eastAsia="宋体" w:hint="default"/>
        </w:rPr>
        <w:t>24</w:t>
      </w:r>
      <w:r>
        <w:rPr>
          <w:rFonts w:ascii="宋体" w:hAnsi="宋体" w:cs="宋体" w:eastAsia="宋体" w:hint="default"/>
          <w:spacing w:val="-59"/>
        </w:rPr>
        <w:t> </w:t>
      </w:r>
      <w:r>
        <w:rPr/>
        <w:t>日，本公司之间接控制子公司长天科技有限公司取得北京 </w:t>
      </w:r>
      <w:r>
        <w:rPr>
          <w:spacing w:val="4"/>
        </w:rPr>
        <w:t>市科委、市财政局、市国税局、市地税局联合颁发的《高新技术企业证书》，</w:t>
      </w:r>
      <w:r>
        <w:rPr>
          <w:rFonts w:ascii="宋体" w:hAnsi="宋体" w:cs="宋体" w:eastAsia="宋体" w:hint="default"/>
          <w:spacing w:val="4"/>
        </w:rPr>
        <w:t>2015</w:t>
      </w:r>
      <w:r>
        <w:rPr>
          <w:rFonts w:ascii="宋体" w:hAnsi="宋体" w:cs="宋体" w:eastAsia="宋体" w:hint="default"/>
          <w:spacing w:val="-105"/>
        </w:rPr>
        <w:t> </w:t>
      </w:r>
      <w:r>
        <w:rPr/>
        <w:t>至</w:t>
      </w:r>
      <w:r>
        <w:rPr>
          <w:spacing w:val="-60"/>
        </w:rPr>
        <w:t> </w:t>
      </w:r>
      <w:r>
        <w:rPr>
          <w:rFonts w:ascii="宋体" w:hAnsi="宋体" w:cs="宋体" w:eastAsia="宋体" w:hint="default"/>
        </w:rPr>
        <w:t>2017</w:t>
      </w:r>
      <w:r>
        <w:rPr>
          <w:rFonts w:ascii="宋体" w:hAnsi="宋体" w:cs="宋体" w:eastAsia="宋体" w:hint="default"/>
          <w:spacing w:val="-61"/>
        </w:rPr>
        <w:t> </w:t>
      </w:r>
      <w:r>
        <w:rPr/>
        <w:t>年度按</w:t>
      </w:r>
      <w:r>
        <w:rPr>
          <w:spacing w:val="-60"/>
        </w:rPr>
        <w:t> </w:t>
      </w:r>
      <w:r>
        <w:rPr>
          <w:rFonts w:ascii="宋体" w:hAnsi="宋体" w:cs="宋体" w:eastAsia="宋体" w:hint="default"/>
        </w:rPr>
        <w:t>15%</w:t>
      </w:r>
      <w:r>
        <w:rPr/>
        <w:t>税率计缴企业所得税；</w:t>
      </w:r>
    </w:p>
    <w:p>
      <w:pPr>
        <w:pStyle w:val="BodyText"/>
        <w:spacing w:line="312" w:lineRule="exact" w:before="118"/>
        <w:ind w:left="617" w:right="119"/>
        <w:jc w:val="left"/>
      </w:pPr>
      <w:r>
        <w:rPr>
          <w:spacing w:val="-8"/>
        </w:rPr>
        <w:t>（</w:t>
      </w:r>
      <w:r>
        <w:rPr>
          <w:rFonts w:ascii="宋体" w:hAnsi="宋体" w:cs="宋体" w:eastAsia="宋体" w:hint="default"/>
          <w:spacing w:val="-8"/>
        </w:rPr>
        <w:t>8</w:t>
      </w:r>
      <w:r>
        <w:rPr>
          <w:spacing w:val="-8"/>
        </w:rPr>
        <w:t>）</w:t>
      </w:r>
      <w:r>
        <w:rPr>
          <w:rFonts w:ascii="宋体" w:hAnsi="宋体" w:cs="宋体" w:eastAsia="宋体" w:hint="default"/>
          <w:spacing w:val="-8"/>
        </w:rPr>
        <w:t>2015</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spacing w:val="-3"/>
        </w:rPr>
        <w:t>日，本公司之子公司广州石竹计算机软件有限公司获得广东</w:t>
      </w:r>
    </w:p>
    <w:p>
      <w:pPr>
        <w:pStyle w:val="BodyText"/>
        <w:spacing w:line="312" w:lineRule="exact" w:before="28"/>
        <w:ind w:right="119"/>
        <w:jc w:val="left"/>
      </w:pPr>
      <w:r>
        <w:rPr/>
        <w:t>省科学技术厅、省财政厅、省国税局、省地税局联合颁发的《高新技术企业证书》，</w:t>
      </w:r>
      <w:r>
        <w:rPr>
          <w:spacing w:val="-57"/>
        </w:rPr>
        <w:t> </w:t>
      </w:r>
      <w:r>
        <w:rPr>
          <w:spacing w:val="-57"/>
        </w:rPr>
      </w:r>
      <w:r>
        <w:rPr/>
        <w:t>有效期为三年，</w:t>
      </w:r>
      <w:r>
        <w:rPr>
          <w:rFonts w:ascii="宋体" w:hAnsi="宋体" w:cs="宋体" w:eastAsia="宋体" w:hint="default"/>
        </w:rPr>
        <w:t>2015</w:t>
      </w:r>
      <w:r>
        <w:rPr>
          <w:rFonts w:ascii="宋体" w:hAnsi="宋体" w:cs="宋体" w:eastAsia="宋体" w:hint="default"/>
          <w:spacing w:val="-61"/>
        </w:rPr>
        <w:t> </w:t>
      </w:r>
      <w:r>
        <w:rPr/>
        <w:t>至</w:t>
      </w:r>
      <w:r>
        <w:rPr>
          <w:spacing w:val="-61"/>
        </w:rPr>
        <w:t> </w:t>
      </w:r>
      <w:r>
        <w:rPr>
          <w:rFonts w:ascii="宋体" w:hAnsi="宋体" w:cs="宋体" w:eastAsia="宋体" w:hint="default"/>
        </w:rPr>
        <w:t>2017</w:t>
      </w:r>
      <w:r>
        <w:rPr>
          <w:rFonts w:ascii="宋体" w:hAnsi="宋体" w:cs="宋体" w:eastAsia="宋体" w:hint="default"/>
          <w:spacing w:val="-61"/>
        </w:rPr>
        <w:t> </w:t>
      </w:r>
      <w:r>
        <w:rPr/>
        <w:t>年度按</w:t>
      </w:r>
      <w:r>
        <w:rPr>
          <w:spacing w:val="-61"/>
        </w:rPr>
        <w:t> </w:t>
      </w:r>
      <w:r>
        <w:rPr>
          <w:rFonts w:ascii="宋体" w:hAnsi="宋体" w:cs="宋体" w:eastAsia="宋体" w:hint="default"/>
        </w:rPr>
        <w:t>15%</w:t>
      </w:r>
      <w:r>
        <w:rPr/>
        <w:t>税率计缴企业所得税；</w:t>
      </w:r>
    </w:p>
    <w:p>
      <w:pPr>
        <w:pStyle w:val="BodyText"/>
        <w:spacing w:line="237" w:lineRule="auto" w:before="92"/>
        <w:ind w:right="234" w:firstLine="480"/>
        <w:jc w:val="both"/>
      </w:pPr>
      <w:r>
        <w:rPr/>
        <w:t>（</w:t>
      </w:r>
      <w:r>
        <w:rPr>
          <w:rFonts w:ascii="宋体" w:hAnsi="宋体" w:cs="宋体" w:eastAsia="宋体" w:hint="default"/>
        </w:rPr>
        <w:t>9</w:t>
      </w:r>
      <w:r>
        <w:rPr/>
        <w:t>）</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8"/>
        </w:rPr>
        <w:t> </w:t>
      </w:r>
      <w:r>
        <w:rPr>
          <w:rFonts w:ascii="宋体" w:hAnsi="宋体" w:cs="宋体" w:eastAsia="宋体" w:hint="default"/>
        </w:rPr>
        <w:t>10</w:t>
      </w:r>
      <w:r>
        <w:rPr>
          <w:rFonts w:ascii="宋体" w:hAnsi="宋体" w:cs="宋体" w:eastAsia="宋体" w:hint="default"/>
          <w:spacing w:val="-59"/>
        </w:rPr>
        <w:t> </w:t>
      </w:r>
      <w:r>
        <w:rPr/>
        <w:t>日，本公司之间接控制子公司广州皓竹软件有限公司获得 </w:t>
      </w:r>
      <w:r>
        <w:rPr>
          <w:spacing w:val="-14"/>
        </w:rPr>
        <w:t>广东省科学技术厅、省财政厅、省国税局、省地税局联合颁发的《高新技术企业证书》，</w:t>
      </w:r>
      <w:r>
        <w:rPr>
          <w:spacing w:val="-104"/>
        </w:rPr>
        <w:t> </w:t>
      </w:r>
      <w:r>
        <w:rPr>
          <w:spacing w:val="-104"/>
        </w:rPr>
      </w:r>
      <w:r>
        <w:rPr/>
        <w:t>有效期为三年，</w:t>
      </w:r>
      <w:r>
        <w:rPr>
          <w:rFonts w:ascii="宋体" w:hAnsi="宋体" w:cs="宋体" w:eastAsia="宋体" w:hint="default"/>
        </w:rPr>
        <w:t>2014</w:t>
      </w:r>
      <w:r>
        <w:rPr>
          <w:rFonts w:ascii="宋体" w:hAnsi="宋体" w:cs="宋体" w:eastAsia="宋体" w:hint="default"/>
          <w:spacing w:val="-61"/>
        </w:rPr>
        <w:t> </w:t>
      </w:r>
      <w:r>
        <w:rPr/>
        <w:t>至</w:t>
      </w:r>
      <w:r>
        <w:rPr>
          <w:spacing w:val="-61"/>
        </w:rPr>
        <w:t> </w:t>
      </w:r>
      <w:r>
        <w:rPr>
          <w:rFonts w:ascii="宋体" w:hAnsi="宋体" w:cs="宋体" w:eastAsia="宋体" w:hint="default"/>
        </w:rPr>
        <w:t>2016</w:t>
      </w:r>
      <w:r>
        <w:rPr>
          <w:rFonts w:ascii="宋体" w:hAnsi="宋体" w:cs="宋体" w:eastAsia="宋体" w:hint="default"/>
          <w:spacing w:val="-61"/>
        </w:rPr>
        <w:t> </w:t>
      </w:r>
      <w:r>
        <w:rPr/>
        <w:t>年度按</w:t>
      </w:r>
      <w:r>
        <w:rPr>
          <w:spacing w:val="-61"/>
        </w:rPr>
        <w:t> </w:t>
      </w:r>
      <w:r>
        <w:rPr>
          <w:rFonts w:ascii="宋体" w:hAnsi="宋体" w:cs="宋体" w:eastAsia="宋体" w:hint="default"/>
        </w:rPr>
        <w:t>15%</w:t>
      </w:r>
      <w:r>
        <w:rPr/>
        <w:t>税率计缴企业所得税；</w:t>
      </w:r>
    </w:p>
    <w:p>
      <w:pPr>
        <w:pStyle w:val="BodyText"/>
        <w:spacing w:line="237" w:lineRule="auto" w:before="121"/>
        <w:ind w:right="233" w:firstLine="480"/>
        <w:jc w:val="both"/>
      </w:pPr>
      <w:r>
        <w:rPr/>
        <w:t>（</w:t>
      </w:r>
      <w:r>
        <w:rPr>
          <w:rFonts w:ascii="宋体" w:hAnsi="宋体" w:cs="宋体" w:eastAsia="宋体" w:hint="default"/>
        </w:rPr>
        <w:t>10</w:t>
      </w:r>
      <w:r>
        <w:rPr/>
        <w:t>）</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7"/>
        </w:rPr>
        <w:t> </w:t>
      </w:r>
      <w:r>
        <w:rPr>
          <w:rFonts w:ascii="宋体" w:hAnsi="宋体" w:cs="宋体" w:eastAsia="宋体" w:hint="default"/>
        </w:rPr>
        <w:t>29</w:t>
      </w:r>
      <w:r>
        <w:rPr>
          <w:rFonts w:ascii="宋体" w:hAnsi="宋体" w:cs="宋体" w:eastAsia="宋体" w:hint="default"/>
          <w:spacing w:val="-58"/>
        </w:rPr>
        <w:t> </w:t>
      </w:r>
      <w:r>
        <w:rPr/>
        <w:t>日，本公司之间接控制子公司浙江兰德纵横网络技术股份 </w:t>
      </w:r>
      <w:r>
        <w:rPr>
          <w:spacing w:val="-2"/>
        </w:rPr>
        <w:t>有限公司取得浙江省科技厅、财政厅、省国税局、省地税局联合颁发的《高新技术企</w:t>
      </w:r>
      <w:r>
        <w:rPr>
          <w:spacing w:val="-94"/>
        </w:rPr>
        <w:t> </w:t>
      </w:r>
      <w:r>
        <w:rPr>
          <w:spacing w:val="-94"/>
        </w:rPr>
      </w:r>
      <w:r>
        <w:rPr/>
        <w:t>业证书》，有效期为三年，</w:t>
      </w:r>
      <w:r>
        <w:rPr>
          <w:rFonts w:ascii="宋体" w:hAnsi="宋体" w:cs="宋体" w:eastAsia="宋体" w:hint="default"/>
        </w:rPr>
        <w:t>2014</w:t>
      </w:r>
      <w:r>
        <w:rPr>
          <w:rFonts w:ascii="宋体" w:hAnsi="宋体" w:cs="宋体" w:eastAsia="宋体" w:hint="default"/>
          <w:spacing w:val="-60"/>
        </w:rPr>
        <w:t> </w:t>
      </w:r>
      <w:r>
        <w:rPr/>
        <w:t>至</w:t>
      </w:r>
      <w:r>
        <w:rPr>
          <w:spacing w:val="-60"/>
        </w:rPr>
        <w:t> </w:t>
      </w:r>
      <w:r>
        <w:rPr>
          <w:rFonts w:ascii="宋体" w:hAnsi="宋体" w:cs="宋体" w:eastAsia="宋体" w:hint="default"/>
        </w:rPr>
        <w:t>2016</w:t>
      </w:r>
      <w:r>
        <w:rPr>
          <w:rFonts w:ascii="宋体" w:hAnsi="宋体" w:cs="宋体" w:eastAsia="宋体" w:hint="default"/>
          <w:spacing w:val="-60"/>
        </w:rPr>
        <w:t> </w:t>
      </w:r>
      <w:r>
        <w:rPr/>
        <w:t>年度本公司按</w:t>
      </w:r>
      <w:r>
        <w:rPr>
          <w:spacing w:val="-60"/>
        </w:rPr>
        <w:t> </w:t>
      </w:r>
      <w:r>
        <w:rPr>
          <w:rFonts w:ascii="宋体" w:hAnsi="宋体" w:cs="宋体" w:eastAsia="宋体" w:hint="default"/>
        </w:rPr>
        <w:t>15%</w:t>
      </w:r>
      <w:r>
        <w:rPr/>
        <w:t>税率计缴企业所得税；</w:t>
      </w:r>
    </w:p>
    <w:p>
      <w:pPr>
        <w:pStyle w:val="BodyText"/>
        <w:spacing w:line="237" w:lineRule="auto" w:before="121"/>
        <w:ind w:right="232" w:firstLine="480"/>
        <w:jc w:val="both"/>
      </w:pPr>
      <w:r>
        <w:rPr>
          <w:spacing w:val="-7"/>
        </w:rPr>
        <w:t>（</w:t>
      </w:r>
      <w:r>
        <w:rPr>
          <w:rFonts w:ascii="宋体" w:hAnsi="宋体" w:cs="宋体" w:eastAsia="宋体" w:hint="default"/>
          <w:spacing w:val="-7"/>
        </w:rPr>
        <w:t>11</w:t>
      </w:r>
      <w:r>
        <w:rPr>
          <w:spacing w:val="-7"/>
        </w:rPr>
        <w:t>）</w:t>
      </w:r>
      <w:r>
        <w:rPr>
          <w:rFonts w:ascii="宋体" w:hAnsi="宋体" w:cs="宋体" w:eastAsia="宋体" w:hint="default"/>
          <w:spacing w:val="-7"/>
        </w:rPr>
        <w:t>2015</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spacing w:val="-3"/>
        </w:rPr>
        <w:t>日，本公司之子公司北京飞杰信息技术有限公司取得北京</w:t>
      </w:r>
      <w:r>
        <w:rPr/>
        <w:t> </w:t>
      </w:r>
      <w:r>
        <w:rPr>
          <w:spacing w:val="-2"/>
        </w:rPr>
        <w:t>市科学技术委员会、财政局、国税局、地税局联合颁发的《高新技术企业证书》，有</w:t>
      </w:r>
      <w:r>
        <w:rPr>
          <w:spacing w:val="-97"/>
        </w:rPr>
        <w:t> </w:t>
      </w:r>
      <w:r>
        <w:rPr>
          <w:spacing w:val="-97"/>
        </w:rPr>
      </w:r>
      <w:r>
        <w:rPr/>
        <w:t>效期为三年，</w:t>
      </w:r>
      <w:r>
        <w:rPr>
          <w:rFonts w:ascii="宋体" w:hAnsi="宋体" w:cs="宋体" w:eastAsia="宋体" w:hint="default"/>
        </w:rPr>
        <w:t>2015</w:t>
      </w:r>
      <w:r>
        <w:rPr>
          <w:rFonts w:ascii="宋体" w:hAnsi="宋体" w:cs="宋体" w:eastAsia="宋体" w:hint="default"/>
          <w:spacing w:val="-61"/>
        </w:rPr>
        <w:t> </w:t>
      </w:r>
      <w:r>
        <w:rPr/>
        <w:t>至</w:t>
      </w:r>
      <w:r>
        <w:rPr>
          <w:spacing w:val="-61"/>
        </w:rPr>
        <w:t> </w:t>
      </w:r>
      <w:r>
        <w:rPr>
          <w:rFonts w:ascii="宋体" w:hAnsi="宋体" w:cs="宋体" w:eastAsia="宋体" w:hint="default"/>
        </w:rPr>
        <w:t>2017</w:t>
      </w:r>
      <w:r>
        <w:rPr>
          <w:rFonts w:ascii="宋体" w:hAnsi="宋体" w:cs="宋体" w:eastAsia="宋体" w:hint="default"/>
          <w:spacing w:val="-61"/>
        </w:rPr>
        <w:t> </w:t>
      </w:r>
      <w:r>
        <w:rPr/>
        <w:t>年度本公司按</w:t>
      </w:r>
      <w:r>
        <w:rPr>
          <w:spacing w:val="-61"/>
        </w:rPr>
        <w:t> </w:t>
      </w:r>
      <w:r>
        <w:rPr>
          <w:rFonts w:ascii="宋体" w:hAnsi="宋体" w:cs="宋体" w:eastAsia="宋体" w:hint="default"/>
        </w:rPr>
        <w:t>15%</w:t>
      </w:r>
      <w:r>
        <w:rPr/>
        <w:t>税率计缴企业所得税。</w:t>
      </w:r>
    </w:p>
    <w:p>
      <w:pPr>
        <w:spacing w:line="240" w:lineRule="auto" w:before="0"/>
        <w:rPr>
          <w:rFonts w:ascii="宋体" w:hAnsi="宋体" w:cs="宋体" w:eastAsia="宋体" w:hint="default"/>
          <w:sz w:val="24"/>
          <w:szCs w:val="24"/>
        </w:rPr>
      </w:pPr>
    </w:p>
    <w:p>
      <w:pPr>
        <w:pStyle w:val="Heading2"/>
        <w:spacing w:line="283" w:lineRule="auto" w:before="176"/>
        <w:ind w:left="137" w:right="8141"/>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3"/>
        </w:rPr>
        <w:t> </w:t>
      </w:r>
      <w:r>
        <w:rPr/>
        <w:t>其他</w:t>
      </w:r>
      <w:r>
        <w:rPr>
          <w:spacing w:val="2"/>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560"/>
        </w:sectPr>
      </w:pPr>
    </w:p>
    <w:p>
      <w:pPr>
        <w:pStyle w:val="Heading2"/>
        <w:tabs>
          <w:tab w:pos="977" w:val="left" w:leader="none"/>
        </w:tabs>
        <w:spacing w:line="283" w:lineRule="auto"/>
        <w:ind w:left="137" w:right="0"/>
        <w:jc w:val="left"/>
        <w:rPr>
          <w:b w:val="0"/>
          <w:bCs w:val="0"/>
        </w:rPr>
      </w:pPr>
      <w:r>
        <w:rPr/>
        <w:t>七、</w:t>
        <w:tab/>
      </w:r>
      <w:r>
        <w:rPr>
          <w:w w:val="95"/>
        </w:rPr>
        <w:t>合并财务报表项目注释</w:t>
      </w:r>
      <w:r>
        <w:rPr>
          <w:spacing w:val="4"/>
          <w:w w:val="95"/>
        </w:rPr>
        <w:t> </w:t>
      </w:r>
      <w:r>
        <w:rPr>
          <w:spacing w:val="4"/>
          <w:w w:val="95"/>
        </w:rPr>
      </w:r>
      <w:r>
        <w:rPr>
          <w:rFonts w:ascii="宋体" w:hAnsi="宋体" w:cs="宋体" w:eastAsia="宋体" w:hint="default"/>
        </w:rPr>
        <w:t>1</w:t>
      </w:r>
      <w:r>
        <w:rPr/>
        <w:t>、</w:t>
      </w:r>
      <w:r>
        <w:rPr>
          <w:spacing w:val="-64"/>
        </w:rPr>
        <w:t> </w:t>
      </w:r>
      <w:r>
        <w:rPr/>
        <w:t>货币资金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33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140" w:right="1560"/>
          <w:cols w:num="2" w:equalWidth="0">
            <w:col w:w="3386" w:space="2807"/>
            <w:col w:w="3017"/>
          </w:cols>
        </w:sectPr>
      </w:pPr>
    </w:p>
    <w:p>
      <w:pPr>
        <w:spacing w:line="240" w:lineRule="auto" w:before="12"/>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23"/>
        <w:gridCol w:w="3301"/>
        <w:gridCol w:w="3327"/>
      </w:tblGrid>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677,363.94</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555,835.95</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1,506,930,092.84</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1,655,728,120.93</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33,349,318.59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82,461,352.25</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1,540,956,775.37</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1,738,745,309.13</w:t>
            </w:r>
          </w:p>
        </w:tc>
      </w:tr>
      <w:tr>
        <w:trPr>
          <w:trHeight w:val="562"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 w:right="-1"/>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187,182,915.20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120,230,143.77</w:t>
            </w:r>
          </w:p>
        </w:tc>
      </w:tr>
    </w:tbl>
    <w:p>
      <w:pPr>
        <w:pStyle w:val="BodyText"/>
        <w:spacing w:line="274" w:lineRule="exact"/>
        <w:ind w:right="119"/>
        <w:jc w:val="left"/>
      </w:pPr>
      <w:r>
        <w:rPr/>
        <w:t>其他说明</w:t>
      </w:r>
      <w:r>
        <w:rPr>
          <w:rFonts w:ascii="宋体" w:hAnsi="宋体" w:cs="宋体" w:eastAsia="宋体" w:hint="default"/>
        </w:rPr>
        <w:t>:</w:t>
      </w:r>
      <w:r>
        <w:rPr/>
        <w:t>期末使用受限的存款</w:t>
      </w:r>
      <w:r>
        <w:rPr>
          <w:spacing w:val="-61"/>
        </w:rPr>
        <w:t> </w:t>
      </w:r>
      <w:r>
        <w:rPr>
          <w:rFonts w:ascii="宋体" w:hAnsi="宋体" w:cs="宋体" w:eastAsia="宋体" w:hint="default"/>
        </w:rPr>
        <w:t>33,349,318.59</w:t>
      </w:r>
      <w:r>
        <w:rPr>
          <w:rFonts w:ascii="宋体" w:hAnsi="宋体" w:cs="宋体" w:eastAsia="宋体" w:hint="default"/>
          <w:spacing w:val="-61"/>
        </w:rPr>
        <w:t> </w:t>
      </w:r>
      <w:r>
        <w:rPr/>
        <w:t>元，为银行保证金。</w:t>
      </w:r>
    </w:p>
    <w:p>
      <w:pPr>
        <w:spacing w:after="0" w:line="274" w:lineRule="exact"/>
        <w:jc w:val="left"/>
        <w:sectPr>
          <w:type w:val="continuous"/>
          <w:pgSz w:w="11910" w:h="16840"/>
          <w:pgMar w:top="1120" w:bottom="1380" w:left="114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left="717" w:right="0"/>
        <w:jc w:val="left"/>
        <w:rPr>
          <w:b w:val="0"/>
          <w:bCs w:val="0"/>
        </w:rPr>
      </w:pPr>
      <w:r>
        <w:rPr>
          <w:rFonts w:ascii="宋体" w:hAnsi="宋体" w:cs="宋体" w:eastAsia="宋体" w:hint="default"/>
        </w:rPr>
        <w:t>2</w:t>
      </w:r>
      <w:r>
        <w:rPr/>
        <w:t>、</w:t>
      </w:r>
      <w:r>
        <w:rPr>
          <w:spacing w:val="-67"/>
        </w:rPr>
        <w:t> </w:t>
      </w:r>
      <w:r>
        <w:rPr/>
        <w:t>以公允价值计量且其变动计入当期损益的金融资产</w:t>
      </w:r>
      <w:r>
        <w:rPr>
          <w:b w:val="0"/>
          <w:bCs w:val="0"/>
        </w:rPr>
      </w:r>
    </w:p>
    <w:p>
      <w:pPr>
        <w:pStyle w:val="BodyText"/>
        <w:spacing w:line="240" w:lineRule="auto" w:before="55"/>
        <w:ind w:left="71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717" w:right="0"/>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240" w:lineRule="auto" w:before="58"/>
        <w:ind w:left="71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560" w:right="480"/>
        </w:sectPr>
      </w:pPr>
    </w:p>
    <w:p>
      <w:pPr>
        <w:pStyle w:val="Heading2"/>
        <w:spacing w:line="240" w:lineRule="auto"/>
        <w:ind w:left="717" w:right="-18"/>
        <w:jc w:val="left"/>
        <w:rPr>
          <w:b w:val="0"/>
          <w:bCs w:val="0"/>
        </w:rPr>
      </w:pPr>
      <w:r>
        <w:rPr>
          <w:rFonts w:ascii="宋体" w:hAnsi="宋体" w:cs="宋体" w:eastAsia="宋体" w:hint="default"/>
        </w:rPr>
        <w:t>4</w:t>
      </w:r>
      <w:r>
        <w:rPr/>
        <w:t>、</w:t>
      </w:r>
      <w:r>
        <w:rPr>
          <w:spacing w:val="-64"/>
        </w:rPr>
        <w:t> </w:t>
      </w:r>
      <w:r>
        <w:rPr/>
        <w:t>应收票据</w:t>
      </w:r>
      <w:r>
        <w:rPr>
          <w:b w:val="0"/>
          <w:bCs w:val="0"/>
        </w:rPr>
      </w:r>
    </w:p>
    <w:p>
      <w:pPr>
        <w:pStyle w:val="Heading2"/>
        <w:spacing w:line="240" w:lineRule="auto" w:before="55"/>
        <w:ind w:left="717" w:right="-18"/>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58"/>
        <w:ind w:left="7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917" w:val="left" w:leader="none"/>
        </w:tabs>
        <w:spacing w:line="240" w:lineRule="auto"/>
        <w:ind w:left="717" w:right="0"/>
        <w:jc w:val="left"/>
      </w:pPr>
      <w:r>
        <w:rPr/>
        <w:t>单位：元</w:t>
        <w:tab/>
        <w:t>币种：人民币</w:t>
      </w:r>
    </w:p>
    <w:p>
      <w:pPr>
        <w:spacing w:after="0" w:line="240" w:lineRule="auto"/>
        <w:jc w:val="left"/>
        <w:sectPr>
          <w:type w:val="continuous"/>
          <w:pgSz w:w="11910" w:h="16840"/>
          <w:pgMar w:top="1120" w:bottom="1380" w:left="560" w:right="480"/>
          <w:cols w:num="2" w:equalWidth="0">
            <w:col w:w="3249" w:space="2944"/>
            <w:col w:w="4677"/>
          </w:cols>
        </w:sectPr>
      </w:pPr>
    </w:p>
    <w:p>
      <w:pPr>
        <w:spacing w:line="240" w:lineRule="auto" w:before="10"/>
        <w:rPr>
          <w:rFonts w:ascii="宋体" w:hAnsi="宋体" w:cs="宋体" w:eastAsia="宋体" w:hint="default"/>
          <w:sz w:val="2"/>
          <w:szCs w:val="2"/>
        </w:rPr>
      </w:pPr>
    </w:p>
    <w:tbl>
      <w:tblPr>
        <w:tblW w:w="0" w:type="auto"/>
        <w:jc w:val="left"/>
        <w:tblInd w:w="567" w:type="dxa"/>
        <w:tblLayout w:type="fixed"/>
        <w:tblCellMar>
          <w:top w:w="0" w:type="dxa"/>
          <w:left w:w="0" w:type="dxa"/>
          <w:bottom w:w="0" w:type="dxa"/>
          <w:right w:w="0" w:type="dxa"/>
        </w:tblCellMar>
        <w:tblLook w:val="01E0"/>
      </w:tblPr>
      <w:tblGrid>
        <w:gridCol w:w="2965"/>
        <w:gridCol w:w="3147"/>
        <w:gridCol w:w="2895"/>
      </w:tblGrid>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234"/>
              <w:jc w:val="right"/>
              <w:rPr>
                <w:rFonts w:ascii="宋体" w:hAnsi="宋体" w:cs="宋体" w:eastAsia="宋体" w:hint="default"/>
                <w:sz w:val="24"/>
                <w:szCs w:val="24"/>
              </w:rPr>
            </w:pPr>
            <w:r>
              <w:rPr>
                <w:rFonts w:ascii="宋体" w:hAnsi="宋体" w:cs="宋体" w:eastAsia="宋体" w:hint="default"/>
                <w:sz w:val="24"/>
                <w:szCs w:val="24"/>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57"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6"/>
              <w:jc w:val="right"/>
              <w:rPr>
                <w:rFonts w:ascii="宋体" w:hAnsi="宋体" w:cs="宋体" w:eastAsia="宋体" w:hint="default"/>
                <w:sz w:val="24"/>
                <w:szCs w:val="24"/>
              </w:rPr>
            </w:pPr>
            <w:r>
              <w:rPr>
                <w:rFonts w:ascii="宋体"/>
                <w:sz w:val="24"/>
              </w:rPr>
              <w:t>22,533,600.83</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8"/>
              <w:jc w:val="right"/>
              <w:rPr>
                <w:rFonts w:ascii="宋体" w:hAnsi="宋体" w:cs="宋体" w:eastAsia="宋体" w:hint="default"/>
                <w:sz w:val="24"/>
                <w:szCs w:val="24"/>
              </w:rPr>
            </w:pPr>
            <w:r>
              <w:rPr>
                <w:rFonts w:ascii="宋体"/>
                <w:sz w:val="24"/>
              </w:rPr>
              <w:t>21,904,233.51</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6"/>
              <w:jc w:val="right"/>
              <w:rPr>
                <w:rFonts w:ascii="宋体" w:hAnsi="宋体" w:cs="宋体" w:eastAsia="宋体" w:hint="default"/>
                <w:sz w:val="24"/>
                <w:szCs w:val="24"/>
              </w:rPr>
            </w:pPr>
            <w:r>
              <w:rPr>
                <w:rFonts w:ascii="宋体"/>
                <w:sz w:val="24"/>
              </w:rPr>
              <w:t>50,843,751.06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8"/>
              <w:jc w:val="right"/>
              <w:rPr>
                <w:rFonts w:ascii="宋体" w:hAnsi="宋体" w:cs="宋体" w:eastAsia="宋体" w:hint="default"/>
                <w:sz w:val="24"/>
                <w:szCs w:val="24"/>
              </w:rPr>
            </w:pPr>
            <w:r>
              <w:rPr>
                <w:rFonts w:ascii="宋体"/>
                <w:sz w:val="24"/>
              </w:rPr>
              <w:t>35,780,085.04</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34"/>
              <w:jc w:val="right"/>
              <w:rPr>
                <w:rFonts w:ascii="宋体" w:hAnsi="宋体" w:cs="宋体" w:eastAsia="宋体" w:hint="default"/>
                <w:sz w:val="24"/>
                <w:szCs w:val="24"/>
              </w:rPr>
            </w:pPr>
            <w:r>
              <w:rPr>
                <w:rFonts w:ascii="宋体" w:hAnsi="宋体" w:cs="宋体" w:eastAsia="宋体" w:hint="default"/>
                <w:sz w:val="24"/>
                <w:szCs w:val="24"/>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73,377,351.89</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57,684,318.55</w:t>
            </w:r>
          </w:p>
        </w:tc>
      </w:tr>
    </w:tbl>
    <w:p>
      <w:pPr>
        <w:spacing w:line="240" w:lineRule="auto" w:before="5"/>
        <w:rPr>
          <w:rFonts w:ascii="宋体" w:hAnsi="宋体" w:cs="宋体" w:eastAsia="宋体" w:hint="default"/>
          <w:sz w:val="23"/>
          <w:szCs w:val="23"/>
        </w:rPr>
      </w:pPr>
    </w:p>
    <w:p>
      <w:pPr>
        <w:pStyle w:val="Heading2"/>
        <w:spacing w:line="240" w:lineRule="auto"/>
        <w:ind w:left="717" w:right="0"/>
        <w:jc w:val="left"/>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58"/>
        <w:ind w:left="717" w:right="0"/>
        <w:jc w:val="left"/>
      </w:pPr>
      <w:r>
        <w:rPr/>
        <w:t>□适用</w:t>
      </w:r>
      <w:r>
        <w:rPr>
          <w:spacing w:val="-1"/>
        </w:rPr>
        <w:t> </w:t>
      </w:r>
      <w:r>
        <w:rPr/>
        <w:t>√不适用</w:t>
      </w:r>
    </w:p>
    <w:p>
      <w:pPr>
        <w:pStyle w:val="Heading2"/>
        <w:spacing w:line="240" w:lineRule="auto" w:before="56"/>
        <w:ind w:left="717" w:right="0"/>
        <w:jc w:val="left"/>
        <w:rPr>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b w:val="0"/>
          <w:bCs w:val="0"/>
        </w:rPr>
      </w:r>
    </w:p>
    <w:p>
      <w:pPr>
        <w:pStyle w:val="BodyText"/>
        <w:spacing w:line="240" w:lineRule="auto" w:before="58"/>
        <w:ind w:left="717" w:right="0"/>
        <w:jc w:val="left"/>
      </w:pPr>
      <w:r>
        <w:rPr/>
        <w:t>√适用</w:t>
      </w:r>
      <w:r>
        <w:rPr>
          <w:spacing w:val="-1"/>
        </w:rPr>
        <w:t> </w:t>
      </w:r>
      <w:r>
        <w:rPr/>
        <w:t>□不适用</w:t>
      </w:r>
    </w:p>
    <w:p>
      <w:pPr>
        <w:pStyle w:val="BodyText"/>
        <w:tabs>
          <w:tab w:pos="8110" w:val="left" w:leader="none"/>
        </w:tabs>
        <w:spacing w:line="312" w:lineRule="exact"/>
        <w:ind w:left="6910"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604" w:type="dxa"/>
        <w:tblLayout w:type="fixed"/>
        <w:tblCellMar>
          <w:top w:w="0" w:type="dxa"/>
          <w:left w:w="0" w:type="dxa"/>
          <w:bottom w:w="0" w:type="dxa"/>
          <w:right w:w="0" w:type="dxa"/>
        </w:tblCellMar>
        <w:tblLook w:val="01E0"/>
      </w:tblPr>
      <w:tblGrid>
        <w:gridCol w:w="2879"/>
        <w:gridCol w:w="3051"/>
        <w:gridCol w:w="3121"/>
      </w:tblGrid>
      <w:tr>
        <w:trPr>
          <w:trHeight w:val="286" w:hRule="exact"/>
        </w:trPr>
        <w:tc>
          <w:tcPr>
            <w:tcW w:w="2879"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16,592,246.99</w:t>
            </w:r>
          </w:p>
        </w:tc>
        <w:tc>
          <w:tcPr>
            <w:tcW w:w="3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6" w:hRule="exact"/>
        </w:trPr>
        <w:tc>
          <w:tcPr>
            <w:tcW w:w="28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spacing w:val="-1"/>
                <w:sz w:val="21"/>
              </w:rPr>
              <w:t>16,592,246.99</w:t>
            </w:r>
          </w:p>
        </w:tc>
        <w:tc>
          <w:tcPr>
            <w:tcW w:w="31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560" w:right="480"/>
        </w:sectPr>
      </w:pPr>
    </w:p>
    <w:p>
      <w:pPr>
        <w:pStyle w:val="Heading2"/>
        <w:spacing w:line="240" w:lineRule="auto"/>
        <w:ind w:left="717" w:right="-1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7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47" w:val="left" w:leader="none"/>
        </w:tabs>
        <w:spacing w:line="240" w:lineRule="auto"/>
        <w:ind w:left="247" w:right="0"/>
        <w:jc w:val="left"/>
      </w:pPr>
      <w:r>
        <w:rPr/>
        <w:t>单位：元</w:t>
        <w:tab/>
        <w:t>币种：人民币</w:t>
      </w:r>
    </w:p>
    <w:p>
      <w:pPr>
        <w:spacing w:after="0" w:line="240" w:lineRule="auto"/>
        <w:jc w:val="left"/>
        <w:sectPr>
          <w:type w:val="continuous"/>
          <w:pgSz w:w="11910" w:h="16840"/>
          <w:pgMar w:top="1120" w:bottom="1380" w:left="560" w:right="480"/>
          <w:cols w:num="2" w:equalWidth="0">
            <w:col w:w="6624" w:space="40"/>
            <w:col w:w="4206"/>
          </w:cols>
        </w:sectPr>
      </w:pPr>
    </w:p>
    <w:p>
      <w:pPr>
        <w:spacing w:line="240" w:lineRule="auto" w:before="10"/>
        <w:rPr>
          <w:rFonts w:ascii="宋体" w:hAnsi="宋体" w:cs="宋体" w:eastAsia="宋体" w:hint="default"/>
          <w:sz w:val="2"/>
          <w:szCs w:val="2"/>
        </w:rPr>
      </w:pPr>
    </w:p>
    <w:tbl>
      <w:tblPr>
        <w:tblW w:w="0" w:type="auto"/>
        <w:jc w:val="left"/>
        <w:tblInd w:w="604" w:type="dxa"/>
        <w:tblLayout w:type="fixed"/>
        <w:tblCellMar>
          <w:top w:w="0" w:type="dxa"/>
          <w:left w:w="0" w:type="dxa"/>
          <w:bottom w:w="0" w:type="dxa"/>
          <w:right w:w="0" w:type="dxa"/>
        </w:tblCellMar>
        <w:tblLook w:val="01E0"/>
      </w:tblPr>
      <w:tblGrid>
        <w:gridCol w:w="4266"/>
        <w:gridCol w:w="4784"/>
      </w:tblGrid>
      <w:tr>
        <w:trPr>
          <w:trHeight w:val="286" w:hRule="exact"/>
        </w:trPr>
        <w:tc>
          <w:tcPr>
            <w:tcW w:w="426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11"/>
              <w:jc w:val="right"/>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37"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326" w:hRule="exact"/>
        </w:trPr>
        <w:tc>
          <w:tcPr>
            <w:tcW w:w="426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4"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4,146,907.00</w:t>
            </w:r>
          </w:p>
        </w:tc>
      </w:tr>
      <w:tr>
        <w:trPr>
          <w:trHeight w:val="324" w:hRule="exact"/>
        </w:trPr>
        <w:tc>
          <w:tcPr>
            <w:tcW w:w="4266"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right="1911"/>
              <w:jc w:val="right"/>
              <w:rPr>
                <w:rFonts w:ascii="宋体" w:hAnsi="宋体" w:cs="宋体" w:eastAsia="宋体" w:hint="default"/>
                <w:sz w:val="21"/>
                <w:szCs w:val="21"/>
              </w:rPr>
            </w:pPr>
            <w:r>
              <w:rPr>
                <w:rFonts w:ascii="宋体" w:hAnsi="宋体" w:cs="宋体" w:eastAsia="宋体" w:hint="default"/>
                <w:sz w:val="21"/>
                <w:szCs w:val="21"/>
              </w:rPr>
              <w:t>合计</w:t>
            </w:r>
          </w:p>
        </w:tc>
        <w:tc>
          <w:tcPr>
            <w:tcW w:w="4784"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4,146,907.00</w:t>
            </w:r>
          </w:p>
        </w:tc>
      </w:tr>
    </w:tbl>
    <w:p>
      <w:pPr>
        <w:spacing w:line="240" w:lineRule="auto" w:before="10"/>
        <w:rPr>
          <w:rFonts w:ascii="宋体" w:hAnsi="宋体" w:cs="宋体" w:eastAsia="宋体" w:hint="default"/>
          <w:sz w:val="18"/>
          <w:szCs w:val="18"/>
        </w:rPr>
      </w:pPr>
    </w:p>
    <w:p>
      <w:pPr>
        <w:pStyle w:val="BodyText"/>
        <w:spacing w:line="240" w:lineRule="auto" w:before="26"/>
        <w:ind w:left="717" w:right="0"/>
        <w:jc w:val="left"/>
      </w:pPr>
      <w:r>
        <w:rPr/>
        <w:t>其他说明</w:t>
      </w:r>
      <w:r>
        <w:rPr>
          <w:rFonts w:ascii="宋体" w:hAnsi="宋体" w:cs="宋体" w:eastAsia="宋体" w:hint="default"/>
        </w:rPr>
        <w:t>:</w:t>
      </w: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560" w:right="480"/>
        </w:sectPr>
      </w:pPr>
    </w:p>
    <w:p>
      <w:pPr>
        <w:pStyle w:val="Heading2"/>
        <w:spacing w:line="240" w:lineRule="auto"/>
        <w:ind w:left="717" w:right="-18"/>
        <w:jc w:val="left"/>
        <w:rPr>
          <w:b w:val="0"/>
          <w:bCs w:val="0"/>
        </w:rPr>
      </w:pPr>
      <w:r>
        <w:rPr>
          <w:rFonts w:ascii="宋体" w:hAnsi="宋体" w:cs="宋体" w:eastAsia="宋体" w:hint="default"/>
        </w:rPr>
        <w:t>5</w:t>
      </w:r>
      <w:r>
        <w:rPr/>
        <w:t>、</w:t>
      </w:r>
      <w:r>
        <w:rPr>
          <w:spacing w:val="-64"/>
        </w:rPr>
        <w:t> </w:t>
      </w:r>
      <w:r>
        <w:rPr/>
        <w:t>应收账款</w:t>
      </w:r>
      <w:r>
        <w:rPr>
          <w:b w:val="0"/>
          <w:bCs w:val="0"/>
        </w:rPr>
      </w:r>
    </w:p>
    <w:p>
      <w:pPr>
        <w:pStyle w:val="Heading2"/>
        <w:spacing w:line="240" w:lineRule="auto" w:before="58"/>
        <w:ind w:left="717" w:right="-18"/>
        <w:jc w:val="left"/>
        <w:rPr>
          <w:b w:val="0"/>
          <w:bCs w:val="0"/>
        </w:rPr>
      </w:pPr>
      <w:r>
        <w:rPr>
          <w:rFonts w:ascii="宋体" w:hAnsi="宋体" w:cs="宋体" w:eastAsia="宋体" w:hint="default"/>
        </w:rPr>
        <w:t>(1).</w:t>
      </w:r>
      <w:r>
        <w:rPr>
          <w:rFonts w:ascii="宋体" w:hAnsi="宋体" w:cs="宋体" w:eastAsia="宋体" w:hint="default"/>
          <w:spacing w:val="-34"/>
        </w:rPr>
        <w:t> </w:t>
      </w:r>
      <w:r>
        <w:rPr/>
        <w:t>应收账款分类披露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917" w:val="left" w:leader="none"/>
        </w:tabs>
        <w:spacing w:line="240" w:lineRule="auto"/>
        <w:ind w:left="717" w:right="0"/>
        <w:jc w:val="left"/>
      </w:pPr>
      <w:r>
        <w:rPr/>
        <w:t>单位：元</w:t>
        <w:tab/>
        <w:t>币种：人民币</w:t>
      </w:r>
    </w:p>
    <w:p>
      <w:pPr>
        <w:spacing w:after="0" w:line="240" w:lineRule="auto"/>
        <w:jc w:val="left"/>
        <w:sectPr>
          <w:type w:val="continuous"/>
          <w:pgSz w:w="11910" w:h="16840"/>
          <w:pgMar w:top="1120" w:bottom="1380" w:left="560" w:right="480"/>
          <w:cols w:num="2" w:equalWidth="0">
            <w:col w:w="3218" w:space="2872"/>
            <w:col w:w="4780"/>
          </w:cols>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68"/>
        <w:gridCol w:w="1850"/>
        <w:gridCol w:w="1625"/>
        <w:gridCol w:w="1347"/>
        <w:gridCol w:w="1850"/>
        <w:gridCol w:w="1421"/>
        <w:gridCol w:w="1270"/>
      </w:tblGrid>
      <w:tr>
        <w:trPr>
          <w:trHeight w:val="269" w:hRule="exact"/>
        </w:trPr>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类别</w:t>
            </w:r>
          </w:p>
        </w:tc>
        <w:tc>
          <w:tcPr>
            <w:tcW w:w="48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268" w:type="dxa"/>
            <w:vMerge/>
            <w:tcBorders>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0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 w:right="0"/>
              <w:jc w:val="center"/>
              <w:rPr>
                <w:rFonts w:ascii="宋体" w:hAnsi="宋体" w:cs="宋体" w:eastAsia="宋体" w:hint="default"/>
                <w:sz w:val="15"/>
                <w:szCs w:val="15"/>
              </w:rPr>
            </w:pPr>
            <w:r>
              <w:rPr>
                <w:rFonts w:ascii="宋体" w:hAnsi="宋体" w:cs="宋体" w:eastAsia="宋体" w:hint="default"/>
                <w:sz w:val="15"/>
                <w:szCs w:val="15"/>
              </w:rPr>
              <w:t>账面</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0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账面</w:t>
            </w:r>
          </w:p>
        </w:tc>
      </w:tr>
    </w:tbl>
    <w:p>
      <w:pPr>
        <w:spacing w:after="0" w:line="189" w:lineRule="exact"/>
        <w:jc w:val="center"/>
        <w:rPr>
          <w:rFonts w:ascii="宋体" w:hAnsi="宋体" w:cs="宋体" w:eastAsia="宋体" w:hint="default"/>
          <w:sz w:val="15"/>
          <w:szCs w:val="15"/>
        </w:rPr>
        <w:sectPr>
          <w:type w:val="continuous"/>
          <w:pgSz w:w="11910" w:h="16840"/>
          <w:pgMar w:top="1120" w:bottom="1380" w:left="560" w:right="48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268"/>
        <w:gridCol w:w="1284"/>
        <w:gridCol w:w="566"/>
        <w:gridCol w:w="1129"/>
        <w:gridCol w:w="497"/>
        <w:gridCol w:w="1347"/>
        <w:gridCol w:w="1282"/>
        <w:gridCol w:w="569"/>
        <w:gridCol w:w="994"/>
        <w:gridCol w:w="427"/>
        <w:gridCol w:w="1270"/>
      </w:tblGrid>
      <w:tr>
        <w:trPr>
          <w:trHeight w:val="593" w:hRule="exact"/>
        </w:trPr>
        <w:tc>
          <w:tcPr>
            <w:tcW w:w="12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125"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31" w:right="8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价值</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5" w:right="125"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3" w:right="5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价值</w:t>
            </w:r>
          </w:p>
        </w:tc>
      </w:tr>
      <w:tr>
        <w:trPr>
          <w:trHeight w:val="59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4" w:right="29"/>
              <w:jc w:val="left"/>
              <w:rPr>
                <w:rFonts w:ascii="宋体" w:hAnsi="宋体" w:cs="宋体" w:eastAsia="宋体" w:hint="default"/>
                <w:sz w:val="15"/>
                <w:szCs w:val="15"/>
              </w:rPr>
            </w:pPr>
            <w:r>
              <w:rPr>
                <w:rFonts w:ascii="宋体" w:hAnsi="宋体" w:cs="宋体" w:eastAsia="宋体" w:hint="default"/>
                <w:sz w:val="15"/>
                <w:szCs w:val="15"/>
              </w:rPr>
              <w:t>独计提坏账准备的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286,081,697.40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13.94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7,318,323.35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0" w:right="0"/>
              <w:jc w:val="center"/>
              <w:rPr>
                <w:rFonts w:ascii="宋体" w:hAnsi="宋体" w:cs="宋体" w:eastAsia="宋体" w:hint="default"/>
                <w:sz w:val="15"/>
                <w:szCs w:val="15"/>
              </w:rPr>
            </w:pPr>
            <w:r>
              <w:rPr>
                <w:rFonts w:ascii="宋体"/>
                <w:sz w:val="15"/>
              </w:rPr>
              <w:t>2.56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278,763,374.05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262,428,179.70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6,942,755.40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1" w:right="0"/>
              <w:jc w:val="center"/>
              <w:rPr>
                <w:rFonts w:ascii="宋体" w:hAnsi="宋体" w:cs="宋体" w:eastAsia="宋体" w:hint="default"/>
                <w:sz w:val="15"/>
                <w:szCs w:val="15"/>
              </w:rPr>
            </w:pPr>
            <w:r>
              <w:rPr>
                <w:rFonts w:ascii="宋体"/>
                <w:sz w:val="15"/>
              </w:rPr>
              <w:t>2.65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255,485,424.30</w:t>
            </w:r>
          </w:p>
        </w:tc>
      </w:tr>
      <w:tr>
        <w:trPr>
          <w:trHeight w:val="59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4" w:right="29"/>
              <w:jc w:val="left"/>
              <w:rPr>
                <w:rFonts w:ascii="宋体" w:hAnsi="宋体" w:cs="宋体" w:eastAsia="宋体" w:hint="default"/>
                <w:sz w:val="15"/>
                <w:szCs w:val="15"/>
              </w:rPr>
            </w:pPr>
            <w:r>
              <w:rPr>
                <w:rFonts w:ascii="宋体" w:hAnsi="宋体" w:cs="宋体" w:eastAsia="宋体" w:hint="default"/>
                <w:sz w:val="15"/>
                <w:szCs w:val="15"/>
              </w:rPr>
              <w:t>合计提坏账准备的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1,622,478,730.25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79.09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164,918,573.21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5" w:right="0"/>
              <w:jc w:val="center"/>
              <w:rPr>
                <w:rFonts w:ascii="宋体" w:hAnsi="宋体" w:cs="宋体" w:eastAsia="宋体" w:hint="default"/>
                <w:sz w:val="15"/>
                <w:szCs w:val="15"/>
              </w:rPr>
            </w:pPr>
            <w:r>
              <w:rPr>
                <w:rFonts w:ascii="宋体"/>
                <w:sz w:val="15"/>
              </w:rPr>
              <w:t>10.16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1,457,560,157.04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1,371,551,712.12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76.94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2"/>
                <w:sz w:val="15"/>
              </w:rPr>
              <w:t>125,448,015.</w:t>
            </w:r>
          </w:p>
          <w:p>
            <w:pPr>
              <w:pStyle w:val="TableParagraph"/>
              <w:spacing w:line="195" w:lineRule="exact"/>
              <w:ind w:right="23"/>
              <w:jc w:val="right"/>
              <w:rPr>
                <w:rFonts w:ascii="宋体" w:hAnsi="宋体" w:cs="宋体" w:eastAsia="宋体" w:hint="default"/>
                <w:sz w:val="15"/>
                <w:szCs w:val="15"/>
              </w:rPr>
            </w:pPr>
            <w:r>
              <w:rPr>
                <w:rFonts w:ascii="宋体"/>
                <w:sz w:val="15"/>
              </w:rPr>
              <w:t>34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1" w:right="0"/>
              <w:jc w:val="center"/>
              <w:rPr>
                <w:rFonts w:ascii="宋体" w:hAnsi="宋体" w:cs="宋体" w:eastAsia="宋体" w:hint="default"/>
                <w:sz w:val="15"/>
                <w:szCs w:val="15"/>
              </w:rPr>
            </w:pPr>
            <w:r>
              <w:rPr>
                <w:rFonts w:ascii="宋体"/>
                <w:sz w:val="15"/>
              </w:rPr>
              <w:t>9.15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1,246,103,696.78</w:t>
            </w:r>
          </w:p>
        </w:tc>
      </w:tr>
      <w:tr>
        <w:trPr>
          <w:trHeight w:val="59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4" w:right="29"/>
              <w:jc w:val="left"/>
              <w:rPr>
                <w:rFonts w:ascii="宋体" w:hAnsi="宋体" w:cs="宋体" w:eastAsia="宋体" w:hint="default"/>
                <w:sz w:val="15"/>
                <w:szCs w:val="15"/>
              </w:rPr>
            </w:pPr>
            <w:r>
              <w:rPr>
                <w:rFonts w:ascii="宋体" w:hAnsi="宋体" w:cs="宋体" w:eastAsia="宋体" w:hint="default"/>
                <w:sz w:val="15"/>
                <w:szCs w:val="15"/>
              </w:rPr>
              <w:t>单独计提坏账准备</w:t>
            </w:r>
            <w:r>
              <w:rPr>
                <w:rFonts w:ascii="宋体" w:hAnsi="宋体" w:cs="宋体" w:eastAsia="宋体" w:hint="default"/>
                <w:w w:val="100"/>
                <w:sz w:val="15"/>
                <w:szCs w:val="15"/>
              </w:rPr>
              <w:t> </w:t>
            </w:r>
            <w:r>
              <w:rPr>
                <w:rFonts w:ascii="宋体" w:hAnsi="宋体" w:cs="宋体" w:eastAsia="宋体" w:hint="default"/>
                <w:sz w:val="15"/>
                <w:szCs w:val="15"/>
              </w:rPr>
              <w:t>的应收账款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142,982,005.17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6.97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726,266.41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0" w:right="0"/>
              <w:jc w:val="center"/>
              <w:rPr>
                <w:rFonts w:ascii="宋体" w:hAnsi="宋体" w:cs="宋体" w:eastAsia="宋体" w:hint="default"/>
                <w:sz w:val="15"/>
                <w:szCs w:val="15"/>
              </w:rPr>
            </w:pPr>
            <w:r>
              <w:rPr>
                <w:rFonts w:ascii="宋体"/>
                <w:sz w:val="15"/>
              </w:rPr>
              <w:t>0.51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142,255,738.76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148,707,598.35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984,458.61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1" w:right="0"/>
              <w:jc w:val="center"/>
              <w:rPr>
                <w:rFonts w:ascii="宋体" w:hAnsi="宋体" w:cs="宋体" w:eastAsia="宋体" w:hint="default"/>
                <w:sz w:val="15"/>
                <w:szCs w:val="15"/>
              </w:rPr>
            </w:pPr>
            <w:r>
              <w:rPr>
                <w:rFonts w:ascii="宋体"/>
                <w:sz w:val="15"/>
              </w:rPr>
              <w:t>0.66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147,723,139.74</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2,051,542,432.82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172,963,162.97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1,878,579,269.85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1,782,687,490.17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133,375,229.</w:t>
            </w:r>
          </w:p>
          <w:p>
            <w:pPr>
              <w:pStyle w:val="TableParagraph"/>
              <w:spacing w:line="240" w:lineRule="auto"/>
              <w:ind w:right="23"/>
              <w:jc w:val="right"/>
              <w:rPr>
                <w:rFonts w:ascii="宋体" w:hAnsi="宋体" w:cs="宋体" w:eastAsia="宋体" w:hint="default"/>
                <w:sz w:val="15"/>
                <w:szCs w:val="15"/>
              </w:rPr>
            </w:pPr>
            <w:r>
              <w:rPr>
                <w:rFonts w:ascii="宋体"/>
                <w:sz w:val="15"/>
              </w:rPr>
              <w:t>35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1,649,312,260.82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560" w:right="480"/>
        </w:sectPr>
      </w:pPr>
    </w:p>
    <w:p>
      <w:pPr>
        <w:pStyle w:val="BodyText"/>
        <w:spacing w:line="313" w:lineRule="exact" w:before="26"/>
        <w:ind w:left="717" w:right="-20"/>
        <w:jc w:val="left"/>
      </w:pPr>
      <w:r>
        <w:rPr/>
        <w:t>期末单项金额重大并单项计提坏帐准备的应收账款</w:t>
      </w:r>
    </w:p>
    <w:p>
      <w:pPr>
        <w:pStyle w:val="BodyText"/>
        <w:spacing w:line="313" w:lineRule="exact"/>
        <w:ind w:left="71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917" w:val="left" w:leader="none"/>
        </w:tabs>
        <w:spacing w:line="240" w:lineRule="auto"/>
        <w:ind w:left="717" w:right="0"/>
        <w:jc w:val="left"/>
      </w:pPr>
      <w:r>
        <w:rPr/>
        <w:t>单位：元</w:t>
        <w:tab/>
        <w:t>币种：人民币</w:t>
      </w:r>
    </w:p>
    <w:p>
      <w:pPr>
        <w:spacing w:after="0" w:line="240" w:lineRule="auto"/>
        <w:jc w:val="left"/>
        <w:sectPr>
          <w:type w:val="continuous"/>
          <w:pgSz w:w="11910" w:h="16840"/>
          <w:pgMar w:top="1120" w:bottom="1380" w:left="560" w:right="480"/>
          <w:cols w:num="2" w:equalWidth="0">
            <w:col w:w="5998" w:space="195"/>
            <w:col w:w="4677"/>
          </w:cols>
        </w:sectPr>
      </w:pPr>
    </w:p>
    <w:p>
      <w:pPr>
        <w:spacing w:line="240" w:lineRule="auto" w:before="10"/>
        <w:rPr>
          <w:rFonts w:ascii="宋体" w:hAnsi="宋体" w:cs="宋体" w:eastAsia="宋体" w:hint="default"/>
          <w:sz w:val="2"/>
          <w:szCs w:val="2"/>
        </w:rPr>
      </w:pPr>
    </w:p>
    <w:tbl>
      <w:tblPr>
        <w:tblW w:w="0" w:type="auto"/>
        <w:jc w:val="left"/>
        <w:tblInd w:w="697" w:type="dxa"/>
        <w:tblLayout w:type="fixed"/>
        <w:tblCellMar>
          <w:top w:w="0" w:type="dxa"/>
          <w:left w:w="0" w:type="dxa"/>
          <w:bottom w:w="0" w:type="dxa"/>
          <w:right w:w="0" w:type="dxa"/>
        </w:tblCellMar>
        <w:tblLook w:val="01E0"/>
      </w:tblPr>
      <w:tblGrid>
        <w:gridCol w:w="1932"/>
        <w:gridCol w:w="1688"/>
        <w:gridCol w:w="1863"/>
        <w:gridCol w:w="1716"/>
        <w:gridCol w:w="1678"/>
      </w:tblGrid>
      <w:tr>
        <w:trPr>
          <w:trHeight w:val="283" w:hRule="exact"/>
        </w:trPr>
        <w:tc>
          <w:tcPr>
            <w:tcW w:w="1932"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932"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的货款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37,349,723.37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7,318,323.35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19.59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经单项测试，单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项计提减值</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预计可以收回的货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248,731,974.03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经单项测试，未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发现减值</w:t>
            </w:r>
          </w:p>
        </w:tc>
      </w:tr>
      <w:tr>
        <w:trPr>
          <w:trHeight w:val="28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286,081,697.40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7,318,323.35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560" w:right="480"/>
        </w:sectPr>
      </w:pPr>
    </w:p>
    <w:p>
      <w:pPr>
        <w:pStyle w:val="BodyText"/>
        <w:spacing w:line="313" w:lineRule="exact" w:before="26"/>
        <w:ind w:left="717" w:right="-20"/>
        <w:jc w:val="left"/>
      </w:pPr>
      <w:r>
        <w:rPr/>
        <w:t>组合中，按账龄分析法计提坏账准备的应收账款：</w:t>
      </w:r>
    </w:p>
    <w:p>
      <w:pPr>
        <w:pStyle w:val="BodyText"/>
        <w:spacing w:line="313" w:lineRule="exact"/>
        <w:ind w:left="717"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917" w:val="left" w:leader="none"/>
        </w:tabs>
        <w:spacing w:line="240" w:lineRule="auto"/>
        <w:ind w:left="717" w:right="0"/>
        <w:jc w:val="left"/>
      </w:pPr>
      <w:r>
        <w:rPr/>
        <w:t>单位：元</w:t>
        <w:tab/>
        <w:t>币种：人民币</w:t>
      </w:r>
    </w:p>
    <w:p>
      <w:pPr>
        <w:spacing w:after="0" w:line="240" w:lineRule="auto"/>
        <w:jc w:val="left"/>
        <w:sectPr>
          <w:type w:val="continuous"/>
          <w:pgSz w:w="11910" w:h="16840"/>
          <w:pgMar w:top="1120" w:bottom="1380" w:left="560" w:right="480"/>
          <w:cols w:num="2" w:equalWidth="0">
            <w:col w:w="5998" w:space="195"/>
            <w:col w:w="4677"/>
          </w:cols>
        </w:sectPr>
      </w:pPr>
    </w:p>
    <w:p>
      <w:pPr>
        <w:spacing w:line="240" w:lineRule="auto" w:before="10"/>
        <w:rPr>
          <w:rFonts w:ascii="宋体" w:hAnsi="宋体" w:cs="宋体" w:eastAsia="宋体" w:hint="default"/>
          <w:sz w:val="2"/>
          <w:szCs w:val="2"/>
        </w:rPr>
      </w:pPr>
    </w:p>
    <w:tbl>
      <w:tblPr>
        <w:tblW w:w="0" w:type="auto"/>
        <w:jc w:val="left"/>
        <w:tblInd w:w="680"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9"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9"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1,189,729,587.68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11,897,295.85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1,189,729,587.68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11,897,295.85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228,299,312.70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45,659,862.54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125,612,043.79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50,244,817.53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42,064,463.89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25,238,678.30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60.00%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spacing w:val="-1"/>
                <w:sz w:val="21"/>
              </w:rPr>
              <w:t>24,477,016.43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19,581,613.23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12,296,305.76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12,296,305.76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1,622,478,730.25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164,918,573.21</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56"/>
        <w:ind w:left="717" w:right="7489"/>
        <w:jc w:val="left"/>
      </w:pPr>
      <w:r>
        <w:rPr/>
        <w:t>确定该组合依据的说明： 无</w:t>
      </w:r>
    </w:p>
    <w:p>
      <w:pPr>
        <w:spacing w:line="240" w:lineRule="auto" w:before="4"/>
        <w:rPr>
          <w:rFonts w:ascii="宋体" w:hAnsi="宋体" w:cs="宋体" w:eastAsia="宋体" w:hint="default"/>
          <w:sz w:val="21"/>
          <w:szCs w:val="21"/>
        </w:rPr>
      </w:pPr>
    </w:p>
    <w:p>
      <w:pPr>
        <w:pStyle w:val="BodyText"/>
        <w:spacing w:line="313" w:lineRule="exact"/>
        <w:ind w:left="717" w:right="0"/>
        <w:jc w:val="left"/>
      </w:pPr>
      <w:r>
        <w:rPr/>
        <w:t>组合中，采用余额百分比法计提坏账准备的应收账款：</w:t>
      </w:r>
    </w:p>
    <w:p>
      <w:pPr>
        <w:pStyle w:val="BodyText"/>
        <w:spacing w:line="313" w:lineRule="exact"/>
        <w:ind w:left="717" w:right="0"/>
        <w:jc w:val="left"/>
      </w:pPr>
      <w:r>
        <w:rPr/>
        <w:t>□适用√不适用</w:t>
      </w:r>
    </w:p>
    <w:p>
      <w:pPr>
        <w:spacing w:line="240" w:lineRule="auto" w:before="12"/>
        <w:rPr>
          <w:rFonts w:ascii="宋体" w:hAnsi="宋体" w:cs="宋体" w:eastAsia="宋体" w:hint="default"/>
          <w:sz w:val="25"/>
          <w:szCs w:val="25"/>
        </w:rPr>
      </w:pPr>
    </w:p>
    <w:p>
      <w:pPr>
        <w:pStyle w:val="BodyText"/>
        <w:spacing w:line="312" w:lineRule="exact"/>
        <w:ind w:left="717" w:right="4849"/>
        <w:jc w:val="left"/>
      </w:pPr>
      <w:r>
        <w:rPr/>
        <w:t>组合中，采用其他方法计提坏账准备的应收账款： 无</w:t>
      </w:r>
    </w:p>
    <w:p>
      <w:pPr>
        <w:spacing w:after="0" w:line="312" w:lineRule="exact"/>
        <w:jc w:val="left"/>
        <w:sectPr>
          <w:type w:val="continuous"/>
          <w:pgSz w:w="11910" w:h="16840"/>
          <w:pgMar w:top="1120" w:bottom="1380" w:left="560" w:right="4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left="237" w:right="3113"/>
        <w:jc w:val="left"/>
        <w:rPr>
          <w:b w:val="0"/>
          <w:bCs w:val="0"/>
        </w:rPr>
      </w:pPr>
      <w:r>
        <w:rPr>
          <w:rFonts w:ascii="宋体" w:hAnsi="宋体" w:cs="宋体" w:eastAsia="宋体" w:hint="default"/>
        </w:rPr>
        <w:t>(2).</w:t>
      </w:r>
      <w:r>
        <w:rPr>
          <w:rFonts w:ascii="宋体" w:hAnsi="宋体" w:cs="宋体" w:eastAsia="宋体" w:hint="default"/>
          <w:spacing w:val="-35"/>
        </w:rPr>
        <w:t> </w:t>
      </w:r>
      <w:r>
        <w:rPr/>
        <w:t>本期计提、收回或转回的坏账准备情况：</w:t>
      </w:r>
      <w:r>
        <w:rPr>
          <w:b w:val="0"/>
          <w:bCs w:val="0"/>
        </w:rPr>
      </w:r>
    </w:p>
    <w:p>
      <w:pPr>
        <w:pStyle w:val="BodyText"/>
        <w:spacing w:line="313" w:lineRule="exact" w:before="55"/>
        <w:ind w:left="717" w:right="219"/>
        <w:jc w:val="left"/>
      </w:pPr>
      <w:r>
        <w:rPr/>
        <w:t>本期计提坏账准备金额</w:t>
      </w:r>
      <w:r>
        <w:rPr>
          <w:spacing w:val="-60"/>
        </w:rPr>
        <w:t> </w:t>
      </w:r>
      <w:r>
        <w:rPr>
          <w:rFonts w:ascii="宋体" w:hAnsi="宋体" w:cs="宋体" w:eastAsia="宋体" w:hint="default"/>
        </w:rPr>
        <w:t>39,908,828.73</w:t>
      </w:r>
      <w:r>
        <w:rPr>
          <w:rFonts w:ascii="宋体" w:hAnsi="宋体" w:cs="宋体" w:eastAsia="宋体" w:hint="default"/>
          <w:spacing w:val="-60"/>
        </w:rPr>
        <w:t> </w:t>
      </w:r>
      <w:r>
        <w:rPr/>
        <w:t>元；本期收回或转回坏账准备金额</w:t>
      </w:r>
    </w:p>
    <w:p>
      <w:pPr>
        <w:pStyle w:val="BodyText"/>
        <w:spacing w:line="313" w:lineRule="exact"/>
        <w:ind w:left="237" w:right="3113"/>
        <w:jc w:val="left"/>
      </w:pPr>
      <w:r>
        <w:rPr>
          <w:rFonts w:ascii="宋体" w:hAnsi="宋体" w:cs="宋体" w:eastAsia="宋体" w:hint="default"/>
        </w:rPr>
        <w:t>126,977.67</w:t>
      </w:r>
      <w:r>
        <w:rPr>
          <w:rFonts w:ascii="宋体" w:hAnsi="宋体" w:cs="宋体" w:eastAsia="宋体" w:hint="default"/>
          <w:spacing w:val="-61"/>
        </w:rPr>
        <w:t> </w:t>
      </w:r>
      <w:r>
        <w:rPr/>
        <w:t>元。</w:t>
      </w:r>
    </w:p>
    <w:p>
      <w:pPr>
        <w:spacing w:line="240" w:lineRule="auto" w:before="7"/>
        <w:rPr>
          <w:rFonts w:ascii="宋体" w:hAnsi="宋体" w:cs="宋体" w:eastAsia="宋体" w:hint="default"/>
          <w:sz w:val="23"/>
          <w:szCs w:val="23"/>
        </w:rPr>
      </w:pPr>
    </w:p>
    <w:p>
      <w:pPr>
        <w:pStyle w:val="BodyText"/>
        <w:spacing w:line="313" w:lineRule="exact"/>
        <w:ind w:left="237" w:right="3113"/>
        <w:jc w:val="left"/>
      </w:pPr>
      <w:r>
        <w:rPr/>
        <w:t>其中本期坏账准备收回或转回金额重要的：</w:t>
      </w:r>
    </w:p>
    <w:p>
      <w:pPr>
        <w:pStyle w:val="BodyText"/>
        <w:spacing w:line="313" w:lineRule="exact"/>
        <w:ind w:left="237" w:right="311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40" w:right="1560"/>
        </w:sectPr>
      </w:pPr>
    </w:p>
    <w:p>
      <w:pPr>
        <w:pStyle w:val="Heading2"/>
        <w:spacing w:line="240" w:lineRule="auto"/>
        <w:ind w:left="237" w:right="-18"/>
        <w:jc w:val="left"/>
        <w:rPr>
          <w:b w:val="0"/>
          <w:bCs w:val="0"/>
        </w:rPr>
      </w:pPr>
      <w:r>
        <w:rPr>
          <w:rFonts w:ascii="宋体" w:hAnsi="宋体" w:cs="宋体" w:eastAsia="宋体" w:hint="default"/>
        </w:rPr>
        <w:t>(3).</w:t>
      </w:r>
      <w:r>
        <w:rPr>
          <w:rFonts w:ascii="宋体" w:hAnsi="宋体" w:cs="宋体" w:eastAsia="宋体" w:hint="default"/>
          <w:spacing w:val="-33"/>
        </w:rPr>
        <w:t> </w:t>
      </w:r>
      <w:r>
        <w:rPr/>
        <w:t>本期实际核销的应收账款情况</w:t>
      </w:r>
      <w:r>
        <w:rPr>
          <w:b w:val="0"/>
          <w:bCs w:val="0"/>
        </w:rPr>
      </w:r>
    </w:p>
    <w:p>
      <w:pPr>
        <w:pStyle w:val="BodyText"/>
        <w:spacing w:line="240" w:lineRule="auto" w:before="58"/>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3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040" w:right="1560"/>
          <w:cols w:num="2" w:equalWidth="0">
            <w:col w:w="3944" w:space="2249"/>
            <w:col w:w="3117"/>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1,530,949.04</w:t>
            </w:r>
          </w:p>
        </w:tc>
      </w:tr>
    </w:tbl>
    <w:p>
      <w:pPr>
        <w:spacing w:line="240" w:lineRule="auto" w:before="10"/>
        <w:rPr>
          <w:rFonts w:ascii="宋体" w:hAnsi="宋体" w:cs="宋体" w:eastAsia="宋体" w:hint="default"/>
          <w:sz w:val="18"/>
          <w:szCs w:val="18"/>
        </w:rPr>
      </w:pPr>
    </w:p>
    <w:p>
      <w:pPr>
        <w:pStyle w:val="BodyText"/>
        <w:spacing w:line="313" w:lineRule="exact" w:before="26"/>
        <w:ind w:left="237" w:right="3113"/>
        <w:jc w:val="left"/>
      </w:pPr>
      <w:r>
        <w:rPr/>
        <w:t>其中重要的应收账款核销情况</w:t>
      </w:r>
    </w:p>
    <w:p>
      <w:pPr>
        <w:pStyle w:val="BodyText"/>
        <w:spacing w:line="237" w:lineRule="auto" w:before="1"/>
        <w:ind w:left="237" w:right="6889"/>
        <w:jc w:val="left"/>
      </w:pPr>
      <w:r>
        <w:rPr/>
        <w:t>□适用</w:t>
      </w:r>
      <w:r>
        <w:rPr>
          <w:spacing w:val="-1"/>
        </w:rPr>
        <w:t> </w:t>
      </w:r>
      <w:r>
        <w:rPr/>
        <w:t>√不适用</w:t>
      </w:r>
      <w:r>
        <w:rPr/>
        <w:t> 应收账款核销说明： 无</w:t>
      </w:r>
    </w:p>
    <w:p>
      <w:pPr>
        <w:spacing w:line="240" w:lineRule="auto" w:before="2"/>
        <w:rPr>
          <w:rFonts w:ascii="宋体" w:hAnsi="宋体" w:cs="宋体" w:eastAsia="宋体" w:hint="default"/>
          <w:sz w:val="28"/>
          <w:szCs w:val="28"/>
        </w:rPr>
      </w:pPr>
    </w:p>
    <w:p>
      <w:pPr>
        <w:pStyle w:val="Heading2"/>
        <w:spacing w:line="240" w:lineRule="auto" w:before="0"/>
        <w:ind w:left="237" w:right="3113"/>
        <w:jc w:val="left"/>
        <w:rPr>
          <w:b w:val="0"/>
          <w:bCs w:val="0"/>
        </w:rPr>
      </w:pPr>
      <w:r>
        <w:rPr>
          <w:rFonts w:ascii="宋体" w:hAnsi="宋体" w:cs="宋体" w:eastAsia="宋体" w:hint="default"/>
        </w:rPr>
        <w:t>(4).</w:t>
      </w:r>
      <w:r>
        <w:rPr>
          <w:rFonts w:ascii="宋体" w:hAnsi="宋体" w:cs="宋体" w:eastAsia="宋体" w:hint="default"/>
          <w:spacing w:val="-35"/>
        </w:rPr>
        <w:t> </w:t>
      </w:r>
      <w:r>
        <w:rPr/>
        <w:t>按欠款方归集的期末余额前五名的应收账款情况：</w:t>
      </w:r>
      <w:r>
        <w:rPr>
          <w:b w:val="0"/>
          <w:bCs w:val="0"/>
        </w:rPr>
      </w:r>
    </w:p>
    <w:p>
      <w:pPr>
        <w:pStyle w:val="BodyText"/>
        <w:spacing w:line="237" w:lineRule="auto" w:before="60"/>
        <w:ind w:left="116" w:right="215" w:firstLine="480"/>
        <w:jc w:val="both"/>
      </w:pPr>
      <w:r>
        <w:rPr/>
        <w:t>本期按欠款方归集的期末余额前五名应收账款汇总金额</w:t>
      </w:r>
      <w:r>
        <w:rPr>
          <w:spacing w:val="-60"/>
        </w:rPr>
        <w:t> </w:t>
      </w:r>
      <w:r>
        <w:rPr>
          <w:rFonts w:ascii="宋体" w:hAnsi="宋体" w:cs="宋体" w:eastAsia="宋体" w:hint="default"/>
        </w:rPr>
        <w:t>363,570,845.00</w:t>
      </w:r>
      <w:r>
        <w:rPr>
          <w:rFonts w:ascii="宋体" w:hAnsi="宋体" w:cs="宋体" w:eastAsia="宋体" w:hint="default"/>
          <w:spacing w:val="-60"/>
        </w:rPr>
        <w:t> </w:t>
      </w:r>
      <w:r>
        <w:rPr>
          <w:spacing w:val="-12"/>
        </w:rPr>
        <w:t>元，占应</w:t>
      </w:r>
      <w:r>
        <w:rPr/>
        <w:t> </w:t>
      </w:r>
      <w:r>
        <w:rPr>
          <w:spacing w:val="19"/>
        </w:rPr>
        <w:t>收账款期末余额合计数的比例</w:t>
      </w:r>
      <w:r>
        <w:rPr>
          <w:spacing w:val="35"/>
        </w:rPr>
        <w:t> </w:t>
      </w:r>
      <w:r>
        <w:rPr>
          <w:rFonts w:ascii="宋体" w:hAnsi="宋体" w:cs="宋体" w:eastAsia="宋体" w:hint="default"/>
        </w:rPr>
        <w:t>17.72%</w:t>
      </w:r>
      <w:r>
        <w:rPr>
          <w:rFonts w:ascii="宋体" w:hAnsi="宋体" w:cs="宋体" w:eastAsia="宋体" w:hint="default"/>
          <w:spacing w:val="-97"/>
        </w:rPr>
        <w:t> </w:t>
      </w:r>
      <w:r>
        <w:rPr>
          <w:spacing w:val="19"/>
        </w:rPr>
        <w:t>，相应计提的坏账准备期末余额汇总金额</w:t>
      </w:r>
      <w:r>
        <w:rPr>
          <w:spacing w:val="-116"/>
        </w:rPr>
        <w:t> </w:t>
      </w:r>
      <w:r>
        <w:rPr>
          <w:rFonts w:ascii="宋体" w:hAnsi="宋体" w:cs="宋体" w:eastAsia="宋体" w:hint="default"/>
        </w:rPr>
        <w:t>33,930,368.36</w:t>
      </w:r>
      <w:r>
        <w:rPr>
          <w:rFonts w:ascii="宋体" w:hAnsi="宋体" w:cs="宋体" w:eastAsia="宋体" w:hint="default"/>
          <w:spacing w:val="-60"/>
        </w:rPr>
        <w:t> </w:t>
      </w:r>
      <w:r>
        <w:rPr/>
        <w:t>元。</w:t>
      </w:r>
    </w:p>
    <w:p>
      <w:pPr>
        <w:spacing w:line="240" w:lineRule="auto" w:before="4"/>
        <w:rPr>
          <w:rFonts w:ascii="宋体" w:hAnsi="宋体" w:cs="宋体" w:eastAsia="宋体" w:hint="default"/>
          <w:sz w:val="28"/>
          <w:szCs w:val="28"/>
        </w:rPr>
      </w:pPr>
    </w:p>
    <w:p>
      <w:pPr>
        <w:pStyle w:val="Heading2"/>
        <w:spacing w:line="283" w:lineRule="auto" w:before="0"/>
        <w:ind w:left="116" w:right="4143" w:firstLine="12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5"/>
        </w:rPr>
        <w:t> </w:t>
      </w:r>
      <w:r>
        <w:rPr/>
        <w:t>因金融资产转移而终止确认的应收账款：</w:t>
      </w:r>
      <w:r>
        <w:rPr>
          <w:w w:val="99"/>
        </w:rPr>
        <w:t> </w:t>
      </w:r>
      <w:r>
        <w:rPr>
          <w:rFonts w:ascii="宋体" w:hAnsi="宋体" w:cs="宋体" w:eastAsia="宋体" w:hint="default"/>
          <w:b w:val="0"/>
          <w:bCs w:val="0"/>
        </w:rPr>
        <w:t>无</w:t>
      </w:r>
    </w:p>
    <w:p>
      <w:pPr>
        <w:spacing w:line="240" w:lineRule="auto" w:before="3"/>
        <w:rPr>
          <w:rFonts w:ascii="宋体" w:hAnsi="宋体" w:cs="宋体" w:eastAsia="宋体" w:hint="default"/>
          <w:sz w:val="22"/>
          <w:szCs w:val="22"/>
        </w:rPr>
      </w:pPr>
    </w:p>
    <w:p>
      <w:pPr>
        <w:pStyle w:val="Heading2"/>
        <w:spacing w:line="283" w:lineRule="auto" w:before="0"/>
        <w:ind w:left="116" w:right="3179" w:firstLine="12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4"/>
        </w:rPr>
        <w:t> </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9"/>
          <w:szCs w:val="19"/>
        </w:rPr>
      </w:pPr>
    </w:p>
    <w:p>
      <w:pPr>
        <w:pStyle w:val="BodyText"/>
        <w:spacing w:line="312" w:lineRule="exact"/>
        <w:ind w:left="116" w:right="7970"/>
        <w:jc w:val="left"/>
      </w:pPr>
      <w:r>
        <w:rPr/>
        <w:t>其他说明： 无</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Heading2"/>
        <w:spacing w:line="240" w:lineRule="auto"/>
        <w:ind w:left="237" w:right="-18"/>
        <w:jc w:val="left"/>
        <w:rPr>
          <w:b w:val="0"/>
          <w:bCs w:val="0"/>
        </w:rPr>
      </w:pPr>
      <w:r>
        <w:rPr>
          <w:rFonts w:ascii="宋体" w:hAnsi="宋体" w:cs="宋体" w:eastAsia="宋体" w:hint="default"/>
        </w:rPr>
        <w:t>6</w:t>
      </w:r>
      <w:r>
        <w:rPr/>
        <w:t>、</w:t>
      </w:r>
      <w:r>
        <w:rPr>
          <w:spacing w:val="-64"/>
        </w:rPr>
        <w:t> </w:t>
      </w:r>
      <w:r>
        <w:rPr/>
        <w:t>预付款项</w:t>
      </w:r>
      <w:r>
        <w:rPr>
          <w:b w:val="0"/>
          <w:bCs w:val="0"/>
        </w:rPr>
      </w:r>
    </w:p>
    <w:p>
      <w:pPr>
        <w:pStyle w:val="Heading2"/>
        <w:spacing w:line="240" w:lineRule="auto" w:before="58"/>
        <w:ind w:left="237" w:right="-18"/>
        <w:jc w:val="left"/>
        <w:rPr>
          <w:b w:val="0"/>
          <w:bCs w:val="0"/>
        </w:rPr>
      </w:pPr>
      <w:r>
        <w:rPr>
          <w:rFonts w:ascii="宋体" w:hAnsi="宋体" w:cs="宋体" w:eastAsia="宋体" w:hint="default"/>
        </w:rPr>
        <w:t>(1).</w:t>
      </w:r>
      <w:r>
        <w:rPr>
          <w:rFonts w:ascii="宋体" w:hAnsi="宋体" w:cs="宋体" w:eastAsia="宋体" w:hint="default"/>
          <w:spacing w:val="10"/>
        </w:rPr>
        <w:t> </w:t>
      </w:r>
      <w:r>
        <w:rPr/>
        <w:t>预付款项按账龄列示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43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040" w:right="1560"/>
          <w:cols w:num="2" w:equalWidth="0">
            <w:col w:w="3023" w:space="3170"/>
            <w:col w:w="3117"/>
          </w:cols>
        </w:sectPr>
      </w:pPr>
    </w:p>
    <w:p>
      <w:pPr>
        <w:spacing w:line="240" w:lineRule="auto" w:before="12"/>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159,842,848.48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61.88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164,688,118.45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81.96</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80,764,256.40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31.27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23,365,560.15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11.63</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538"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9,856,006.80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3.82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12,574,718.76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6.26</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7,814,775.50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3.03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291,891.50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0.15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258,277,887.18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200,920,288.86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18"/>
          <w:szCs w:val="18"/>
        </w:rPr>
      </w:pPr>
    </w:p>
    <w:p>
      <w:pPr>
        <w:pStyle w:val="BodyText"/>
        <w:spacing w:line="310" w:lineRule="exact" w:before="58"/>
        <w:ind w:left="577" w:right="3010"/>
        <w:jc w:val="left"/>
      </w:pPr>
      <w:r>
        <w:rPr/>
        <w:t>账龄超过</w:t>
      </w:r>
      <w:r>
        <w:rPr>
          <w:spacing w:val="-61"/>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 无</w:t>
      </w:r>
    </w:p>
    <w:p>
      <w:pPr>
        <w:spacing w:line="240" w:lineRule="auto" w:before="1"/>
        <w:rPr>
          <w:rFonts w:ascii="宋体" w:hAnsi="宋体" w:cs="宋体" w:eastAsia="宋体" w:hint="default"/>
          <w:sz w:val="26"/>
          <w:szCs w:val="26"/>
        </w:rPr>
      </w:pPr>
    </w:p>
    <w:p>
      <w:pPr>
        <w:pStyle w:val="Heading2"/>
        <w:spacing w:line="240" w:lineRule="auto" w:before="0"/>
        <w:ind w:left="577" w:right="3010"/>
        <w:jc w:val="left"/>
        <w:rPr>
          <w:b w:val="0"/>
          <w:bCs w:val="0"/>
        </w:rPr>
      </w:pPr>
      <w:r>
        <w:rPr>
          <w:rFonts w:ascii="宋体" w:hAnsi="宋体" w:cs="宋体" w:eastAsia="宋体" w:hint="default"/>
        </w:rPr>
        <w:t>(2).</w:t>
      </w:r>
      <w:r>
        <w:rPr>
          <w:rFonts w:ascii="宋体" w:hAnsi="宋体" w:cs="宋体" w:eastAsia="宋体" w:hint="default"/>
          <w:spacing w:val="8"/>
        </w:rPr>
        <w:t> </w:t>
      </w:r>
      <w:r>
        <w:rPr/>
        <w:t>按预付对象归集的期末余额前五名的预付款情况：</w:t>
      </w:r>
      <w:r>
        <w:rPr>
          <w:b w:val="0"/>
          <w:bCs w:val="0"/>
        </w:rPr>
      </w:r>
    </w:p>
    <w:p>
      <w:pPr>
        <w:pStyle w:val="BodyText"/>
        <w:spacing w:line="312" w:lineRule="exact" w:before="86"/>
        <w:ind w:left="577" w:right="657" w:firstLine="480"/>
        <w:jc w:val="left"/>
      </w:pPr>
      <w:r>
        <w:rPr/>
        <w:t>本期按预付对象归集的期末余额前五名预付款项汇总金额 </w:t>
      </w:r>
      <w:r>
        <w:rPr>
          <w:rFonts w:ascii="宋体" w:hAnsi="宋体" w:cs="宋体" w:eastAsia="宋体" w:hint="default"/>
        </w:rPr>
        <w:t>104,241,704.39</w:t>
      </w:r>
      <w:r>
        <w:rPr>
          <w:rFonts w:ascii="宋体" w:hAnsi="宋体" w:cs="宋体" w:eastAsia="宋体" w:hint="default"/>
          <w:spacing w:val="-48"/>
        </w:rPr>
        <w:t> </w:t>
      </w:r>
      <w:r>
        <w:rPr/>
        <w:t>元， 占预付款项期末余额合计数的比例</w:t>
      </w:r>
      <w:r>
        <w:rPr>
          <w:spacing w:val="-60"/>
        </w:rPr>
        <w:t> </w:t>
      </w:r>
      <w:r>
        <w:rPr>
          <w:rFonts w:ascii="宋体" w:hAnsi="宋体" w:cs="宋体" w:eastAsia="宋体" w:hint="default"/>
        </w:rPr>
        <w:t>40.36%</w:t>
      </w:r>
      <w:r>
        <w:rPr/>
        <w:t>。</w:t>
      </w:r>
    </w:p>
    <w:p>
      <w:pPr>
        <w:spacing w:line="240" w:lineRule="auto" w:before="0"/>
        <w:rPr>
          <w:rFonts w:ascii="宋体" w:hAnsi="宋体" w:cs="宋体" w:eastAsia="宋体" w:hint="default"/>
          <w:sz w:val="24"/>
          <w:szCs w:val="24"/>
        </w:rPr>
      </w:pPr>
    </w:p>
    <w:p>
      <w:pPr>
        <w:pStyle w:val="BodyText"/>
        <w:spacing w:line="310" w:lineRule="exact"/>
        <w:ind w:left="577" w:right="8529"/>
        <w:jc w:val="left"/>
      </w:pPr>
      <w:r>
        <w:rPr/>
        <w:t>其他说明 无</w:t>
      </w:r>
    </w:p>
    <w:p>
      <w:pPr>
        <w:spacing w:line="240" w:lineRule="auto" w:before="1"/>
        <w:rPr>
          <w:rFonts w:ascii="宋体" w:hAnsi="宋体" w:cs="宋体" w:eastAsia="宋体" w:hint="default"/>
          <w:sz w:val="26"/>
          <w:szCs w:val="26"/>
        </w:rPr>
      </w:pPr>
    </w:p>
    <w:p>
      <w:pPr>
        <w:pStyle w:val="Heading2"/>
        <w:spacing w:line="240" w:lineRule="auto" w:before="0"/>
        <w:ind w:left="577" w:right="3010"/>
        <w:jc w:val="left"/>
        <w:rPr>
          <w:b w:val="0"/>
          <w:bCs w:val="0"/>
        </w:rPr>
      </w:pPr>
      <w:r>
        <w:rPr>
          <w:rFonts w:ascii="宋体" w:hAnsi="宋体" w:cs="宋体" w:eastAsia="宋体" w:hint="default"/>
        </w:rPr>
        <w:t>7</w:t>
      </w:r>
      <w:r>
        <w:rPr/>
        <w:t>、</w:t>
      </w:r>
      <w:r>
        <w:rPr>
          <w:spacing w:val="-64"/>
        </w:rPr>
        <w:t> </w:t>
      </w:r>
      <w:r>
        <w:rPr/>
        <w:t>应收利息</w:t>
      </w:r>
      <w:r>
        <w:rPr>
          <w:b w:val="0"/>
          <w:bCs w:val="0"/>
        </w:rPr>
      </w:r>
    </w:p>
    <w:p>
      <w:pPr>
        <w:pStyle w:val="BodyText"/>
        <w:spacing w:line="240" w:lineRule="auto" w:before="55"/>
        <w:ind w:left="577" w:right="301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577" w:right="3010"/>
        <w:jc w:val="left"/>
        <w:rPr>
          <w:b w:val="0"/>
          <w:bCs w:val="0"/>
        </w:rPr>
      </w:pPr>
      <w:r>
        <w:rPr>
          <w:rFonts w:ascii="宋体" w:hAnsi="宋体" w:cs="宋体" w:eastAsia="宋体" w:hint="default"/>
        </w:rPr>
        <w:t>8</w:t>
      </w:r>
      <w:r>
        <w:rPr/>
        <w:t>、</w:t>
      </w:r>
      <w:r>
        <w:rPr>
          <w:spacing w:val="-64"/>
        </w:rPr>
        <w:t> </w:t>
      </w:r>
      <w:r>
        <w:rPr/>
        <w:t>应收股利</w:t>
      </w:r>
      <w:r>
        <w:rPr>
          <w:b w:val="0"/>
          <w:bCs w:val="0"/>
        </w:rPr>
      </w:r>
    </w:p>
    <w:p>
      <w:pPr>
        <w:pStyle w:val="BodyText"/>
        <w:spacing w:line="240" w:lineRule="auto" w:before="58"/>
        <w:ind w:left="577" w:right="301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700" w:right="1120"/>
        </w:sectPr>
      </w:pPr>
    </w:p>
    <w:p>
      <w:pPr>
        <w:pStyle w:val="Heading2"/>
        <w:spacing w:line="240" w:lineRule="auto"/>
        <w:ind w:left="577" w:right="-18"/>
        <w:jc w:val="left"/>
        <w:rPr>
          <w:b w:val="0"/>
          <w:bCs w:val="0"/>
        </w:rPr>
      </w:pPr>
      <w:r>
        <w:rPr>
          <w:rFonts w:ascii="宋体" w:hAnsi="宋体" w:cs="宋体" w:eastAsia="宋体" w:hint="default"/>
        </w:rPr>
        <w:t>9</w:t>
      </w:r>
      <w:r>
        <w:rPr/>
        <w:t>、</w:t>
      </w:r>
      <w:r>
        <w:rPr>
          <w:spacing w:val="-65"/>
        </w:rPr>
        <w:t> </w:t>
      </w:r>
      <w:r>
        <w:rPr/>
        <w:t>其他应收款</w:t>
      </w:r>
      <w:r>
        <w:rPr>
          <w:b w:val="0"/>
          <w:bCs w:val="0"/>
        </w:rPr>
      </w:r>
    </w:p>
    <w:p>
      <w:pPr>
        <w:pStyle w:val="Heading2"/>
        <w:spacing w:line="240" w:lineRule="auto" w:before="58"/>
        <w:ind w:left="577" w:right="-18"/>
        <w:jc w:val="left"/>
        <w:rPr>
          <w:b w:val="0"/>
          <w:bCs w:val="0"/>
        </w:rPr>
      </w:pPr>
      <w:r>
        <w:rPr>
          <w:rFonts w:ascii="宋体" w:hAnsi="宋体" w:cs="宋体" w:eastAsia="宋体" w:hint="default"/>
        </w:rPr>
        <w:t>(1).</w:t>
      </w:r>
      <w:r>
        <w:rPr>
          <w:rFonts w:ascii="宋体" w:hAnsi="宋体" w:cs="宋体" w:eastAsia="宋体" w:hint="default"/>
          <w:spacing w:val="-19"/>
        </w:rPr>
        <w:t> </w:t>
      </w:r>
      <w:r>
        <w:rPr/>
        <w:t>其他应收款分类披露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777" w:val="left" w:leader="none"/>
        </w:tabs>
        <w:spacing w:line="240" w:lineRule="auto"/>
        <w:ind w:left="577" w:right="0"/>
        <w:jc w:val="left"/>
      </w:pPr>
      <w:r>
        <w:rPr/>
        <w:t>单位：元</w:t>
        <w:tab/>
        <w:t>币种：人民币</w:t>
      </w:r>
    </w:p>
    <w:p>
      <w:pPr>
        <w:spacing w:after="0" w:line="240" w:lineRule="auto"/>
        <w:jc w:val="left"/>
        <w:sectPr>
          <w:type w:val="continuous"/>
          <w:pgSz w:w="11910" w:h="16840"/>
          <w:pgMar w:top="1120" w:bottom="1380" w:left="700" w:right="1120"/>
          <w:cols w:num="2" w:equalWidth="0">
            <w:col w:w="3334" w:space="2738"/>
            <w:col w:w="4018"/>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96"/>
        <w:gridCol w:w="1123"/>
        <w:gridCol w:w="440"/>
        <w:gridCol w:w="1044"/>
        <w:gridCol w:w="439"/>
        <w:gridCol w:w="1121"/>
        <w:gridCol w:w="1046"/>
        <w:gridCol w:w="442"/>
        <w:gridCol w:w="970"/>
        <w:gridCol w:w="394"/>
        <w:gridCol w:w="1046"/>
      </w:tblGrid>
      <w:tr>
        <w:trPr>
          <w:trHeight w:val="295" w:hRule="exact"/>
        </w:trPr>
        <w:tc>
          <w:tcPr>
            <w:tcW w:w="1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796" w:type="dxa"/>
            <w:vMerge/>
            <w:tcBorders>
              <w:left w:val="single" w:sz="4" w:space="0" w:color="000000"/>
              <w:right w:val="single" w:sz="4" w:space="0" w:color="000000"/>
            </w:tcBorders>
          </w:tcPr>
          <w:p>
            <w:pP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03" w:right="40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7" w:right="36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796"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8" w:right="63" w:hanging="37"/>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21" w:type="dxa"/>
            <w:vMerge/>
            <w:tcBorders>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79" w:right="3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46" w:type="dxa"/>
            <w:vMerge/>
            <w:tcBorders>
              <w:left w:val="single" w:sz="4" w:space="0" w:color="000000"/>
              <w:bottom w:val="single" w:sz="4" w:space="0" w:color="000000"/>
              <w:right w:val="single" w:sz="4" w:space="0" w:color="000000"/>
            </w:tcBorders>
          </w:tcPr>
          <w:p>
            <w:pP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单项金额重大并单独计提</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3,393,604.06</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3,393,604.06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 w:right="0"/>
              <w:jc w:val="center"/>
              <w:rPr>
                <w:rFonts w:ascii="宋体" w:hAnsi="宋体" w:cs="宋体" w:eastAsia="宋体" w:hint="default"/>
                <w:sz w:val="15"/>
                <w:szCs w:val="15"/>
              </w:rPr>
            </w:pPr>
            <w:r>
              <w:rPr>
                <w:rFonts w:ascii="宋体"/>
                <w:sz w:val="15"/>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按信用风险特征组合计提</w:t>
            </w:r>
          </w:p>
          <w:p>
            <w:pPr>
              <w:pStyle w:val="TableParagraph"/>
              <w:spacing w:line="196"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235,740,899.46</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92.01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10,420,951.25</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4.42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225,319,948.21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68,907,082.76</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81.40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6,849,290.48</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2" w:right="0"/>
              <w:jc w:val="center"/>
              <w:rPr>
                <w:rFonts w:ascii="宋体" w:hAnsi="宋体" w:cs="宋体" w:eastAsia="宋体" w:hint="default"/>
                <w:sz w:val="15"/>
                <w:szCs w:val="15"/>
              </w:rPr>
            </w:pPr>
            <w:r>
              <w:rPr>
                <w:rFonts w:ascii="宋体"/>
                <w:sz w:val="15"/>
              </w:rPr>
              <w:t>9.94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62,057,792.28</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单项金额不重大但单独计</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提坏账准备的其他应收款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17,101,863.84</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6.67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17,101,863.84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15,748,632.40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18.60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357,775.74</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 w:right="0"/>
              <w:jc w:val="center"/>
              <w:rPr>
                <w:rFonts w:ascii="宋体" w:hAnsi="宋体" w:cs="宋体" w:eastAsia="宋体" w:hint="default"/>
                <w:sz w:val="15"/>
                <w:szCs w:val="15"/>
              </w:rPr>
            </w:pPr>
            <w:r>
              <w:rPr>
                <w:rFonts w:ascii="宋体"/>
                <w:sz w:val="15"/>
              </w:rPr>
              <w:t>2.27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15,390,856.66</w:t>
            </w:r>
          </w:p>
        </w:tc>
      </w:tr>
      <w:tr>
        <w:trPr>
          <w:trHeight w:val="20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256,236,367.36</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w w:val="100"/>
                <w:sz w:val="15"/>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10,420,951.25</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245,815,416.11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84,655,715.16</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
              <w:jc w:val="center"/>
              <w:rPr>
                <w:rFonts w:ascii="宋体" w:hAnsi="宋体" w:cs="宋体" w:eastAsia="宋体" w:hint="default"/>
                <w:sz w:val="15"/>
                <w:szCs w:val="15"/>
              </w:rPr>
            </w:pPr>
            <w:r>
              <w:rPr>
                <w:rFonts w:ascii="宋体"/>
                <w:w w:val="100"/>
                <w:sz w:val="15"/>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7,207,066.22</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77,448,648.94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700" w:right="1120"/>
        </w:sectPr>
      </w:pPr>
    </w:p>
    <w:p>
      <w:pPr>
        <w:pStyle w:val="BodyText"/>
        <w:spacing w:line="312" w:lineRule="exact" w:before="26"/>
        <w:ind w:left="577" w:right="-20"/>
        <w:jc w:val="left"/>
      </w:pPr>
      <w:r>
        <w:rPr/>
        <w:t>期末单项金额重大并单项计提坏帐准备的其他应收款</w:t>
      </w:r>
    </w:p>
    <w:p>
      <w:pPr>
        <w:pStyle w:val="BodyText"/>
        <w:spacing w:line="312" w:lineRule="exact"/>
        <w:ind w:left="57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1777" w:val="left" w:leader="none"/>
        </w:tabs>
        <w:spacing w:line="240" w:lineRule="auto"/>
        <w:ind w:left="577" w:right="0"/>
        <w:jc w:val="left"/>
      </w:pPr>
      <w:r>
        <w:rPr/>
        <w:t>单位：元</w:t>
        <w:tab/>
        <w:t>币种：人民币</w:t>
      </w:r>
    </w:p>
    <w:p>
      <w:pPr>
        <w:spacing w:after="0" w:line="240" w:lineRule="auto"/>
        <w:jc w:val="left"/>
        <w:sectPr>
          <w:type w:val="continuous"/>
          <w:pgSz w:w="11910" w:h="16840"/>
          <w:pgMar w:top="1120" w:bottom="1380" w:left="700" w:right="1120"/>
          <w:cols w:num="2" w:equalWidth="0">
            <w:col w:w="6098" w:space="95"/>
            <w:col w:w="3897"/>
          </w:cols>
        </w:sectPr>
      </w:pPr>
    </w:p>
    <w:p>
      <w:pPr>
        <w:spacing w:line="240" w:lineRule="auto" w:before="12"/>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928"/>
        <w:gridCol w:w="1517"/>
        <w:gridCol w:w="1723"/>
        <w:gridCol w:w="1961"/>
        <w:gridCol w:w="1921"/>
      </w:tblGrid>
      <w:tr>
        <w:trPr>
          <w:trHeight w:val="281" w:hRule="exact"/>
        </w:trPr>
        <w:tc>
          <w:tcPr>
            <w:tcW w:w="1928" w:type="dxa"/>
            <w:tcBorders>
              <w:top w:val="single" w:sz="4" w:space="0" w:color="000000"/>
              <w:left w:val="single" w:sz="4" w:space="0" w:color="000000"/>
              <w:bottom w:val="single" w:sz="4" w:space="0" w:color="000000"/>
              <w:right w:val="single" w:sz="4" w:space="0" w:color="000000"/>
            </w:tcBorders>
          </w:tcPr>
          <w:p>
            <w:pPr/>
          </w:p>
        </w:tc>
        <w:tc>
          <w:tcPr>
            <w:tcW w:w="7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32"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7"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预计可以收回的代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垫款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 w:right="0"/>
              <w:jc w:val="center"/>
              <w:rPr>
                <w:rFonts w:ascii="宋体" w:hAnsi="宋体" w:cs="宋体" w:eastAsia="宋体" w:hint="default"/>
                <w:sz w:val="21"/>
                <w:szCs w:val="21"/>
              </w:rPr>
            </w:pPr>
            <w:r>
              <w:rPr>
                <w:rFonts w:ascii="宋体"/>
                <w:sz w:val="21"/>
              </w:rPr>
              <w:t>3,393,604.06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经单项测试，未发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现减值</w:t>
            </w:r>
          </w:p>
        </w:tc>
      </w:tr>
    </w:tbl>
    <w:p>
      <w:pPr>
        <w:spacing w:after="0" w:line="273" w:lineRule="exact"/>
        <w:jc w:val="left"/>
        <w:rPr>
          <w:rFonts w:ascii="宋体" w:hAnsi="宋体" w:cs="宋体" w:eastAsia="宋体" w:hint="default"/>
          <w:sz w:val="21"/>
          <w:szCs w:val="21"/>
        </w:rPr>
        <w:sectPr>
          <w:type w:val="continuous"/>
          <w:pgSz w:w="11910" w:h="16840"/>
          <w:pgMar w:top="1120" w:bottom="1380" w:left="700" w:right="11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28"/>
        <w:gridCol w:w="1517"/>
        <w:gridCol w:w="1723"/>
        <w:gridCol w:w="1961"/>
        <w:gridCol w:w="1921"/>
      </w:tblGrid>
      <w:tr>
        <w:trPr>
          <w:trHeight w:val="284"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3,393,604.06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8"/>
          <w:pgSz w:w="11910" w:h="16840"/>
          <w:pgMar w:footer="1195" w:header="882" w:top="1120" w:bottom="1380" w:left="1060" w:right="1560"/>
        </w:sectPr>
      </w:pPr>
    </w:p>
    <w:p>
      <w:pPr>
        <w:pStyle w:val="BodyText"/>
        <w:spacing w:line="313" w:lineRule="exact" w:before="26"/>
        <w:ind w:left="217" w:right="-20"/>
        <w:jc w:val="left"/>
      </w:pPr>
      <w:r>
        <w:rPr/>
        <w:t>组合中，按账龄分析法计提坏账准备的其他应收款：</w:t>
      </w:r>
    </w:p>
    <w:p>
      <w:pPr>
        <w:pStyle w:val="BodyText"/>
        <w:spacing w:line="313" w:lineRule="exact"/>
        <w:ind w:left="217"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5738" w:space="455"/>
            <w:col w:w="3097"/>
          </w:cols>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74"/>
        <w:gridCol w:w="2204"/>
        <w:gridCol w:w="2132"/>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208,462,713.75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2,084,627.26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208,462,713.75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2,084,627.26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16,299,820.87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3,259,964.10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9,620,342.04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3,848,136.81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219,267.18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131,560.31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210,464.10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168,371.25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928,291.52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928,291.52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235,740,899.46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10,420,951.25</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56"/>
        <w:ind w:left="217" w:right="6409"/>
        <w:jc w:val="left"/>
      </w:pPr>
      <w:r>
        <w:rPr/>
        <w:t>确定该组合依据的说明： 无</w:t>
      </w:r>
    </w:p>
    <w:p>
      <w:pPr>
        <w:spacing w:line="240" w:lineRule="auto" w:before="4"/>
        <w:rPr>
          <w:rFonts w:ascii="宋体" w:hAnsi="宋体" w:cs="宋体" w:eastAsia="宋体" w:hint="default"/>
          <w:sz w:val="21"/>
          <w:szCs w:val="21"/>
        </w:rPr>
      </w:pPr>
    </w:p>
    <w:p>
      <w:pPr>
        <w:pStyle w:val="BodyText"/>
        <w:spacing w:line="313" w:lineRule="exact"/>
        <w:ind w:left="217" w:right="2569"/>
        <w:jc w:val="left"/>
      </w:pPr>
      <w:r>
        <w:rPr/>
        <w:t>组合中，采用余额百分比法计提坏账准备的其他应收款：</w:t>
      </w:r>
    </w:p>
    <w:p>
      <w:pPr>
        <w:pStyle w:val="BodyText"/>
        <w:spacing w:line="313" w:lineRule="exact"/>
        <w:ind w:left="217" w:right="2569"/>
        <w:jc w:val="left"/>
      </w:pPr>
      <w:r>
        <w:rPr/>
        <w:t>□适用√不适用</w:t>
      </w:r>
    </w:p>
    <w:p>
      <w:pPr>
        <w:spacing w:line="240" w:lineRule="auto" w:before="7"/>
        <w:rPr>
          <w:rFonts w:ascii="宋体" w:hAnsi="宋体" w:cs="宋体" w:eastAsia="宋体" w:hint="default"/>
          <w:sz w:val="23"/>
          <w:szCs w:val="23"/>
        </w:rPr>
      </w:pPr>
    </w:p>
    <w:p>
      <w:pPr>
        <w:pStyle w:val="BodyText"/>
        <w:spacing w:line="313" w:lineRule="exact"/>
        <w:ind w:left="217" w:right="2569"/>
        <w:jc w:val="left"/>
      </w:pPr>
      <w:r>
        <w:rPr/>
        <w:t>组合中，采用其他方法计提坏账准备的其他应收款：</w:t>
      </w:r>
    </w:p>
    <w:p>
      <w:pPr>
        <w:pStyle w:val="BodyText"/>
        <w:spacing w:line="313" w:lineRule="exact"/>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9"/>
        <w:jc w:val="left"/>
        <w:rPr>
          <w:b w:val="0"/>
          <w:bCs w:val="0"/>
        </w:rPr>
      </w:pPr>
      <w:r>
        <w:rPr>
          <w:rFonts w:ascii="宋体" w:hAnsi="宋体" w:cs="宋体" w:eastAsia="宋体" w:hint="default"/>
        </w:rPr>
        <w:t>(2).</w:t>
      </w:r>
      <w:r>
        <w:rPr>
          <w:rFonts w:ascii="宋体" w:hAnsi="宋体" w:cs="宋体" w:eastAsia="宋体" w:hint="default"/>
          <w:spacing w:val="-21"/>
        </w:rPr>
        <w:t> </w:t>
      </w:r>
      <w:r>
        <w:rPr/>
        <w:t>本期计提、收回或转回的坏账准备情况：</w:t>
      </w:r>
      <w:r>
        <w:rPr>
          <w:b w:val="0"/>
          <w:bCs w:val="0"/>
        </w:rPr>
      </w:r>
    </w:p>
    <w:p>
      <w:pPr>
        <w:pStyle w:val="BodyText"/>
        <w:spacing w:line="312" w:lineRule="exact" w:before="88"/>
        <w:ind w:left="217" w:right="769"/>
        <w:jc w:val="left"/>
      </w:pPr>
      <w:r>
        <w:rPr/>
        <w:t>本期计提坏账准备金额</w:t>
      </w:r>
      <w:r>
        <w:rPr>
          <w:spacing w:val="-61"/>
        </w:rPr>
        <w:t> </w:t>
      </w:r>
      <w:r>
        <w:rPr>
          <w:rFonts w:ascii="宋体" w:hAnsi="宋体" w:cs="宋体" w:eastAsia="宋体" w:hint="default"/>
        </w:rPr>
        <w:t>3,098,709.58</w:t>
      </w:r>
      <w:r>
        <w:rPr>
          <w:rFonts w:ascii="宋体" w:hAnsi="宋体" w:cs="宋体" w:eastAsia="宋体" w:hint="default"/>
          <w:spacing w:val="-60"/>
        </w:rPr>
        <w:t> </w:t>
      </w:r>
      <w:r>
        <w:rPr/>
        <w:t>元；本期收回或转回坏账准备金额</w:t>
      </w:r>
      <w:r>
        <w:rPr>
          <w:spacing w:val="-59"/>
        </w:rPr>
        <w:t> </w:t>
      </w:r>
      <w:r>
        <w:rPr>
          <w:rFonts w:ascii="宋体" w:hAnsi="宋体" w:cs="宋体" w:eastAsia="宋体" w:hint="default"/>
        </w:rPr>
        <w:t>0</w:t>
      </w:r>
      <w:r>
        <w:rPr>
          <w:rFonts w:ascii="宋体" w:hAnsi="宋体" w:cs="宋体" w:eastAsia="宋体" w:hint="default"/>
          <w:spacing w:val="-60"/>
        </w:rPr>
        <w:t> </w:t>
      </w:r>
      <w:r>
        <w:rPr/>
        <w:t>元。 其中本期坏账准备转回或收回金额重要的：</w:t>
      </w:r>
    </w:p>
    <w:p>
      <w:pPr>
        <w:pStyle w:val="BodyText"/>
        <w:spacing w:line="281" w:lineRule="exact"/>
        <w:ind w:left="217" w:right="2569"/>
        <w:jc w:val="left"/>
      </w:pPr>
      <w:r>
        <w:rPr/>
        <w:t>□适用</w:t>
      </w:r>
      <w:r>
        <w:rPr>
          <w:spacing w:val="-1"/>
        </w:rPr>
        <w:t> </w:t>
      </w:r>
      <w:r>
        <w:rPr/>
        <w:t>√不适用</w:t>
      </w:r>
    </w:p>
    <w:p>
      <w:pPr>
        <w:pStyle w:val="Heading2"/>
        <w:spacing w:line="240" w:lineRule="auto" w:before="58"/>
        <w:ind w:right="2569"/>
        <w:jc w:val="left"/>
        <w:rPr>
          <w:b w:val="0"/>
          <w:bCs w:val="0"/>
        </w:rPr>
      </w:pPr>
      <w:r>
        <w:rPr>
          <w:rFonts w:ascii="宋体" w:hAnsi="宋体" w:cs="宋体" w:eastAsia="宋体" w:hint="default"/>
        </w:rPr>
        <w:t>(3).</w:t>
      </w:r>
      <w:r>
        <w:rPr>
          <w:rFonts w:ascii="宋体" w:hAnsi="宋体" w:cs="宋体" w:eastAsia="宋体" w:hint="default"/>
          <w:spacing w:val="-19"/>
        </w:rPr>
        <w:t> </w:t>
      </w:r>
      <w:r>
        <w:rPr/>
        <w:t>本期实际核销的其他应收款情况</w:t>
      </w:r>
      <w:r>
        <w:rPr>
          <w:b w:val="0"/>
          <w:bCs w:val="0"/>
        </w:rPr>
      </w:r>
    </w:p>
    <w:p>
      <w:pPr>
        <w:pStyle w:val="BodyText"/>
        <w:spacing w:line="240" w:lineRule="auto" w:before="58"/>
        <w:ind w:left="217" w:right="2569"/>
        <w:jc w:val="left"/>
      </w:pPr>
      <w:r>
        <w:rPr/>
        <w:t>√适用</w:t>
      </w:r>
      <w:r>
        <w:rPr>
          <w:spacing w:val="-1"/>
        </w:rPr>
        <w:t> </w:t>
      </w:r>
      <w:r>
        <w:rPr/>
        <w:t>□不适用</w:t>
      </w:r>
    </w:p>
    <w:p>
      <w:pPr>
        <w:pStyle w:val="BodyText"/>
        <w:tabs>
          <w:tab w:pos="1199" w:val="left" w:leader="none"/>
        </w:tabs>
        <w:spacing w:line="310" w:lineRule="exact"/>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4431"/>
        <w:gridCol w:w="4465"/>
      </w:tblGrid>
      <w:tr>
        <w:trPr>
          <w:trHeight w:val="32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02"/>
              <w:jc w:val="right"/>
              <w:rPr>
                <w:rFonts w:ascii="宋体" w:hAnsi="宋体" w:cs="宋体" w:eastAsia="宋体" w:hint="default"/>
                <w:sz w:val="24"/>
                <w:szCs w:val="24"/>
              </w:rPr>
            </w:pPr>
            <w:r>
              <w:rPr>
                <w:rFonts w:ascii="宋体" w:hAnsi="宋体" w:cs="宋体" w:eastAsia="宋体" w:hint="default"/>
                <w:sz w:val="24"/>
                <w:szCs w:val="24"/>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90"/>
              <w:jc w:val="right"/>
              <w:rPr>
                <w:rFonts w:ascii="宋体" w:hAnsi="宋体" w:cs="宋体" w:eastAsia="宋体" w:hint="default"/>
                <w:sz w:val="24"/>
                <w:szCs w:val="24"/>
              </w:rPr>
            </w:pPr>
            <w:r>
              <w:rPr>
                <w:rFonts w:ascii="宋体" w:hAnsi="宋体" w:cs="宋体" w:eastAsia="宋体" w:hint="default"/>
                <w:sz w:val="24"/>
                <w:szCs w:val="24"/>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14,179.00</w:t>
            </w:r>
          </w:p>
        </w:tc>
      </w:tr>
    </w:tbl>
    <w:p>
      <w:pPr>
        <w:spacing w:line="240" w:lineRule="auto" w:before="10"/>
        <w:rPr>
          <w:rFonts w:ascii="宋体" w:hAnsi="宋体" w:cs="宋体" w:eastAsia="宋体" w:hint="default"/>
          <w:sz w:val="18"/>
          <w:szCs w:val="18"/>
        </w:rPr>
      </w:pPr>
    </w:p>
    <w:p>
      <w:pPr>
        <w:pStyle w:val="BodyText"/>
        <w:spacing w:line="313" w:lineRule="exact" w:before="26"/>
        <w:ind w:left="217" w:right="2569"/>
        <w:jc w:val="left"/>
      </w:pPr>
      <w:r>
        <w:rPr/>
        <w:t>其中重要的其他应收款核销情况：</w:t>
      </w:r>
    </w:p>
    <w:p>
      <w:pPr>
        <w:pStyle w:val="BodyText"/>
        <w:spacing w:line="237" w:lineRule="auto" w:before="1"/>
        <w:ind w:left="217" w:right="6649"/>
        <w:jc w:val="left"/>
      </w:pPr>
      <w:r>
        <w:rPr/>
        <w:t>□适用</w:t>
      </w:r>
      <w:r>
        <w:rPr>
          <w:spacing w:val="-1"/>
        </w:rPr>
        <w:t> </w:t>
      </w:r>
      <w:r>
        <w:rPr/>
        <w:t>√不适用</w:t>
      </w:r>
      <w:r>
        <w:rPr/>
        <w:t> 其他应收款核销说明： 无</w:t>
      </w:r>
    </w:p>
    <w:p>
      <w:pPr>
        <w:spacing w:line="240" w:lineRule="auto" w:before="2"/>
        <w:rPr>
          <w:rFonts w:ascii="宋体" w:hAnsi="宋体" w:cs="宋体" w:eastAsia="宋体" w:hint="default"/>
          <w:sz w:val="28"/>
          <w:szCs w:val="28"/>
        </w:rPr>
      </w:pPr>
    </w:p>
    <w:p>
      <w:pPr>
        <w:pStyle w:val="Heading2"/>
        <w:spacing w:line="240" w:lineRule="auto" w:before="0"/>
        <w:ind w:right="2569"/>
        <w:jc w:val="left"/>
        <w:rPr>
          <w:b w:val="0"/>
          <w:bCs w:val="0"/>
        </w:rPr>
      </w:pPr>
      <w:r>
        <w:rPr>
          <w:rFonts w:ascii="宋体" w:hAnsi="宋体" w:cs="宋体" w:eastAsia="宋体" w:hint="default"/>
        </w:rPr>
        <w:t>(4).</w:t>
      </w:r>
      <w:r>
        <w:rPr>
          <w:rFonts w:ascii="宋体" w:hAnsi="宋体" w:cs="宋体" w:eastAsia="宋体" w:hint="default"/>
          <w:spacing w:val="-19"/>
        </w:rPr>
        <w:t> </w:t>
      </w:r>
      <w:r>
        <w:rPr/>
        <w:t>其他应收款按款项性质分类情况</w:t>
      </w:r>
      <w:r>
        <w:rPr>
          <w:b w:val="0"/>
          <w:bCs w:val="0"/>
        </w:rPr>
      </w:r>
    </w:p>
    <w:p>
      <w:pPr>
        <w:pStyle w:val="BodyText"/>
        <w:spacing w:line="240" w:lineRule="auto" w:before="58"/>
        <w:ind w:left="217" w:right="2569"/>
        <w:jc w:val="left"/>
      </w:pPr>
      <w:r>
        <w:rPr/>
        <w:t>√适用</w:t>
      </w:r>
      <w:r>
        <w:rPr>
          <w:spacing w:val="-1"/>
        </w:rPr>
        <w:t> </w:t>
      </w:r>
      <w:r>
        <w:rPr/>
        <w:t>□不适用</w:t>
      </w:r>
    </w:p>
    <w:p>
      <w:pPr>
        <w:spacing w:after="0" w:line="240" w:lineRule="auto"/>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tabs>
          <w:tab w:pos="1199" w:val="left" w:leader="none"/>
        </w:tabs>
        <w:spacing w:line="240" w:lineRule="auto" w:before="26"/>
        <w:ind w:left="0" w:right="65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078"/>
        <w:gridCol w:w="2981"/>
        <w:gridCol w:w="2991"/>
      </w:tblGrid>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19"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2,815,302.37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4,118,152.47</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77,606,584.73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58,595,599.78</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预支款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8,436,531.24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8,168,833.48</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17,162,860.52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13,773,129.43</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60,215,088.50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0.00</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90,000,000.00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0.00</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256,236,367.36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84,655,715.16</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9"/>
          <w:pgSz w:w="11910" w:h="16840"/>
          <w:pgMar w:footer="1195" w:header="882" w:top="1120" w:bottom="1380" w:left="740" w:right="1140"/>
          <w:pgNumType w:start="121"/>
        </w:sectPr>
      </w:pPr>
    </w:p>
    <w:p>
      <w:pPr>
        <w:pStyle w:val="Heading2"/>
        <w:spacing w:line="240" w:lineRule="auto"/>
        <w:ind w:left="537" w:right="-17"/>
        <w:jc w:val="left"/>
        <w:rPr>
          <w:b w:val="0"/>
          <w:bCs w:val="0"/>
        </w:rPr>
      </w:pPr>
      <w:r>
        <w:rPr>
          <w:rFonts w:ascii="宋体" w:hAnsi="宋体" w:cs="宋体" w:eastAsia="宋体" w:hint="default"/>
        </w:rPr>
        <w:t>(5).</w:t>
      </w:r>
      <w:r>
        <w:rPr>
          <w:rFonts w:ascii="宋体" w:hAnsi="宋体" w:cs="宋体" w:eastAsia="宋体" w:hint="default"/>
          <w:spacing w:val="-22"/>
        </w:rPr>
        <w:t> </w:t>
      </w:r>
      <w:r>
        <w:rPr/>
        <w:t>按欠款方归集的期末余额前五名的其他应收款情况：</w:t>
      </w:r>
      <w:r>
        <w:rPr>
          <w:b w:val="0"/>
          <w:bCs w:val="0"/>
        </w:rPr>
      </w:r>
    </w:p>
    <w:p>
      <w:pPr>
        <w:pStyle w:val="BodyText"/>
        <w:spacing w:line="240" w:lineRule="auto" w:before="58"/>
        <w:ind w:left="53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225" w:val="left" w:leader="none"/>
        </w:tabs>
        <w:spacing w:line="240" w:lineRule="auto"/>
        <w:ind w:left="25" w:right="0"/>
        <w:jc w:val="left"/>
      </w:pPr>
      <w:r>
        <w:rPr/>
        <w:t>单位：元</w:t>
        <w:tab/>
        <w:t>币种：人民币</w:t>
      </w:r>
    </w:p>
    <w:p>
      <w:pPr>
        <w:spacing w:after="0" w:line="240" w:lineRule="auto"/>
        <w:jc w:val="left"/>
        <w:sectPr>
          <w:type w:val="continuous"/>
          <w:pgSz w:w="11910" w:h="16840"/>
          <w:pgMar w:top="1120" w:bottom="1380" w:left="740" w:right="1140"/>
          <w:cols w:num="2" w:equalWidth="0">
            <w:col w:w="6665" w:space="40"/>
            <w:col w:w="3325"/>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7"/>
        <w:gridCol w:w="1277"/>
        <w:gridCol w:w="1700"/>
        <w:gridCol w:w="1147"/>
        <w:gridCol w:w="838"/>
        <w:gridCol w:w="1418"/>
      </w:tblGrid>
      <w:tr>
        <w:trPr>
          <w:trHeight w:val="1651"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3" w:right="0"/>
              <w:jc w:val="both"/>
              <w:rPr>
                <w:rFonts w:ascii="宋体" w:hAnsi="宋体" w:cs="宋体" w:eastAsia="宋体" w:hint="default"/>
                <w:sz w:val="21"/>
                <w:szCs w:val="21"/>
              </w:rPr>
            </w:pPr>
            <w:r>
              <w:rPr>
                <w:rFonts w:ascii="宋体" w:hAnsi="宋体" w:cs="宋体" w:eastAsia="宋体" w:hint="default"/>
                <w:sz w:val="21"/>
                <w:szCs w:val="21"/>
              </w:rPr>
              <w:t>占其他</w:t>
            </w:r>
          </w:p>
          <w:p>
            <w:pPr>
              <w:pStyle w:val="TableParagraph"/>
              <w:spacing w:line="237" w:lineRule="auto"/>
              <w:ind w:left="93" w:right="94"/>
              <w:jc w:val="both"/>
              <w:rPr>
                <w:rFonts w:ascii="宋体" w:hAnsi="宋体" w:cs="宋体" w:eastAsia="宋体" w:hint="default"/>
                <w:sz w:val="21"/>
                <w:szCs w:val="21"/>
              </w:rPr>
            </w:pPr>
            <w:r>
              <w:rPr>
                <w:rFonts w:ascii="宋体" w:hAnsi="宋体" w:cs="宋体" w:eastAsia="宋体" w:hint="default"/>
                <w:sz w:val="21"/>
                <w:szCs w:val="21"/>
              </w:rPr>
              <w:t>应收款</w:t>
            </w:r>
            <w:r>
              <w:rPr>
                <w:rFonts w:ascii="宋体" w:hAnsi="宋体" w:cs="宋体" w:eastAsia="宋体" w:hint="default"/>
                <w:spacing w:val="-102"/>
                <w:sz w:val="21"/>
                <w:szCs w:val="21"/>
              </w:rPr>
              <w:t> </w:t>
            </w: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额合计</w:t>
            </w:r>
            <w:r>
              <w:rPr>
                <w:rFonts w:ascii="宋体" w:hAnsi="宋体" w:cs="宋体" w:eastAsia="宋体" w:hint="default"/>
                <w:spacing w:val="-102"/>
                <w:sz w:val="21"/>
                <w:szCs w:val="21"/>
              </w:rPr>
              <w:t> </w:t>
            </w:r>
            <w:r>
              <w:rPr>
                <w:rFonts w:ascii="宋体" w:hAnsi="宋体" w:cs="宋体" w:eastAsia="宋体" w:hint="default"/>
                <w:sz w:val="21"/>
                <w:szCs w:val="21"/>
              </w:rPr>
              <w:t>数的比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80" w:right="27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北京国研天成投资管理有限公司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90,000,000.00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w:t>
            </w:r>
          </w:p>
        </w:tc>
      </w:tr>
      <w:tr>
        <w:trPr>
          <w:trHeight w:val="28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北京佳讯飞鸿电气股份有限公司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56,262,138.50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21.96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562,621.39</w:t>
            </w:r>
          </w:p>
        </w:tc>
      </w:tr>
      <w:tr>
        <w:trPr>
          <w:trHeight w:val="28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北京电视台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9,798,206.40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97,982.06</w:t>
            </w:r>
          </w:p>
        </w:tc>
      </w:tr>
      <w:tr>
        <w:trPr>
          <w:trHeight w:val="28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安力博发集团有限公司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垫付款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7,935,262.42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3,174,104.97</w:t>
            </w:r>
          </w:p>
        </w:tc>
      </w:tr>
      <w:tr>
        <w:trPr>
          <w:trHeight w:val="28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3,952,950.00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39,529.50</w:t>
            </w:r>
          </w:p>
        </w:tc>
      </w:tr>
      <w:tr>
        <w:trPr>
          <w:trHeight w:val="28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9"/>
              <w:jc w:val="center"/>
              <w:rPr>
                <w:rFonts w:ascii="宋体" w:hAnsi="宋体" w:cs="宋体" w:eastAsia="宋体" w:hint="default"/>
                <w:sz w:val="21"/>
                <w:szCs w:val="21"/>
              </w:rPr>
            </w:pPr>
            <w:r>
              <w:rPr>
                <w:rFonts w:ascii="宋体"/>
                <w:w w:val="100"/>
                <w:sz w:val="21"/>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167,948,557.32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65.54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4,774,237.92</w:t>
            </w:r>
          </w:p>
        </w:tc>
      </w:tr>
    </w:tbl>
    <w:p>
      <w:pPr>
        <w:spacing w:line="240" w:lineRule="auto" w:before="5"/>
        <w:rPr>
          <w:rFonts w:ascii="宋体" w:hAnsi="宋体" w:cs="宋体" w:eastAsia="宋体" w:hint="default"/>
          <w:sz w:val="23"/>
          <w:szCs w:val="23"/>
        </w:rPr>
      </w:pPr>
    </w:p>
    <w:p>
      <w:pPr>
        <w:pStyle w:val="Heading2"/>
        <w:spacing w:line="240" w:lineRule="auto"/>
        <w:ind w:left="537" w:right="4306"/>
        <w:jc w:val="left"/>
        <w:rPr>
          <w:b w:val="0"/>
          <w:bCs w:val="0"/>
        </w:rPr>
      </w:pPr>
      <w:r>
        <w:rPr>
          <w:rFonts w:ascii="宋体" w:hAnsi="宋体" w:cs="宋体" w:eastAsia="宋体" w:hint="default"/>
        </w:rPr>
        <w:t>(6).</w:t>
      </w:r>
      <w:r>
        <w:rPr>
          <w:rFonts w:ascii="宋体" w:hAnsi="宋体" w:cs="宋体" w:eastAsia="宋体" w:hint="default"/>
          <w:spacing w:val="-21"/>
        </w:rPr>
        <w:t> </w:t>
      </w:r>
      <w:r>
        <w:rPr/>
        <w:t>涉及政府补助的应收款项</w:t>
      </w:r>
      <w:r>
        <w:rPr>
          <w:b w:val="0"/>
          <w:bCs w:val="0"/>
        </w:rPr>
      </w:r>
    </w:p>
    <w:p>
      <w:pPr>
        <w:pStyle w:val="BodyText"/>
        <w:spacing w:line="240" w:lineRule="auto" w:before="58"/>
        <w:ind w:left="537" w:right="4306"/>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83" w:lineRule="auto" w:before="0"/>
        <w:ind w:left="537" w:right="4306"/>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0"/>
        </w:rPr>
        <w:t> </w:t>
      </w:r>
      <w:r>
        <w:rPr/>
        <w:t>因金融资产转移而终止确认的其他应收款：</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pStyle w:val="Heading2"/>
        <w:spacing w:line="283" w:lineRule="auto" w:before="0"/>
        <w:ind w:left="537" w:right="3103"/>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21"/>
        </w:rPr>
        <w:t> </w:t>
      </w:r>
      <w:r>
        <w:rPr/>
        <w:t>转移其他应收款且继续涉入形成的资产、负债的金额：</w:t>
      </w:r>
      <w:r>
        <w:rPr>
          <w:w w:val="99"/>
        </w:rPr>
        <w:t> </w:t>
      </w:r>
      <w:r>
        <w:rPr>
          <w:rFonts w:ascii="宋体" w:hAnsi="宋体" w:cs="宋体" w:eastAsia="宋体" w:hint="default"/>
          <w:b w:val="0"/>
          <w:bCs w:val="0"/>
        </w:rPr>
        <w:t>无</w:t>
      </w:r>
    </w:p>
    <w:p>
      <w:pPr>
        <w:spacing w:line="240" w:lineRule="auto" w:before="7"/>
        <w:rPr>
          <w:rFonts w:ascii="宋体" w:hAnsi="宋体" w:cs="宋体" w:eastAsia="宋体" w:hint="default"/>
          <w:sz w:val="22"/>
          <w:szCs w:val="22"/>
        </w:rPr>
      </w:pPr>
    </w:p>
    <w:p>
      <w:pPr>
        <w:pStyle w:val="BodyText"/>
        <w:spacing w:line="312" w:lineRule="exact"/>
        <w:ind w:left="537" w:right="8269"/>
        <w:jc w:val="left"/>
      </w:pPr>
      <w:r>
        <w:rPr/>
        <w:t>其他说明： 无</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40" w:right="1140"/>
        </w:sectPr>
      </w:pPr>
    </w:p>
    <w:p>
      <w:pPr>
        <w:pStyle w:val="Heading2"/>
        <w:tabs>
          <w:tab w:pos="1377" w:val="left" w:leader="none"/>
        </w:tabs>
        <w:spacing w:line="283" w:lineRule="auto"/>
        <w:ind w:left="537" w:right="0"/>
        <w:jc w:val="left"/>
        <w:rPr>
          <w:b w:val="0"/>
          <w:bCs w:val="0"/>
        </w:rPr>
      </w:pPr>
      <w:r>
        <w:rPr>
          <w:rFonts w:ascii="宋体" w:hAnsi="宋体" w:cs="宋体" w:eastAsia="宋体" w:hint="default"/>
          <w:w w:val="95"/>
        </w:rPr>
        <w:t>10</w:t>
      </w:r>
      <w:r>
        <w:rPr>
          <w:w w:val="95"/>
        </w:rPr>
        <w:t>、</w:t>
        <w:tab/>
      </w:r>
      <w:r>
        <w:rPr/>
        <w:t>存货</w:t>
      </w:r>
      <w:r>
        <w:rPr>
          <w:spacing w:val="-119"/>
        </w:rPr>
        <w:t> </w:t>
      </w:r>
      <w:r>
        <w:rPr>
          <w:spacing w:val="-119"/>
        </w:rPr>
      </w:r>
      <w:r>
        <w:rPr>
          <w:rFonts w:ascii="宋体" w:hAnsi="宋体" w:cs="宋体" w:eastAsia="宋体" w:hint="default"/>
        </w:rPr>
        <w:t>(1).</w:t>
      </w:r>
      <w:r>
        <w:rPr>
          <w:rFonts w:ascii="宋体" w:hAnsi="宋体" w:cs="宋体" w:eastAsia="宋体" w:hint="default"/>
          <w:spacing w:val="25"/>
        </w:rPr>
        <w:t> </w:t>
      </w:r>
      <w:r>
        <w:rPr/>
        <w:t>存货分类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737" w:val="left" w:leader="none"/>
        </w:tabs>
        <w:spacing w:line="240" w:lineRule="auto"/>
        <w:ind w:left="537" w:right="0"/>
        <w:jc w:val="left"/>
      </w:pPr>
      <w:r>
        <w:rPr/>
        <w:t>单位：元</w:t>
        <w:tab/>
        <w:t>币种：人民币</w:t>
      </w:r>
    </w:p>
    <w:p>
      <w:pPr>
        <w:spacing w:after="0" w:line="240" w:lineRule="auto"/>
        <w:jc w:val="left"/>
        <w:sectPr>
          <w:type w:val="continuous"/>
          <w:pgSz w:w="11910" w:h="16840"/>
          <w:pgMar w:top="1120" w:bottom="1380" w:left="740" w:right="1140"/>
          <w:cols w:num="2" w:equalWidth="0">
            <w:col w:w="2133" w:space="4060"/>
            <w:col w:w="3837"/>
          </w:cols>
        </w:sectPr>
      </w:pPr>
    </w:p>
    <w:p>
      <w:pPr>
        <w:spacing w:line="240" w:lineRule="auto" w:before="12"/>
        <w:rPr>
          <w:rFonts w:ascii="宋体" w:hAnsi="宋体" w:cs="宋体" w:eastAsia="宋体" w:hint="default"/>
          <w:sz w:val="2"/>
          <w:szCs w:val="2"/>
        </w:rPr>
      </w:pPr>
    </w:p>
    <w:tbl>
      <w:tblPr>
        <w:tblW w:w="0" w:type="auto"/>
        <w:jc w:val="left"/>
        <w:tblInd w:w="387" w:type="dxa"/>
        <w:tblLayout w:type="fixed"/>
        <w:tblCellMar>
          <w:top w:w="0" w:type="dxa"/>
          <w:left w:w="0" w:type="dxa"/>
          <w:bottom w:w="0" w:type="dxa"/>
          <w:right w:w="0" w:type="dxa"/>
        </w:tblCellMar>
        <w:tblLook w:val="01E0"/>
      </w:tblPr>
      <w:tblGrid>
        <w:gridCol w:w="850"/>
        <w:gridCol w:w="1418"/>
        <w:gridCol w:w="1275"/>
        <w:gridCol w:w="1418"/>
        <w:gridCol w:w="1419"/>
        <w:gridCol w:w="1274"/>
        <w:gridCol w:w="1352"/>
      </w:tblGrid>
      <w:tr>
        <w:trPr>
          <w:trHeight w:val="250" w:hRule="exact"/>
        </w:trPr>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95"/>
              <w:ind w:left="2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7" w:hRule="exact"/>
        </w:trPr>
        <w:tc>
          <w:tcPr>
            <w:tcW w:w="850"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05" w:lineRule="exact"/>
        <w:jc w:val="left"/>
        <w:rPr>
          <w:rFonts w:ascii="宋体" w:hAnsi="宋体" w:cs="宋体" w:eastAsia="宋体" w:hint="default"/>
          <w:sz w:val="18"/>
          <w:szCs w:val="18"/>
        </w:rPr>
        <w:sectPr>
          <w:type w:val="continuous"/>
          <w:pgSz w:w="11910" w:h="16840"/>
          <w:pgMar w:top="1120" w:bottom="1380" w:left="740" w:right="114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850"/>
        <w:gridCol w:w="1418"/>
        <w:gridCol w:w="1275"/>
        <w:gridCol w:w="1418"/>
        <w:gridCol w:w="1419"/>
        <w:gridCol w:w="1274"/>
        <w:gridCol w:w="1352"/>
      </w:tblGrid>
      <w:tr>
        <w:trPr>
          <w:trHeight w:val="2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center"/>
              <w:rPr>
                <w:rFonts w:ascii="宋体" w:hAnsi="宋体" w:cs="宋体" w:eastAsia="宋体" w:hint="default"/>
                <w:sz w:val="18"/>
                <w:szCs w:val="18"/>
              </w:rPr>
            </w:pPr>
            <w:r>
              <w:rPr>
                <w:rFonts w:ascii="宋体"/>
                <w:sz w:val="18"/>
              </w:rPr>
              <w:t>14,368,929.57</w:t>
            </w: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14,368,929.57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1,231,940.63</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1,231,940.63</w:t>
            </w:r>
          </w:p>
        </w:tc>
      </w:tr>
      <w:tr>
        <w:trPr>
          <w:trHeight w:val="2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消耗性生</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物资产</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z w:val="18"/>
                <w:szCs w:val="18"/>
              </w:rPr>
              <w:t>建造合同</w:t>
            </w:r>
          </w:p>
          <w:p>
            <w:pPr>
              <w:pStyle w:val="TableParagraph"/>
              <w:spacing w:line="237" w:lineRule="auto"/>
              <w:ind w:left="21" w:right="92"/>
              <w:jc w:val="both"/>
              <w:rPr>
                <w:rFonts w:ascii="宋体" w:hAnsi="宋体" w:cs="宋体" w:eastAsia="宋体" w:hint="default"/>
                <w:sz w:val="18"/>
                <w:szCs w:val="18"/>
              </w:rPr>
            </w:pPr>
            <w:r>
              <w:rPr>
                <w:rFonts w:ascii="宋体" w:hAnsi="宋体" w:cs="宋体" w:eastAsia="宋体" w:hint="default"/>
                <w:sz w:val="18"/>
                <w:szCs w:val="18"/>
              </w:rPr>
              <w:t>形成的已 完工未结 算资产</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201,261,010.62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34,195,696.57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167,065,314.05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201,846,744.57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38,130,538.44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163,716,206.13</w:t>
            </w:r>
          </w:p>
        </w:tc>
      </w:tr>
      <w:tr>
        <w:trPr>
          <w:trHeight w:val="2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试用商品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center"/>
              <w:rPr>
                <w:rFonts w:ascii="宋体" w:hAnsi="宋体" w:cs="宋体" w:eastAsia="宋体" w:hint="default"/>
                <w:sz w:val="18"/>
                <w:szCs w:val="18"/>
              </w:rPr>
            </w:pPr>
            <w:r>
              <w:rPr>
                <w:rFonts w:ascii="宋体"/>
                <w:sz w:val="18"/>
              </w:rPr>
              <w:t>21,868,560.25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2,262,745.40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19,605,814.85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23,303,522.58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2,782,267.88</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20,521,254.70</w:t>
            </w:r>
          </w:p>
        </w:tc>
      </w:tr>
      <w:tr>
        <w:trPr>
          <w:trHeight w:val="2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415,277,979.77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415,277,979.77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451,518,378.11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z w:val="18"/>
              </w:rPr>
              <w:t>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451,518,378.11</w:t>
            </w:r>
          </w:p>
        </w:tc>
      </w:tr>
      <w:tr>
        <w:trPr>
          <w:trHeight w:val="481"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外购服务</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center"/>
              <w:rPr>
                <w:rFonts w:ascii="宋体" w:hAnsi="宋体" w:cs="宋体" w:eastAsia="宋体" w:hint="default"/>
                <w:sz w:val="18"/>
                <w:szCs w:val="18"/>
              </w:rPr>
            </w:pPr>
            <w:r>
              <w:rPr>
                <w:rFonts w:ascii="宋体"/>
                <w:sz w:val="18"/>
              </w:rPr>
              <w:t>28,927,274.24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28,927,274.24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38,979,366.33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z w:val="18"/>
              </w:rPr>
              <w:t>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38,979,366.33</w:t>
            </w:r>
          </w:p>
        </w:tc>
      </w:tr>
      <w:tr>
        <w:trPr>
          <w:trHeight w:val="2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6" w:right="0"/>
              <w:jc w:val="center"/>
              <w:rPr>
                <w:rFonts w:ascii="宋体" w:hAnsi="宋体" w:cs="宋体" w:eastAsia="宋体" w:hint="default"/>
                <w:sz w:val="18"/>
                <w:szCs w:val="18"/>
              </w:rPr>
            </w:pPr>
            <w:r>
              <w:rPr>
                <w:rFonts w:ascii="宋体"/>
                <w:sz w:val="18"/>
              </w:rPr>
              <w:t>681,703,754.45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36,458,441.97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645,245,312.48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716,879,952.22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40,912,806.32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675,967,145.90</w:t>
            </w:r>
          </w:p>
        </w:tc>
      </w:tr>
    </w:tbl>
    <w:p>
      <w:pPr>
        <w:spacing w:line="240" w:lineRule="auto" w:before="5"/>
        <w:rPr>
          <w:rFonts w:ascii="宋体" w:hAnsi="宋体" w:cs="宋体" w:eastAsia="宋体" w:hint="default"/>
          <w:sz w:val="23"/>
          <w:szCs w:val="23"/>
        </w:rPr>
      </w:pPr>
    </w:p>
    <w:p>
      <w:pPr>
        <w:pStyle w:val="Heading2"/>
        <w:spacing w:line="240" w:lineRule="auto"/>
        <w:ind w:left="257" w:right="5801"/>
        <w:jc w:val="left"/>
        <w:rPr>
          <w:b w:val="0"/>
          <w:bCs w:val="0"/>
        </w:rPr>
      </w:pPr>
      <w:r>
        <w:rPr>
          <w:rFonts w:ascii="宋体" w:hAnsi="宋体" w:cs="宋体" w:eastAsia="宋体" w:hint="default"/>
        </w:rPr>
        <w:t>(2).</w:t>
      </w:r>
      <w:r>
        <w:rPr>
          <w:rFonts w:ascii="宋体" w:hAnsi="宋体" w:cs="宋体" w:eastAsia="宋体" w:hint="default"/>
          <w:spacing w:val="23"/>
        </w:rPr>
        <w:t> </w:t>
      </w:r>
      <w:r>
        <w:rPr/>
        <w:t>存货跌价准备</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596"/>
        <w:gridCol w:w="1313"/>
        <w:gridCol w:w="871"/>
        <w:gridCol w:w="1020"/>
        <w:gridCol w:w="1164"/>
        <w:gridCol w:w="1306"/>
        <w:gridCol w:w="1745"/>
      </w:tblGrid>
      <w:tr>
        <w:trPr>
          <w:trHeight w:val="250"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87"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80" w:right="0"/>
              <w:jc w:val="left"/>
              <w:rPr>
                <w:rFonts w:ascii="宋体" w:hAnsi="宋体" w:cs="宋体" w:eastAsia="宋体" w:hint="default"/>
                <w:sz w:val="15"/>
                <w:szCs w:val="15"/>
              </w:rPr>
            </w:pPr>
            <w:r>
              <w:rPr>
                <w:rFonts w:ascii="宋体" w:hAnsi="宋体" w:cs="宋体" w:eastAsia="宋体" w:hint="default"/>
                <w:sz w:val="15"/>
                <w:szCs w:val="15"/>
              </w:rPr>
              <w:t>本期减少金额</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66"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10" w:hRule="exact"/>
        </w:trPr>
        <w:tc>
          <w:tcPr>
            <w:tcW w:w="1596"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8" w:right="0"/>
              <w:jc w:val="left"/>
              <w:rPr>
                <w:rFonts w:ascii="宋体" w:hAnsi="宋体" w:cs="宋体" w:eastAsia="宋体" w:hint="default"/>
                <w:sz w:val="15"/>
                <w:szCs w:val="15"/>
              </w:rPr>
            </w:pPr>
            <w:r>
              <w:rPr>
                <w:rFonts w:ascii="宋体" w:hAnsi="宋体" w:cs="宋体" w:eastAsia="宋体" w:hint="default"/>
                <w:sz w:val="15"/>
                <w:szCs w:val="15"/>
              </w:rPr>
              <w:t>计提</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1" w:right="0"/>
              <w:jc w:val="left"/>
              <w:rPr>
                <w:rFonts w:ascii="宋体" w:hAnsi="宋体" w:cs="宋体" w:eastAsia="宋体" w:hint="default"/>
                <w:sz w:val="15"/>
                <w:szCs w:val="15"/>
              </w:rPr>
            </w:pPr>
            <w:r>
              <w:rPr>
                <w:rFonts w:ascii="宋体" w:hAnsi="宋体" w:cs="宋体" w:eastAsia="宋体" w:hint="default"/>
                <w:sz w:val="15"/>
                <w:szCs w:val="15"/>
              </w:rPr>
              <w:t>转回或转销</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745" w:type="dxa"/>
            <w:vMerge/>
            <w:tcBorders>
              <w:left w:val="single" w:sz="4" w:space="0" w:color="000000"/>
              <w:bottom w:val="single" w:sz="4" w:space="0" w:color="000000"/>
              <w:right w:val="single" w:sz="4" w:space="0" w:color="000000"/>
            </w:tcBorders>
          </w:tcPr>
          <w:p>
            <w:pP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31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31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31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周转材料</w:t>
            </w:r>
          </w:p>
        </w:tc>
        <w:tc>
          <w:tcPr>
            <w:tcW w:w="131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消耗性生物资产</w:t>
            </w:r>
          </w:p>
        </w:tc>
        <w:tc>
          <w:tcPr>
            <w:tcW w:w="131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建造合同形成的已完</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工未结算资产</w:t>
            </w:r>
          </w:p>
        </w:tc>
        <w:tc>
          <w:tcPr>
            <w:tcW w:w="131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外购商品</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center"/>
              <w:rPr>
                <w:rFonts w:ascii="宋体" w:hAnsi="宋体" w:cs="宋体" w:eastAsia="宋体" w:hint="default"/>
                <w:sz w:val="15"/>
                <w:szCs w:val="15"/>
              </w:rPr>
            </w:pPr>
            <w:r>
              <w:rPr>
                <w:rFonts w:ascii="宋体"/>
                <w:sz w:val="15"/>
              </w:rPr>
              <w:t>38,130,538.44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5,422.27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130,248.49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4,070,512.63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34,195,696.57</w:t>
            </w: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试用商品</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2" w:right="0"/>
              <w:jc w:val="center"/>
              <w:rPr>
                <w:rFonts w:ascii="宋体" w:hAnsi="宋体" w:cs="宋体" w:eastAsia="宋体" w:hint="default"/>
                <w:sz w:val="15"/>
                <w:szCs w:val="15"/>
              </w:rPr>
            </w:pPr>
            <w:r>
              <w:rPr>
                <w:rFonts w:ascii="宋体"/>
                <w:sz w:val="15"/>
              </w:rPr>
              <w:t>2,782,267.88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519,522.48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2,262,745.40</w:t>
            </w:r>
          </w:p>
        </w:tc>
      </w:tr>
      <w:tr>
        <w:trPr>
          <w:trHeight w:val="2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center"/>
              <w:rPr>
                <w:rFonts w:ascii="宋体" w:hAnsi="宋体" w:cs="宋体" w:eastAsia="宋体" w:hint="default"/>
                <w:sz w:val="15"/>
                <w:szCs w:val="15"/>
              </w:rPr>
            </w:pPr>
            <w:r>
              <w:rPr>
                <w:rFonts w:ascii="宋体"/>
                <w:sz w:val="15"/>
              </w:rPr>
              <w:t>40,912,806.32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5,422.27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130,248.49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519,522.48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4,070,512.63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36,458,441.97</w:t>
            </w:r>
          </w:p>
        </w:tc>
      </w:tr>
    </w:tbl>
    <w:p>
      <w:pPr>
        <w:spacing w:line="240" w:lineRule="auto" w:before="12"/>
        <w:rPr>
          <w:rFonts w:ascii="宋体" w:hAnsi="宋体" w:cs="宋体" w:eastAsia="宋体" w:hint="default"/>
          <w:sz w:val="27"/>
          <w:szCs w:val="27"/>
        </w:rPr>
      </w:pPr>
    </w:p>
    <w:p>
      <w:pPr>
        <w:pStyle w:val="BodyText"/>
        <w:spacing w:line="240" w:lineRule="auto" w:before="26"/>
        <w:ind w:left="257" w:right="5801"/>
        <w:jc w:val="left"/>
      </w:pPr>
      <w:r>
        <w:rPr/>
        <w:t>存货跌价准备（续）</w:t>
      </w:r>
    </w:p>
    <w:p>
      <w:pPr>
        <w:spacing w:line="240" w:lineRule="auto" w:before="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624"/>
        <w:gridCol w:w="6426"/>
      </w:tblGrid>
      <w:tr>
        <w:trPr>
          <w:trHeight w:val="62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9"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6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4685" w:right="102" w:firstLine="362"/>
              <w:jc w:val="right"/>
              <w:rPr>
                <w:rFonts w:ascii="宋体" w:hAnsi="宋体" w:cs="宋体" w:eastAsia="宋体" w:hint="default"/>
                <w:sz w:val="18"/>
                <w:szCs w:val="18"/>
              </w:rPr>
            </w:pPr>
            <w:r>
              <w:rPr>
                <w:rFonts w:ascii="宋体" w:hAnsi="宋体" w:cs="宋体" w:eastAsia="宋体" w:hint="default"/>
                <w:b/>
                <w:bCs/>
                <w:w w:val="95"/>
                <w:sz w:val="18"/>
                <w:szCs w:val="18"/>
              </w:rPr>
              <w:t>本期转回或转销</w:t>
            </w:r>
            <w:r>
              <w:rPr>
                <w:rFonts w:ascii="宋体" w:hAnsi="宋体" w:cs="宋体" w:eastAsia="宋体" w:hint="default"/>
                <w:b/>
                <w:bCs/>
                <w:w w:val="99"/>
                <w:sz w:val="18"/>
                <w:szCs w:val="18"/>
              </w:rPr>
              <w:t> </w:t>
            </w:r>
            <w:r>
              <w:rPr>
                <w:rFonts w:ascii="宋体" w:hAnsi="宋体" w:cs="宋体" w:eastAsia="宋体" w:hint="default"/>
                <w:b/>
                <w:bCs/>
                <w:w w:val="95"/>
                <w:sz w:val="18"/>
                <w:szCs w:val="18"/>
              </w:rPr>
              <w:t>存货跌价准备的原因</w:t>
            </w:r>
            <w:r>
              <w:rPr>
                <w:rFonts w:ascii="宋体" w:hAnsi="宋体" w:cs="宋体" w:eastAsia="宋体" w:hint="default"/>
                <w:sz w:val="18"/>
                <w:szCs w:val="18"/>
              </w:rPr>
            </w:r>
          </w:p>
        </w:tc>
      </w:tr>
      <w:tr>
        <w:trPr>
          <w:trHeight w:val="338"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6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领用转销</w:t>
            </w:r>
          </w:p>
        </w:tc>
      </w:tr>
      <w:tr>
        <w:trPr>
          <w:trHeight w:val="34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试用商品</w:t>
            </w:r>
          </w:p>
        </w:tc>
        <w:tc>
          <w:tcPr>
            <w:tcW w:w="6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期末可变现净值低于成本的差额较期初减少</w:t>
            </w:r>
          </w:p>
        </w:tc>
      </w:tr>
    </w:tbl>
    <w:p>
      <w:pPr>
        <w:spacing w:line="240" w:lineRule="auto" w:before="5"/>
        <w:rPr>
          <w:rFonts w:ascii="宋体" w:hAnsi="宋体" w:cs="宋体" w:eastAsia="宋体" w:hint="default"/>
          <w:sz w:val="23"/>
          <w:szCs w:val="23"/>
        </w:rPr>
      </w:pPr>
    </w:p>
    <w:p>
      <w:pPr>
        <w:pStyle w:val="Heading2"/>
        <w:spacing w:line="283" w:lineRule="auto"/>
        <w:ind w:left="257" w:right="3364"/>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1"/>
        </w:rPr>
        <w:t> </w:t>
      </w:r>
      <w:r>
        <w:rPr/>
        <w:t>存货期末余额含有借款费用资本化金额的说明：</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40" w:lineRule="auto" w:before="0"/>
        <w:ind w:left="257" w:right="352"/>
        <w:jc w:val="left"/>
        <w:rPr>
          <w:b w:val="0"/>
          <w:bCs w:val="0"/>
        </w:rPr>
      </w:pPr>
      <w:r>
        <w:rPr>
          <w:rFonts w:ascii="宋体" w:hAnsi="宋体" w:cs="宋体" w:eastAsia="宋体" w:hint="default"/>
        </w:rPr>
        <w:t>(4).</w:t>
      </w:r>
      <w:r>
        <w:rPr>
          <w:rFonts w:ascii="宋体" w:hAnsi="宋体" w:cs="宋体" w:eastAsia="宋体" w:hint="default"/>
          <w:spacing w:val="21"/>
        </w:rPr>
        <w:t> </w:t>
      </w:r>
      <w:r>
        <w:rPr/>
        <w:t>期末建造合同形成的已完工未结算资产情况：</w:t>
      </w:r>
      <w:r>
        <w:rPr>
          <w:b w:val="0"/>
          <w:bCs w:val="0"/>
        </w:rPr>
      </w:r>
    </w:p>
    <w:p>
      <w:pPr>
        <w:pStyle w:val="BodyText"/>
        <w:spacing w:line="240" w:lineRule="auto" w:before="58"/>
        <w:ind w:left="257" w:right="5801"/>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257" w:right="5801"/>
        <w:jc w:val="left"/>
        <w:rPr>
          <w:b w:val="0"/>
          <w:bCs w:val="0"/>
        </w:rPr>
      </w:pPr>
      <w:r>
        <w:rPr>
          <w:rFonts w:ascii="宋体" w:hAnsi="宋体" w:cs="宋体" w:eastAsia="宋体" w:hint="default"/>
        </w:rPr>
        <w:t>11</w:t>
      </w:r>
      <w:r>
        <w:rPr/>
        <w:t>、</w:t>
      </w:r>
      <w:r>
        <w:rPr>
          <w:spacing w:val="-103"/>
        </w:rPr>
        <w:t> </w:t>
      </w:r>
      <w:r>
        <w:rPr/>
        <w:t>划分为持有待售的资产</w:t>
      </w:r>
      <w:r>
        <w:rPr>
          <w:b w:val="0"/>
          <w:bCs w:val="0"/>
        </w:rPr>
      </w:r>
    </w:p>
    <w:p>
      <w:pPr>
        <w:pStyle w:val="BodyText"/>
        <w:spacing w:line="240" w:lineRule="auto" w:before="58"/>
        <w:ind w:left="257" w:right="5801"/>
        <w:jc w:val="left"/>
      </w:pPr>
      <w:r>
        <w:rPr/>
        <w:t>□适用</w:t>
      </w:r>
      <w:r>
        <w:rPr>
          <w:spacing w:val="-1"/>
        </w:rPr>
        <w:t> </w:t>
      </w:r>
      <w:r>
        <w:rPr/>
        <w:t>√不适用</w:t>
      </w:r>
    </w:p>
    <w:p>
      <w:pPr>
        <w:spacing w:after="0" w:line="240" w:lineRule="auto"/>
        <w:jc w:val="left"/>
        <w:sectPr>
          <w:pgSz w:w="11910" w:h="16840"/>
          <w:pgMar w:header="882" w:footer="1195" w:top="1120" w:bottom="1380" w:left="1020" w:right="1560"/>
        </w:sectPr>
      </w:pPr>
    </w:p>
    <w:p>
      <w:pPr>
        <w:spacing w:line="240" w:lineRule="auto" w:before="13"/>
        <w:rPr>
          <w:rFonts w:ascii="宋体" w:hAnsi="宋体" w:cs="宋体" w:eastAsia="宋体" w:hint="default"/>
          <w:sz w:val="18"/>
          <w:szCs w:val="18"/>
        </w:rPr>
      </w:pPr>
    </w:p>
    <w:p>
      <w:pPr>
        <w:pStyle w:val="Heading2"/>
        <w:spacing w:line="240" w:lineRule="auto"/>
        <w:ind w:right="2569"/>
        <w:jc w:val="left"/>
        <w:rPr>
          <w:b w:val="0"/>
          <w:bCs w:val="0"/>
        </w:rPr>
      </w:pPr>
      <w:r>
        <w:rPr>
          <w:rFonts w:ascii="宋体" w:hAnsi="宋体" w:cs="宋体" w:eastAsia="宋体" w:hint="default"/>
        </w:rPr>
        <w:t>12</w:t>
      </w:r>
      <w:r>
        <w:rPr/>
        <w:t>、</w:t>
      </w:r>
      <w:r>
        <w:rPr>
          <w:spacing w:val="-104"/>
        </w:rPr>
        <w:t> </w:t>
      </w:r>
      <w:r>
        <w:rPr/>
        <w:t>一年内到期的非流动资产</w:t>
      </w:r>
      <w:r>
        <w:rPr>
          <w:b w:val="0"/>
          <w:bCs w:val="0"/>
        </w:rPr>
      </w:r>
    </w:p>
    <w:p>
      <w:pPr>
        <w:pStyle w:val="BodyText"/>
        <w:tabs>
          <w:tab w:pos="1199" w:val="left" w:leader="none"/>
        </w:tabs>
        <w:spacing w:line="240" w:lineRule="auto" w:before="58"/>
        <w:ind w:left="0" w:right="44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5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43,885,070.44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301,150,743.41</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年内到期的其他非流动资产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50,000,000.00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4"/>
              <w:jc w:val="center"/>
              <w:rPr>
                <w:rFonts w:ascii="宋体" w:hAnsi="宋体" w:cs="宋体" w:eastAsia="宋体" w:hint="default"/>
                <w:sz w:val="24"/>
                <w:szCs w:val="24"/>
              </w:rPr>
            </w:pPr>
            <w:r>
              <w:rPr>
                <w:rFonts w:ascii="宋体" w:hAnsi="宋体" w:cs="宋体" w:eastAsia="宋体" w:hint="default"/>
                <w:sz w:val="24"/>
                <w:szCs w:val="24"/>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93,885,070.44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301,150,743.41</w:t>
            </w:r>
          </w:p>
        </w:tc>
      </w:tr>
    </w:tbl>
    <w:p>
      <w:pPr>
        <w:pStyle w:val="BodyText"/>
        <w:spacing w:line="273" w:lineRule="exact"/>
        <w:ind w:left="217" w:right="2569"/>
        <w:jc w:val="left"/>
      </w:pPr>
      <w:r>
        <w:rPr/>
        <w:t>其他说明</w:t>
      </w:r>
    </w:p>
    <w:p>
      <w:pPr>
        <w:pStyle w:val="BodyText"/>
        <w:spacing w:line="313" w:lineRule="exact"/>
        <w:ind w:left="217" w:right="2569"/>
        <w:jc w:val="left"/>
      </w:pPr>
      <w:r>
        <w:rPr/>
        <w:t>无</w:t>
      </w:r>
    </w:p>
    <w:p>
      <w:pPr>
        <w:spacing w:line="240" w:lineRule="auto" w:before="1"/>
        <w:rPr>
          <w:rFonts w:ascii="宋体" w:hAnsi="宋体" w:cs="宋体" w:eastAsia="宋体" w:hint="default"/>
          <w:sz w:val="26"/>
          <w:szCs w:val="26"/>
        </w:rPr>
      </w:pPr>
    </w:p>
    <w:p>
      <w:pPr>
        <w:pStyle w:val="Heading2"/>
        <w:spacing w:line="240" w:lineRule="auto"/>
        <w:ind w:right="2569"/>
        <w:jc w:val="left"/>
        <w:rPr>
          <w:b w:val="0"/>
          <w:bCs w:val="0"/>
        </w:rPr>
      </w:pPr>
      <w:r>
        <w:rPr>
          <w:rFonts w:ascii="宋体" w:hAnsi="宋体" w:cs="宋体" w:eastAsia="宋体" w:hint="default"/>
        </w:rPr>
        <w:t>13</w:t>
      </w:r>
      <w:r>
        <w:rPr/>
        <w:t>、</w:t>
      </w:r>
      <w:r>
        <w:rPr>
          <w:spacing w:val="-103"/>
        </w:rPr>
        <w:t> </w:t>
      </w:r>
      <w:r>
        <w:rPr/>
        <w:t>其他流动资产</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6"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12,585,220.17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2,705,159.05</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预缴营业税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104,465.15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104,465.15</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1,490,783.25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6,005,686.88</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预缴个人所得税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500.40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0.00</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预缴教育费附加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19,426.49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3,735.15</w:t>
            </w:r>
          </w:p>
        </w:tc>
      </w:tr>
      <w:tr>
        <w:trPr>
          <w:trHeight w:val="31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54,188,726.54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62,500,000.00</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4"/>
              <w:jc w:val="center"/>
              <w:rPr>
                <w:rFonts w:ascii="宋体" w:hAnsi="宋体" w:cs="宋体" w:eastAsia="宋体" w:hint="default"/>
                <w:sz w:val="24"/>
                <w:szCs w:val="24"/>
              </w:rPr>
            </w:pPr>
            <w:r>
              <w:rPr>
                <w:rFonts w:ascii="宋体" w:hAnsi="宋体" w:cs="宋体" w:eastAsia="宋体" w:hint="default"/>
                <w:sz w:val="24"/>
                <w:szCs w:val="24"/>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4"/>
              <w:jc w:val="right"/>
              <w:rPr>
                <w:rFonts w:ascii="宋体" w:hAnsi="宋体" w:cs="宋体" w:eastAsia="宋体" w:hint="default"/>
                <w:sz w:val="24"/>
                <w:szCs w:val="24"/>
              </w:rPr>
            </w:pPr>
            <w:r>
              <w:rPr>
                <w:rFonts w:ascii="宋体"/>
                <w:sz w:val="24"/>
              </w:rPr>
              <w:t>68,389,122.00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71,319,046.23</w:t>
            </w:r>
          </w:p>
        </w:tc>
      </w:tr>
    </w:tbl>
    <w:p>
      <w:pPr>
        <w:pStyle w:val="BodyText"/>
        <w:spacing w:line="274" w:lineRule="exact"/>
        <w:ind w:left="217" w:right="221"/>
        <w:jc w:val="left"/>
      </w:pPr>
      <w:r>
        <w:rPr/>
        <w:t>其他说明：银行理财产品系理财期限不超过</w:t>
      </w:r>
      <w:r>
        <w:rPr>
          <w:spacing w:val="-61"/>
        </w:rPr>
        <w:t> </w:t>
      </w:r>
      <w:r>
        <w:rPr>
          <w:rFonts w:ascii="宋体" w:hAnsi="宋体" w:cs="宋体" w:eastAsia="宋体" w:hint="default"/>
        </w:rPr>
        <w:t>1</w:t>
      </w:r>
      <w:r>
        <w:rPr>
          <w:rFonts w:ascii="宋体" w:hAnsi="宋体" w:cs="宋体" w:eastAsia="宋体" w:hint="default"/>
          <w:spacing w:val="-61"/>
        </w:rPr>
        <w:t> </w:t>
      </w:r>
      <w:r>
        <w:rPr/>
        <w:t>年的银行理财产品。</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060" w:right="1560"/>
        </w:sectPr>
      </w:pPr>
    </w:p>
    <w:p>
      <w:pPr>
        <w:pStyle w:val="Heading2"/>
        <w:spacing w:line="240" w:lineRule="auto"/>
        <w:ind w:right="-17"/>
        <w:jc w:val="left"/>
        <w:rPr>
          <w:b w:val="0"/>
          <w:bCs w:val="0"/>
        </w:rPr>
      </w:pPr>
      <w:r>
        <w:rPr>
          <w:rFonts w:ascii="宋体" w:hAnsi="宋体" w:cs="宋体" w:eastAsia="宋体" w:hint="default"/>
        </w:rPr>
        <w:t>14</w:t>
      </w:r>
      <w:r>
        <w:rPr/>
        <w:t>、</w:t>
      </w:r>
      <w:r>
        <w:rPr>
          <w:spacing w:val="-103"/>
        </w:rPr>
        <w:t> </w:t>
      </w:r>
      <w:r>
        <w:rPr/>
        <w:t>可供出售金融资产</w:t>
      </w:r>
      <w:r>
        <w:rPr>
          <w:b w:val="0"/>
          <w:bCs w:val="0"/>
        </w:rPr>
      </w:r>
    </w:p>
    <w:p>
      <w:pPr>
        <w:pStyle w:val="BodyText"/>
        <w:spacing w:line="240" w:lineRule="auto" w:before="55"/>
        <w:ind w:left="217" w:right="-17"/>
        <w:jc w:val="left"/>
      </w:pPr>
      <w:r>
        <w:rPr/>
        <w:t>√适用</w:t>
      </w:r>
      <w:r>
        <w:rPr>
          <w:spacing w:val="-1"/>
        </w:rPr>
        <w:t> </w:t>
      </w:r>
      <w:r>
        <w:rPr/>
        <w:t>□不适用</w:t>
      </w:r>
    </w:p>
    <w:p>
      <w:pPr>
        <w:pStyle w:val="Heading2"/>
        <w:spacing w:line="240" w:lineRule="auto" w:before="58"/>
        <w:ind w:right="-17"/>
        <w:jc w:val="left"/>
        <w:rPr>
          <w:b w:val="0"/>
          <w:bCs w:val="0"/>
        </w:rPr>
      </w:pPr>
      <w:r>
        <w:rPr>
          <w:rFonts w:ascii="宋体" w:hAnsi="宋体" w:cs="宋体" w:eastAsia="宋体" w:hint="default"/>
        </w:rPr>
        <w:t>(1).</w:t>
      </w:r>
      <w:r>
        <w:rPr>
          <w:rFonts w:ascii="宋体" w:hAnsi="宋体" w:cs="宋体" w:eastAsia="宋体" w:hint="default"/>
          <w:spacing w:val="35"/>
        </w:rPr>
        <w:t> </w:t>
      </w:r>
      <w:r>
        <w:rPr/>
        <w:t>可供出售金融资产情况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7" w:val="left" w:leader="none"/>
        </w:tabs>
        <w:spacing w:line="240" w:lineRule="auto" w:before="197"/>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270" w:space="2923"/>
            <w:col w:w="3097"/>
          </w:cols>
        </w:sectPr>
      </w:pP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695"/>
        <w:gridCol w:w="1534"/>
        <w:gridCol w:w="655"/>
        <w:gridCol w:w="1532"/>
        <w:gridCol w:w="1428"/>
        <w:gridCol w:w="626"/>
        <w:gridCol w:w="1426"/>
      </w:tblGrid>
      <w:tr>
        <w:trPr>
          <w:trHeight w:val="286" w:hRule="exact"/>
        </w:trPr>
        <w:tc>
          <w:tcPr>
            <w:tcW w:w="16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695" w:type="dxa"/>
            <w:vMerge/>
            <w:tcBorders>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50,000,000.00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50,000,000.00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50,000,000.00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50,000,000.00</w:t>
            </w:r>
          </w:p>
        </w:tc>
      </w:tr>
      <w:tr>
        <w:trPr>
          <w:trHeight w:val="5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75,924,675.00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75,924,675.00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17,400,000.00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17,400,000.00</w:t>
            </w:r>
          </w:p>
        </w:tc>
      </w:tr>
      <w:tr>
        <w:trPr>
          <w:trHeight w:val="55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按公允价值计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534" w:type="dxa"/>
            <w:tcBorders>
              <w:top w:val="single" w:sz="6" w:space="0" w:color="000000"/>
              <w:left w:val="single" w:sz="6" w:space="0" w:color="000000"/>
              <w:bottom w:val="single" w:sz="6" w:space="0" w:color="000000"/>
              <w:right w:val="single" w:sz="6" w:space="0" w:color="000000"/>
            </w:tcBorders>
          </w:tcPr>
          <w:p>
            <w:pPr/>
          </w:p>
        </w:tc>
        <w:tc>
          <w:tcPr>
            <w:tcW w:w="655"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75,924,675.00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75,924,675.00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17,400,000.00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17,400,000.00</w:t>
            </w:r>
          </w:p>
        </w:tc>
      </w:tr>
      <w:tr>
        <w:trPr>
          <w:trHeight w:val="28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655"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655"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125,924,675.00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125,924,675.00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67,400,000.00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67,400,000.00</w:t>
            </w:r>
          </w:p>
        </w:tc>
      </w:tr>
    </w:tbl>
    <w:p>
      <w:pPr>
        <w:spacing w:line="240" w:lineRule="auto" w:before="5"/>
        <w:rPr>
          <w:rFonts w:ascii="宋体" w:hAnsi="宋体" w:cs="宋体" w:eastAsia="宋体" w:hint="default"/>
          <w:sz w:val="23"/>
          <w:szCs w:val="23"/>
        </w:rPr>
      </w:pPr>
    </w:p>
    <w:p>
      <w:pPr>
        <w:pStyle w:val="Heading2"/>
        <w:spacing w:line="240" w:lineRule="auto"/>
        <w:ind w:right="2569"/>
        <w:jc w:val="left"/>
        <w:rPr>
          <w:b w:val="0"/>
          <w:bCs w:val="0"/>
        </w:rPr>
      </w:pPr>
      <w:r>
        <w:rPr>
          <w:rFonts w:ascii="宋体" w:hAnsi="宋体" w:cs="宋体" w:eastAsia="宋体" w:hint="default"/>
        </w:rPr>
        <w:t>(2).</w:t>
      </w:r>
      <w:r>
        <w:rPr>
          <w:rFonts w:ascii="宋体" w:hAnsi="宋体" w:cs="宋体" w:eastAsia="宋体" w:hint="default"/>
          <w:spacing w:val="34"/>
        </w:rPr>
        <w:t> </w:t>
      </w:r>
      <w:r>
        <w:rPr/>
        <w:t>期末按公允价值计量的可供出售金融资产</w:t>
      </w:r>
      <w:r>
        <w:rPr>
          <w:b w:val="0"/>
          <w:bCs w:val="0"/>
        </w:rPr>
      </w:r>
    </w:p>
    <w:p>
      <w:pPr>
        <w:pStyle w:val="BodyText"/>
        <w:spacing w:line="240" w:lineRule="auto" w:before="58"/>
        <w:ind w:left="217" w:right="2569"/>
        <w:jc w:val="left"/>
      </w:pPr>
      <w:r>
        <w:rPr/>
        <w:t>□适用</w:t>
      </w:r>
      <w:r>
        <w:rPr>
          <w:spacing w:val="-1"/>
        </w:rPr>
        <w:t> </w:t>
      </w:r>
      <w:r>
        <w:rPr/>
        <w:t>√不适用</w:t>
      </w:r>
    </w:p>
    <w:p>
      <w:pPr>
        <w:pStyle w:val="Heading2"/>
        <w:spacing w:line="240" w:lineRule="auto" w:before="56"/>
        <w:ind w:right="2569"/>
        <w:jc w:val="left"/>
        <w:rPr>
          <w:b w:val="0"/>
          <w:bCs w:val="0"/>
        </w:rPr>
      </w:pPr>
      <w:r>
        <w:rPr>
          <w:rFonts w:ascii="宋体" w:hAnsi="宋体" w:cs="宋体" w:eastAsia="宋体" w:hint="default"/>
        </w:rPr>
        <w:t>(3).</w:t>
      </w:r>
      <w:r>
        <w:rPr>
          <w:rFonts w:ascii="宋体" w:hAnsi="宋体" w:cs="宋体" w:eastAsia="宋体" w:hint="default"/>
          <w:spacing w:val="34"/>
        </w:rPr>
        <w:t> </w:t>
      </w:r>
      <w:r>
        <w:rPr/>
        <w:t>期末按成本计量的可供出售金融资产</w:t>
      </w:r>
      <w:r>
        <w:rPr>
          <w:b w:val="0"/>
          <w:bCs w:val="0"/>
        </w:rPr>
      </w:r>
    </w:p>
    <w:p>
      <w:pPr>
        <w:pStyle w:val="BodyText"/>
        <w:spacing w:line="240" w:lineRule="auto" w:before="58"/>
        <w:ind w:left="217" w:right="2569"/>
        <w:jc w:val="left"/>
      </w:pPr>
      <w:r>
        <w:rPr/>
        <w:t>√适用</w:t>
      </w:r>
      <w:r>
        <w:rPr>
          <w:spacing w:val="-1"/>
        </w:rPr>
        <w:t> </w:t>
      </w:r>
      <w:r>
        <w:rPr/>
        <w:t>□不适用</w:t>
      </w:r>
    </w:p>
    <w:p>
      <w:pPr>
        <w:spacing w:after="0" w:line="240" w:lineRule="auto"/>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tabs>
          <w:tab w:pos="9130" w:val="left" w:leader="none"/>
        </w:tabs>
        <w:spacing w:line="312" w:lineRule="exact" w:before="56"/>
        <w:ind w:left="8170" w:right="513" w:hanging="193"/>
        <w:jc w:val="right"/>
      </w:pPr>
      <w:r>
        <w:rPr>
          <w:spacing w:val="-12"/>
        </w:rPr>
        <w:t>单位：元</w:t>
        <w:tab/>
      </w:r>
      <w:r>
        <w:rPr/>
        <w:t>币</w:t>
      </w:r>
      <w:r>
        <w:rPr/>
        <w:t> </w:t>
      </w:r>
      <w:r>
        <w:rPr>
          <w:w w:val="95"/>
        </w:rPr>
        <w:t>种：人民币</w:t>
      </w:r>
    </w:p>
    <w:tbl>
      <w:tblPr>
        <w:tblW w:w="0" w:type="auto"/>
        <w:jc w:val="left"/>
        <w:tblInd w:w="104" w:type="dxa"/>
        <w:tblLayout w:type="fixed"/>
        <w:tblCellMar>
          <w:top w:w="0" w:type="dxa"/>
          <w:left w:w="0" w:type="dxa"/>
          <w:bottom w:w="0" w:type="dxa"/>
          <w:right w:w="0" w:type="dxa"/>
        </w:tblCellMar>
        <w:tblLook w:val="01E0"/>
      </w:tblPr>
      <w:tblGrid>
        <w:gridCol w:w="1390"/>
        <w:gridCol w:w="1193"/>
        <w:gridCol w:w="1193"/>
        <w:gridCol w:w="965"/>
        <w:gridCol w:w="1193"/>
        <w:gridCol w:w="598"/>
        <w:gridCol w:w="612"/>
        <w:gridCol w:w="588"/>
        <w:gridCol w:w="572"/>
        <w:gridCol w:w="703"/>
        <w:gridCol w:w="648"/>
      </w:tblGrid>
      <w:tr>
        <w:trPr>
          <w:trHeight w:val="720" w:hRule="exact"/>
        </w:trPr>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63" w:right="461"/>
              <w:jc w:val="center"/>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2"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7" w:right="120"/>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65" w:right="168"/>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红利</w:t>
            </w:r>
          </w:p>
        </w:tc>
      </w:tr>
      <w:tr>
        <w:trPr>
          <w:trHeight w:val="931" w:hRule="exact"/>
        </w:trPr>
        <w:tc>
          <w:tcPr>
            <w:tcW w:w="1390"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9" w:right="439"/>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324"/>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1" w:right="146"/>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增加</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9" w:right="134"/>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hAnsi="宋体" w:cs="宋体" w:eastAsia="宋体" w:hint="default"/>
                <w:sz w:val="15"/>
                <w:szCs w:val="15"/>
              </w:rPr>
              <w:t>期末</w:t>
            </w:r>
          </w:p>
        </w:tc>
        <w:tc>
          <w:tcPr>
            <w:tcW w:w="703"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59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中铁信息计算机</w:t>
            </w:r>
          </w:p>
          <w:p>
            <w:pPr>
              <w:pStyle w:val="TableParagraph"/>
              <w:spacing w:line="240" w:lineRule="auto"/>
              <w:ind w:left="103" w:right="221"/>
              <w:jc w:val="left"/>
              <w:rPr>
                <w:rFonts w:ascii="宋体" w:hAnsi="宋体" w:cs="宋体" w:eastAsia="宋体" w:hint="default"/>
                <w:sz w:val="15"/>
                <w:szCs w:val="15"/>
              </w:rPr>
            </w:pPr>
            <w:r>
              <w:rPr>
                <w:rFonts w:ascii="宋体" w:hAnsi="宋体" w:cs="宋体" w:eastAsia="宋体" w:hint="default"/>
                <w:sz w:val="15"/>
                <w:szCs w:val="15"/>
              </w:rPr>
              <w:t>工程有限责任公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43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镇江东方康驰电</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机制造有限公司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10,500,000.00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10,500,000.00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27.75</w:t>
            </w:r>
            <w:r>
              <w:rPr>
                <w:rFonts w:ascii="宋体"/>
                <w:sz w:val="15"/>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43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北京华创朗润环</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境科技有限公</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5,000,000.00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10.00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0.00</w:t>
            </w:r>
          </w:p>
        </w:tc>
      </w:tr>
      <w:tr>
        <w:trPr>
          <w:trHeight w:val="59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中恒瑞景（北京）</w:t>
            </w:r>
          </w:p>
          <w:p>
            <w:pPr>
              <w:pStyle w:val="TableParagraph"/>
              <w:spacing w:line="240" w:lineRule="auto"/>
              <w:ind w:left="103" w:right="221"/>
              <w:jc w:val="left"/>
              <w:rPr>
                <w:rFonts w:ascii="宋体" w:hAnsi="宋体" w:cs="宋体" w:eastAsia="宋体" w:hint="default"/>
                <w:sz w:val="15"/>
                <w:szCs w:val="15"/>
              </w:rPr>
            </w:pPr>
            <w:r>
              <w:rPr>
                <w:rFonts w:ascii="宋体" w:hAnsi="宋体" w:cs="宋体" w:eastAsia="宋体" w:hint="default"/>
                <w:sz w:val="15"/>
                <w:szCs w:val="15"/>
              </w:rPr>
              <w:t>生态科技有限公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9.09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59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北京楚祥恒通投</w:t>
            </w:r>
          </w:p>
          <w:p>
            <w:pPr>
              <w:pStyle w:val="TableParagraph"/>
              <w:spacing w:line="240" w:lineRule="auto"/>
              <w:ind w:left="103" w:right="221"/>
              <w:jc w:val="left"/>
              <w:rPr>
                <w:rFonts w:ascii="宋体" w:hAnsi="宋体" w:cs="宋体" w:eastAsia="宋体" w:hint="default"/>
                <w:sz w:val="15"/>
                <w:szCs w:val="15"/>
              </w:rPr>
            </w:pPr>
            <w:r>
              <w:rPr>
                <w:rFonts w:ascii="宋体" w:hAnsi="宋体" w:cs="宋体" w:eastAsia="宋体" w:hint="default"/>
                <w:sz w:val="15"/>
                <w:szCs w:val="15"/>
              </w:rPr>
              <w:t>资中心（有限合</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伙）</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500,000.00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500,000.00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r>
      <w:tr>
        <w:trPr>
          <w:trHeight w:val="59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北京和润恺安科</w:t>
            </w:r>
          </w:p>
          <w:p>
            <w:pPr>
              <w:pStyle w:val="TableParagraph"/>
              <w:spacing w:line="240" w:lineRule="auto"/>
              <w:ind w:left="103" w:right="221"/>
              <w:jc w:val="left"/>
              <w:rPr>
                <w:rFonts w:ascii="宋体" w:hAnsi="宋体" w:cs="宋体" w:eastAsia="宋体" w:hint="default"/>
                <w:sz w:val="15"/>
                <w:szCs w:val="15"/>
              </w:rPr>
            </w:pPr>
            <w:r>
              <w:rPr>
                <w:rFonts w:ascii="宋体" w:hAnsi="宋体" w:cs="宋体" w:eastAsia="宋体" w:hint="default"/>
                <w:sz w:val="15"/>
                <w:szCs w:val="15"/>
              </w:rPr>
              <w:t>技发展有限责任</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18,000,000.00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18,000,000.00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59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北京智度德普股</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5"/>
                <w:sz w:val="15"/>
                <w:szCs w:val="15"/>
              </w:rPr>
              <w:t>权投资中心（有限</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合伙）</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30,000,000.00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30,000,000.00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0.721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596"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天津富意天成资</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产管理合伙企业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324,675.00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324,675.00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r>
      <w:tr>
        <w:trPr>
          <w:trHeight w:val="43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中天智慧城市投</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资股份有限公司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0.1996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43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北京天仕博科技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11,000,000.00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11,000,000.00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1.80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288"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17,400,000.00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59,324,675.00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75,924,675.00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left="537" w:right="3451"/>
        <w:jc w:val="left"/>
        <w:rPr>
          <w:b w:val="0"/>
          <w:bCs w:val="0"/>
        </w:rPr>
      </w:pPr>
      <w:r>
        <w:rPr>
          <w:rFonts w:ascii="宋体" w:hAnsi="宋体" w:cs="宋体" w:eastAsia="宋体" w:hint="default"/>
        </w:rPr>
        <w:t>(4).</w:t>
      </w:r>
      <w:r>
        <w:rPr>
          <w:rFonts w:ascii="宋体" w:hAnsi="宋体" w:cs="宋体" w:eastAsia="宋体" w:hint="default"/>
          <w:spacing w:val="35"/>
        </w:rPr>
        <w:t> </w:t>
      </w:r>
      <w:r>
        <w:rPr/>
        <w:t>报告期内可供出售金融资产减值的变动情况</w:t>
      </w:r>
      <w:r>
        <w:rPr>
          <w:b w:val="0"/>
          <w:bCs w:val="0"/>
        </w:rPr>
      </w:r>
    </w:p>
    <w:p>
      <w:pPr>
        <w:pStyle w:val="BodyText"/>
        <w:spacing w:line="240" w:lineRule="auto" w:before="55"/>
        <w:ind w:left="537" w:right="5380"/>
        <w:jc w:val="left"/>
      </w:pPr>
      <w:r>
        <w:rPr/>
        <w:t>□适用</w:t>
      </w:r>
      <w:r>
        <w:rPr>
          <w:spacing w:val="-1"/>
        </w:rPr>
        <w:t> </w:t>
      </w:r>
      <w:r>
        <w:rPr/>
        <w:t>√不适用</w:t>
      </w:r>
    </w:p>
    <w:p>
      <w:pPr>
        <w:pStyle w:val="Heading2"/>
        <w:spacing w:line="312" w:lineRule="exact" w:before="88"/>
        <w:ind w:left="957" w:right="0" w:hanging="420"/>
        <w:jc w:val="left"/>
        <w:rPr>
          <w:b w:val="0"/>
          <w:bCs w:val="0"/>
        </w:rPr>
      </w:pPr>
      <w:r>
        <w:rPr>
          <w:rFonts w:ascii="宋体" w:hAnsi="宋体" w:cs="宋体" w:eastAsia="宋体" w:hint="default"/>
        </w:rPr>
        <w:t>(5).</w:t>
      </w:r>
      <w:r>
        <w:rPr>
          <w:rFonts w:ascii="宋体" w:hAnsi="宋体" w:cs="宋体" w:eastAsia="宋体" w:hint="default"/>
          <w:spacing w:val="15"/>
        </w:rPr>
        <w:t> </w:t>
      </w:r>
      <w:r>
        <w:rPr>
          <w:spacing w:val="7"/>
        </w:rPr>
        <w:t>可供出售权益工具期末公允价值严重下跌或非暂时性下跌但未计提减值准备</w:t>
      </w:r>
      <w:r>
        <w:rPr>
          <w:w w:val="99"/>
        </w:rPr>
        <w:t> </w:t>
      </w:r>
      <w:r>
        <w:rPr/>
        <w:t>的相关说明：</w:t>
      </w:r>
      <w:r>
        <w:rPr>
          <w:b w:val="0"/>
          <w:bCs w:val="0"/>
        </w:rPr>
      </w:r>
    </w:p>
    <w:p>
      <w:pPr>
        <w:pStyle w:val="BodyText"/>
        <w:spacing w:line="310" w:lineRule="exact" w:before="62"/>
        <w:ind w:left="537" w:right="7530"/>
        <w:jc w:val="left"/>
      </w:pPr>
      <w:r>
        <w:rPr/>
        <w:t>□适用</w:t>
      </w:r>
      <w:r>
        <w:rPr>
          <w:spacing w:val="-1"/>
        </w:rPr>
        <w:t> </w:t>
      </w:r>
      <w:r>
        <w:rPr/>
        <w:t>√不适用</w:t>
      </w:r>
      <w:r>
        <w:rPr/>
        <w:t> 其他说明</w:t>
      </w:r>
    </w:p>
    <w:p>
      <w:pPr>
        <w:pStyle w:val="BodyText"/>
        <w:spacing w:line="237" w:lineRule="auto" w:before="92"/>
        <w:ind w:left="537" w:right="515" w:firstLine="480"/>
        <w:jc w:val="both"/>
      </w:pPr>
      <w:r>
        <w:rPr>
          <w:spacing w:val="-2"/>
        </w:rPr>
        <w:t>①上述被投资单位为非上市公司，目前不存在活跃的权益交易市场，同时相关财</w:t>
      </w:r>
      <w:r>
        <w:rPr/>
        <w:t> </w:t>
      </w:r>
      <w:r>
        <w:rPr>
          <w:spacing w:val="-2"/>
        </w:rPr>
        <w:t>务信息和市场信息的获取不具备持续性和及时性，公允价值无法可靠计量。此类金融</w:t>
      </w:r>
      <w:r>
        <w:rPr>
          <w:spacing w:val="-94"/>
        </w:rPr>
        <w:t> </w:t>
      </w:r>
      <w:r>
        <w:rPr>
          <w:spacing w:val="-94"/>
        </w:rPr>
      </w:r>
      <w:r>
        <w:rPr/>
        <w:t>资产按成本法计量。</w:t>
      </w:r>
    </w:p>
    <w:p>
      <w:pPr>
        <w:pStyle w:val="BodyText"/>
        <w:spacing w:line="312" w:lineRule="exact" w:before="149"/>
        <w:ind w:left="537" w:right="515" w:firstLine="480"/>
        <w:jc w:val="both"/>
      </w:pPr>
      <w:r>
        <w:rPr>
          <w:spacing w:val="-2"/>
        </w:rPr>
        <w:t>②本集团对镇江东方康驰电机制造有限公司没有实质重大影响，故计入可供出售</w:t>
      </w:r>
      <w:r>
        <w:rPr/>
        <w:t> 金融资产核算。</w:t>
      </w:r>
    </w:p>
    <w:p>
      <w:pPr>
        <w:spacing w:line="240" w:lineRule="auto" w:before="1"/>
        <w:rPr>
          <w:rFonts w:ascii="宋体" w:hAnsi="宋体" w:cs="宋体" w:eastAsia="宋体" w:hint="default"/>
          <w:sz w:val="35"/>
          <w:szCs w:val="35"/>
        </w:rPr>
      </w:pPr>
    </w:p>
    <w:p>
      <w:pPr>
        <w:pStyle w:val="Heading2"/>
        <w:spacing w:line="240" w:lineRule="auto" w:before="0"/>
        <w:ind w:left="537" w:right="5380"/>
        <w:jc w:val="left"/>
        <w:rPr>
          <w:b w:val="0"/>
          <w:bCs w:val="0"/>
        </w:rPr>
      </w:pPr>
      <w:r>
        <w:rPr>
          <w:rFonts w:ascii="宋体" w:hAnsi="宋体" w:cs="宋体" w:eastAsia="宋体" w:hint="default"/>
        </w:rPr>
        <w:t>15</w:t>
      </w:r>
      <w:r>
        <w:rPr/>
        <w:t>、</w:t>
      </w:r>
      <w:r>
        <w:rPr>
          <w:spacing w:val="-103"/>
        </w:rPr>
        <w:t> </w:t>
      </w:r>
      <w:r>
        <w:rPr/>
        <w:t>持有持有至到期投资</w:t>
      </w:r>
      <w:r>
        <w:rPr>
          <w:b w:val="0"/>
          <w:bCs w:val="0"/>
        </w:rPr>
      </w:r>
    </w:p>
    <w:p>
      <w:pPr>
        <w:pStyle w:val="BodyText"/>
        <w:spacing w:line="240" w:lineRule="auto" w:before="58"/>
        <w:ind w:left="537" w:right="5380"/>
        <w:jc w:val="left"/>
      </w:pPr>
      <w:r>
        <w:rPr/>
        <w:t>□适用</w:t>
      </w:r>
      <w:r>
        <w:rPr>
          <w:spacing w:val="-1"/>
        </w:rPr>
        <w:t> </w:t>
      </w:r>
      <w:r>
        <w:rPr/>
        <w:t>√不适用</w:t>
      </w:r>
    </w:p>
    <w:p>
      <w:pPr>
        <w:spacing w:after="0" w:line="240" w:lineRule="auto"/>
        <w:jc w:val="left"/>
        <w:sectPr>
          <w:pgSz w:w="11910" w:h="16840"/>
          <w:pgMar w:header="882" w:footer="1195" w:top="1120" w:bottom="1380" w:left="740" w:right="128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620" w:right="1300"/>
        </w:sectPr>
      </w:pPr>
    </w:p>
    <w:p>
      <w:pPr>
        <w:pStyle w:val="Heading2"/>
        <w:spacing w:line="240" w:lineRule="auto"/>
        <w:ind w:left="657" w:right="-18"/>
        <w:jc w:val="left"/>
        <w:rPr>
          <w:b w:val="0"/>
          <w:bCs w:val="0"/>
        </w:rPr>
      </w:pPr>
      <w:r>
        <w:rPr>
          <w:rFonts w:ascii="宋体" w:hAnsi="宋体" w:cs="宋体" w:eastAsia="宋体" w:hint="default"/>
        </w:rPr>
        <w:t>16</w:t>
      </w:r>
      <w:r>
        <w:rPr/>
        <w:t>、</w:t>
      </w:r>
      <w:r>
        <w:rPr>
          <w:spacing w:val="-102"/>
        </w:rPr>
        <w:t> </w:t>
      </w:r>
      <w:r>
        <w:rPr/>
        <w:t>长期应收款</w:t>
      </w:r>
      <w:r>
        <w:rPr>
          <w:b w:val="0"/>
          <w:bCs w:val="0"/>
        </w:rPr>
      </w:r>
    </w:p>
    <w:p>
      <w:pPr>
        <w:pStyle w:val="BodyText"/>
        <w:spacing w:line="240" w:lineRule="auto" w:before="58"/>
        <w:ind w:left="657" w:right="-18"/>
        <w:jc w:val="left"/>
      </w:pPr>
      <w:r>
        <w:rPr/>
        <w:t>√适用</w:t>
      </w:r>
      <w:r>
        <w:rPr>
          <w:spacing w:val="-1"/>
        </w:rPr>
        <w:t> </w:t>
      </w:r>
      <w:r>
        <w:rPr/>
        <w:t>□不适用</w:t>
      </w:r>
    </w:p>
    <w:p>
      <w:pPr>
        <w:pStyle w:val="Heading2"/>
        <w:spacing w:line="240" w:lineRule="auto" w:before="55"/>
        <w:ind w:left="657" w:right="-18"/>
        <w:jc w:val="left"/>
        <w:rPr>
          <w:b w:val="0"/>
          <w:bCs w:val="0"/>
        </w:rPr>
      </w:pPr>
      <w:r>
        <w:rPr>
          <w:rFonts w:ascii="宋体" w:hAnsi="宋体" w:cs="宋体" w:eastAsia="宋体" w:hint="default"/>
        </w:rPr>
        <w:t>(1)</w:t>
      </w:r>
      <w:r>
        <w:rPr>
          <w:rFonts w:ascii="宋体" w:hAnsi="宋体" w:cs="宋体" w:eastAsia="宋体" w:hint="default"/>
          <w:spacing w:val="-62"/>
        </w:rPr>
        <w:t> </w:t>
      </w:r>
      <w:r>
        <w:rPr/>
        <w:t>长期应收款情况：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857" w:val="left" w:leader="none"/>
        </w:tabs>
        <w:spacing w:line="240" w:lineRule="auto" w:before="197"/>
        <w:ind w:left="657" w:right="0"/>
        <w:jc w:val="left"/>
      </w:pPr>
      <w:r>
        <w:rPr/>
        <w:t>单位：元</w:t>
        <w:tab/>
        <w:t>币种：人民币</w:t>
      </w:r>
    </w:p>
    <w:p>
      <w:pPr>
        <w:spacing w:after="0" w:line="240" w:lineRule="auto"/>
        <w:jc w:val="left"/>
        <w:sectPr>
          <w:type w:val="continuous"/>
          <w:pgSz w:w="11910" w:h="16840"/>
          <w:pgMar w:top="1120" w:bottom="1380" w:left="620" w:right="1300"/>
          <w:cols w:num="2" w:equalWidth="0">
            <w:col w:w="3009" w:space="3184"/>
            <w:col w:w="3797"/>
          </w:cols>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20"/>
        <w:gridCol w:w="1265"/>
        <w:gridCol w:w="432"/>
        <w:gridCol w:w="1263"/>
        <w:gridCol w:w="1486"/>
        <w:gridCol w:w="1166"/>
        <w:gridCol w:w="1601"/>
        <w:gridCol w:w="1308"/>
      </w:tblGrid>
      <w:tr>
        <w:trPr>
          <w:trHeight w:val="245" w:hRule="exact"/>
        </w:trPr>
        <w:tc>
          <w:tcPr>
            <w:tcW w:w="122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0" w:type="dxa"/>
            <w:gridSpan w:val="3"/>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4" w:type="dxa"/>
            <w:gridSpan w:val="3"/>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82" w:hRule="exact"/>
        </w:trPr>
        <w:tc>
          <w:tcPr>
            <w:tcW w:w="1220" w:type="dxa"/>
            <w:vMerge/>
            <w:tcBorders>
              <w:left w:val="single" w:sz="4" w:space="0" w:color="000000"/>
              <w:bottom w:val="single" w:sz="6" w:space="0" w:color="000000"/>
              <w:right w:val="single" w:sz="4" w:space="0" w:color="000000"/>
            </w:tcBorders>
          </w:tcPr>
          <w:p>
            <w:pPr/>
          </w:p>
        </w:tc>
        <w:tc>
          <w:tcPr>
            <w:tcW w:w="12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8" w:type="dxa"/>
            <w:vMerge/>
            <w:tcBorders>
              <w:left w:val="single" w:sz="4" w:space="0" w:color="000000"/>
              <w:bottom w:val="single" w:sz="6" w:space="0" w:color="000000"/>
              <w:right w:val="single" w:sz="4" w:space="0" w:color="000000"/>
            </w:tcBorders>
          </w:tcPr>
          <w:p>
            <w:pPr/>
          </w:p>
        </w:tc>
      </w:tr>
      <w:tr>
        <w:trPr>
          <w:trHeight w:val="247"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6,867,288.30</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0.00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6,867,288.30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887,286,687.06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232,167.10</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887,054,519.96</w:t>
            </w:r>
          </w:p>
        </w:tc>
        <w:tc>
          <w:tcPr>
            <w:tcW w:w="1308" w:type="dxa"/>
            <w:tcBorders>
              <w:top w:val="single" w:sz="6" w:space="0" w:color="000000"/>
              <w:left w:val="single" w:sz="4" w:space="0" w:color="000000"/>
              <w:bottom w:val="single" w:sz="6" w:space="0" w:color="000000"/>
              <w:right w:val="single" w:sz="6" w:space="0" w:color="000000"/>
            </w:tcBorders>
          </w:tcPr>
          <w:p>
            <w:pPr/>
          </w:p>
        </w:tc>
      </w:tr>
      <w:tr>
        <w:trPr>
          <w:trHeight w:val="48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firstLine="360"/>
              <w:jc w:val="left"/>
              <w:rPr>
                <w:rFonts w:ascii="宋体" w:hAnsi="宋体" w:cs="宋体" w:eastAsia="宋体" w:hint="default"/>
                <w:sz w:val="18"/>
                <w:szCs w:val="18"/>
              </w:rPr>
            </w:pPr>
            <w:r>
              <w:rPr>
                <w:rFonts w:ascii="宋体" w:hAnsi="宋体" w:cs="宋体" w:eastAsia="宋体" w:hint="default"/>
                <w:sz w:val="18"/>
                <w:szCs w:val="18"/>
              </w:rPr>
              <w:t>其中：未</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实现融资收益</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429,571.90</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 w:right="0"/>
              <w:jc w:val="center"/>
              <w:rPr>
                <w:rFonts w:ascii="宋体" w:hAnsi="宋体" w:cs="宋体" w:eastAsia="宋体" w:hint="default"/>
                <w:sz w:val="18"/>
                <w:szCs w:val="18"/>
              </w:rPr>
            </w:pPr>
            <w:r>
              <w:rPr>
                <w:rFonts w:ascii="宋体"/>
                <w:sz w:val="18"/>
              </w:rPr>
              <w:t>0.00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429,571.90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108,753,746.67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0.00</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108,753,746.67</w:t>
            </w:r>
          </w:p>
        </w:tc>
        <w:tc>
          <w:tcPr>
            <w:tcW w:w="130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1.75%~15.00%</w:t>
            </w:r>
          </w:p>
        </w:tc>
      </w:tr>
      <w:tr>
        <w:trPr>
          <w:trHeight w:val="48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分期收款销售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265"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4" w:space="0" w:color="000000"/>
            </w:tcBorders>
          </w:tcPr>
          <w:p>
            <w:pPr/>
          </w:p>
        </w:tc>
        <w:tc>
          <w:tcPr>
            <w:tcW w:w="1308" w:type="dxa"/>
            <w:tcBorders>
              <w:top w:val="single" w:sz="6" w:space="0" w:color="000000"/>
              <w:left w:val="single" w:sz="4" w:space="0" w:color="000000"/>
              <w:bottom w:val="single" w:sz="6" w:space="0" w:color="000000"/>
              <w:right w:val="single" w:sz="6" w:space="0" w:color="000000"/>
            </w:tcBorders>
          </w:tcPr>
          <w:p>
            <w:pPr/>
          </w:p>
        </w:tc>
      </w:tr>
      <w:tr>
        <w:trPr>
          <w:trHeight w:val="483"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分期收款提供</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1265"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4" w:space="0" w:color="000000"/>
            </w:tcBorders>
          </w:tcPr>
          <w:p>
            <w:pPr/>
          </w:p>
        </w:tc>
        <w:tc>
          <w:tcPr>
            <w:tcW w:w="1308" w:type="dxa"/>
            <w:tcBorders>
              <w:top w:val="single" w:sz="6" w:space="0" w:color="000000"/>
              <w:left w:val="single" w:sz="4" w:space="0" w:color="000000"/>
              <w:bottom w:val="single" w:sz="6" w:space="0" w:color="000000"/>
              <w:right w:val="single" w:sz="6" w:space="0" w:color="000000"/>
            </w:tcBorders>
          </w:tcPr>
          <w:p>
            <w:pPr/>
          </w:p>
        </w:tc>
      </w:tr>
      <w:tr>
        <w:trPr>
          <w:trHeight w:val="247"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80,643,013.19</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0.00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80,643,013.19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0.00</w:t>
            </w:r>
          </w:p>
        </w:tc>
        <w:tc>
          <w:tcPr>
            <w:tcW w:w="1308" w:type="dxa"/>
            <w:tcBorders>
              <w:top w:val="single" w:sz="6" w:space="0" w:color="000000"/>
              <w:left w:val="single" w:sz="4" w:space="0" w:color="000000"/>
              <w:bottom w:val="single" w:sz="6" w:space="0" w:color="000000"/>
              <w:right w:val="single" w:sz="6" w:space="0" w:color="000000"/>
            </w:tcBorders>
          </w:tcPr>
          <w:p>
            <w:pPr/>
          </w:p>
        </w:tc>
      </w:tr>
      <w:tr>
        <w:trPr>
          <w:trHeight w:val="48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-43,885,070.4</w:t>
            </w:r>
          </w:p>
          <w:p>
            <w:pPr>
              <w:pStyle w:val="TableParagraph"/>
              <w:spacing w:line="234" w:lineRule="exact"/>
              <w:ind w:right="23"/>
              <w:jc w:val="right"/>
              <w:rPr>
                <w:rFonts w:ascii="宋体" w:hAnsi="宋体" w:cs="宋体" w:eastAsia="宋体" w:hint="default"/>
                <w:sz w:val="18"/>
                <w:szCs w:val="18"/>
              </w:rPr>
            </w:pPr>
            <w:r>
              <w:rPr>
                <w:rFonts w:ascii="宋体"/>
                <w:sz w:val="18"/>
              </w:rPr>
              <w:t>4</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 w:right="0"/>
              <w:jc w:val="center"/>
              <w:rPr>
                <w:rFonts w:ascii="宋体" w:hAnsi="宋体" w:cs="宋体" w:eastAsia="宋体" w:hint="default"/>
                <w:sz w:val="18"/>
                <w:szCs w:val="18"/>
              </w:rPr>
            </w:pPr>
            <w:r>
              <w:rPr>
                <w:rFonts w:ascii="宋体"/>
                <w:sz w:val="18"/>
              </w:rPr>
              <w:t>0.00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-43,885,070.4</w:t>
            </w:r>
          </w:p>
          <w:p>
            <w:pPr>
              <w:pStyle w:val="TableParagraph"/>
              <w:spacing w:line="234" w:lineRule="exact"/>
              <w:ind w:right="23"/>
              <w:jc w:val="right"/>
              <w:rPr>
                <w:rFonts w:ascii="宋体" w:hAnsi="宋体" w:cs="宋体" w:eastAsia="宋体" w:hint="default"/>
                <w:sz w:val="18"/>
                <w:szCs w:val="18"/>
              </w:rPr>
            </w:pPr>
            <w:r>
              <w:rPr>
                <w:rFonts w:ascii="宋体"/>
                <w:sz w:val="18"/>
              </w:rPr>
              <w:t>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-301,382,910.51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-232,167.10</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-301,150,743.41</w:t>
            </w:r>
          </w:p>
        </w:tc>
        <w:tc>
          <w:tcPr>
            <w:tcW w:w="1308" w:type="dxa"/>
            <w:tcBorders>
              <w:top w:val="single" w:sz="6" w:space="0" w:color="000000"/>
              <w:left w:val="single" w:sz="4" w:space="0" w:color="000000"/>
              <w:bottom w:val="single" w:sz="6" w:space="0" w:color="000000"/>
              <w:right w:val="single" w:sz="6" w:space="0" w:color="000000"/>
            </w:tcBorders>
          </w:tcPr>
          <w:p>
            <w:pPr/>
          </w:p>
        </w:tc>
      </w:tr>
      <w:tr>
        <w:trPr>
          <w:trHeight w:val="25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43,625,231.05</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0.00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43,625,231.05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585,903,776.55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585,903,776.55</w:t>
            </w:r>
          </w:p>
        </w:tc>
        <w:tc>
          <w:tcPr>
            <w:tcW w:w="13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23"/>
          <w:szCs w:val="23"/>
        </w:rPr>
      </w:pPr>
    </w:p>
    <w:p>
      <w:pPr>
        <w:pStyle w:val="Heading2"/>
        <w:spacing w:line="283" w:lineRule="auto"/>
        <w:ind w:left="657" w:right="455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2"/>
        </w:rPr>
        <w:t> </w:t>
      </w:r>
      <w:r>
        <w:rPr/>
        <w:t>因金融资产转移而终止确认的长期应收款</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83" w:lineRule="auto" w:before="0"/>
        <w:ind w:left="657" w:right="35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3"/>
        </w:rPr>
        <w:t> </w:t>
      </w:r>
      <w:r>
        <w:rPr/>
        <w:t>转移长期应收款且继续涉入形成的资产、负债金额</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620" w:right="1300"/>
        </w:sectPr>
      </w:pPr>
    </w:p>
    <w:p>
      <w:pPr>
        <w:pStyle w:val="BodyText"/>
        <w:spacing w:line="312" w:lineRule="exact" w:before="26"/>
        <w:ind w:left="657" w:right="0"/>
        <w:jc w:val="left"/>
      </w:pPr>
      <w:r>
        <w:rPr/>
        <w:t>其他说明：</w:t>
      </w:r>
    </w:p>
    <w:p>
      <w:pPr>
        <w:pStyle w:val="Heading2"/>
        <w:spacing w:line="312" w:lineRule="exact" w:before="0"/>
        <w:ind w:left="657" w:right="0"/>
        <w:jc w:val="left"/>
        <w:rPr>
          <w:b w:val="0"/>
          <w:bCs w:val="0"/>
        </w:rPr>
      </w:pPr>
      <w:r>
        <w:rPr>
          <w:w w:val="95"/>
        </w:rPr>
        <w:t>（</w:t>
      </w:r>
      <w:r>
        <w:rPr>
          <w:rFonts w:ascii="宋体" w:hAnsi="宋体" w:cs="宋体" w:eastAsia="宋体" w:hint="default"/>
          <w:w w:val="95"/>
        </w:rPr>
        <w:t>4</w:t>
      </w:r>
      <w:r>
        <w:rPr>
          <w:w w:val="95"/>
        </w:rPr>
        <w:t>）长期应收款逾期及延期情况分析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6"/>
        <w:rPr>
          <w:rFonts w:ascii="宋体" w:hAnsi="宋体" w:cs="宋体" w:eastAsia="宋体" w:hint="default"/>
          <w:b/>
          <w:bCs/>
          <w:sz w:val="25"/>
          <w:szCs w:val="25"/>
        </w:rPr>
      </w:pPr>
    </w:p>
    <w:p>
      <w:pPr>
        <w:pStyle w:val="BodyText"/>
        <w:tabs>
          <w:tab w:pos="1687" w:val="left" w:leader="none"/>
        </w:tabs>
        <w:spacing w:line="240" w:lineRule="auto"/>
        <w:ind w:left="367" w:right="0"/>
        <w:jc w:val="left"/>
      </w:pPr>
      <w:r>
        <w:rPr/>
        <w:t>单位： 元</w:t>
        <w:tab/>
        <w:t>币种： 人民币</w:t>
      </w:r>
    </w:p>
    <w:p>
      <w:pPr>
        <w:spacing w:after="0" w:line="240" w:lineRule="auto"/>
        <w:jc w:val="left"/>
        <w:sectPr>
          <w:type w:val="continuous"/>
          <w:pgSz w:w="11910" w:h="16840"/>
          <w:pgMar w:top="1120" w:bottom="1380" w:left="620" w:right="1300"/>
          <w:cols w:num="2" w:equalWidth="0">
            <w:col w:w="4633" w:space="40"/>
            <w:col w:w="5317"/>
          </w:cols>
        </w:sectPr>
      </w:pPr>
    </w:p>
    <w:p>
      <w:pPr>
        <w:spacing w:line="240" w:lineRule="auto" w:before="12"/>
        <w:rPr>
          <w:rFonts w:ascii="宋体" w:hAnsi="宋体" w:cs="宋体" w:eastAsia="宋体" w:hint="default"/>
          <w:sz w:val="2"/>
          <w:szCs w:val="2"/>
        </w:rPr>
      </w:pPr>
    </w:p>
    <w:tbl>
      <w:tblPr>
        <w:tblW w:w="0" w:type="auto"/>
        <w:jc w:val="left"/>
        <w:tblInd w:w="652" w:type="dxa"/>
        <w:tblLayout w:type="fixed"/>
        <w:tblCellMar>
          <w:top w:w="0" w:type="dxa"/>
          <w:left w:w="0" w:type="dxa"/>
          <w:bottom w:w="0" w:type="dxa"/>
          <w:right w:w="0" w:type="dxa"/>
        </w:tblCellMar>
        <w:tblLook w:val="01E0"/>
      </w:tblPr>
      <w:tblGrid>
        <w:gridCol w:w="1277"/>
        <w:gridCol w:w="1426"/>
        <w:gridCol w:w="1267"/>
        <w:gridCol w:w="1788"/>
        <w:gridCol w:w="1613"/>
      </w:tblGrid>
      <w:tr>
        <w:trPr>
          <w:trHeight w:val="295"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逾期及延期</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95" w:hRule="exact"/>
        </w:trPr>
        <w:tc>
          <w:tcPr>
            <w:tcW w:w="1277"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r>
      <w:tr>
        <w:trPr>
          <w:trHeight w:val="29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671,731.88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24,153,741.03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232,167.10</w:t>
            </w:r>
          </w:p>
        </w:tc>
      </w:tr>
      <w:tr>
        <w:trPr>
          <w:trHeight w:val="29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19,008.98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r>
      <w:tr>
        <w:trPr>
          <w:trHeight w:val="2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690,740.86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24,153,741.03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232,167.10</w:t>
            </w:r>
          </w:p>
        </w:tc>
      </w:tr>
    </w:tbl>
    <w:p>
      <w:pPr>
        <w:pStyle w:val="BodyText"/>
        <w:spacing w:line="272" w:lineRule="exact"/>
        <w:ind w:left="657" w:right="0"/>
        <w:jc w:val="left"/>
        <w:rPr>
          <w:rFonts w:ascii="宋体" w:hAnsi="宋体" w:cs="宋体" w:eastAsia="宋体" w:hint="default"/>
        </w:rPr>
      </w:pPr>
      <w:r>
        <w:rPr/>
        <w:t>说明：本期坏账准备变动金额</w:t>
      </w:r>
      <w:r>
        <w:rPr>
          <w:rFonts w:ascii="宋体" w:hAnsi="宋体" w:cs="宋体" w:eastAsia="宋体" w:hint="default"/>
        </w:rPr>
        <w:t>-232,167.10</w:t>
      </w:r>
      <w:r>
        <w:rPr>
          <w:rFonts w:ascii="宋体" w:hAnsi="宋体" w:cs="宋体" w:eastAsia="宋体" w:hint="default"/>
          <w:spacing w:val="-84"/>
        </w:rPr>
        <w:t> </w:t>
      </w:r>
      <w:r>
        <w:rPr/>
        <w:t>元，其中处置减少坏账准备</w:t>
      </w:r>
      <w:r>
        <w:rPr>
          <w:spacing w:val="-84"/>
        </w:rPr>
        <w:t> </w:t>
      </w:r>
      <w:r>
        <w:rPr>
          <w:rFonts w:ascii="宋体" w:hAnsi="宋体" w:cs="宋体" w:eastAsia="宋体" w:hint="default"/>
        </w:rPr>
        <w:t>3,174,667.16</w:t>
      </w:r>
    </w:p>
    <w:p>
      <w:pPr>
        <w:pStyle w:val="BodyText"/>
        <w:spacing w:line="312" w:lineRule="exact"/>
        <w:ind w:left="657" w:right="0"/>
        <w:jc w:val="left"/>
      </w:pPr>
      <w:r>
        <w:rPr/>
        <w:t>元。</w:t>
      </w:r>
    </w:p>
    <w:p>
      <w:pPr>
        <w:spacing w:after="0" w:line="312" w:lineRule="exact"/>
        <w:jc w:val="left"/>
        <w:sectPr>
          <w:type w:val="continuous"/>
          <w:pgSz w:w="11910" w:h="16840"/>
          <w:pgMar w:top="1120" w:bottom="1380" w:left="620" w:right="1300"/>
        </w:sectPr>
      </w:pPr>
    </w:p>
    <w:p>
      <w:pPr>
        <w:spacing w:before="20"/>
        <w:ind w:left="5193" w:right="5413" w:firstLine="0"/>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0"/>
          <w:footerReference w:type="default" r:id="rId51"/>
          <w:pgSz w:w="16840" w:h="11910" w:orient="landscape"/>
          <w:pgMar w:header="0" w:footer="0" w:top="800" w:bottom="280" w:left="1300" w:right="1020"/>
        </w:sectPr>
      </w:pPr>
    </w:p>
    <w:p>
      <w:pPr>
        <w:pStyle w:val="Heading2"/>
        <w:spacing w:line="240" w:lineRule="auto"/>
        <w:ind w:left="224" w:right="-18"/>
        <w:jc w:val="left"/>
        <w:rPr>
          <w:b w:val="0"/>
          <w:bCs w:val="0"/>
        </w:rPr>
      </w:pPr>
      <w:r>
        <w:rPr>
          <w:rFonts w:ascii="宋体" w:hAnsi="宋体" w:cs="宋体" w:eastAsia="宋体" w:hint="default"/>
        </w:rPr>
        <w:t>17</w:t>
      </w:r>
      <w:r>
        <w:rPr/>
        <w:t>、</w:t>
      </w:r>
      <w:r>
        <w:rPr>
          <w:spacing w:val="-103"/>
        </w:rPr>
        <w:t> </w:t>
      </w:r>
      <w:r>
        <w:rPr/>
        <w:t>长期股权投资</w:t>
      </w:r>
      <w:r>
        <w:rPr>
          <w:b w:val="0"/>
          <w:bCs w:val="0"/>
        </w:rPr>
      </w:r>
    </w:p>
    <w:p>
      <w:pPr>
        <w:pStyle w:val="BodyText"/>
        <w:spacing w:line="240" w:lineRule="auto" w:before="55"/>
        <w:ind w:left="224" w:right="-18"/>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23" w:val="left" w:leader="none"/>
        </w:tabs>
        <w:spacing w:line="240" w:lineRule="auto"/>
        <w:ind w:left="224" w:right="0"/>
        <w:jc w:val="left"/>
      </w:pPr>
      <w:r>
        <w:rPr/>
        <w:t>单位：元</w:t>
        <w:tab/>
        <w:t>币种：人民币</w:t>
      </w:r>
    </w:p>
    <w:p>
      <w:pPr>
        <w:spacing w:after="0" w:line="240" w:lineRule="auto"/>
        <w:jc w:val="left"/>
        <w:sectPr>
          <w:type w:val="continuous"/>
          <w:pgSz w:w="16840" w:h="11910" w:orient="landscape"/>
          <w:pgMar w:top="1120" w:bottom="1380" w:left="1300" w:right="1020"/>
          <w:cols w:num="2" w:equalWidth="0">
            <w:col w:w="2173" w:space="9061"/>
            <w:col w:w="328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68"/>
        <w:gridCol w:w="1274"/>
        <w:gridCol w:w="1277"/>
        <w:gridCol w:w="852"/>
        <w:gridCol w:w="1272"/>
        <w:gridCol w:w="996"/>
        <w:gridCol w:w="1272"/>
        <w:gridCol w:w="1135"/>
        <w:gridCol w:w="802"/>
        <w:gridCol w:w="1178"/>
        <w:gridCol w:w="1423"/>
        <w:gridCol w:w="1133"/>
      </w:tblGrid>
      <w:tr>
        <w:trPr>
          <w:trHeight w:val="20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54"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9"/>
              <w:ind w:left="482" w:right="479"/>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8786"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79"/>
              <w:ind w:left="556" w:right="552"/>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9"/>
              <w:ind w:left="410" w:right="108" w:hanging="300"/>
              <w:jc w:val="left"/>
              <w:rPr>
                <w:rFonts w:ascii="宋体" w:hAnsi="宋体" w:cs="宋体" w:eastAsia="宋体" w:hint="default"/>
                <w:sz w:val="15"/>
                <w:szCs w:val="15"/>
              </w:rPr>
            </w:pPr>
            <w:r>
              <w:rPr>
                <w:rFonts w:ascii="宋体" w:hAnsi="宋体" w:cs="宋体" w:eastAsia="宋体" w:hint="default"/>
                <w:sz w:val="15"/>
                <w:szCs w:val="15"/>
              </w:rPr>
              <w:t>减值准备期末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398" w:hRule="exact"/>
        </w:trPr>
        <w:tc>
          <w:tcPr>
            <w:tcW w:w="166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8"/>
              <w:jc w:val="right"/>
              <w:rPr>
                <w:rFonts w:ascii="宋体" w:hAnsi="宋体" w:cs="宋体" w:eastAsia="宋体" w:hint="default"/>
                <w:sz w:val="15"/>
                <w:szCs w:val="15"/>
              </w:rPr>
            </w:pPr>
            <w:r>
              <w:rPr>
                <w:rFonts w:ascii="宋体" w:hAnsi="宋体" w:cs="宋体" w:eastAsia="宋体" w:hint="default"/>
                <w:spacing w:val="-1"/>
                <w:sz w:val="15"/>
                <w:szCs w:val="15"/>
              </w:rPr>
              <w:t>减少投资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权益法下确认的</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投资损益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其他综合收</w:t>
            </w:r>
          </w:p>
          <w:p>
            <w:pPr>
              <w:pStyle w:val="TableParagraph"/>
              <w:spacing w:line="195" w:lineRule="exact"/>
              <w:ind w:left="4" w:right="0"/>
              <w:jc w:val="center"/>
              <w:rPr>
                <w:rFonts w:ascii="宋体" w:hAnsi="宋体" w:cs="宋体" w:eastAsia="宋体" w:hint="default"/>
                <w:sz w:val="15"/>
                <w:szCs w:val="15"/>
              </w:rPr>
            </w:pPr>
            <w:r>
              <w:rPr>
                <w:rFonts w:ascii="宋体" w:hAnsi="宋体" w:cs="宋体" w:eastAsia="宋体" w:hint="default"/>
                <w:sz w:val="15"/>
                <w:szCs w:val="15"/>
              </w:rPr>
              <w:t>益调整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2"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hanging="75"/>
              <w:jc w:val="left"/>
              <w:rPr>
                <w:rFonts w:ascii="宋体" w:hAnsi="宋体" w:cs="宋体" w:eastAsia="宋体" w:hint="default"/>
                <w:sz w:val="15"/>
                <w:szCs w:val="15"/>
              </w:rPr>
            </w:pPr>
            <w:r>
              <w:rPr>
                <w:rFonts w:ascii="宋体" w:hAnsi="宋体" w:cs="宋体" w:eastAsia="宋体" w:hint="default"/>
                <w:sz w:val="15"/>
                <w:szCs w:val="15"/>
              </w:rPr>
              <w:t>宣告发放现金</w:t>
            </w:r>
          </w:p>
          <w:p>
            <w:pPr>
              <w:pStyle w:val="TableParagraph"/>
              <w:spacing w:line="195" w:lineRule="exact"/>
              <w:ind w:left="187" w:right="0"/>
              <w:jc w:val="left"/>
              <w:rPr>
                <w:rFonts w:ascii="宋体" w:hAnsi="宋体" w:cs="宋体" w:eastAsia="宋体" w:hint="default"/>
                <w:sz w:val="15"/>
                <w:szCs w:val="15"/>
              </w:rPr>
            </w:pPr>
            <w:r>
              <w:rPr>
                <w:rFonts w:ascii="宋体" w:hAnsi="宋体" w:cs="宋体" w:eastAsia="宋体" w:hint="default"/>
                <w:sz w:val="15"/>
                <w:szCs w:val="15"/>
              </w:rPr>
              <w:t>股利或利润</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0" w:right="0"/>
              <w:jc w:val="left"/>
              <w:rPr>
                <w:rFonts w:ascii="宋体" w:hAnsi="宋体" w:cs="宋体" w:eastAsia="宋体" w:hint="default"/>
                <w:sz w:val="15"/>
                <w:szCs w:val="15"/>
              </w:rPr>
            </w:pPr>
            <w:r>
              <w:rPr>
                <w:rFonts w:ascii="宋体" w:hAnsi="宋体" w:cs="宋体" w:eastAsia="宋体" w:hint="default"/>
                <w:sz w:val="15"/>
                <w:szCs w:val="15"/>
              </w:rPr>
              <w:t>计提减</w:t>
            </w:r>
          </w:p>
          <w:p>
            <w:pPr>
              <w:pStyle w:val="TableParagraph"/>
              <w:spacing w:line="195" w:lineRule="exact"/>
              <w:ind w:left="170" w:right="0"/>
              <w:jc w:val="left"/>
              <w:rPr>
                <w:rFonts w:ascii="宋体" w:hAnsi="宋体" w:cs="宋体" w:eastAsia="宋体" w:hint="default"/>
                <w:sz w:val="15"/>
                <w:szCs w:val="15"/>
              </w:rPr>
            </w:pPr>
            <w:r>
              <w:rPr>
                <w:rFonts w:ascii="宋体" w:hAnsi="宋体" w:cs="宋体" w:eastAsia="宋体" w:hint="default"/>
                <w:sz w:val="15"/>
                <w:szCs w:val="15"/>
              </w:rPr>
              <w:t>值准备</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2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20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ASLAutomatedService</w:t>
            </w:r>
          </w:p>
          <w:p>
            <w:pPr>
              <w:pStyle w:val="TableParagraph"/>
              <w:spacing w:line="195" w:lineRule="exact"/>
              <w:ind w:left="103" w:right="0"/>
              <w:jc w:val="left"/>
              <w:rPr>
                <w:rFonts w:ascii="宋体" w:hAnsi="宋体" w:cs="宋体" w:eastAsia="宋体" w:hint="default"/>
                <w:sz w:val="15"/>
                <w:szCs w:val="15"/>
              </w:rPr>
            </w:pPr>
            <w:r>
              <w:rPr>
                <w:rFonts w:ascii="宋体"/>
                <w:sz w:val="15"/>
              </w:rPr>
              <w:t>s(Thailand)Ltd.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676,865.67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41,956.11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718,821.78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718,821.78</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I-SprintInnovations</w:t>
            </w:r>
          </w:p>
          <w:p>
            <w:pPr>
              <w:pStyle w:val="TableParagraph"/>
              <w:spacing w:line="195" w:lineRule="exact"/>
              <w:ind w:left="103" w:right="0"/>
              <w:jc w:val="left"/>
              <w:rPr>
                <w:rFonts w:ascii="宋体" w:hAnsi="宋体" w:cs="宋体" w:eastAsia="宋体" w:hint="default"/>
                <w:sz w:val="15"/>
                <w:szCs w:val="15"/>
              </w:rPr>
            </w:pPr>
            <w:r>
              <w:rPr>
                <w:rFonts w:ascii="宋体"/>
                <w:sz w:val="15"/>
              </w:rPr>
              <w:t>PteLtd.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49,455,604.71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4,467,818.20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-5,179,904.83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62,856.11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-664,662.27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48,141,711.92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INSystems(Macao)Lim</w:t>
            </w:r>
          </w:p>
          <w:p>
            <w:pPr>
              <w:pStyle w:val="TableParagraph"/>
              <w:spacing w:line="195" w:lineRule="exact"/>
              <w:ind w:left="103" w:right="0"/>
              <w:jc w:val="left"/>
              <w:rPr>
                <w:rFonts w:ascii="宋体" w:hAnsi="宋体" w:cs="宋体" w:eastAsia="宋体" w:hint="default"/>
                <w:sz w:val="15"/>
                <w:szCs w:val="15"/>
              </w:rPr>
            </w:pPr>
            <w:r>
              <w:rPr>
                <w:rFonts w:ascii="宋体"/>
                <w:sz w:val="15"/>
              </w:rPr>
              <w:t>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694,059.75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419,394.38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403,181.62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60,504.84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770,777.35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深圳华胜均衡科技有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2,537,770.33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-591,326.28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1,946,444.05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北京国研天成投资管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1,967,431.76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-117,261.84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1,850,169.92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北京华胜天成信息技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术发展有限公司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9,190,794.26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451,080.53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9,641,874.79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r>
      <w:tr>
        <w:trPr>
          <w:trHeight w:val="3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北京悦享互联技术有</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-1,799,869.40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200,130.60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北京华胜天成股权投</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资中心（有限合伙）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601,433.07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601,433.07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北京中域昭拓股权投</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资中心（有限合伙）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112,000,000.00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-518,845.56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111,481,154.44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杭州沃趣网络科技有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29,679,779.37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23,360,220.6</w:t>
            </w:r>
          </w:p>
          <w:p>
            <w:pPr>
              <w:pStyle w:val="TableParagraph"/>
              <w:spacing w:line="195" w:lineRule="exact"/>
              <w:ind w:right="101"/>
              <w:jc w:val="right"/>
              <w:rPr>
                <w:rFonts w:ascii="宋体" w:hAnsi="宋体" w:cs="宋体" w:eastAsia="宋体" w:hint="default"/>
                <w:sz w:val="15"/>
                <w:szCs w:val="15"/>
              </w:rPr>
            </w:pPr>
            <w:r>
              <w:rPr>
                <w:rFonts w:ascii="宋体"/>
                <w:w w:val="100"/>
                <w:sz w:val="15"/>
              </w:rPr>
              <w:t>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53,040,000.00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9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64,522,526.48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148,749,030.64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-7,336,733.00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62,856.11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403,181.62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22,798,019.3</w:t>
            </w:r>
          </w:p>
          <w:p>
            <w:pPr>
              <w:pStyle w:val="TableParagraph"/>
              <w:spacing w:line="195" w:lineRule="exact"/>
              <w:ind w:right="101"/>
              <w:jc w:val="right"/>
              <w:rPr>
                <w:rFonts w:ascii="宋体" w:hAnsi="宋体" w:cs="宋体" w:eastAsia="宋体" w:hint="default"/>
                <w:sz w:val="15"/>
                <w:szCs w:val="15"/>
              </w:rPr>
            </w:pPr>
            <w:r>
              <w:rPr>
                <w:rFonts w:ascii="宋体"/>
                <w:w w:val="100"/>
                <w:sz w:val="15"/>
              </w:rPr>
              <w:t>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228,392,517.92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718,821.78</w:t>
            </w:r>
          </w:p>
        </w:tc>
      </w:tr>
    </w:tbl>
    <w:p>
      <w:pPr>
        <w:spacing w:line="240" w:lineRule="auto" w:before="12"/>
        <w:rPr>
          <w:rFonts w:ascii="宋体" w:hAnsi="宋体" w:cs="宋体" w:eastAsia="宋体" w:hint="default"/>
          <w:sz w:val="27"/>
          <w:szCs w:val="27"/>
        </w:rPr>
      </w:pPr>
    </w:p>
    <w:p>
      <w:pPr>
        <w:pStyle w:val="BodyText"/>
        <w:spacing w:line="237" w:lineRule="auto" w:before="28"/>
        <w:ind w:left="224" w:right="416"/>
        <w:jc w:val="both"/>
      </w:pPr>
      <w:r>
        <w:rPr>
          <w:spacing w:val="12"/>
        </w:rPr>
        <w:t>其他说明：</w:t>
      </w:r>
      <w:r>
        <w:rPr>
          <w:rFonts w:ascii="宋体" w:hAnsi="宋体" w:cs="宋体" w:eastAsia="宋体" w:hint="default"/>
          <w:spacing w:val="12"/>
        </w:rPr>
        <w:t>本</w:t>
      </w:r>
      <w:r>
        <w:rPr>
          <w:spacing w:val="12"/>
        </w:rPr>
        <w:t>公司之子公司北京华胜天成软件技术有限公司于 </w:t>
      </w:r>
      <w:r>
        <w:rPr>
          <w:rFonts w:ascii="宋体" w:hAnsi="宋体" w:cs="宋体" w:eastAsia="宋体" w:hint="default"/>
        </w:rPr>
        <w:t>2015 </w:t>
      </w:r>
      <w:r>
        <w:rPr/>
        <w:t>年 </w:t>
      </w:r>
      <w:r>
        <w:rPr>
          <w:rFonts w:ascii="宋体" w:hAnsi="宋体" w:cs="宋体" w:eastAsia="宋体" w:hint="default"/>
        </w:rPr>
        <w:t>1 </w:t>
      </w:r>
      <w:r>
        <w:rPr/>
        <w:t>月 </w:t>
      </w:r>
      <w:r>
        <w:rPr>
          <w:rFonts w:ascii="宋体" w:hAnsi="宋体" w:cs="宋体" w:eastAsia="宋体" w:hint="default"/>
        </w:rPr>
        <w:t>9</w:t>
      </w:r>
      <w:r>
        <w:rPr>
          <w:rFonts w:ascii="宋体" w:hAnsi="宋体" w:cs="宋体" w:eastAsia="宋体" w:hint="default"/>
          <w:spacing w:val="89"/>
        </w:rPr>
        <w:t> </w:t>
      </w:r>
      <w:r>
        <w:rPr>
          <w:spacing w:val="11"/>
        </w:rPr>
        <w:t>日投资杭州沃趣网络科技有限公司，出资金额</w:t>
      </w:r>
      <w:r>
        <w:rPr/>
        <w:t> </w:t>
      </w:r>
      <w:r>
        <w:rPr>
          <w:rFonts w:ascii="宋体" w:hAnsi="宋体" w:cs="宋体" w:eastAsia="宋体" w:hint="default"/>
        </w:rPr>
        <w:t>26,270,000.00</w:t>
      </w:r>
      <w:r>
        <w:rPr>
          <w:rFonts w:ascii="宋体" w:hAnsi="宋体" w:cs="宋体" w:eastAsia="宋体" w:hint="default"/>
          <w:spacing w:val="-57"/>
        </w:rPr>
        <w:t> </w:t>
      </w:r>
      <w:r>
        <w:rPr>
          <w:spacing w:val="-4"/>
        </w:rPr>
        <w:t>元，投资比例为</w:t>
      </w:r>
      <w:r>
        <w:rPr>
          <w:spacing w:val="-57"/>
        </w:rPr>
        <w:t> </w:t>
      </w:r>
      <w:r>
        <w:rPr>
          <w:rFonts w:ascii="宋体" w:hAnsi="宋体" w:cs="宋体" w:eastAsia="宋体" w:hint="default"/>
          <w:spacing w:val="-4"/>
        </w:rPr>
        <w:t>51%</w:t>
      </w:r>
      <w:r>
        <w:rPr>
          <w:spacing w:val="-4"/>
        </w:rPr>
        <w:t>，作为本集团的子公司，采用成本法核算；</w:t>
      </w:r>
      <w:r>
        <w:rPr>
          <w:rFonts w:ascii="宋体" w:hAnsi="宋体" w:cs="宋体" w:eastAsia="宋体" w:hint="default"/>
          <w:spacing w:val="-4"/>
        </w:rPr>
        <w:t>12</w:t>
      </w:r>
      <w:r>
        <w:rPr>
          <w:rFonts w:ascii="宋体" w:hAnsi="宋体" w:cs="宋体" w:eastAsia="宋体" w:hint="default"/>
          <w:spacing w:val="-57"/>
        </w:rPr>
        <w:t> </w:t>
      </w:r>
      <w:r>
        <w:rPr/>
        <w:t>月</w:t>
      </w:r>
      <w:r>
        <w:rPr>
          <w:spacing w:val="-57"/>
        </w:rPr>
        <w:t> </w:t>
      </w:r>
      <w:r>
        <w:rPr>
          <w:rFonts w:ascii="宋体" w:hAnsi="宋体" w:cs="宋体" w:eastAsia="宋体" w:hint="default"/>
        </w:rPr>
        <w:t>30</w:t>
      </w:r>
      <w:r>
        <w:rPr>
          <w:rFonts w:ascii="宋体" w:hAnsi="宋体" w:cs="宋体" w:eastAsia="宋体" w:hint="default"/>
          <w:spacing w:val="-57"/>
        </w:rPr>
        <w:t> </w:t>
      </w:r>
      <w:r>
        <w:rPr/>
        <w:t>日因杭州沃趣网络科技有限公司新增加投资者 </w:t>
      </w:r>
      <w:r>
        <w:rPr>
          <w:spacing w:val="9"/>
        </w:rPr>
        <w:t>北京中域昭拓股权股权中心（有限合伙），本公司持股比例降至</w:t>
      </w:r>
      <w:r>
        <w:rPr>
          <w:spacing w:val="50"/>
        </w:rPr>
        <w:t> </w:t>
      </w:r>
      <w:r>
        <w:rPr>
          <w:rFonts w:ascii="宋体" w:hAnsi="宋体" w:cs="宋体" w:eastAsia="宋体" w:hint="default"/>
          <w:spacing w:val="7"/>
        </w:rPr>
        <w:t>40.80%</w:t>
      </w:r>
      <w:r>
        <w:rPr>
          <w:spacing w:val="7"/>
        </w:rPr>
        <w:t>，变更为本集团的联营公司，原股权形成公允价值溢价</w:t>
      </w:r>
      <w:r>
        <w:rPr>
          <w:spacing w:val="-111"/>
        </w:rPr>
        <w:t> </w:t>
      </w:r>
      <w:r>
        <w:rPr>
          <w:spacing w:val="-111"/>
        </w:rPr>
      </w:r>
      <w:r>
        <w:rPr>
          <w:rFonts w:ascii="宋体" w:hAnsi="宋体" w:cs="宋体" w:eastAsia="宋体" w:hint="default"/>
        </w:rPr>
        <w:t>23,360,220.63</w:t>
      </w:r>
      <w:r>
        <w:rPr>
          <w:rFonts w:ascii="宋体" w:hAnsi="宋体" w:cs="宋体" w:eastAsia="宋体" w:hint="default"/>
          <w:spacing w:val="-60"/>
        </w:rPr>
        <w:t> </w:t>
      </w:r>
      <w:r>
        <w:rPr/>
        <w:t>元转入投资收益同时增加长期股权投资。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63"/>
        <w:ind w:left="5193" w:right="5386" w:firstLine="0"/>
        <w:jc w:val="center"/>
        <w:rPr>
          <w:rFonts w:ascii="Calibri" w:hAnsi="Calibri" w:cs="Calibri" w:eastAsia="Calibri" w:hint="default"/>
          <w:sz w:val="18"/>
          <w:szCs w:val="18"/>
        </w:rPr>
      </w:pPr>
      <w:r>
        <w:rPr>
          <w:rFonts w:ascii="Calibri"/>
          <w:sz w:val="18"/>
        </w:rPr>
        <w:t>126</w:t>
      </w:r>
    </w:p>
    <w:p>
      <w:pPr>
        <w:spacing w:after="0"/>
        <w:jc w:val="center"/>
        <w:rPr>
          <w:rFonts w:ascii="Calibri" w:hAnsi="Calibri" w:cs="Calibri" w:eastAsia="Calibri" w:hint="default"/>
          <w:sz w:val="18"/>
          <w:szCs w:val="18"/>
        </w:rPr>
        <w:sectPr>
          <w:type w:val="continuous"/>
          <w:pgSz w:w="16840" w:h="11910" w:orient="landscape"/>
          <w:pgMar w:top="1120" w:bottom="1380" w:left="1300" w:right="102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footerReference w:type="default" r:id="rId52"/>
          <w:pgSz w:w="11910" w:h="16840"/>
          <w:pgMar w:footer="1195" w:header="0" w:top="1120" w:bottom="1380" w:left="1060" w:right="1560"/>
          <w:pgNumType w:start="127"/>
        </w:sectPr>
      </w:pPr>
    </w:p>
    <w:p>
      <w:pPr>
        <w:pStyle w:val="Heading2"/>
        <w:spacing w:line="240" w:lineRule="auto" w:before="158"/>
        <w:ind w:right="1810"/>
        <w:jc w:val="left"/>
        <w:rPr>
          <w:b w:val="0"/>
          <w:bCs w:val="0"/>
        </w:rPr>
      </w:pPr>
      <w:r>
        <w:rPr>
          <w:rFonts w:ascii="宋体" w:hAnsi="宋体" w:cs="宋体" w:eastAsia="宋体" w:hint="default"/>
        </w:rPr>
        <w:t>18</w:t>
      </w:r>
      <w:r>
        <w:rPr/>
        <w:t>、</w:t>
      </w:r>
      <w:r>
        <w:rPr>
          <w:spacing w:val="-103"/>
        </w:rPr>
        <w:t> </w:t>
      </w:r>
      <w:r>
        <w:rPr/>
        <w:t>投资性房地产</w:t>
      </w:r>
      <w:r>
        <w:rPr>
          <w:b w:val="0"/>
          <w:bCs w:val="0"/>
        </w:rPr>
      </w:r>
    </w:p>
    <w:p>
      <w:pPr>
        <w:pStyle w:val="BodyText"/>
        <w:spacing w:line="312" w:lineRule="exact" w:before="86"/>
        <w:ind w:left="217" w:right="1810"/>
        <w:jc w:val="left"/>
      </w:pPr>
      <w:r>
        <w:rPr/>
        <w:t>√适用</w:t>
      </w:r>
      <w:r>
        <w:rPr>
          <w:spacing w:val="-1"/>
        </w:rPr>
        <w:t> </w:t>
      </w:r>
      <w:r>
        <w:rPr/>
        <w:t>□不适用</w:t>
      </w:r>
      <w:r>
        <w:rPr/>
        <w:t> 投资性房地产计量模式</w:t>
      </w:r>
    </w:p>
    <w:p>
      <w:pPr>
        <w:pStyle w:val="Heading2"/>
        <w:spacing w:line="240" w:lineRule="auto" w:before="29"/>
        <w:ind w:right="-18"/>
        <w:jc w:val="left"/>
        <w:rPr>
          <w:b w:val="0"/>
          <w:bCs w:val="0"/>
        </w:rPr>
      </w:pPr>
      <w:r>
        <w:rPr>
          <w:rFonts w:ascii="宋体" w:hAnsi="宋体" w:cs="宋体" w:eastAsia="宋体" w:hint="default"/>
        </w:rPr>
        <w:t>(1).</w:t>
      </w:r>
      <w:r>
        <w:rPr>
          <w:rFonts w:ascii="宋体" w:hAnsi="宋体" w:cs="宋体" w:eastAsia="宋体" w:hint="default"/>
          <w:spacing w:val="9"/>
        </w:rPr>
        <w:t> </w:t>
      </w:r>
      <w:r>
        <w:rPr/>
        <w:t>采用成本计量模式的投资性房地产</w:t>
      </w:r>
      <w:r>
        <w:rPr>
          <w:b w:val="0"/>
          <w:bCs w:val="0"/>
        </w:rPr>
      </w:r>
    </w:p>
    <w:p>
      <w:pPr>
        <w:pStyle w:val="BodyText"/>
        <w:spacing w:line="240" w:lineRule="auto" w:before="55"/>
        <w:ind w:left="217" w:right="181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448" w:space="1745"/>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95"/>
        <w:gridCol w:w="1582"/>
        <w:gridCol w:w="1553"/>
        <w:gridCol w:w="1541"/>
        <w:gridCol w:w="1580"/>
      </w:tblGrid>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50,659,274.03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50,659,274.03</w:t>
            </w:r>
          </w:p>
        </w:tc>
      </w:tr>
      <w:tr>
        <w:trPr>
          <w:trHeight w:val="28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795,072.30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795,072.30</w:t>
            </w: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795,072.30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795,072.30</w:t>
            </w: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5,973,625.95</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5,973,625.95</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5,973,625.95</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5,973,625.95</w:t>
            </w: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45,480,720.38</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45,480,720.38</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9,600,968.43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9,600,968.43</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1,242,973.79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1,242,973.79</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1,116,250.93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1,116,250.93</w:t>
            </w: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126,722.86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126,722.86</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4,030,253.20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4,030,253.20</w:t>
            </w: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4,030,253.20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4,030,253.20</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6,813,689.02</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6,813,689.02</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95"/>
        <w:gridCol w:w="1582"/>
        <w:gridCol w:w="1553"/>
        <w:gridCol w:w="1541"/>
        <w:gridCol w:w="1580"/>
      </w:tblGrid>
      <w:tr>
        <w:trPr>
          <w:trHeight w:val="28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38,667,031.36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38,667,031.36</w:t>
            </w:r>
          </w:p>
        </w:tc>
      </w:tr>
      <w:tr>
        <w:trPr>
          <w:trHeight w:val="30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1"/>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41,058,305.60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41,058,305.60</w:t>
            </w:r>
          </w:p>
        </w:tc>
      </w:tr>
    </w:tbl>
    <w:p>
      <w:pPr>
        <w:spacing w:line="240" w:lineRule="auto" w:before="2"/>
        <w:rPr>
          <w:rFonts w:ascii="宋体" w:hAnsi="宋体" w:cs="宋体" w:eastAsia="宋体" w:hint="default"/>
          <w:sz w:val="23"/>
          <w:szCs w:val="23"/>
        </w:rPr>
      </w:pPr>
    </w:p>
    <w:p>
      <w:pPr>
        <w:pStyle w:val="Heading2"/>
        <w:spacing w:line="240" w:lineRule="auto"/>
        <w:ind w:right="2569"/>
        <w:jc w:val="left"/>
        <w:rPr>
          <w:b w:val="0"/>
          <w:bCs w:val="0"/>
        </w:rPr>
      </w:pPr>
      <w:r>
        <w:rPr>
          <w:rFonts w:ascii="宋体" w:hAnsi="宋体" w:cs="宋体" w:eastAsia="宋体" w:hint="default"/>
        </w:rPr>
        <w:t>(2).</w:t>
      </w:r>
      <w:r>
        <w:rPr>
          <w:rFonts w:ascii="宋体" w:hAnsi="宋体" w:cs="宋体" w:eastAsia="宋体" w:hint="default"/>
          <w:spacing w:val="9"/>
        </w:rPr>
        <w:t> </w:t>
      </w:r>
      <w:r>
        <w:rPr/>
        <w:t>未办妥产权证书的投资性房地产情况：</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060" w:right="1560"/>
        </w:sectPr>
      </w:pPr>
    </w:p>
    <w:p>
      <w:pPr>
        <w:pStyle w:val="BodyText"/>
        <w:spacing w:line="313" w:lineRule="exact" w:before="26"/>
        <w:ind w:left="166" w:right="0"/>
        <w:jc w:val="left"/>
      </w:pPr>
      <w:r>
        <w:rPr/>
        <w:t>其他说明</w:t>
      </w:r>
    </w:p>
    <w:p>
      <w:pPr>
        <w:pStyle w:val="Heading2"/>
        <w:spacing w:line="313" w:lineRule="exact" w:before="0"/>
        <w:ind w:left="166" w:right="0"/>
        <w:jc w:val="left"/>
        <w:rPr>
          <w:b w:val="0"/>
          <w:bCs w:val="0"/>
        </w:rPr>
      </w:pPr>
      <w:r>
        <w:rPr>
          <w:w w:val="95"/>
        </w:rPr>
        <w:t>（</w:t>
      </w:r>
      <w:r>
        <w:rPr>
          <w:rFonts w:ascii="宋体" w:hAnsi="宋体" w:cs="宋体" w:eastAsia="宋体" w:hint="default"/>
          <w:w w:val="95"/>
        </w:rPr>
        <w:t>3</w:t>
      </w:r>
      <w:r>
        <w:rPr>
          <w:w w:val="95"/>
        </w:rPr>
        <w:t>）投资性房地产抵押、担保情况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5"/>
          <w:szCs w:val="25"/>
        </w:rPr>
      </w:pPr>
    </w:p>
    <w:p>
      <w:pPr>
        <w:pStyle w:val="BodyText"/>
        <w:tabs>
          <w:tab w:pos="1126" w:val="left" w:leader="none"/>
        </w:tabs>
        <w:spacing w:line="240" w:lineRule="auto"/>
        <w:ind w:left="166" w:right="0"/>
        <w:jc w:val="left"/>
      </w:pPr>
      <w:r>
        <w:rPr/>
        <w:t>单位元</w:t>
        <w:tab/>
        <w:t>币种：人民币</w:t>
      </w:r>
    </w:p>
    <w:p>
      <w:pPr>
        <w:spacing w:after="0" w:line="240" w:lineRule="auto"/>
        <w:jc w:val="left"/>
        <w:sectPr>
          <w:type w:val="continuous"/>
          <w:pgSz w:w="11910" w:h="16840"/>
          <w:pgMar w:top="1120" w:bottom="1380" w:left="1060" w:right="1560"/>
          <w:cols w:num="2" w:equalWidth="0">
            <w:col w:w="3901" w:space="2583"/>
            <w:col w:w="2806"/>
          </w:cols>
        </w:sectPr>
      </w:pPr>
    </w:p>
    <w:p>
      <w:pPr>
        <w:spacing w:line="240" w:lineRule="auto" w:before="12"/>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122"/>
        <w:gridCol w:w="2415"/>
        <w:gridCol w:w="4405"/>
      </w:tblGrid>
      <w:tr>
        <w:trPr>
          <w:trHeight w:val="63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4"/>
                <w:szCs w:val="24"/>
              </w:rPr>
            </w:pPr>
            <w:r>
              <w:rPr>
                <w:rFonts w:ascii="宋体" w:hAnsi="宋体" w:cs="宋体" w:eastAsia="宋体" w:hint="default"/>
                <w:b/>
                <w:bCs/>
                <w:sz w:val="24"/>
                <w:szCs w:val="24"/>
              </w:rPr>
              <w:t>投资性房地产类</w:t>
            </w:r>
            <w:r>
              <w:rPr>
                <w:rFonts w:ascii="宋体" w:hAnsi="宋体" w:cs="宋体" w:eastAsia="宋体" w:hint="default"/>
                <w:sz w:val="24"/>
                <w:szCs w:val="24"/>
              </w:rPr>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b/>
                <w:bCs/>
                <w:w w:val="99"/>
                <w:sz w:val="24"/>
                <w:szCs w:val="24"/>
              </w:rPr>
              <w:t>别</w:t>
            </w:r>
            <w:r>
              <w:rPr>
                <w:rFonts w:ascii="宋体" w:hAnsi="宋体" w:cs="宋体" w:eastAsia="宋体" w:hint="default"/>
                <w:sz w:val="24"/>
                <w:szCs w:val="24"/>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98" w:right="0"/>
              <w:jc w:val="left"/>
              <w:rPr>
                <w:rFonts w:ascii="宋体" w:hAnsi="宋体" w:cs="宋体" w:eastAsia="宋体" w:hint="default"/>
                <w:sz w:val="24"/>
                <w:szCs w:val="24"/>
              </w:rPr>
            </w:pPr>
            <w:r>
              <w:rPr>
                <w:rFonts w:ascii="宋体" w:hAnsi="宋体" w:cs="宋体" w:eastAsia="宋体" w:hint="default"/>
                <w:b/>
                <w:bCs/>
                <w:sz w:val="24"/>
                <w:szCs w:val="24"/>
              </w:rPr>
              <w:t>抵押物净值</w:t>
            </w:r>
            <w:r>
              <w:rPr>
                <w:rFonts w:ascii="宋体" w:hAnsi="宋体" w:cs="宋体" w:eastAsia="宋体" w:hint="default"/>
                <w:sz w:val="24"/>
                <w:szCs w:val="24"/>
              </w:rPr>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4"/>
                <w:szCs w:val="24"/>
              </w:rPr>
            </w:pPr>
            <w:r>
              <w:rPr>
                <w:rFonts w:ascii="宋体" w:hAnsi="宋体" w:cs="宋体" w:eastAsia="宋体" w:hint="default"/>
                <w:b/>
                <w:bCs/>
                <w:sz w:val="24"/>
                <w:szCs w:val="24"/>
              </w:rPr>
              <w:t>抵押情况说明</w:t>
            </w:r>
            <w:r>
              <w:rPr>
                <w:rFonts w:ascii="宋体" w:hAnsi="宋体" w:cs="宋体" w:eastAsia="宋体" w:hint="default"/>
                <w:sz w:val="24"/>
                <w:szCs w:val="24"/>
              </w:rPr>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4"/>
                <w:szCs w:val="24"/>
              </w:rPr>
            </w:pPr>
            <w:r>
              <w:rPr>
                <w:rFonts w:ascii="宋体"/>
                <w:sz w:val="24"/>
              </w:rPr>
              <w:t>11,332,524.16</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4"/>
                <w:szCs w:val="24"/>
              </w:rPr>
            </w:pPr>
            <w:r>
              <w:rPr>
                <w:rFonts w:ascii="宋体" w:hAnsi="宋体" w:cs="宋体" w:eastAsia="宋体" w:hint="default"/>
                <w:sz w:val="24"/>
                <w:szCs w:val="24"/>
              </w:rPr>
              <w:t>建筑物被抵押，用于取得银行信贷担保</w:t>
            </w:r>
          </w:p>
        </w:tc>
      </w:tr>
    </w:tbl>
    <w:p>
      <w:pPr>
        <w:spacing w:after="0" w:line="274" w:lineRule="exact"/>
        <w:jc w:val="center"/>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53"/>
          <w:footerReference w:type="default" r:id="rId54"/>
          <w:pgSz w:w="16840" w:h="11910" w:orient="landscape"/>
          <w:pgMar w:header="882" w:footer="1195" w:top="1120" w:bottom="1380" w:left="1380" w:right="1280"/>
          <w:pgNumType w:start="12"/>
        </w:sectPr>
      </w:pPr>
    </w:p>
    <w:p>
      <w:pPr>
        <w:pStyle w:val="Heading2"/>
        <w:spacing w:line="240" w:lineRule="auto"/>
        <w:ind w:left="144" w:right="0"/>
        <w:jc w:val="left"/>
        <w:rPr>
          <w:b w:val="0"/>
          <w:bCs w:val="0"/>
        </w:rPr>
      </w:pPr>
      <w:r>
        <w:rPr>
          <w:rFonts w:ascii="宋体" w:hAnsi="宋体" w:cs="宋体" w:eastAsia="宋体" w:hint="default"/>
        </w:rPr>
        <w:t>19</w:t>
      </w:r>
      <w:r>
        <w:rPr/>
        <w:t>、</w:t>
      </w:r>
      <w:r>
        <w:rPr>
          <w:spacing w:val="-101"/>
        </w:rPr>
        <w:t> </w:t>
      </w:r>
      <w:r>
        <w:rPr/>
        <w:t>固定资产</w:t>
      </w:r>
      <w:r>
        <w:rPr>
          <w:b w:val="0"/>
          <w:bCs w:val="0"/>
        </w:rPr>
      </w:r>
    </w:p>
    <w:p>
      <w:pPr>
        <w:pStyle w:val="Heading2"/>
        <w:tabs>
          <w:tab w:pos="984" w:val="left" w:leader="none"/>
        </w:tabs>
        <w:spacing w:line="240" w:lineRule="auto" w:before="58"/>
        <w:ind w:left="144" w:right="0"/>
        <w:jc w:val="left"/>
        <w:rPr>
          <w:b w:val="0"/>
          <w:bCs w:val="0"/>
        </w:rPr>
      </w:pPr>
      <w:r>
        <w:rPr>
          <w:rFonts w:ascii="宋体" w:hAnsi="宋体" w:cs="宋体" w:eastAsia="宋体" w:hint="default"/>
        </w:rPr>
        <w:t>(1).</w:t>
        <w:tab/>
      </w:r>
      <w:r>
        <w:rPr>
          <w:w w:val="95"/>
        </w:rPr>
        <w:t>固定资产情况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343" w:val="left" w:leader="none"/>
        </w:tabs>
        <w:spacing w:line="240" w:lineRule="auto"/>
        <w:ind w:left="144"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429" w:space="8805"/>
            <w:col w:w="294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1320"/>
        <w:gridCol w:w="1229"/>
        <w:gridCol w:w="1232"/>
        <w:gridCol w:w="1320"/>
        <w:gridCol w:w="1229"/>
        <w:gridCol w:w="1232"/>
        <w:gridCol w:w="960"/>
        <w:gridCol w:w="2016"/>
      </w:tblGrid>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50"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127,479,981.15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14,715,435.77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17,437,832.35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187,030,892.53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32,759,768.60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27,634,300.06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920,398.43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407,978,608.89</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386,105,869.89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2,442,802.20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25,310,448.50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13,123,512.55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3,007,290.06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2,982.05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429,992,905.25</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2,346,135.14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18,968,344.91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4,118,639.04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2,578,258.75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2,982.05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28,014,359.89</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376,049,054.10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7,750,000.00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383,799,054.10</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718,322.74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33,745.00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752,067.74</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2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）投资性房地产转入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5,973,625.95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5,973,625.95</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）汇率变动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4,083,189.84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96,667.06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5,623,780.85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1,221,128.51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429,031.31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11,453,797.57</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2,872,861.02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14,076,973.66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2,603,882.09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2,626,446.92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303,066.76</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22,483,230.45</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2,308,261.02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9,597,331.03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2,302,884.01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2,626,446.92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303,066.76</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17,137,989.74</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）企业处置减少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564,600.00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4,479,642.63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300,998.08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5,345,240.71</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513,585,851.04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14,715,435.77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17,007,773.53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198,264,367.37</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43,279,399.06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28,015,143.20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620,313.72</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815,488,283.69</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21,068,211.19</w:t>
            </w: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14,194,012.84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118,180,883.96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29,202,836.22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pacing w:val="-1"/>
                <w:sz w:val="18"/>
              </w:rPr>
              <w:t>22,899,865.27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761,241.13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206,307,050.61</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11,404,059.05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1,395,022.56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1,085,403.68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24,776,625.60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3,723,487.09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3,389,279.54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4,918.55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45,778,796.07</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6,734,667.52</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1,395,022.56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1,038,839.27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19,709,067.80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2,560,748.21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3,121,800.85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4,918.55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34,565,064.76</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69,538.00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8,888.82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78,426.82</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2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）投资性房地产转入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4,030,253.18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4,030,253.18</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）汇率变动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639,138.35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46,564.41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4,998,019.80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1,153,850.06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267,478.69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7,105,051.31</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2,486,311.77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8,776,526.90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2,132,152.85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2,626,446.92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175,195.13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16,196,633.57</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2,057,215.77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7,409,982.66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2,006,977.35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2,626,446.92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175,195.13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14,275,817.83</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）企业处置减少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429,096.00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1,366,544.24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125,175.50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1,920,815.74</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32,472,270.24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1,395,022.56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12,793,104.75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134,180,982.66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30,794,170.46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23,662,697.89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590,964.55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235,889,213.11</w:t>
            </w:r>
          </w:p>
        </w:tc>
      </w:tr>
      <w:tr>
        <w:trPr>
          <w:trHeight w:val="248"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99"/>
        <w:gridCol w:w="1320"/>
        <w:gridCol w:w="1229"/>
        <w:gridCol w:w="1232"/>
        <w:gridCol w:w="1320"/>
        <w:gridCol w:w="1229"/>
        <w:gridCol w:w="1232"/>
        <w:gridCol w:w="960"/>
        <w:gridCol w:w="2016"/>
      </w:tblGrid>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r>
      <w:tr>
        <w:trPr>
          <w:trHeight w:val="2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481,113,580.80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13,320,413.21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4,214,668.78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64,083,384.71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12,485,228.60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4,352,445.31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29,349.17</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579,599,070.58</w:t>
            </w:r>
          </w:p>
        </w:tc>
      </w:tr>
      <w:tr>
        <w:trPr>
          <w:trHeight w:val="250"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106,411,769.96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14,715,435.77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3,243,819.51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68,850,008.57</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3,556,932.38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4,734,434.79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159,157.30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201,671,558.28</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55"/>
          <w:footerReference w:type="default" r:id="rId56"/>
          <w:pgSz w:w="11910" w:h="16840"/>
          <w:pgMar w:header="882" w:footer="1195" w:top="1120" w:bottom="1380" w:left="1060" w:right="1560"/>
          <w:pgNumType w:start="131"/>
        </w:sectPr>
      </w:pPr>
    </w:p>
    <w:p>
      <w:pPr>
        <w:pStyle w:val="Heading2"/>
        <w:tabs>
          <w:tab w:pos="1057" w:val="left" w:leader="none"/>
        </w:tabs>
        <w:spacing w:line="240" w:lineRule="auto" w:before="186"/>
        <w:ind w:right="0"/>
        <w:jc w:val="left"/>
        <w:rPr>
          <w:b w:val="0"/>
          <w:bCs w:val="0"/>
        </w:rPr>
      </w:pPr>
      <w:r>
        <w:rPr>
          <w:rFonts w:ascii="宋体" w:hAnsi="宋体" w:cs="宋体" w:eastAsia="宋体" w:hint="default"/>
        </w:rPr>
        <w:t>(2).</w:t>
        <w:tab/>
      </w:r>
      <w:r>
        <w:rPr/>
        <w:t>暂时闲置的固定资产情况</w:t>
      </w:r>
      <w:r>
        <w:rPr>
          <w:b w:val="0"/>
          <w:bCs w:val="0"/>
        </w:rPr>
      </w:r>
    </w:p>
    <w:p>
      <w:pPr>
        <w:pStyle w:val="BodyText"/>
        <w:spacing w:line="240" w:lineRule="auto" w:before="55"/>
        <w:ind w:left="217"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rFonts w:ascii="宋体" w:hAnsi="宋体" w:cs="宋体" w:eastAsia="宋体" w:hint="default"/>
        </w:rPr>
        <w:t>(3).</w:t>
        <w:tab/>
      </w:r>
      <w:r>
        <w:rPr>
          <w:w w:val="95"/>
        </w:rPr>
        <w:t>通过融资租赁租入的固定资产情况</w:t>
      </w:r>
      <w:r>
        <w:rPr>
          <w:b w:val="0"/>
          <w:bCs w:val="0"/>
        </w:rPr>
      </w:r>
    </w:p>
    <w:p>
      <w:pPr>
        <w:pStyle w:val="BodyText"/>
        <w:spacing w:line="240" w:lineRule="auto" w:before="58"/>
        <w:ind w:left="217" w:right="0"/>
        <w:jc w:val="left"/>
      </w:pPr>
      <w:r>
        <w:rPr/>
        <w:t>□适用</w:t>
      </w:r>
      <w:r>
        <w:rPr>
          <w:spacing w:val="-1"/>
        </w:rPr>
        <w:t> </w:t>
      </w:r>
      <w:r>
        <w:rPr/>
        <w:t>√不适用</w:t>
      </w:r>
    </w:p>
    <w:p>
      <w:pPr>
        <w:pStyle w:val="Heading2"/>
        <w:tabs>
          <w:tab w:pos="1057" w:val="left" w:leader="none"/>
        </w:tabs>
        <w:spacing w:line="240" w:lineRule="auto" w:before="55"/>
        <w:ind w:right="0"/>
        <w:jc w:val="left"/>
        <w:rPr>
          <w:b w:val="0"/>
          <w:bCs w:val="0"/>
        </w:rPr>
      </w:pPr>
      <w:r>
        <w:rPr>
          <w:rFonts w:ascii="宋体" w:hAnsi="宋体" w:cs="宋体" w:eastAsia="宋体" w:hint="default"/>
        </w:rPr>
        <w:t>(4).</w:t>
        <w:tab/>
      </w:r>
      <w:r>
        <w:rPr/>
        <w:t>通过经营租赁租出的固定资产</w:t>
      </w:r>
      <w:r>
        <w:rPr>
          <w:b w:val="0"/>
          <w:bCs w:val="0"/>
        </w:rPr>
      </w:r>
    </w:p>
    <w:p>
      <w:pPr>
        <w:pStyle w:val="BodyText"/>
        <w:spacing w:line="240" w:lineRule="auto" w:before="58"/>
        <w:ind w:left="217"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rFonts w:ascii="宋体" w:hAnsi="宋体" w:cs="宋体" w:eastAsia="宋体" w:hint="default"/>
        </w:rPr>
        <w:t>(5).</w:t>
        <w:tab/>
      </w:r>
      <w:r>
        <w:rPr/>
        <w:t>未办妥产权证书的固定资产情况</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671" w:space="1522"/>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826"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南京国际服务外包大厦</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6"/>
                <w:sz w:val="21"/>
                <w:szCs w:val="21"/>
              </w:rPr>
              <w:t> </w:t>
            </w:r>
            <w:r>
              <w:rPr>
                <w:rFonts w:ascii="宋体" w:hAnsi="宋体" w:cs="宋体" w:eastAsia="宋体" w:hint="default"/>
                <w:sz w:val="21"/>
                <w:szCs w:val="21"/>
              </w:rPr>
              <w:t>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D</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4" w:right="0"/>
              <w:jc w:val="left"/>
              <w:rPr>
                <w:rFonts w:ascii="宋体" w:hAnsi="宋体" w:cs="宋体" w:eastAsia="宋体" w:hint="default"/>
                <w:sz w:val="21"/>
                <w:szCs w:val="21"/>
              </w:rPr>
            </w:pPr>
            <w:r>
              <w:rPr>
                <w:rFonts w:ascii="宋体"/>
                <w:sz w:val="21"/>
              </w:rPr>
              <w:t>13,390,720.00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该房屋由南京鼓楼科技产业有</w:t>
            </w:r>
          </w:p>
          <w:p>
            <w:pPr>
              <w:pStyle w:val="TableParagraph"/>
              <w:spacing w:line="240" w:lineRule="auto"/>
              <w:ind w:left="103" w:right="209"/>
              <w:jc w:val="left"/>
              <w:rPr>
                <w:rFonts w:ascii="宋体" w:hAnsi="宋体" w:cs="宋体" w:eastAsia="宋体" w:hint="default"/>
                <w:sz w:val="21"/>
                <w:szCs w:val="21"/>
              </w:rPr>
            </w:pPr>
            <w:r>
              <w:rPr>
                <w:rFonts w:ascii="宋体" w:hAnsi="宋体" w:cs="宋体" w:eastAsia="宋体" w:hint="default"/>
                <w:spacing w:val="-2"/>
                <w:sz w:val="21"/>
                <w:szCs w:val="21"/>
              </w:rPr>
              <w:t>限公司办理房屋所有权证和土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地使用权证，正在办理之中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BodyText"/>
        <w:spacing w:line="313" w:lineRule="exact" w:before="163"/>
        <w:ind w:left="217" w:right="-20"/>
        <w:jc w:val="left"/>
      </w:pPr>
      <w:r>
        <w:rPr/>
        <w:t>其他说明：</w:t>
      </w:r>
    </w:p>
    <w:p>
      <w:pPr>
        <w:pStyle w:val="Heading2"/>
        <w:spacing w:line="313" w:lineRule="exact" w:before="0"/>
        <w:ind w:right="-20"/>
        <w:jc w:val="left"/>
        <w:rPr>
          <w:b w:val="0"/>
          <w:bCs w:val="0"/>
        </w:rPr>
      </w:pPr>
      <w:r>
        <w:rPr/>
        <w:t>（</w:t>
      </w:r>
      <w:r>
        <w:rPr>
          <w:rFonts w:ascii="宋体" w:hAnsi="宋体" w:cs="宋体" w:eastAsia="宋体" w:hint="default"/>
        </w:rPr>
        <w:t>6</w:t>
      </w:r>
      <w:r>
        <w:rPr/>
        <w:t>）固定资产抵押、担保情况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tabs>
          <w:tab w:pos="1417" w:val="left" w:leader="none"/>
        </w:tabs>
        <w:spacing w:line="240" w:lineRule="auto" w:before="159"/>
        <w:ind w:left="217" w:right="0"/>
        <w:jc w:val="left"/>
      </w:pPr>
      <w:r>
        <w:rPr/>
        <w:t>单位：元</w:t>
        <w:tab/>
        <w:t>币种： 人民币</w:t>
      </w:r>
    </w:p>
    <w:p>
      <w:pPr>
        <w:spacing w:after="0" w:line="240" w:lineRule="auto"/>
        <w:jc w:val="left"/>
        <w:sectPr>
          <w:type w:val="continuous"/>
          <w:pgSz w:w="11910" w:h="16840"/>
          <w:pgMar w:top="1120" w:bottom="1380" w:left="1060" w:right="1560"/>
          <w:cols w:num="2" w:equalWidth="0">
            <w:col w:w="3471" w:space="2602"/>
            <w:col w:w="3217"/>
          </w:cols>
        </w:sectPr>
      </w:pPr>
    </w:p>
    <w:p>
      <w:pPr>
        <w:spacing w:line="240" w:lineRule="auto" w:before="12"/>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687"/>
        <w:gridCol w:w="1983"/>
        <w:gridCol w:w="5120"/>
      </w:tblGrid>
      <w:tr>
        <w:trPr>
          <w:trHeight w:val="310"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8"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58" w:right="0"/>
              <w:jc w:val="left"/>
              <w:rPr>
                <w:rFonts w:ascii="宋体" w:hAnsi="宋体" w:cs="宋体" w:eastAsia="宋体" w:hint="default"/>
                <w:sz w:val="21"/>
                <w:szCs w:val="21"/>
              </w:rPr>
            </w:pPr>
            <w:r>
              <w:rPr>
                <w:rFonts w:ascii="宋体" w:hAnsi="宋体" w:cs="宋体" w:eastAsia="宋体" w:hint="default"/>
                <w:sz w:val="21"/>
                <w:szCs w:val="21"/>
              </w:rPr>
              <w:t>抵押物净值</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抵押情况说明</w:t>
            </w:r>
          </w:p>
        </w:tc>
      </w:tr>
      <w:tr>
        <w:trPr>
          <w:trHeight w:val="310"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01" w:right="0"/>
              <w:jc w:val="left"/>
              <w:rPr>
                <w:rFonts w:ascii="宋体" w:hAnsi="宋体" w:cs="宋体" w:eastAsia="宋体" w:hint="default"/>
                <w:sz w:val="21"/>
                <w:szCs w:val="21"/>
              </w:rPr>
            </w:pPr>
            <w:r>
              <w:rPr>
                <w:rFonts w:ascii="宋体"/>
                <w:sz w:val="21"/>
              </w:rPr>
              <w:t>60,464,960.36</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35" w:right="0"/>
              <w:jc w:val="left"/>
              <w:rPr>
                <w:rFonts w:ascii="宋体" w:hAnsi="宋体" w:cs="宋体" w:eastAsia="宋体" w:hint="default"/>
                <w:sz w:val="21"/>
                <w:szCs w:val="21"/>
              </w:rPr>
            </w:pPr>
            <w:r>
              <w:rPr>
                <w:rFonts w:ascii="宋体" w:hAnsi="宋体" w:cs="宋体" w:eastAsia="宋体" w:hint="default"/>
                <w:sz w:val="21"/>
                <w:szCs w:val="21"/>
              </w:rPr>
              <w:t>建筑物被抵押，用于取得银行信贷担保</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2"/>
        <w:spacing w:line="240" w:lineRule="auto"/>
        <w:ind w:right="0"/>
        <w:jc w:val="left"/>
        <w:rPr>
          <w:b w:val="0"/>
          <w:bCs w:val="0"/>
        </w:rPr>
      </w:pPr>
      <w:r>
        <w:rPr>
          <w:rFonts w:ascii="宋体" w:hAnsi="宋体" w:cs="宋体" w:eastAsia="宋体" w:hint="default"/>
        </w:rPr>
        <w:t>20</w:t>
      </w:r>
      <w:r>
        <w:rPr/>
        <w:t>、</w:t>
      </w:r>
      <w:r>
        <w:rPr>
          <w:spacing w:val="-101"/>
        </w:rPr>
        <w:t> </w:t>
      </w:r>
      <w:r>
        <w:rPr/>
        <w:t>在建工程</w:t>
      </w:r>
      <w:r>
        <w:rPr>
          <w:b w:val="0"/>
          <w:bCs w:val="0"/>
        </w:rPr>
      </w:r>
    </w:p>
    <w:p>
      <w:pPr>
        <w:pStyle w:val="BodyText"/>
        <w:spacing w:line="240" w:lineRule="auto" w:before="55"/>
        <w:ind w:left="217"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rFonts w:ascii="宋体" w:hAnsi="宋体" w:cs="宋体" w:eastAsia="宋体" w:hint="default"/>
        </w:rPr>
        <w:t>(1).</w:t>
        <w:tab/>
      </w:r>
      <w:r>
        <w:rPr>
          <w:w w:val="95"/>
        </w:rPr>
        <w:t>在建工程情况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7" w:val="left" w:leader="none"/>
        </w:tabs>
        <w:spacing w:line="240" w:lineRule="auto" w:before="197"/>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502" w:space="3691"/>
            <w:col w:w="3097"/>
          </w:cols>
        </w:sectPr>
      </w:pPr>
    </w:p>
    <w:p>
      <w:pPr>
        <w:spacing w:line="240" w:lineRule="auto" w:before="10"/>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438"/>
        <w:gridCol w:w="1438"/>
        <w:gridCol w:w="763"/>
        <w:gridCol w:w="1406"/>
        <w:gridCol w:w="1546"/>
        <w:gridCol w:w="761"/>
        <w:gridCol w:w="1544"/>
      </w:tblGrid>
      <w:tr>
        <w:trPr>
          <w:trHeight w:val="288" w:hRule="exact"/>
        </w:trPr>
        <w:tc>
          <w:tcPr>
            <w:tcW w:w="14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40" w:hRule="exact"/>
        </w:trPr>
        <w:tc>
          <w:tcPr>
            <w:tcW w:w="1438" w:type="dxa"/>
            <w:vMerge/>
            <w:tcBorders>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10"/>
              <w:jc w:val="left"/>
              <w:rPr>
                <w:rFonts w:ascii="宋体" w:hAnsi="宋体" w:cs="宋体" w:eastAsia="宋体" w:hint="default"/>
                <w:sz w:val="21"/>
                <w:szCs w:val="21"/>
              </w:rPr>
            </w:pPr>
            <w:r>
              <w:rPr>
                <w:rFonts w:ascii="宋体" w:hAnsi="宋体" w:cs="宋体" w:eastAsia="宋体" w:hint="default"/>
                <w:spacing w:val="21"/>
                <w:sz w:val="21"/>
                <w:szCs w:val="21"/>
              </w:rPr>
              <w:t>减值准</w:t>
            </w:r>
            <w:r>
              <w:rPr>
                <w:rFonts w:ascii="宋体" w:hAnsi="宋体" w:cs="宋体" w:eastAsia="宋体" w:hint="default"/>
                <w:spacing w:val="-99"/>
                <w:sz w:val="21"/>
                <w:szCs w:val="21"/>
              </w:rPr>
              <w:t> </w:t>
            </w:r>
            <w:r>
              <w:rPr>
                <w:rFonts w:ascii="宋体" w:hAnsi="宋体" w:cs="宋体" w:eastAsia="宋体" w:hint="default"/>
                <w:sz w:val="21"/>
                <w:szCs w:val="21"/>
              </w:rPr>
              <w:t>备</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13"/>
              <w:jc w:val="left"/>
              <w:rPr>
                <w:rFonts w:ascii="宋体" w:hAnsi="宋体" w:cs="宋体" w:eastAsia="宋体" w:hint="default"/>
                <w:sz w:val="21"/>
                <w:szCs w:val="21"/>
              </w:rPr>
            </w:pPr>
            <w:r>
              <w:rPr>
                <w:rFonts w:ascii="宋体" w:hAnsi="宋体" w:cs="宋体" w:eastAsia="宋体" w:hint="default"/>
                <w:spacing w:val="21"/>
                <w:sz w:val="21"/>
                <w:szCs w:val="21"/>
              </w:rPr>
              <w:t>减值准</w:t>
            </w:r>
            <w:r>
              <w:rPr>
                <w:rFonts w:ascii="宋体" w:hAnsi="宋体" w:cs="宋体" w:eastAsia="宋体" w:hint="default"/>
                <w:spacing w:val="-99"/>
                <w:sz w:val="21"/>
                <w:szCs w:val="21"/>
              </w:rPr>
              <w:t> </w:t>
            </w:r>
            <w:r>
              <w:rPr>
                <w:rFonts w:ascii="宋体" w:hAnsi="宋体" w:cs="宋体" w:eastAsia="宋体" w:hint="default"/>
                <w:sz w:val="21"/>
                <w:szCs w:val="21"/>
              </w:rPr>
              <w:t>备</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2"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科研大楼建设</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0.00</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sz w:val="21"/>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213,051,760.55</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 w:right="0"/>
              <w:jc w:val="left"/>
              <w:rPr>
                <w:rFonts w:ascii="宋体" w:hAnsi="宋体" w:cs="宋体" w:eastAsia="宋体" w:hint="default"/>
                <w:sz w:val="21"/>
                <w:szCs w:val="21"/>
              </w:rPr>
            </w:pPr>
            <w:r>
              <w:rPr>
                <w:rFonts w:ascii="宋体"/>
                <w:sz w:val="21"/>
              </w:rPr>
              <w:t>213,051,760.55</w:t>
            </w:r>
          </w:p>
        </w:tc>
      </w:tr>
      <w:tr>
        <w:trPr>
          <w:trHeight w:val="286"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展示厅</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2,919,980.00</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sz w:val="21"/>
              </w:rPr>
              <w:t>2,919,980.00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r>
      <w:tr>
        <w:trPr>
          <w:trHeight w:val="288"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2,919,980.00</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2,919,980.00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213,051,760.55</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 w:right="0"/>
              <w:jc w:val="left"/>
              <w:rPr>
                <w:rFonts w:ascii="宋体" w:hAnsi="宋体" w:cs="宋体" w:eastAsia="宋体" w:hint="default"/>
                <w:sz w:val="21"/>
                <w:szCs w:val="21"/>
              </w:rPr>
            </w:pPr>
            <w:r>
              <w:rPr>
                <w:rFonts w:ascii="宋体"/>
                <w:sz w:val="21"/>
              </w:rPr>
              <w:t>213,051,760.55</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2"/>
        <w:tabs>
          <w:tab w:pos="1057" w:val="left" w:leader="none"/>
        </w:tabs>
        <w:spacing w:line="240" w:lineRule="auto"/>
        <w:ind w:right="-20"/>
        <w:jc w:val="left"/>
        <w:rPr>
          <w:b w:val="0"/>
          <w:bCs w:val="0"/>
        </w:rPr>
      </w:pPr>
      <w:r>
        <w:rPr>
          <w:rFonts w:ascii="宋体" w:hAnsi="宋体" w:cs="宋体" w:eastAsia="宋体" w:hint="default"/>
        </w:rPr>
        <w:t>(2).</w:t>
        <w:tab/>
      </w:r>
      <w:r>
        <w:rPr/>
        <w:t>重要在建工程项目本期变动情况</w:t>
      </w:r>
      <w:r>
        <w:rPr>
          <w:b w:val="0"/>
          <w:bCs w:val="0"/>
        </w:rPr>
      </w:r>
    </w:p>
    <w:p>
      <w:pPr>
        <w:pStyle w:val="BodyText"/>
        <w:spacing w:line="240" w:lineRule="auto" w:before="58"/>
        <w:ind w:left="21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431" w:space="1762"/>
            <w:col w:w="3097"/>
          </w:cols>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795"/>
        <w:gridCol w:w="1078"/>
        <w:gridCol w:w="1121"/>
        <w:gridCol w:w="1328"/>
        <w:gridCol w:w="1195"/>
        <w:gridCol w:w="867"/>
        <w:gridCol w:w="970"/>
        <w:gridCol w:w="382"/>
        <w:gridCol w:w="367"/>
        <w:gridCol w:w="1045"/>
        <w:gridCol w:w="972"/>
        <w:gridCol w:w="518"/>
        <w:gridCol w:w="380"/>
      </w:tblGrid>
      <w:tr>
        <w:trPr>
          <w:trHeight w:val="1378"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50" w:right="451"/>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26" w:right="98" w:hanging="300"/>
              <w:jc w:val="left"/>
              <w:rPr>
                <w:rFonts w:ascii="宋体" w:hAnsi="宋体" w:cs="宋体" w:eastAsia="宋体" w:hint="default"/>
                <w:sz w:val="15"/>
                <w:szCs w:val="15"/>
              </w:rPr>
            </w:pPr>
            <w:r>
              <w:rPr>
                <w:rFonts w:ascii="宋体" w:hAnsi="宋体" w:cs="宋体" w:eastAsia="宋体" w:hint="default"/>
                <w:sz w:val="15"/>
                <w:szCs w:val="15"/>
              </w:rPr>
              <w:t>本期转入固定资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产金额</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86" w:right="161"/>
              <w:jc w:val="left"/>
              <w:rPr>
                <w:rFonts w:ascii="宋体" w:hAnsi="宋体" w:cs="宋体" w:eastAsia="宋体" w:hint="default"/>
                <w:sz w:val="15"/>
                <w:szCs w:val="15"/>
              </w:rPr>
            </w:pPr>
            <w:r>
              <w:rPr>
                <w:rFonts w:ascii="宋体" w:hAnsi="宋体" w:cs="宋体" w:eastAsia="宋体" w:hint="default"/>
                <w:sz w:val="15"/>
                <w:szCs w:val="15"/>
              </w:rPr>
              <w:t>本期其他</w:t>
            </w:r>
            <w:r>
              <w:rPr>
                <w:rFonts w:ascii="宋体" w:hAnsi="宋体" w:cs="宋体" w:eastAsia="宋体" w:hint="default"/>
                <w:w w:val="100"/>
                <w:sz w:val="15"/>
                <w:szCs w:val="15"/>
              </w:rPr>
              <w:t> </w:t>
            </w:r>
            <w:r>
              <w:rPr>
                <w:rFonts w:ascii="宋体" w:hAnsi="宋体" w:cs="宋体" w:eastAsia="宋体" w:hint="default"/>
                <w:sz w:val="15"/>
                <w:szCs w:val="15"/>
              </w:rPr>
              <w:t>减少金额</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26" w:right="324"/>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工程</w:t>
            </w:r>
          </w:p>
          <w:p>
            <w:pPr>
              <w:pStyle w:val="TableParagraph"/>
              <w:spacing w:line="240" w:lineRule="auto"/>
              <w:ind w:left="33" w:right="29"/>
              <w:jc w:val="center"/>
              <w:rPr>
                <w:rFonts w:ascii="宋体" w:hAnsi="宋体" w:cs="宋体" w:eastAsia="宋体" w:hint="default"/>
                <w:sz w:val="15"/>
                <w:szCs w:val="15"/>
              </w:rPr>
            </w:pPr>
            <w:r>
              <w:rPr>
                <w:rFonts w:ascii="宋体" w:hAnsi="宋体" w:cs="宋体" w:eastAsia="宋体" w:hint="default"/>
                <w:sz w:val="15"/>
                <w:szCs w:val="15"/>
              </w:rPr>
              <w:t>累计</w:t>
            </w:r>
            <w:r>
              <w:rPr>
                <w:rFonts w:ascii="宋体" w:hAnsi="宋体" w:cs="宋体" w:eastAsia="宋体" w:hint="default"/>
                <w:w w:val="100"/>
                <w:sz w:val="15"/>
                <w:szCs w:val="15"/>
              </w:rPr>
              <w:t> </w:t>
            </w:r>
            <w:r>
              <w:rPr>
                <w:rFonts w:ascii="宋体" w:hAnsi="宋体" w:cs="宋体" w:eastAsia="宋体" w:hint="default"/>
                <w:sz w:val="15"/>
                <w:szCs w:val="15"/>
              </w:rPr>
              <w:t>投入</w:t>
            </w:r>
            <w:r>
              <w:rPr>
                <w:rFonts w:ascii="宋体" w:hAnsi="宋体" w:cs="宋体" w:eastAsia="宋体" w:hint="default"/>
                <w:w w:val="100"/>
                <w:sz w:val="15"/>
                <w:szCs w:val="15"/>
              </w:rPr>
              <w:t> </w:t>
            </w:r>
            <w:r>
              <w:rPr>
                <w:rFonts w:ascii="宋体" w:hAnsi="宋体" w:cs="宋体" w:eastAsia="宋体" w:hint="default"/>
                <w:sz w:val="15"/>
                <w:szCs w:val="15"/>
              </w:rPr>
              <w:t>占预</w:t>
            </w:r>
            <w:r>
              <w:rPr>
                <w:rFonts w:ascii="宋体" w:hAnsi="宋体" w:cs="宋体" w:eastAsia="宋体" w:hint="default"/>
                <w:w w:val="100"/>
                <w:sz w:val="15"/>
                <w:szCs w:val="15"/>
              </w:rPr>
              <w:t> </w:t>
            </w:r>
            <w:r>
              <w:rPr>
                <w:rFonts w:ascii="宋体" w:hAnsi="宋体" w:cs="宋体" w:eastAsia="宋体" w:hint="default"/>
                <w:sz w:val="15"/>
                <w:szCs w:val="15"/>
              </w:rPr>
              <w:t>算比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6" w:right="23"/>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88" w:right="63" w:hanging="227"/>
              <w:jc w:val="left"/>
              <w:rPr>
                <w:rFonts w:ascii="宋体" w:hAnsi="宋体" w:cs="宋体" w:eastAsia="宋体" w:hint="default"/>
                <w:sz w:val="15"/>
                <w:szCs w:val="15"/>
              </w:rPr>
            </w:pPr>
            <w:r>
              <w:rPr>
                <w:rFonts w:ascii="宋体" w:hAnsi="宋体" w:cs="宋体" w:eastAsia="宋体" w:hint="default"/>
                <w:sz w:val="15"/>
                <w:szCs w:val="15"/>
              </w:rPr>
              <w:t>利息资本化累</w:t>
            </w:r>
            <w:r>
              <w:rPr>
                <w:rFonts w:ascii="宋体" w:hAnsi="宋体" w:cs="宋体" w:eastAsia="宋体" w:hint="default"/>
                <w:w w:val="100"/>
                <w:sz w:val="15"/>
                <w:szCs w:val="15"/>
              </w:rPr>
              <w:t> </w:t>
            </w:r>
            <w:r>
              <w:rPr>
                <w:rFonts w:ascii="宋体" w:hAnsi="宋体" w:cs="宋体" w:eastAsia="宋体" w:hint="default"/>
                <w:sz w:val="15"/>
                <w:szCs w:val="15"/>
              </w:rPr>
              <w:t>计金额</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8" w:right="24"/>
              <w:jc w:val="left"/>
              <w:rPr>
                <w:rFonts w:ascii="宋体" w:hAnsi="宋体" w:cs="宋体" w:eastAsia="宋体" w:hint="default"/>
                <w:sz w:val="15"/>
                <w:szCs w:val="15"/>
              </w:rPr>
            </w:pPr>
            <w:r>
              <w:rPr>
                <w:rFonts w:ascii="宋体" w:hAnsi="宋体" w:cs="宋体" w:eastAsia="宋体" w:hint="default"/>
                <w:sz w:val="15"/>
                <w:szCs w:val="15"/>
              </w:rPr>
              <w:t>其中：本期利</w:t>
            </w:r>
            <w:r>
              <w:rPr>
                <w:rFonts w:ascii="宋体" w:hAnsi="宋体" w:cs="宋体" w:eastAsia="宋体" w:hint="default"/>
                <w:w w:val="100"/>
                <w:sz w:val="15"/>
                <w:szCs w:val="15"/>
              </w:rPr>
              <w:t> </w:t>
            </w:r>
            <w:r>
              <w:rPr>
                <w:rFonts w:ascii="宋体" w:hAnsi="宋体" w:cs="宋体" w:eastAsia="宋体" w:hint="default"/>
                <w:sz w:val="15"/>
                <w:szCs w:val="15"/>
              </w:rPr>
              <w:t>息资本化金额</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 w:right="23"/>
              <w:jc w:val="center"/>
              <w:rPr>
                <w:rFonts w:ascii="宋体" w:hAnsi="宋体" w:cs="宋体" w:eastAsia="宋体" w:hint="default"/>
                <w:sz w:val="15"/>
                <w:szCs w:val="15"/>
              </w:rPr>
            </w:pPr>
            <w:r>
              <w:rPr>
                <w:rFonts w:ascii="宋体" w:hAnsi="宋体" w:cs="宋体" w:eastAsia="宋体" w:hint="default"/>
                <w:sz w:val="15"/>
                <w:szCs w:val="15"/>
              </w:rPr>
              <w:t>本期利</w:t>
            </w:r>
            <w:r>
              <w:rPr>
                <w:rFonts w:ascii="宋体" w:hAnsi="宋体" w:cs="宋体" w:eastAsia="宋体" w:hint="default"/>
                <w:w w:val="100"/>
                <w:sz w:val="15"/>
                <w:szCs w:val="15"/>
              </w:rPr>
              <w:t> </w:t>
            </w:r>
            <w:r>
              <w:rPr>
                <w:rFonts w:ascii="宋体" w:hAnsi="宋体" w:cs="宋体" w:eastAsia="宋体" w:hint="default"/>
                <w:sz w:val="15"/>
                <w:szCs w:val="15"/>
              </w:rPr>
              <w:t>息资本</w:t>
            </w:r>
            <w:r>
              <w:rPr>
                <w:rFonts w:ascii="宋体" w:hAnsi="宋体" w:cs="宋体" w:eastAsia="宋体" w:hint="default"/>
                <w:w w:val="100"/>
                <w:sz w:val="15"/>
                <w:szCs w:val="15"/>
              </w:rPr>
              <w:t> </w:t>
            </w:r>
            <w:r>
              <w:rPr>
                <w:rFonts w:ascii="宋体" w:hAnsi="宋体" w:cs="宋体" w:eastAsia="宋体" w:hint="default"/>
                <w:sz w:val="15"/>
                <w:szCs w:val="15"/>
              </w:rPr>
              <w:t>化率</w:t>
            </w:r>
            <w:r>
              <w:rPr>
                <w:rFonts w:ascii="宋体" w:hAnsi="宋体" w:cs="宋体" w:eastAsia="宋体" w:hint="default"/>
                <w:w w:val="100"/>
                <w:sz w:val="15"/>
                <w:szCs w:val="15"/>
              </w:rPr>
              <w:t> </w:t>
            </w:r>
            <w:r>
              <w:rPr>
                <w:rFonts w:ascii="宋体" w:hAnsi="宋体" w:cs="宋体" w:eastAsia="宋体" w:hint="default"/>
                <w:sz w:val="15"/>
                <w:szCs w:val="15"/>
              </w:rPr>
              <w:t>(%)</w:t>
            </w:r>
          </w:p>
        </w:tc>
        <w:tc>
          <w:tcPr>
            <w:tcW w:w="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8" w:right="33"/>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403"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科研大楼</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建设项目</w:t>
            </w:r>
          </w:p>
        </w:tc>
        <w:tc>
          <w:tcPr>
            <w:tcW w:w="10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213,051,760.55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3" w:right="0"/>
              <w:jc w:val="left"/>
              <w:rPr>
                <w:rFonts w:ascii="宋体" w:hAnsi="宋体" w:cs="宋体" w:eastAsia="宋体" w:hint="default"/>
                <w:sz w:val="15"/>
                <w:szCs w:val="15"/>
              </w:rPr>
            </w:pPr>
            <w:r>
              <w:rPr>
                <w:rFonts w:ascii="宋体"/>
                <w:sz w:val="15"/>
              </w:rPr>
              <w:t>170,747,293.55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1" w:right="0"/>
              <w:jc w:val="left"/>
              <w:rPr>
                <w:rFonts w:ascii="宋体" w:hAnsi="宋体" w:cs="宋体" w:eastAsia="宋体" w:hint="default"/>
                <w:sz w:val="15"/>
                <w:szCs w:val="15"/>
              </w:rPr>
            </w:pPr>
            <w:r>
              <w:rPr>
                <w:rFonts w:ascii="宋体"/>
                <w:sz w:val="15"/>
              </w:rPr>
              <w:t>383,799,054.10</w:t>
            </w:r>
          </w:p>
        </w:tc>
        <w:tc>
          <w:tcPr>
            <w:tcW w:w="867"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0</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100</w:t>
            </w:r>
          </w:p>
        </w:tc>
        <w:tc>
          <w:tcPr>
            <w:tcW w:w="3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100%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10,239,587.10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6,383,741.34</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8" w:right="0"/>
              <w:jc w:val="left"/>
              <w:rPr>
                <w:rFonts w:ascii="宋体" w:hAnsi="宋体" w:cs="宋体" w:eastAsia="宋体" w:hint="default"/>
                <w:sz w:val="15"/>
                <w:szCs w:val="15"/>
              </w:rPr>
            </w:pPr>
            <w:r>
              <w:rPr>
                <w:rFonts w:ascii="宋体"/>
                <w:sz w:val="15"/>
              </w:rPr>
              <w:t>6.0137</w:t>
            </w:r>
          </w:p>
        </w:tc>
        <w:tc>
          <w:tcPr>
            <w:tcW w:w="38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自筹</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资金</w:t>
            </w:r>
          </w:p>
        </w:tc>
      </w:tr>
      <w:tr>
        <w:trPr>
          <w:trHeight w:val="209"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展示厅</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3"/>
              <w:jc w:val="center"/>
              <w:rPr>
                <w:rFonts w:ascii="宋体" w:hAnsi="宋体" w:cs="宋体" w:eastAsia="宋体" w:hint="default"/>
                <w:sz w:val="15"/>
                <w:szCs w:val="15"/>
              </w:rPr>
            </w:pPr>
            <w:r>
              <w:rPr>
                <w:rFonts w:ascii="宋体"/>
                <w:sz w:val="15"/>
              </w:rPr>
              <w:t>4,171,400.00</w:t>
            </w:r>
          </w:p>
        </w:tc>
        <w:tc>
          <w:tcPr>
            <w:tcW w:w="1121"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2,919,980.00</w:t>
            </w:r>
          </w:p>
        </w:tc>
        <w:tc>
          <w:tcPr>
            <w:tcW w:w="1195"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2,919,980.00</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70%</w:t>
            </w:r>
          </w:p>
        </w:tc>
        <w:tc>
          <w:tcPr>
            <w:tcW w:w="3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95%</w:t>
            </w:r>
          </w:p>
        </w:tc>
        <w:tc>
          <w:tcPr>
            <w:tcW w:w="1045"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3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1"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11"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8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3"/>
              <w:jc w:val="center"/>
              <w:rPr>
                <w:rFonts w:ascii="宋体" w:hAnsi="宋体" w:cs="宋体" w:eastAsia="宋体" w:hint="default"/>
                <w:sz w:val="15"/>
                <w:szCs w:val="15"/>
              </w:rPr>
            </w:pPr>
            <w:r>
              <w:rPr>
                <w:rFonts w:ascii="宋体"/>
                <w:sz w:val="15"/>
              </w:rPr>
              <w:t>4,171,400.00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213,051,760.55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173,667,273.55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31" w:right="0"/>
              <w:jc w:val="left"/>
              <w:rPr>
                <w:rFonts w:ascii="宋体" w:hAnsi="宋体" w:cs="宋体" w:eastAsia="宋体" w:hint="default"/>
                <w:sz w:val="15"/>
                <w:szCs w:val="15"/>
              </w:rPr>
            </w:pPr>
            <w:r>
              <w:rPr>
                <w:rFonts w:ascii="宋体"/>
                <w:sz w:val="15"/>
              </w:rPr>
              <w:t>383,799,054.10</w:t>
            </w:r>
          </w:p>
        </w:tc>
        <w:tc>
          <w:tcPr>
            <w:tcW w:w="867"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2,919,980.00</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57" w:right="0"/>
              <w:jc w:val="left"/>
              <w:rPr>
                <w:rFonts w:ascii="宋体" w:hAnsi="宋体" w:cs="宋体" w:eastAsia="宋体" w:hint="default"/>
                <w:sz w:val="15"/>
                <w:szCs w:val="15"/>
              </w:rPr>
            </w:pPr>
            <w:r>
              <w:rPr>
                <w:rFonts w:ascii="宋体"/>
                <w:w w:val="100"/>
                <w:sz w:val="15"/>
              </w:rPr>
              <w:t>/</w:t>
            </w:r>
          </w:p>
        </w:tc>
        <w:tc>
          <w:tcPr>
            <w:tcW w:w="3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50" w:right="0"/>
              <w:jc w:val="left"/>
              <w:rPr>
                <w:rFonts w:ascii="宋体" w:hAnsi="宋体" w:cs="宋体" w:eastAsia="宋体" w:hint="default"/>
                <w:sz w:val="15"/>
                <w:szCs w:val="15"/>
              </w:rPr>
            </w:pPr>
            <w:r>
              <w:rPr>
                <w:rFonts w:ascii="宋体"/>
                <w:w w:val="100"/>
                <w:sz w:val="15"/>
              </w:rPr>
              <w:t>/</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10,239,587.10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6,383,741.34</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7" w:right="0"/>
              <w:jc w:val="left"/>
              <w:rPr>
                <w:rFonts w:ascii="宋体" w:hAnsi="宋体" w:cs="宋体" w:eastAsia="宋体" w:hint="default"/>
                <w:sz w:val="15"/>
                <w:szCs w:val="15"/>
              </w:rPr>
            </w:pPr>
            <w:r>
              <w:rPr>
                <w:rFonts w:ascii="宋体"/>
                <w:w w:val="100"/>
                <w:sz w:val="15"/>
              </w:rPr>
              <w:t>/</w:t>
            </w:r>
          </w:p>
        </w:tc>
        <w:tc>
          <w:tcPr>
            <w:tcW w:w="38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55" w:right="0"/>
              <w:jc w:val="left"/>
              <w:rPr>
                <w:rFonts w:ascii="宋体" w:hAnsi="宋体" w:cs="宋体" w:eastAsia="宋体" w:hint="default"/>
                <w:sz w:val="15"/>
                <w:szCs w:val="15"/>
              </w:rPr>
            </w:pPr>
            <w:r>
              <w:rPr>
                <w:rFonts w:ascii="宋体"/>
                <w:w w:val="100"/>
                <w:sz w:val="15"/>
              </w:rPr>
              <w:t>/</w:t>
            </w:r>
          </w:p>
        </w:tc>
      </w:tr>
    </w:tbl>
    <w:p>
      <w:pPr>
        <w:spacing w:line="240" w:lineRule="auto" w:before="5"/>
        <w:rPr>
          <w:rFonts w:ascii="宋体" w:hAnsi="宋体" w:cs="宋体" w:eastAsia="宋体" w:hint="default"/>
          <w:sz w:val="23"/>
          <w:szCs w:val="23"/>
        </w:rPr>
      </w:pPr>
    </w:p>
    <w:p>
      <w:pPr>
        <w:pStyle w:val="Heading2"/>
        <w:tabs>
          <w:tab w:pos="1697" w:val="left" w:leader="none"/>
        </w:tabs>
        <w:spacing w:line="240" w:lineRule="auto"/>
        <w:ind w:left="857" w:right="0"/>
        <w:jc w:val="left"/>
        <w:rPr>
          <w:b w:val="0"/>
          <w:bCs w:val="0"/>
        </w:rPr>
      </w:pPr>
      <w:r>
        <w:rPr>
          <w:rFonts w:ascii="宋体" w:hAnsi="宋体" w:cs="宋体" w:eastAsia="宋体" w:hint="default"/>
        </w:rPr>
        <w:t>(3).</w:t>
        <w:tab/>
      </w:r>
      <w:r>
        <w:rPr/>
        <w:t>本期计提在建工程减值准备情况：</w:t>
      </w:r>
      <w:r>
        <w:rPr>
          <w:b w:val="0"/>
          <w:bCs w:val="0"/>
        </w:rPr>
      </w:r>
    </w:p>
    <w:p>
      <w:pPr>
        <w:pStyle w:val="BodyText"/>
        <w:spacing w:line="240" w:lineRule="auto" w:before="55"/>
        <w:ind w:left="857" w:right="8570"/>
        <w:jc w:val="left"/>
      </w:pPr>
      <w:r>
        <w:rPr/>
        <w:t>□适用</w:t>
      </w:r>
      <w:r>
        <w:rPr>
          <w:spacing w:val="-1"/>
        </w:rPr>
        <w:t> </w:t>
      </w:r>
      <w:r>
        <w:rPr/>
        <w:t>√不适用</w:t>
      </w:r>
      <w:r>
        <w:rPr/>
        <w:t> 其他说明</w:t>
      </w:r>
    </w:p>
    <w:p>
      <w:pPr>
        <w:pStyle w:val="BodyText"/>
        <w:spacing w:line="312" w:lineRule="exact"/>
        <w:ind w:left="857" w:right="0"/>
        <w:jc w:val="left"/>
      </w:pPr>
      <w:r>
        <w:rPr/>
        <w:t>无</w:t>
      </w:r>
    </w:p>
    <w:p>
      <w:pPr>
        <w:spacing w:line="240" w:lineRule="auto" w:before="1"/>
        <w:rPr>
          <w:rFonts w:ascii="宋体" w:hAnsi="宋体" w:cs="宋体" w:eastAsia="宋体" w:hint="default"/>
          <w:sz w:val="28"/>
          <w:szCs w:val="28"/>
        </w:rPr>
      </w:pPr>
    </w:p>
    <w:p>
      <w:pPr>
        <w:pStyle w:val="Heading2"/>
        <w:spacing w:line="240" w:lineRule="auto" w:before="0"/>
        <w:ind w:left="857" w:right="0"/>
        <w:jc w:val="left"/>
        <w:rPr>
          <w:b w:val="0"/>
          <w:bCs w:val="0"/>
        </w:rPr>
      </w:pPr>
      <w:r>
        <w:rPr>
          <w:rFonts w:ascii="宋体" w:hAnsi="宋体" w:cs="宋体" w:eastAsia="宋体" w:hint="default"/>
        </w:rPr>
        <w:t>21</w:t>
      </w:r>
      <w:r>
        <w:rPr/>
        <w:t>、</w:t>
      </w:r>
      <w:r>
        <w:rPr>
          <w:spacing w:val="-101"/>
        </w:rPr>
        <w:t> </w:t>
      </w:r>
      <w:r>
        <w:rPr/>
        <w:t>工程物资</w:t>
      </w:r>
      <w:r>
        <w:rPr>
          <w:b w:val="0"/>
          <w:bCs w:val="0"/>
        </w:rPr>
      </w:r>
    </w:p>
    <w:p>
      <w:pPr>
        <w:pStyle w:val="BodyText"/>
        <w:spacing w:line="240" w:lineRule="auto" w:before="58"/>
        <w:ind w:left="85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857" w:right="0"/>
        <w:jc w:val="left"/>
        <w:rPr>
          <w:b w:val="0"/>
          <w:bCs w:val="0"/>
        </w:rPr>
      </w:pPr>
      <w:r>
        <w:rPr>
          <w:rFonts w:ascii="宋体" w:hAnsi="宋体" w:cs="宋体" w:eastAsia="宋体" w:hint="default"/>
        </w:rPr>
        <w:t>22</w:t>
      </w:r>
      <w:r>
        <w:rPr/>
        <w:t>、</w:t>
      </w:r>
      <w:r>
        <w:rPr>
          <w:spacing w:val="-103"/>
        </w:rPr>
        <w:t> </w:t>
      </w:r>
      <w:r>
        <w:rPr/>
        <w:t>固定资产清理</w:t>
      </w:r>
      <w:r>
        <w:rPr>
          <w:b w:val="0"/>
          <w:bCs w:val="0"/>
        </w:rPr>
      </w:r>
    </w:p>
    <w:p>
      <w:pPr>
        <w:pStyle w:val="BodyText"/>
        <w:spacing w:line="240" w:lineRule="auto" w:before="55"/>
        <w:ind w:left="85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2"/>
        <w:spacing w:line="240" w:lineRule="auto" w:before="0"/>
        <w:ind w:left="857" w:right="0"/>
        <w:jc w:val="left"/>
        <w:rPr>
          <w:b w:val="0"/>
          <w:bCs w:val="0"/>
        </w:rPr>
      </w:pPr>
      <w:r>
        <w:rPr>
          <w:rFonts w:ascii="宋体" w:hAnsi="宋体" w:cs="宋体" w:eastAsia="宋体" w:hint="default"/>
        </w:rPr>
        <w:t>23</w:t>
      </w:r>
      <w:r>
        <w:rPr/>
        <w:t>、</w:t>
      </w:r>
      <w:r>
        <w:rPr>
          <w:spacing w:val="-102"/>
        </w:rPr>
        <w:t> </w:t>
      </w:r>
      <w:r>
        <w:rPr/>
        <w:t>生产性生物资产</w:t>
      </w:r>
      <w:r>
        <w:rPr>
          <w:b w:val="0"/>
          <w:bCs w:val="0"/>
        </w:rPr>
      </w:r>
    </w:p>
    <w:p>
      <w:pPr>
        <w:pStyle w:val="BodyText"/>
        <w:spacing w:line="240" w:lineRule="auto" w:before="58"/>
        <w:ind w:left="85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857" w:right="0"/>
        <w:jc w:val="left"/>
        <w:rPr>
          <w:b w:val="0"/>
          <w:bCs w:val="0"/>
        </w:rPr>
      </w:pPr>
      <w:r>
        <w:rPr>
          <w:rFonts w:ascii="宋体" w:hAnsi="宋体" w:cs="宋体" w:eastAsia="宋体" w:hint="default"/>
        </w:rPr>
        <w:t>24</w:t>
      </w:r>
      <w:r>
        <w:rPr/>
        <w:t>、</w:t>
      </w:r>
      <w:r>
        <w:rPr>
          <w:spacing w:val="-101"/>
        </w:rPr>
        <w:t> </w:t>
      </w:r>
      <w:r>
        <w:rPr/>
        <w:t>油气资产</w:t>
      </w:r>
      <w:r>
        <w:rPr>
          <w:b w:val="0"/>
          <w:bCs w:val="0"/>
        </w:rPr>
      </w:r>
    </w:p>
    <w:p>
      <w:pPr>
        <w:pStyle w:val="BodyText"/>
        <w:spacing w:line="240" w:lineRule="auto" w:before="58"/>
        <w:ind w:left="857" w:right="0"/>
        <w:jc w:val="left"/>
      </w:pPr>
      <w:r>
        <w:rPr/>
        <w:t>□适用</w:t>
      </w:r>
      <w:r>
        <w:rPr>
          <w:spacing w:val="-1"/>
        </w:rPr>
        <w:t> </w:t>
      </w:r>
      <w:r>
        <w:rPr/>
        <w:t>√不适用</w:t>
      </w:r>
    </w:p>
    <w:p>
      <w:pPr>
        <w:spacing w:after="0" w:line="240" w:lineRule="auto"/>
        <w:jc w:val="left"/>
        <w:sectPr>
          <w:pgSz w:w="11910" w:h="16840"/>
          <w:pgMar w:header="882" w:footer="1195" w:top="1120" w:bottom="1380" w:left="420" w:right="2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57"/>
          <w:footerReference w:type="default" r:id="rId58"/>
          <w:pgSz w:w="16840" w:h="11910" w:orient="landscape"/>
          <w:pgMar w:header="882" w:footer="1195" w:top="1120" w:bottom="1380" w:left="1300" w:right="1220"/>
          <w:pgNumType w:start="133"/>
        </w:sectPr>
      </w:pPr>
    </w:p>
    <w:p>
      <w:pPr>
        <w:pStyle w:val="Heading2"/>
        <w:spacing w:line="240" w:lineRule="auto"/>
        <w:ind w:left="224" w:right="0"/>
        <w:jc w:val="left"/>
        <w:rPr>
          <w:b w:val="0"/>
          <w:bCs w:val="0"/>
        </w:rPr>
      </w:pPr>
      <w:r>
        <w:rPr>
          <w:rFonts w:ascii="宋体" w:hAnsi="宋体" w:cs="宋体" w:eastAsia="宋体" w:hint="default"/>
        </w:rPr>
        <w:t>25</w:t>
      </w:r>
      <w:r>
        <w:rPr/>
        <w:t>、</w:t>
      </w:r>
      <w:r>
        <w:rPr>
          <w:spacing w:val="-101"/>
        </w:rPr>
        <w:t> </w:t>
      </w:r>
      <w:r>
        <w:rPr/>
        <w:t>无形资产</w:t>
      </w:r>
      <w:r>
        <w:rPr>
          <w:b w:val="0"/>
          <w:bCs w:val="0"/>
        </w:rPr>
      </w:r>
    </w:p>
    <w:p>
      <w:pPr>
        <w:pStyle w:val="Heading2"/>
        <w:tabs>
          <w:tab w:pos="1064" w:val="left" w:leader="none"/>
        </w:tabs>
        <w:spacing w:line="240" w:lineRule="auto" w:before="58"/>
        <w:ind w:left="224" w:right="0"/>
        <w:jc w:val="left"/>
        <w:rPr>
          <w:b w:val="0"/>
          <w:bCs w:val="0"/>
        </w:rPr>
      </w:pPr>
      <w:r>
        <w:rPr>
          <w:rFonts w:ascii="宋体" w:hAnsi="宋体" w:cs="宋体" w:eastAsia="宋体" w:hint="default"/>
        </w:rPr>
        <w:t>(1).</w:t>
        <w:tab/>
      </w:r>
      <w:r>
        <w:rPr>
          <w:w w:val="95"/>
        </w:rPr>
        <w:t>无形资产情况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423" w:val="left" w:leader="none"/>
        </w:tabs>
        <w:spacing w:line="240" w:lineRule="auto"/>
        <w:ind w:left="224"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2509" w:space="8725"/>
            <w:col w:w="308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52"/>
        <w:gridCol w:w="2122"/>
        <w:gridCol w:w="1555"/>
        <w:gridCol w:w="1529"/>
        <w:gridCol w:w="2054"/>
        <w:gridCol w:w="2175"/>
        <w:gridCol w:w="2002"/>
      </w:tblGrid>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12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1" w:right="0"/>
              <w:jc w:val="left"/>
              <w:rPr>
                <w:rFonts w:ascii="宋体" w:hAnsi="宋体" w:cs="宋体" w:eastAsia="宋体" w:hint="default"/>
                <w:sz w:val="18"/>
                <w:szCs w:val="18"/>
              </w:rPr>
            </w:pPr>
            <w:r>
              <w:rPr>
                <w:rFonts w:ascii="宋体"/>
                <w:sz w:val="18"/>
              </w:rPr>
              <w:t>126,012,700.00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253,314,944.69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37,833,772.12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417,161,416.81</w:t>
            </w:r>
          </w:p>
        </w:tc>
      </w:tr>
      <w:tr>
        <w:trPr>
          <w:trHeight w:val="351"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17,754,927.09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203,532,341.57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221,287,268.66</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203,532,550.77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203,532,550.77</w:t>
            </w:r>
          </w:p>
        </w:tc>
      </w:tr>
      <w:tr>
        <w:trPr>
          <w:trHeight w:val="348"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11,263,302.74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sz w:val="18"/>
              </w:rPr>
              <w:t>11,263,302.74</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3,270,000.00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3,270,000.00</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）汇率变动</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3,221,624.35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-209.20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3,221,415.15</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4,427,308.01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446,799.58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4,874,107.59</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53,472.65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53,472.65</w:t>
            </w:r>
          </w:p>
        </w:tc>
      </w:tr>
      <w:tr>
        <w:trPr>
          <w:trHeight w:val="351"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）减少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4,427,308.01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393,326.93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4,820,634.94</w:t>
            </w:r>
          </w:p>
        </w:tc>
      </w:tr>
      <w:tr>
        <w:trPr>
          <w:trHeight w:val="348"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126,012,700.00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266,642,563.77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240,919,314.11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633,574,577.88</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12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5,040,508.00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105,465,790.49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27,730,807.24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138,237,105.73</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2,520,254.00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44,342,955.93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18,241,963.80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65,105,173.73</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2,520,254.00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43,261,301.30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18,240,743.82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64,022,299.12</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）汇率变动</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1,081,654.63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1,219.98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1,082,874.61</w:t>
            </w:r>
          </w:p>
        </w:tc>
      </w:tr>
      <w:tr>
        <w:trPr>
          <w:trHeight w:val="349"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673,288.47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143,127.34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816,415.81</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11,337.48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11,337.48</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）减少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673,288.47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131,789.86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805,078.33</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7,560,762.00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149,135,457.95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45,829,643.70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202,525,863.65</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652"/>
        <w:gridCol w:w="2122"/>
        <w:gridCol w:w="1555"/>
        <w:gridCol w:w="1529"/>
        <w:gridCol w:w="2054"/>
        <w:gridCol w:w="2175"/>
        <w:gridCol w:w="2002"/>
      </w:tblGrid>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12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0.00</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52"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0.00</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12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4"/>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118,451,938.00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117,507,105.82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195,089,670.41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431,048,714.23</w:t>
            </w:r>
          </w:p>
        </w:tc>
      </w:tr>
      <w:tr>
        <w:trPr>
          <w:trHeight w:val="350"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4"/>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120,972,192.00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147,849,154.20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10,102,964.88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278,924,311.08</w:t>
            </w:r>
          </w:p>
        </w:tc>
      </w:tr>
    </w:tbl>
    <w:p>
      <w:pPr>
        <w:spacing w:line="240" w:lineRule="auto" w:before="10"/>
        <w:rPr>
          <w:rFonts w:ascii="宋体" w:hAnsi="宋体" w:cs="宋体" w:eastAsia="宋体" w:hint="default"/>
          <w:sz w:val="18"/>
          <w:szCs w:val="18"/>
        </w:rPr>
      </w:pPr>
    </w:p>
    <w:p>
      <w:pPr>
        <w:pStyle w:val="BodyText"/>
        <w:spacing w:line="240" w:lineRule="auto" w:before="26"/>
        <w:ind w:left="224" w:right="0"/>
        <w:jc w:val="left"/>
        <w:rPr>
          <w:rFonts w:ascii="宋体" w:hAnsi="宋体" w:cs="宋体" w:eastAsia="宋体" w:hint="default"/>
        </w:rPr>
      </w:pPr>
      <w:r>
        <w:rPr/>
        <w:t>本期末通过公司内部研发形成的无形资产占无形资产余额的比例</w:t>
      </w:r>
      <w:r>
        <w:rPr>
          <w:spacing w:val="-59"/>
        </w:rPr>
        <w:t> </w:t>
      </w:r>
      <w:r>
        <w:rPr>
          <w:rFonts w:ascii="宋体" w:hAnsi="宋体" w:cs="宋体" w:eastAsia="宋体" w:hint="default"/>
        </w:rPr>
        <w:t>27.26%</w:t>
      </w:r>
    </w:p>
    <w:p>
      <w:pPr>
        <w:spacing w:after="0" w:line="240" w:lineRule="auto"/>
        <w:jc w:val="left"/>
        <w:rPr>
          <w:rFonts w:ascii="宋体" w:hAnsi="宋体" w:cs="宋体" w:eastAsia="宋体" w:hint="default"/>
        </w:rPr>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tabs>
          <w:tab w:pos="1357" w:val="left" w:leader="none"/>
        </w:tabs>
        <w:spacing w:line="240" w:lineRule="auto"/>
        <w:ind w:left="517" w:right="0"/>
        <w:jc w:val="left"/>
        <w:rPr>
          <w:b w:val="0"/>
          <w:bCs w:val="0"/>
        </w:rPr>
      </w:pPr>
      <w:r>
        <w:rPr>
          <w:rFonts w:ascii="宋体" w:hAnsi="宋体" w:cs="宋体" w:eastAsia="宋体" w:hint="default"/>
        </w:rPr>
        <w:t>(2).</w:t>
        <w:tab/>
      </w:r>
      <w:r>
        <w:rPr/>
        <w:t>未办妥产权证书的土地使用权情况：</w:t>
      </w:r>
      <w:r>
        <w:rPr>
          <w:b w:val="0"/>
          <w:bCs w:val="0"/>
        </w:rPr>
      </w:r>
    </w:p>
    <w:p>
      <w:pPr>
        <w:pStyle w:val="BodyText"/>
        <w:spacing w:line="312" w:lineRule="exact" w:before="86"/>
        <w:ind w:left="517" w:right="7650"/>
        <w:jc w:val="left"/>
      </w:pPr>
      <w:r>
        <w:rPr/>
        <w:t>□适用</w:t>
      </w:r>
      <w:r>
        <w:rPr>
          <w:spacing w:val="-1"/>
        </w:rPr>
        <w:t> </w:t>
      </w:r>
      <w:r>
        <w:rPr/>
        <w:t>√不适用</w:t>
      </w:r>
      <w:r>
        <w:rPr/>
        <w:t> 其他说明：</w:t>
      </w:r>
    </w:p>
    <w:p>
      <w:pPr>
        <w:pStyle w:val="BodyText"/>
        <w:spacing w:line="283" w:lineRule="exact"/>
        <w:ind w:left="517" w:right="0"/>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9"/>
          <w:footerReference w:type="default" r:id="rId60"/>
          <w:pgSz w:w="11910" w:h="16840"/>
          <w:pgMar w:header="882" w:footer="1195" w:top="1120" w:bottom="1380" w:left="760" w:right="1160"/>
          <w:pgNumType w:start="135"/>
        </w:sectPr>
      </w:pPr>
    </w:p>
    <w:p>
      <w:pPr>
        <w:pStyle w:val="Heading2"/>
        <w:spacing w:line="240" w:lineRule="auto"/>
        <w:ind w:left="517" w:right="-19"/>
        <w:jc w:val="left"/>
        <w:rPr>
          <w:b w:val="0"/>
          <w:bCs w:val="0"/>
        </w:rPr>
      </w:pPr>
      <w:r>
        <w:rPr>
          <w:rFonts w:ascii="宋体" w:hAnsi="宋体" w:cs="宋体" w:eastAsia="宋体" w:hint="default"/>
        </w:rPr>
        <w:t>26</w:t>
      </w:r>
      <w:r>
        <w:rPr/>
        <w:t>、</w:t>
      </w:r>
      <w:r>
        <w:rPr>
          <w:spacing w:val="-100"/>
        </w:rPr>
        <w:t> </w:t>
      </w:r>
      <w:r>
        <w:rPr/>
        <w:t>开发支出</w:t>
      </w:r>
      <w:r>
        <w:rPr>
          <w:b w:val="0"/>
          <w:bCs w:val="0"/>
        </w:rPr>
      </w:r>
    </w:p>
    <w:p>
      <w:pPr>
        <w:pStyle w:val="BodyText"/>
        <w:spacing w:line="240" w:lineRule="auto" w:before="58"/>
        <w:ind w:left="5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17" w:val="left" w:leader="none"/>
        </w:tabs>
        <w:spacing w:line="240" w:lineRule="auto"/>
        <w:ind w:left="517" w:right="0"/>
        <w:jc w:val="left"/>
      </w:pPr>
      <w:r>
        <w:rPr/>
        <w:t>单位：元</w:t>
        <w:tab/>
        <w:t>币种：人民币</w:t>
      </w:r>
    </w:p>
    <w:p>
      <w:pPr>
        <w:spacing w:after="0" w:line="240" w:lineRule="auto"/>
        <w:jc w:val="left"/>
        <w:sectPr>
          <w:type w:val="continuous"/>
          <w:pgSz w:w="11910" w:h="16840"/>
          <w:pgMar w:top="1120" w:bottom="1380" w:left="760" w:right="1160"/>
          <w:cols w:num="2" w:equalWidth="0">
            <w:col w:w="2318" w:space="3875"/>
            <w:col w:w="3797"/>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08"/>
        <w:gridCol w:w="1598"/>
        <w:gridCol w:w="1601"/>
        <w:gridCol w:w="725"/>
        <w:gridCol w:w="1455"/>
        <w:gridCol w:w="1455"/>
        <w:gridCol w:w="1601"/>
      </w:tblGrid>
      <w:tr>
        <w:trPr>
          <w:trHeight w:val="245"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611" w:right="61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614" w:right="614"/>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025" w:hRule="exact"/>
        </w:trPr>
        <w:tc>
          <w:tcPr>
            <w:tcW w:w="1308"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exact"/>
              <w:ind w:left="631" w:right="18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601" w:type="dxa"/>
            <w:vMerge/>
            <w:tcBorders>
              <w:left w:val="single" w:sz="4" w:space="0" w:color="000000"/>
              <w:bottom w:val="single" w:sz="4" w:space="0" w:color="000000"/>
              <w:right w:val="single" w:sz="4" w:space="0" w:color="000000"/>
            </w:tcBorders>
          </w:tcPr>
          <w:p>
            <w:pPr/>
          </w:p>
        </w:tc>
      </w:tr>
      <w:tr>
        <w:trPr>
          <w:trHeight w:val="24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BSM</w:t>
            </w:r>
            <w:r>
              <w:rPr>
                <w:rFonts w:ascii="宋体" w:hAnsi="宋体" w:cs="宋体" w:eastAsia="宋体" w:hint="default"/>
                <w:spacing w:val="-44"/>
                <w:sz w:val="18"/>
                <w:szCs w:val="18"/>
              </w:rPr>
              <w:t> </w:t>
            </w:r>
            <w:r>
              <w:rPr>
                <w:rFonts w:ascii="宋体" w:hAnsi="宋体" w:cs="宋体" w:eastAsia="宋体" w:hint="default"/>
                <w:sz w:val="18"/>
                <w:szCs w:val="18"/>
              </w:rPr>
              <w:t>类</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7,053,596.01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3,280,921.59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10,334,517.60</w:t>
            </w:r>
          </w:p>
        </w:tc>
      </w:tr>
      <w:tr>
        <w:trPr>
          <w:trHeight w:val="24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操作系统</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4,556,168.78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4,556,168.78</w:t>
            </w:r>
          </w:p>
        </w:tc>
      </w:tr>
      <w:tr>
        <w:trPr>
          <w:trHeight w:val="24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大数据类</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19,952,314.16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21,836,618.57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41,788,932.73</w:t>
            </w:r>
          </w:p>
        </w:tc>
      </w:tr>
      <w:tr>
        <w:trPr>
          <w:trHeight w:val="24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基础软件类</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69,016,149.16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69,016,149.16</w:t>
            </w:r>
          </w:p>
        </w:tc>
      </w:tr>
      <w:tr>
        <w:trPr>
          <w:trHeight w:val="24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应用服务类</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21,903,148.60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30,200,211.85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4,553,136.08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47,550,224.37</w:t>
            </w:r>
          </w:p>
        </w:tc>
      </w:tr>
      <w:tr>
        <w:trPr>
          <w:trHeight w:val="24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云计算类</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8,392,881.06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9,926,268.72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4,221,761.81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14,097,387.97</w:t>
            </w:r>
          </w:p>
        </w:tc>
      </w:tr>
      <w:tr>
        <w:trPr>
          <w:trHeight w:val="24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3,816,733.25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11,112,173.84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2,488,404.85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12,440,502.24</w:t>
            </w:r>
          </w:p>
        </w:tc>
      </w:tr>
      <w:tr>
        <w:trPr>
          <w:trHeight w:val="24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费用化支出</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31,266,795.46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31,266,795.46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24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61,118,673.08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181,195,307.97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11,263,302.74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31,266,795.46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199,783,882.85</w:t>
            </w:r>
          </w:p>
        </w:tc>
      </w:tr>
    </w:tbl>
    <w:p>
      <w:pPr>
        <w:spacing w:line="240" w:lineRule="auto" w:before="8"/>
        <w:rPr>
          <w:rFonts w:ascii="宋体" w:hAnsi="宋体" w:cs="宋体" w:eastAsia="宋体" w:hint="default"/>
          <w:sz w:val="18"/>
          <w:szCs w:val="18"/>
        </w:rPr>
      </w:pPr>
    </w:p>
    <w:p>
      <w:pPr>
        <w:pStyle w:val="BodyText"/>
        <w:spacing w:line="312" w:lineRule="exact" w:before="56"/>
        <w:ind w:left="517" w:right="8489"/>
        <w:jc w:val="left"/>
      </w:pPr>
      <w:r>
        <w:rPr/>
        <w:t>其他说明 续</w:t>
      </w:r>
    </w:p>
    <w:tbl>
      <w:tblPr>
        <w:tblW w:w="0" w:type="auto"/>
        <w:jc w:val="left"/>
        <w:tblInd w:w="404" w:type="dxa"/>
        <w:tblLayout w:type="fixed"/>
        <w:tblCellMar>
          <w:top w:w="0" w:type="dxa"/>
          <w:left w:w="0" w:type="dxa"/>
          <w:bottom w:w="0" w:type="dxa"/>
          <w:right w:w="0" w:type="dxa"/>
        </w:tblCellMar>
        <w:tblLook w:val="01E0"/>
      </w:tblPr>
      <w:tblGrid>
        <w:gridCol w:w="2732"/>
        <w:gridCol w:w="4145"/>
        <w:gridCol w:w="2103"/>
      </w:tblGrid>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29" w:right="0"/>
              <w:jc w:val="left"/>
              <w:rPr>
                <w:rFonts w:ascii="宋体" w:hAnsi="宋体" w:cs="宋体" w:eastAsia="宋体" w:hint="default"/>
                <w:sz w:val="21"/>
                <w:szCs w:val="21"/>
              </w:rPr>
            </w:pPr>
            <w:r>
              <w:rPr>
                <w:rFonts w:ascii="宋体" w:hAnsi="宋体" w:cs="宋体" w:eastAsia="宋体" w:hint="default"/>
                <w:b/>
                <w:bCs/>
                <w:sz w:val="21"/>
                <w:szCs w:val="21"/>
              </w:rPr>
              <w:t>资本化开始时点</w:t>
            </w:r>
            <w:r>
              <w:rPr>
                <w:rFonts w:ascii="宋体" w:hAnsi="宋体" w:cs="宋体" w:eastAsia="宋体" w:hint="default"/>
                <w:sz w:val="21"/>
                <w:szCs w:val="21"/>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资本化的具体依据</w:t>
            </w:r>
            <w:r>
              <w:rPr>
                <w:rFonts w:ascii="宋体" w:hAnsi="宋体" w:cs="宋体" w:eastAsia="宋体" w:hint="default"/>
                <w:sz w:val="21"/>
                <w:szCs w:val="21"/>
              </w:rPr>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BSM</w:t>
            </w:r>
            <w:r>
              <w:rPr>
                <w:rFonts w:ascii="宋体" w:hAnsi="宋体" w:cs="宋体" w:eastAsia="宋体" w:hint="default"/>
                <w:spacing w:val="-50"/>
                <w:sz w:val="21"/>
                <w:szCs w:val="21"/>
              </w:rPr>
              <w:t> </w:t>
            </w:r>
            <w:r>
              <w:rPr>
                <w:rFonts w:ascii="宋体" w:hAnsi="宋体" w:cs="宋体" w:eastAsia="宋体" w:hint="default"/>
                <w:sz w:val="21"/>
                <w:szCs w:val="21"/>
              </w:rPr>
              <w:t>类</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操作系统</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大数据类</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基础软件类</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55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应用服务类</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5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云计算类</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bl>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760" w:right="1160"/>
        </w:sectPr>
      </w:pPr>
    </w:p>
    <w:p>
      <w:pPr>
        <w:pStyle w:val="Heading2"/>
        <w:spacing w:line="240" w:lineRule="auto"/>
        <w:ind w:left="517" w:right="-18"/>
        <w:jc w:val="left"/>
        <w:rPr>
          <w:b w:val="0"/>
          <w:bCs w:val="0"/>
        </w:rPr>
      </w:pPr>
      <w:r>
        <w:rPr>
          <w:rFonts w:ascii="宋体" w:hAnsi="宋体" w:cs="宋体" w:eastAsia="宋体" w:hint="default"/>
        </w:rPr>
        <w:t>27</w:t>
      </w:r>
      <w:r>
        <w:rPr/>
        <w:t>、</w:t>
      </w:r>
      <w:r>
        <w:rPr>
          <w:spacing w:val="-99"/>
        </w:rPr>
        <w:t> </w:t>
      </w:r>
      <w:r>
        <w:rPr/>
        <w:t>商誉</w:t>
      </w:r>
      <w:r>
        <w:rPr>
          <w:b w:val="0"/>
          <w:bCs w:val="0"/>
        </w:rPr>
      </w:r>
    </w:p>
    <w:p>
      <w:pPr>
        <w:spacing w:line="283" w:lineRule="auto" w:before="58"/>
        <w:ind w:left="517"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20"/>
          <w:sz w:val="24"/>
          <w:szCs w:val="24"/>
        </w:rPr>
        <w:t> </w:t>
      </w:r>
      <w:r>
        <w:rPr>
          <w:rFonts w:ascii="宋体" w:hAnsi="宋体" w:cs="宋体" w:eastAsia="宋体" w:hint="default"/>
          <w:b/>
          <w:bCs/>
          <w:sz w:val="24"/>
          <w:szCs w:val="24"/>
        </w:rPr>
        <w:t>商誉账面原值</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717" w:val="left" w:leader="none"/>
        </w:tabs>
        <w:spacing w:line="240" w:lineRule="auto" w:before="197"/>
        <w:ind w:left="517" w:right="0"/>
        <w:jc w:val="left"/>
      </w:pPr>
      <w:r>
        <w:rPr/>
        <w:t>单位：元</w:t>
        <w:tab/>
        <w:t>币种：人民币</w:t>
      </w:r>
    </w:p>
    <w:p>
      <w:pPr>
        <w:spacing w:after="0" w:line="240" w:lineRule="auto"/>
        <w:jc w:val="left"/>
        <w:sectPr>
          <w:type w:val="continuous"/>
          <w:pgSz w:w="11910" w:h="16840"/>
          <w:pgMar w:top="1120" w:bottom="1380" w:left="760" w:right="1160"/>
          <w:cols w:num="2" w:equalWidth="0">
            <w:col w:w="2550" w:space="3643"/>
            <w:col w:w="3797"/>
          </w:cols>
        </w:sectPr>
      </w:pPr>
    </w:p>
    <w:p>
      <w:pPr>
        <w:spacing w:line="240" w:lineRule="auto" w:before="12"/>
        <w:rPr>
          <w:rFonts w:ascii="宋体" w:hAnsi="宋体" w:cs="宋体" w:eastAsia="宋体" w:hint="default"/>
          <w:sz w:val="2"/>
          <w:szCs w:val="2"/>
        </w:rPr>
      </w:pPr>
    </w:p>
    <w:tbl>
      <w:tblPr>
        <w:tblW w:w="0" w:type="auto"/>
        <w:jc w:val="left"/>
        <w:tblInd w:w="423" w:type="dxa"/>
        <w:tblLayout w:type="fixed"/>
        <w:tblCellMar>
          <w:top w:w="0" w:type="dxa"/>
          <w:left w:w="0" w:type="dxa"/>
          <w:bottom w:w="0" w:type="dxa"/>
          <w:right w:w="0" w:type="dxa"/>
        </w:tblCellMar>
        <w:tblLook w:val="01E0"/>
      </w:tblPr>
      <w:tblGrid>
        <w:gridCol w:w="2033"/>
        <w:gridCol w:w="1388"/>
        <w:gridCol w:w="1229"/>
        <w:gridCol w:w="1308"/>
        <w:gridCol w:w="1308"/>
        <w:gridCol w:w="445"/>
        <w:gridCol w:w="1301"/>
      </w:tblGrid>
      <w:tr>
        <w:trPr>
          <w:trHeight w:val="293" w:hRule="exact"/>
        </w:trPr>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5" w:right="108" w:hanging="675"/>
              <w:jc w:val="left"/>
              <w:rPr>
                <w:rFonts w:ascii="宋体" w:hAnsi="宋体" w:cs="宋体" w:eastAsia="宋体" w:hint="default"/>
                <w:sz w:val="15"/>
                <w:szCs w:val="15"/>
              </w:rPr>
            </w:pPr>
            <w:r>
              <w:rPr>
                <w:rFonts w:ascii="宋体" w:hAnsi="宋体" w:cs="宋体" w:eastAsia="宋体" w:hint="default"/>
                <w:spacing w:val="-2"/>
                <w:sz w:val="15"/>
                <w:szCs w:val="15"/>
              </w:rPr>
              <w:t>被投资单位名称或形成商誉</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的事项</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86"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1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45"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545" w:hRule="exact"/>
        </w:trPr>
        <w:tc>
          <w:tcPr>
            <w:tcW w:w="2033"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0" w:right="158" w:hanging="375"/>
              <w:jc w:val="left"/>
              <w:rPr>
                <w:rFonts w:ascii="宋体" w:hAnsi="宋体" w:cs="宋体" w:eastAsia="宋体" w:hint="default"/>
                <w:sz w:val="15"/>
                <w:szCs w:val="15"/>
              </w:rPr>
            </w:pPr>
            <w:r>
              <w:rPr>
                <w:rFonts w:ascii="宋体" w:hAnsi="宋体" w:cs="宋体" w:eastAsia="宋体" w:hint="default"/>
                <w:sz w:val="15"/>
                <w:szCs w:val="15"/>
              </w:rPr>
              <w:t>企业合并形成</w:t>
            </w:r>
            <w:r>
              <w:rPr>
                <w:rFonts w:ascii="宋体" w:hAnsi="宋体" w:cs="宋体" w:eastAsia="宋体" w:hint="default"/>
                <w:w w:val="100"/>
                <w:sz w:val="15"/>
                <w:szCs w:val="15"/>
              </w:rPr>
              <w:t> </w:t>
            </w:r>
            <w:r>
              <w:rPr>
                <w:rFonts w:ascii="宋体" w:hAnsi="宋体" w:cs="宋体" w:eastAsia="宋体" w:hint="default"/>
                <w:sz w:val="15"/>
                <w:szCs w:val="15"/>
              </w:rPr>
              <w:t>的</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汇率变动</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处置</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r>
      <w:tr>
        <w:trPr>
          <w:trHeight w:val="34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北京交大思源科技有限公司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0" w:right="0"/>
              <w:jc w:val="left"/>
              <w:rPr>
                <w:rFonts w:ascii="宋体" w:hAnsi="宋体" w:cs="宋体" w:eastAsia="宋体" w:hint="default"/>
                <w:sz w:val="15"/>
                <w:szCs w:val="15"/>
              </w:rPr>
            </w:pPr>
            <w:r>
              <w:rPr>
                <w:rFonts w:ascii="宋体"/>
                <w:sz w:val="15"/>
              </w:rPr>
              <w:t>372,152.33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43" w:right="0"/>
              <w:jc w:val="left"/>
              <w:rPr>
                <w:rFonts w:ascii="宋体" w:hAnsi="宋体" w:cs="宋体" w:eastAsia="宋体" w:hint="default"/>
                <w:sz w:val="15"/>
                <w:szCs w:val="15"/>
              </w:rPr>
            </w:pPr>
            <w:r>
              <w:rPr>
                <w:rFonts w:ascii="宋体"/>
                <w:sz w:val="15"/>
              </w:rPr>
              <w:t>372,152.33</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bl>
    <w:p>
      <w:pPr>
        <w:spacing w:after="0" w:line="172" w:lineRule="exact"/>
        <w:jc w:val="right"/>
        <w:rPr>
          <w:rFonts w:ascii="宋体" w:hAnsi="宋体" w:cs="宋体" w:eastAsia="宋体" w:hint="default"/>
          <w:sz w:val="15"/>
          <w:szCs w:val="15"/>
        </w:rPr>
        <w:sectPr>
          <w:type w:val="continuous"/>
          <w:pgSz w:w="11910" w:h="16840"/>
          <w:pgMar w:top="1120" w:bottom="1380" w:left="760" w:right="11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33"/>
        <w:gridCol w:w="1388"/>
        <w:gridCol w:w="1229"/>
        <w:gridCol w:w="1308"/>
        <w:gridCol w:w="1308"/>
        <w:gridCol w:w="445"/>
        <w:gridCol w:w="1301"/>
      </w:tblGrid>
      <w:tr>
        <w:trPr>
          <w:trHeight w:val="399"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北京华胜天成软件技术有限</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14,077.08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14,077.08</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广州石竹计算机软件有限公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89,605,203.27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89,605,203.27</w:t>
            </w:r>
          </w:p>
        </w:tc>
      </w:tr>
      <w:tr>
        <w:trPr>
          <w:trHeight w:val="39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浙江兰德纵横网络技术股份</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17,335,063.87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17,335,063.87</w:t>
            </w:r>
          </w:p>
        </w:tc>
      </w:tr>
      <w:tr>
        <w:trPr>
          <w:trHeight w:val="39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Automated</w:t>
            </w:r>
            <w:r>
              <w:rPr>
                <w:rFonts w:ascii="宋体"/>
                <w:spacing w:val="-10"/>
                <w:sz w:val="15"/>
              </w:rPr>
              <w:t> </w:t>
            </w:r>
            <w:r>
              <w:rPr>
                <w:rFonts w:ascii="宋体"/>
                <w:sz w:val="15"/>
              </w:rPr>
              <w:t>Systems</w:t>
            </w:r>
          </w:p>
          <w:p>
            <w:pPr>
              <w:pStyle w:val="TableParagraph"/>
              <w:spacing w:line="195" w:lineRule="exact"/>
              <w:ind w:left="103" w:right="0"/>
              <w:jc w:val="left"/>
              <w:rPr>
                <w:rFonts w:ascii="宋体" w:hAnsi="宋体" w:cs="宋体" w:eastAsia="宋体" w:hint="default"/>
                <w:sz w:val="15"/>
                <w:szCs w:val="15"/>
              </w:rPr>
            </w:pPr>
            <w:r>
              <w:rPr>
                <w:rFonts w:ascii="宋体"/>
                <w:sz w:val="15"/>
              </w:rPr>
              <w:t>Holdings</w:t>
            </w:r>
            <w:r>
              <w:rPr>
                <w:rFonts w:ascii="宋体"/>
                <w:spacing w:val="-8"/>
                <w:sz w:val="15"/>
              </w:rPr>
              <w:t> </w:t>
            </w:r>
            <w:r>
              <w:rPr>
                <w:rFonts w:ascii="宋体"/>
                <w:sz w:val="15"/>
              </w:rPr>
              <w:t>Limited</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31,974,700.50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1,957,464.10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33,932,164.60</w:t>
            </w:r>
          </w:p>
        </w:tc>
      </w:tr>
      <w:tr>
        <w:trPr>
          <w:trHeight w:val="34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中国磐天集团公司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12,537,513.30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767,535.95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13,305,049.25</w:t>
            </w:r>
          </w:p>
        </w:tc>
      </w:tr>
      <w:tr>
        <w:trPr>
          <w:trHeight w:val="34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现代前锋软件有限公司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48,474,638.33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2,967,576.32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51,442,214.65</w:t>
            </w:r>
          </w:p>
        </w:tc>
      </w:tr>
      <w:tr>
        <w:trPr>
          <w:trHeight w:val="39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北京中域绿色智能城市系统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研究院（有限合伙）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810,332.12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810,332.12</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石家庄华胜正明软件技术有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4,033,130.54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4,033,130.54</w:t>
            </w:r>
          </w:p>
        </w:tc>
      </w:tr>
      <w:tr>
        <w:trPr>
          <w:trHeight w:val="399"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南京拓维致胜信息科技有限</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634,849.76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634,849.76</w:t>
            </w:r>
          </w:p>
        </w:tc>
      </w:tr>
      <w:tr>
        <w:trPr>
          <w:trHeight w:val="34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杭州沃趣网络科技有限公司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14,744,010.67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14,744,010.67</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r>
      <w:tr>
        <w:trPr>
          <w:trHeight w:val="30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205,156,811.34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15,378,860.43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5,692,576.37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15,116,163.00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211,112,085.14</w:t>
            </w:r>
          </w:p>
        </w:tc>
      </w:tr>
    </w:tbl>
    <w:p>
      <w:pPr>
        <w:spacing w:line="240" w:lineRule="auto" w:before="8"/>
        <w:rPr>
          <w:rFonts w:ascii="宋体" w:hAnsi="宋体" w:cs="宋体" w:eastAsia="宋体" w:hint="default"/>
          <w:sz w:val="18"/>
          <w:szCs w:val="18"/>
        </w:rPr>
      </w:pPr>
    </w:p>
    <w:p>
      <w:pPr>
        <w:pStyle w:val="BodyText"/>
        <w:spacing w:line="240" w:lineRule="auto" w:before="26"/>
        <w:ind w:left="217" w:right="2569"/>
        <w:jc w:val="left"/>
      </w:pPr>
      <w:r>
        <w:rPr/>
        <w:t>其他说明</w:t>
      </w:r>
    </w:p>
    <w:p>
      <w:pPr>
        <w:pStyle w:val="BodyText"/>
        <w:spacing w:line="240" w:lineRule="auto" w:before="118"/>
        <w:ind w:left="637" w:right="221"/>
        <w:jc w:val="left"/>
      </w:pPr>
      <w:r>
        <w:rPr/>
        <w:t>①</w:t>
      </w:r>
      <w:r>
        <w:rPr>
          <w:spacing w:val="-1"/>
        </w:rPr>
        <w:t> </w:t>
      </w:r>
      <w:r>
        <w:rPr/>
        <w:t>本期增加</w:t>
      </w:r>
      <w:r>
        <w:rPr>
          <w:spacing w:val="-60"/>
        </w:rPr>
        <w:t> </w:t>
      </w:r>
      <w:r>
        <w:rPr>
          <w:rFonts w:ascii="宋体" w:hAnsi="宋体" w:cs="宋体" w:eastAsia="宋体" w:hint="default"/>
        </w:rPr>
        <w:t>634,849.76</w:t>
      </w:r>
      <w:r>
        <w:rPr>
          <w:rFonts w:ascii="宋体" w:hAnsi="宋体" w:cs="宋体" w:eastAsia="宋体" w:hint="default"/>
          <w:spacing w:val="-60"/>
        </w:rPr>
        <w:t> </w:t>
      </w:r>
      <w:r>
        <w:rPr/>
        <w:t>元，系收购南京拓维致胜信息科技有限公司所致。</w:t>
      </w:r>
    </w:p>
    <w:p>
      <w:pPr>
        <w:pStyle w:val="BodyText"/>
        <w:spacing w:line="240" w:lineRule="auto" w:before="118"/>
        <w:ind w:left="637" w:right="221"/>
        <w:jc w:val="left"/>
      </w:pPr>
      <w:r>
        <w:rPr/>
        <w:t>②</w:t>
      </w:r>
      <w:r>
        <w:rPr>
          <w:spacing w:val="-1"/>
        </w:rPr>
        <w:t> </w:t>
      </w:r>
      <w:r>
        <w:rPr/>
        <w:t>本期减少</w:t>
      </w:r>
      <w:r>
        <w:rPr>
          <w:spacing w:val="-60"/>
        </w:rPr>
        <w:t> </w:t>
      </w:r>
      <w:r>
        <w:rPr>
          <w:rFonts w:ascii="宋体" w:hAnsi="宋体" w:cs="宋体" w:eastAsia="宋体" w:hint="default"/>
        </w:rPr>
        <w:t>372,152.33</w:t>
      </w:r>
      <w:r>
        <w:rPr>
          <w:rFonts w:ascii="宋体" w:hAnsi="宋体" w:cs="宋体" w:eastAsia="宋体" w:hint="default"/>
          <w:spacing w:val="-60"/>
        </w:rPr>
        <w:t> </w:t>
      </w:r>
      <w:r>
        <w:rPr/>
        <w:t>元，系处置子公司北京交大思源科技有限公司所致。</w:t>
      </w:r>
    </w:p>
    <w:p>
      <w:pPr>
        <w:pStyle w:val="BodyText"/>
        <w:spacing w:line="313" w:lineRule="exact" w:before="115"/>
        <w:ind w:left="644" w:right="221"/>
        <w:jc w:val="left"/>
      </w:pPr>
      <w:r>
        <w:rPr/>
        <w:t>③ </w:t>
      </w:r>
      <w:r>
        <w:rPr>
          <w:rFonts w:ascii="宋体" w:hAnsi="宋体" w:cs="宋体" w:eastAsia="宋体" w:hint="default"/>
        </w:rPr>
        <w:t>2015 </w:t>
      </w:r>
      <w:r>
        <w:rPr/>
        <w:t>年 </w:t>
      </w:r>
      <w:r>
        <w:rPr>
          <w:rFonts w:ascii="宋体" w:hAnsi="宋体" w:cs="宋体" w:eastAsia="宋体" w:hint="default"/>
        </w:rPr>
        <w:t>1 </w:t>
      </w:r>
      <w:r>
        <w:rPr/>
        <w:t>月 </w:t>
      </w:r>
      <w:r>
        <w:rPr>
          <w:rFonts w:ascii="宋体" w:hAnsi="宋体" w:cs="宋体" w:eastAsia="宋体" w:hint="default"/>
        </w:rPr>
        <w:t>9</w:t>
      </w:r>
      <w:r>
        <w:rPr>
          <w:rFonts w:ascii="宋体" w:hAnsi="宋体" w:cs="宋体" w:eastAsia="宋体" w:hint="default"/>
          <w:spacing w:val="93"/>
        </w:rPr>
        <w:t> </w:t>
      </w:r>
      <w:r>
        <w:rPr>
          <w:spacing w:val="5"/>
        </w:rPr>
        <w:t>日收购子公司增加杭州沃趣网络科技有限公司，增加商誉</w:t>
      </w:r>
    </w:p>
    <w:p>
      <w:pPr>
        <w:pStyle w:val="BodyText"/>
        <w:spacing w:line="312" w:lineRule="exact" w:before="29"/>
        <w:ind w:left="217" w:right="117" w:hanging="118"/>
        <w:jc w:val="center"/>
      </w:pPr>
      <w:r>
        <w:rPr>
          <w:rFonts w:ascii="Arial" w:hAnsi="Arial" w:cs="Arial" w:eastAsia="Arial" w:hint="default"/>
          <w:w w:val="82"/>
        </w:rPr>
        <w:t>14</w:t>
      </w:r>
      <w:r>
        <w:rPr>
          <w:rFonts w:ascii="Arial" w:hAnsi="Arial" w:cs="Arial" w:eastAsia="Arial" w:hint="default"/>
          <w:w w:val="82"/>
        </w:rPr>
        <w:t>,</w:t>
      </w:r>
      <w:r>
        <w:rPr>
          <w:rFonts w:ascii="Arial" w:hAnsi="Arial" w:cs="Arial" w:eastAsia="Arial" w:hint="default"/>
          <w:spacing w:val="-1"/>
          <w:w w:val="82"/>
        </w:rPr>
        <w:t>7</w:t>
      </w:r>
      <w:r>
        <w:rPr>
          <w:rFonts w:ascii="Arial" w:hAnsi="Arial" w:cs="Arial" w:eastAsia="Arial" w:hint="default"/>
          <w:w w:val="82"/>
        </w:rPr>
        <w:t>44</w:t>
      </w:r>
      <w:r>
        <w:rPr>
          <w:rFonts w:ascii="Arial" w:hAnsi="Arial" w:cs="Arial" w:eastAsia="Arial" w:hint="default"/>
          <w:spacing w:val="-2"/>
          <w:w w:val="82"/>
        </w:rPr>
        <w:t>,</w:t>
      </w:r>
      <w:r>
        <w:rPr>
          <w:rFonts w:ascii="Arial" w:hAnsi="Arial" w:cs="Arial" w:eastAsia="Arial" w:hint="default"/>
          <w:w w:val="82"/>
        </w:rPr>
        <w:t>0</w:t>
      </w:r>
      <w:r>
        <w:rPr>
          <w:rFonts w:ascii="Arial" w:hAnsi="Arial" w:cs="Arial" w:eastAsia="Arial" w:hint="default"/>
          <w:spacing w:val="-2"/>
          <w:w w:val="82"/>
        </w:rPr>
        <w:t>1</w:t>
      </w:r>
      <w:r>
        <w:rPr>
          <w:rFonts w:ascii="Arial" w:hAnsi="Arial" w:cs="Arial" w:eastAsia="Arial" w:hint="default"/>
          <w:w w:val="82"/>
        </w:rPr>
        <w:t>0</w:t>
      </w:r>
      <w:r>
        <w:rPr>
          <w:rFonts w:ascii="Arial" w:hAnsi="Arial" w:cs="Arial" w:eastAsia="Arial" w:hint="default"/>
          <w:w w:val="82"/>
        </w:rPr>
        <w:t>.</w:t>
      </w:r>
      <w:r>
        <w:rPr>
          <w:rFonts w:ascii="Arial" w:hAnsi="Arial" w:cs="Arial" w:eastAsia="Arial" w:hint="default"/>
          <w:spacing w:val="1"/>
          <w:w w:val="82"/>
        </w:rPr>
        <w:t>6</w:t>
      </w:r>
      <w:r>
        <w:rPr>
          <w:rFonts w:ascii="Arial" w:hAnsi="Arial" w:cs="Arial" w:eastAsia="Arial" w:hint="default"/>
          <w:w w:val="82"/>
        </w:rPr>
        <w:t>7</w:t>
      </w:r>
      <w:r>
        <w:rPr>
          <w:rFonts w:ascii="Arial" w:hAnsi="Arial" w:cs="Arial" w:eastAsia="Arial" w:hint="default"/>
          <w:spacing w:val="-5"/>
        </w:rPr>
        <w:t> </w:t>
      </w:r>
      <w:r>
        <w:rPr>
          <w:spacing w:val="-3"/>
        </w:rPr>
        <w:t>元</w:t>
      </w:r>
      <w:r>
        <w:rPr>
          <w:spacing w:val="-106"/>
        </w:rPr>
        <w:t>；</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spacing w:val="-3"/>
        </w:rPr>
        <w:t>3</w:t>
      </w:r>
      <w:r>
        <w:rPr>
          <w:rFonts w:ascii="宋体" w:hAnsi="宋体" w:cs="宋体" w:eastAsia="宋体" w:hint="default"/>
        </w:rPr>
        <w:t>1</w:t>
      </w:r>
      <w:r>
        <w:rPr>
          <w:rFonts w:ascii="宋体" w:hAnsi="宋体" w:cs="宋体" w:eastAsia="宋体" w:hint="default"/>
          <w:spacing w:val="-60"/>
        </w:rPr>
        <w:t> </w:t>
      </w:r>
      <w:r>
        <w:rPr/>
        <w:t>日因杭州沃趣网络科技有限公司新增加投资者北京中域昭拓 股权投资中心（有限合伙</w:t>
      </w:r>
      <w:r>
        <w:rPr>
          <w:spacing w:val="-120"/>
        </w:rPr>
        <w:t>）</w:t>
      </w:r>
      <w:r>
        <w:rPr/>
        <w:t>，本集团持股比例降至</w:t>
      </w:r>
      <w:r>
        <w:rPr>
          <w:spacing w:val="-60"/>
        </w:rPr>
        <w:t> </w:t>
      </w:r>
      <w:r>
        <w:rPr>
          <w:rFonts w:ascii="宋体" w:hAnsi="宋体" w:cs="宋体" w:eastAsia="宋体" w:hint="default"/>
        </w:rPr>
        <w:t>40.8%</w:t>
      </w:r>
      <w:r>
        <w:rPr/>
        <w:t>，变更为本集团的</w:t>
      </w:r>
      <w:r>
        <w:rPr>
          <w:spacing w:val="2"/>
        </w:rPr>
        <w:t>联营公司</w:t>
      </w:r>
      <w:r>
        <w:rPr/>
        <w:t>。</w:t>
      </w:r>
    </w:p>
    <w:p>
      <w:pPr>
        <w:pStyle w:val="BodyText"/>
        <w:spacing w:line="237" w:lineRule="auto" w:before="90"/>
        <w:ind w:left="217" w:right="232" w:firstLine="424"/>
        <w:jc w:val="both"/>
      </w:pPr>
      <w:r>
        <w:rPr/>
        <w:t>④本公司采用预计未来现金流现值的方法计算资产组的可收回金额。本公司根据 管理层批准的财务预算预计未来</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年内现金流量，其后年度采用的现金流量增长率预</w:t>
      </w:r>
      <w:r>
        <w:rPr/>
        <w:t> 计为</w:t>
      </w:r>
      <w:r>
        <w:rPr>
          <w:spacing w:val="-59"/>
        </w:rPr>
        <w:t> </w:t>
      </w:r>
      <w:r>
        <w:rPr>
          <w:rFonts w:ascii="宋体" w:hAnsi="宋体" w:cs="宋体" w:eastAsia="宋体" w:hint="default"/>
          <w:spacing w:val="-3"/>
        </w:rPr>
        <w:t>2%</w:t>
      </w:r>
      <w:r>
        <w:rPr>
          <w:spacing w:val="-3"/>
        </w:rPr>
        <w:t>（上期：</w:t>
      </w:r>
      <w:r>
        <w:rPr>
          <w:rFonts w:ascii="宋体" w:hAnsi="宋体" w:cs="宋体" w:eastAsia="宋体" w:hint="default"/>
          <w:spacing w:val="-3"/>
        </w:rPr>
        <w:t>2%</w:t>
      </w:r>
      <w:r>
        <w:rPr>
          <w:spacing w:val="-3"/>
        </w:rPr>
        <w:t>），不会超过资产组经营业务的长期平均增长率。管理层根据过往</w:t>
      </w:r>
      <w:r>
        <w:rPr/>
        <w:t> </w:t>
      </w:r>
      <w:r>
        <w:rPr>
          <w:spacing w:val="-2"/>
        </w:rPr>
        <w:t>表现及其对市场发展的预期编制上述财务预算。计算未来现金流现值所采用的税前折</w:t>
      </w:r>
      <w:r>
        <w:rPr>
          <w:spacing w:val="-94"/>
        </w:rPr>
        <w:t> </w:t>
      </w:r>
      <w:r>
        <w:rPr>
          <w:spacing w:val="-94"/>
        </w:rPr>
      </w:r>
      <w:r>
        <w:rPr/>
        <w:t>现率</w:t>
      </w:r>
      <w:r>
        <w:rPr>
          <w:spacing w:val="-55"/>
        </w:rPr>
        <w:t> </w:t>
      </w:r>
      <w:r>
        <w:rPr>
          <w:rFonts w:ascii="宋体" w:hAnsi="宋体" w:cs="宋体" w:eastAsia="宋体" w:hint="default"/>
          <w:spacing w:val="-3"/>
        </w:rPr>
        <w:t>15%</w:t>
      </w:r>
      <w:r>
        <w:rPr>
          <w:spacing w:val="-3"/>
        </w:rPr>
        <w:t>（上期：</w:t>
      </w:r>
      <w:r>
        <w:rPr>
          <w:rFonts w:ascii="宋体" w:hAnsi="宋体" w:cs="宋体" w:eastAsia="宋体" w:hint="default"/>
          <w:spacing w:val="-3"/>
        </w:rPr>
        <w:t>15%</w:t>
      </w:r>
      <w:r>
        <w:rPr>
          <w:spacing w:val="-3"/>
        </w:rPr>
        <w:t>），已反映了相对于有关分部的风险。根据减值测试的结果，本</w:t>
      </w:r>
      <w:r>
        <w:rPr/>
        <w:t> 期期末商誉未发生减值（上期期末：无）。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60" w:right="1560"/>
        </w:sectPr>
      </w:pPr>
    </w:p>
    <w:p>
      <w:pPr>
        <w:pStyle w:val="Heading2"/>
        <w:spacing w:line="240" w:lineRule="auto"/>
        <w:ind w:right="-18"/>
        <w:jc w:val="left"/>
        <w:rPr>
          <w:b w:val="0"/>
          <w:bCs w:val="0"/>
        </w:rPr>
      </w:pPr>
      <w:r>
        <w:rPr>
          <w:rFonts w:ascii="宋体" w:hAnsi="宋体" w:cs="宋体" w:eastAsia="宋体" w:hint="default"/>
        </w:rPr>
        <w:t>28</w:t>
      </w:r>
      <w:r>
        <w:rPr/>
        <w:t>、</w:t>
      </w:r>
      <w:r>
        <w:rPr>
          <w:spacing w:val="-103"/>
        </w:rPr>
        <w:t> </w:t>
      </w:r>
      <w:r>
        <w:rPr/>
        <w:t>长期待摊费用</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166" w:space="4027"/>
            <w:col w:w="309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高尔夫球会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352,833.51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426,666.70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572,666.74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206,833.47</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租入房屋装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4,264,046.41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281,773.87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899,448.69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83,165.00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3,563,206.59</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4,616,879.92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708,440.57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1,472,115.43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83,165.00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3,770,040.06</w:t>
            </w:r>
          </w:p>
        </w:tc>
      </w:tr>
    </w:tbl>
    <w:p>
      <w:pPr>
        <w:spacing w:line="240" w:lineRule="auto" w:before="10"/>
        <w:rPr>
          <w:rFonts w:ascii="宋体" w:hAnsi="宋体" w:cs="宋体" w:eastAsia="宋体" w:hint="default"/>
          <w:sz w:val="18"/>
          <w:szCs w:val="18"/>
        </w:rPr>
      </w:pPr>
    </w:p>
    <w:p>
      <w:pPr>
        <w:pStyle w:val="BodyText"/>
        <w:spacing w:line="310" w:lineRule="exact" w:before="58"/>
        <w:ind w:left="217" w:right="229"/>
        <w:jc w:val="left"/>
      </w:pPr>
      <w:r>
        <w:rPr/>
        <w:t>其他说明：长期待摊费用本期增加中，汇率变动的影响额为</w:t>
      </w:r>
      <w:r>
        <w:rPr>
          <w:rFonts w:ascii="宋体" w:hAnsi="宋体" w:cs="宋体" w:eastAsia="宋体" w:hint="default"/>
        </w:rPr>
        <w:t>-146,196.38</w:t>
      </w:r>
      <w:r>
        <w:rPr>
          <w:rFonts w:ascii="宋体" w:hAnsi="宋体" w:cs="宋体" w:eastAsia="宋体" w:hint="default"/>
          <w:spacing w:val="-60"/>
        </w:rPr>
        <w:t> </w:t>
      </w:r>
      <w:r>
        <w:rPr/>
        <w:t>元，其他减 少为企业处置租入房屋装修费。</w:t>
      </w:r>
    </w:p>
    <w:p>
      <w:pPr>
        <w:spacing w:after="0" w:line="310" w:lineRule="exact"/>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83" w:lineRule="auto"/>
        <w:ind w:right="-16"/>
        <w:jc w:val="left"/>
        <w:rPr>
          <w:b w:val="0"/>
          <w:bCs w:val="0"/>
        </w:rPr>
      </w:pPr>
      <w:r>
        <w:rPr>
          <w:rFonts w:ascii="宋体" w:hAnsi="宋体" w:cs="宋体" w:eastAsia="宋体" w:hint="default"/>
        </w:rPr>
        <w:t>29</w:t>
      </w:r>
      <w:r>
        <w:rPr/>
        <w:t>、</w:t>
      </w:r>
      <w:r>
        <w:rPr>
          <w:spacing w:val="-101"/>
        </w:rPr>
        <w:t> </w:t>
      </w:r>
      <w:r>
        <w:rPr/>
        <w:t>递延所得税资产</w:t>
      </w:r>
      <w:r>
        <w:rPr>
          <w:rFonts w:ascii="宋体" w:hAnsi="宋体" w:cs="宋体" w:eastAsia="宋体" w:hint="default"/>
        </w:rPr>
        <w:t>/</w:t>
      </w:r>
      <w:r>
        <w:rPr>
          <w:rFonts w:ascii="宋体" w:hAnsi="宋体" w:cs="宋体" w:eastAsia="宋体" w:hint="default"/>
          <w:spacing w:val="-4"/>
        </w:rPr>
        <w:t> </w:t>
      </w:r>
      <w:r>
        <w:rPr/>
        <w:t>递延所得税负债</w:t>
      </w:r>
      <w:r>
        <w:rPr>
          <w:w w:val="99"/>
        </w:rPr>
        <w:t> </w:t>
      </w:r>
      <w:r>
        <w:rPr>
          <w:rFonts w:ascii="宋体" w:hAnsi="宋体" w:cs="宋体" w:eastAsia="宋体" w:hint="default"/>
        </w:rPr>
        <w:t>(1).</w:t>
      </w:r>
      <w:r>
        <w:rPr>
          <w:rFonts w:ascii="宋体" w:hAnsi="宋体" w:cs="宋体" w:eastAsia="宋体" w:hint="default"/>
          <w:spacing w:val="-20"/>
        </w:rPr>
        <w:t> </w:t>
      </w:r>
      <w:r>
        <w:rPr/>
        <w:t>未经抵销的递延所得税资产</w:t>
      </w:r>
      <w:r>
        <w:rPr>
          <w:b w:val="0"/>
          <w:bCs w:val="0"/>
        </w:rPr>
      </w:r>
    </w:p>
    <w:p>
      <w:pPr>
        <w:pStyle w:val="BodyText"/>
        <w:spacing w:line="240" w:lineRule="auto" w:before="12"/>
        <w:ind w:left="217"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336" w:space="1857"/>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5"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157,660,491.81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25,917,652.66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143,364,859.18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16,578,242.68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29,887,859.61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4,296,017.44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14,122,179.13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1,386,898.82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59,462,329.09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14,180,316.85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40,172,525.50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8,354,967.14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50,250,133.37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7,410,462.12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36,024,013.59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3,714,100.94</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289,457.03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41,793.52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1,428,045.92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183,038.63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预提费用（含工资）</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7,026,759.59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1,055,013.93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31,482,137.00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3,538,591.67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10,219,622.85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1,532,943.43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14,720,069.23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1,522,073.90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391,702.78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65,592.37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147,329.73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24,309.38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尚未解锁的股权激励摊销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1,948,050.20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280,961.90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317,136,406.33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54,780,754.22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281,461,159.28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35,302,223.16</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20"/>
        </w:rPr>
        <w:t> </w:t>
      </w:r>
      <w:r>
        <w:rPr/>
        <w:t>未经抵销的递延所得税负债</w:t>
      </w:r>
      <w:r>
        <w:rPr>
          <w:b w:val="0"/>
          <w:bCs w:val="0"/>
        </w:rPr>
      </w:r>
    </w:p>
    <w:p>
      <w:pPr>
        <w:pStyle w:val="BodyText"/>
        <w:spacing w:line="240" w:lineRule="auto" w:before="58"/>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697" w:space="2496"/>
            <w:col w:w="309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4"/>
        <w:gridCol w:w="1777"/>
        <w:gridCol w:w="1656"/>
        <w:gridCol w:w="1776"/>
        <w:gridCol w:w="1657"/>
      </w:tblGrid>
      <w:tr>
        <w:trPr>
          <w:trHeight w:val="322" w:hRule="exact"/>
        </w:trPr>
        <w:tc>
          <w:tcPr>
            <w:tcW w:w="2184"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2184"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负债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负债</w:t>
            </w:r>
          </w:p>
        </w:tc>
      </w:tr>
      <w:tr>
        <w:trPr>
          <w:trHeight w:val="63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非同一控制企业合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并资产评估增值</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22,862,192.16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4,057,487.75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23,518,918.17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4,239,843.62</w:t>
            </w:r>
          </w:p>
        </w:tc>
      </w:tr>
      <w:tr>
        <w:trPr>
          <w:trHeight w:val="63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w:t>
            </w:r>
          </w:p>
        </w:tc>
        <w:tc>
          <w:tcPr>
            <w:tcW w:w="17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27,412,103.36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4,522,997.08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28,055,939.86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4,630,343.19</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增值税退税返还</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1,577,423.00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236,613.45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1,577,423.00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236,613.45</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51,851,718.52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8,817,098.28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53,152,281.03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9,106,800.26</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21"/>
        </w:rPr>
        <w:t> </w:t>
      </w:r>
      <w:r>
        <w:rPr/>
        <w:t>以抵销后净额列示的递延所得税资产或负债：</w:t>
      </w:r>
      <w:r>
        <w:rPr>
          <w:b w:val="0"/>
          <w:bCs w:val="0"/>
        </w:rPr>
      </w:r>
    </w:p>
    <w:p>
      <w:pPr>
        <w:pStyle w:val="BodyText"/>
        <w:spacing w:line="240" w:lineRule="auto" w:before="58"/>
        <w:ind w:left="217" w:right="-17"/>
        <w:jc w:val="left"/>
      </w:pPr>
      <w:r>
        <w:rPr/>
        <w:t>□适用</w:t>
      </w:r>
      <w:r>
        <w:rPr>
          <w:spacing w:val="-1"/>
        </w:rPr>
        <w:t> </w:t>
      </w:r>
      <w:r>
        <w:rPr/>
        <w:t>√不适用</w:t>
      </w:r>
    </w:p>
    <w:p>
      <w:pPr>
        <w:pStyle w:val="Heading2"/>
        <w:spacing w:line="240" w:lineRule="auto" w:before="58"/>
        <w:ind w:right="-17"/>
        <w:jc w:val="left"/>
        <w:rPr>
          <w:b w:val="0"/>
          <w:bCs w:val="0"/>
        </w:rPr>
      </w:pPr>
      <w:r>
        <w:rPr>
          <w:rFonts w:ascii="宋体" w:hAnsi="宋体" w:cs="宋体" w:eastAsia="宋体" w:hint="default"/>
        </w:rPr>
        <w:t>(4).</w:t>
      </w:r>
      <w:r>
        <w:rPr>
          <w:rFonts w:ascii="宋体" w:hAnsi="宋体" w:cs="宋体" w:eastAsia="宋体" w:hint="default"/>
          <w:spacing w:val="-20"/>
        </w:rPr>
        <w:t> </w:t>
      </w:r>
      <w:r>
        <w:rPr/>
        <w:t>未确认递延所得税资产明细</w:t>
      </w:r>
      <w:r>
        <w:rPr>
          <w:b w:val="0"/>
          <w:bCs w:val="0"/>
        </w:rPr>
      </w:r>
    </w:p>
    <w:p>
      <w:pPr>
        <w:pStyle w:val="BodyText"/>
        <w:spacing w:line="240" w:lineRule="auto" w:before="55"/>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7" w:val="left" w:leader="none"/>
        </w:tabs>
        <w:spacing w:line="240" w:lineRule="auto" w:before="195"/>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5623" w:space="570"/>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62,900,886.16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38,130,242.71</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118,307,968.94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95,462,307.37</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181,208,855.10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133,592,550.08</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Heading2"/>
        <w:spacing w:line="240" w:lineRule="auto"/>
        <w:ind w:right="2569"/>
        <w:jc w:val="left"/>
        <w:rPr>
          <w:b w:val="0"/>
          <w:bCs w:val="0"/>
        </w:rPr>
      </w:pPr>
      <w:r>
        <w:rPr>
          <w:rFonts w:ascii="宋体" w:hAnsi="宋体" w:cs="宋体" w:eastAsia="宋体" w:hint="default"/>
        </w:rPr>
        <w:t>(5).</w:t>
      </w:r>
      <w:r>
        <w:rPr>
          <w:rFonts w:ascii="宋体" w:hAnsi="宋体" w:cs="宋体" w:eastAsia="宋体" w:hint="default"/>
          <w:spacing w:val="-21"/>
        </w:rPr>
        <w:t> </w:t>
      </w:r>
      <w:r>
        <w:rPr/>
        <w:t>未确认递延所得税资产的可抵扣亏损将于以下年度到期</w:t>
      </w:r>
      <w:r>
        <w:rPr>
          <w:b w:val="0"/>
          <w:bCs w:val="0"/>
        </w:rPr>
      </w:r>
    </w:p>
    <w:p>
      <w:pPr>
        <w:pStyle w:val="BodyText"/>
        <w:spacing w:line="240" w:lineRule="auto" w:before="58"/>
        <w:ind w:left="217" w:right="2569"/>
        <w:jc w:val="left"/>
      </w:pPr>
      <w:r>
        <w:rPr/>
        <w:t>√适用</w:t>
      </w:r>
      <w:r>
        <w:rPr>
          <w:spacing w:val="-1"/>
        </w:rPr>
        <w:t> </w:t>
      </w:r>
      <w:r>
        <w:rPr/>
        <w:t>□不适用</w:t>
      </w:r>
    </w:p>
    <w:p>
      <w:pPr>
        <w:pStyle w:val="BodyText"/>
        <w:tabs>
          <w:tab w:pos="1199" w:val="left" w:leader="none"/>
        </w:tabs>
        <w:spacing w:line="310" w:lineRule="exact"/>
        <w:ind w:left="0" w:right="288"/>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4"/>
              <w:jc w:val="right"/>
              <w:rPr>
                <w:rFonts w:ascii="宋体" w:hAnsi="宋体" w:cs="宋体" w:eastAsia="宋体" w:hint="default"/>
                <w:sz w:val="24"/>
                <w:szCs w:val="24"/>
              </w:rPr>
            </w:pPr>
            <w:r>
              <w:rPr>
                <w:rFonts w:ascii="宋体" w:hAnsi="宋体" w:cs="宋体" w:eastAsia="宋体" w:hint="default"/>
                <w:sz w:val="24"/>
                <w:szCs w:val="24"/>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6" w:right="0"/>
              <w:jc w:val="left"/>
              <w:rPr>
                <w:rFonts w:ascii="宋体" w:hAnsi="宋体" w:cs="宋体" w:eastAsia="宋体" w:hint="default"/>
                <w:sz w:val="24"/>
                <w:szCs w:val="24"/>
              </w:rPr>
            </w:pPr>
            <w:r>
              <w:rPr>
                <w:rFonts w:ascii="宋体" w:hAnsi="宋体" w:cs="宋体" w:eastAsia="宋体" w:hint="default"/>
                <w:sz w:val="24"/>
                <w:szCs w:val="24"/>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3,779,888.65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3,903,600.80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4,267,753.73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3,601,013.67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7,299,553.31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13,280,749.79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23,985,676.41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48,766,386.49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50,422,388.07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40,542,353.22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2,142,855.86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2,112,369.08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2,110,348.73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1,921,019.49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1,643,633.34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2025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2,236,738.19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Notimelimit</w:t>
            </w:r>
            <w:r>
              <w:rPr>
                <w:rFonts w:ascii="宋体" w:hAnsi="宋体" w:cs="宋体" w:eastAsia="宋体" w:hint="default"/>
                <w:spacing w:val="-61"/>
                <w:sz w:val="24"/>
                <w:szCs w:val="24"/>
              </w:rPr>
              <w:t> </w:t>
            </w:r>
            <w:r>
              <w:rPr>
                <w:rFonts w:ascii="宋体" w:hAnsi="宋体" w:cs="宋体" w:eastAsia="宋体" w:hint="default"/>
                <w:sz w:val="24"/>
                <w:szCs w:val="24"/>
              </w:rPr>
              <w:t>无期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限</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80,288.85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1,673,658.63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4"/>
              <w:jc w:val="right"/>
              <w:rPr>
                <w:rFonts w:ascii="宋体" w:hAnsi="宋体" w:cs="宋体" w:eastAsia="宋体" w:hint="default"/>
                <w:sz w:val="24"/>
                <w:szCs w:val="24"/>
              </w:rPr>
            </w:pPr>
            <w:r>
              <w:rPr>
                <w:rFonts w:ascii="宋体" w:hAnsi="宋体" w:cs="宋体" w:eastAsia="宋体" w:hint="default"/>
                <w:sz w:val="24"/>
                <w:szCs w:val="24"/>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118,307,968.94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95,462,307.37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310" w:lineRule="exact" w:before="58"/>
        <w:ind w:left="217" w:right="7849"/>
        <w:jc w:val="left"/>
      </w:pPr>
      <w:r>
        <w:rPr/>
        <w:t>其他说明： 无</w:t>
      </w:r>
    </w:p>
    <w:p>
      <w:pPr>
        <w:spacing w:line="240" w:lineRule="auto" w:before="2"/>
        <w:rPr>
          <w:rFonts w:ascii="宋体" w:hAnsi="宋体" w:cs="宋体" w:eastAsia="宋体" w:hint="default"/>
          <w:sz w:val="24"/>
          <w:szCs w:val="24"/>
        </w:rPr>
      </w:pPr>
    </w:p>
    <w:p>
      <w:pPr>
        <w:pStyle w:val="Heading2"/>
        <w:spacing w:line="240" w:lineRule="auto"/>
        <w:ind w:right="2569"/>
        <w:jc w:val="left"/>
        <w:rPr>
          <w:b w:val="0"/>
          <w:bCs w:val="0"/>
        </w:rPr>
      </w:pPr>
      <w:r>
        <w:rPr>
          <w:rFonts w:ascii="宋体" w:hAnsi="宋体" w:cs="宋体" w:eastAsia="宋体" w:hint="default"/>
        </w:rPr>
        <w:t>30</w:t>
      </w:r>
      <w:r>
        <w:rPr/>
        <w:t>、</w:t>
      </w:r>
      <w:r>
        <w:rPr>
          <w:spacing w:val="-102"/>
        </w:rPr>
        <w:t> </w:t>
      </w:r>
      <w:r>
        <w:rPr/>
        <w:t>其他非流动资产</w:t>
      </w:r>
      <w:r>
        <w:rPr>
          <w:b w:val="0"/>
          <w:bCs w:val="0"/>
        </w:rPr>
      </w:r>
    </w:p>
    <w:p>
      <w:pPr>
        <w:pStyle w:val="BodyText"/>
        <w:tabs>
          <w:tab w:pos="1199" w:val="left" w:leader="none"/>
        </w:tabs>
        <w:spacing w:line="240" w:lineRule="auto" w:before="55"/>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284"/>
        <w:gridCol w:w="2612"/>
        <w:gridCol w:w="3001"/>
      </w:tblGrid>
      <w:tr>
        <w:trPr>
          <w:trHeight w:val="28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预付融资租赁资产款</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503,938.38</w:t>
            </w:r>
          </w:p>
        </w:tc>
      </w:tr>
      <w:tr>
        <w:trPr>
          <w:trHeight w:val="28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0.00</w:t>
            </w:r>
          </w:p>
        </w:tc>
      </w:tr>
      <w:tr>
        <w:trPr>
          <w:trHeight w:val="28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无形资产预付款</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4,756,367.39</w:t>
            </w:r>
          </w:p>
        </w:tc>
      </w:tr>
      <w:tr>
        <w:trPr>
          <w:trHeight w:val="28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预付项目合作款</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48,660,000.00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44,673,627.00</w:t>
            </w:r>
          </w:p>
        </w:tc>
      </w:tr>
      <w:tr>
        <w:trPr>
          <w:trHeight w:val="286"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27,586,918.06</w:t>
            </w:r>
          </w:p>
        </w:tc>
      </w:tr>
      <w:tr>
        <w:trPr>
          <w:trHeight w:val="28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预付装修款</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5,542,310.00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0.00</w:t>
            </w:r>
          </w:p>
        </w:tc>
      </w:tr>
      <w:tr>
        <w:trPr>
          <w:trHeight w:val="289"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一年内到期的其他非流动资产</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r>
      <w:tr>
        <w:trPr>
          <w:trHeight w:val="28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54,202,310.00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77,520,850.83</w:t>
            </w:r>
          </w:p>
        </w:tc>
      </w:tr>
    </w:tbl>
    <w:p>
      <w:pPr>
        <w:spacing w:line="240" w:lineRule="auto" w:before="8"/>
        <w:rPr>
          <w:rFonts w:ascii="宋体" w:hAnsi="宋体" w:cs="宋体" w:eastAsia="宋体" w:hint="default"/>
          <w:sz w:val="18"/>
          <w:szCs w:val="18"/>
        </w:rPr>
      </w:pPr>
    </w:p>
    <w:p>
      <w:pPr>
        <w:pStyle w:val="BodyText"/>
        <w:spacing w:line="312" w:lineRule="exact" w:before="56"/>
        <w:ind w:left="217" w:right="7849"/>
        <w:jc w:val="left"/>
      </w:pPr>
      <w:r>
        <w:rPr/>
        <w:t>其他说明： 无</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2"/>
        <w:spacing w:line="240" w:lineRule="auto"/>
        <w:ind w:right="-18"/>
        <w:jc w:val="left"/>
        <w:rPr>
          <w:b w:val="0"/>
          <w:bCs w:val="0"/>
        </w:rPr>
      </w:pPr>
      <w:r>
        <w:rPr>
          <w:rFonts w:ascii="宋体" w:hAnsi="宋体" w:cs="宋体" w:eastAsia="宋体" w:hint="default"/>
        </w:rPr>
        <w:t>31</w:t>
      </w:r>
      <w:r>
        <w:rPr/>
        <w:t>、</w:t>
      </w:r>
      <w:r>
        <w:rPr>
          <w:spacing w:val="-101"/>
        </w:rPr>
        <w:t> </w:t>
      </w:r>
      <w:r>
        <w:rPr/>
        <w:t>短期借款</w:t>
      </w:r>
      <w:r>
        <w:rPr>
          <w:b w:val="0"/>
          <w:bCs w:val="0"/>
        </w:rPr>
      </w:r>
    </w:p>
    <w:p>
      <w:pPr>
        <w:spacing w:line="283" w:lineRule="auto" w:before="55"/>
        <w:ind w:left="217"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23"/>
          <w:sz w:val="24"/>
          <w:szCs w:val="24"/>
        </w:rPr>
        <w:t> </w:t>
      </w:r>
      <w:r>
        <w:rPr>
          <w:rFonts w:ascii="宋体" w:hAnsi="宋体" w:cs="宋体" w:eastAsia="宋体" w:hint="default"/>
          <w:b/>
          <w:bCs/>
          <w:sz w:val="24"/>
          <w:szCs w:val="24"/>
        </w:rPr>
        <w:t>短期借款分类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7" w:val="left" w:leader="none"/>
        </w:tabs>
        <w:spacing w:line="240" w:lineRule="auto" w:before="197"/>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293" w:space="3900"/>
            <w:col w:w="3097"/>
          </w:cols>
        </w:sectPr>
      </w:pPr>
    </w:p>
    <w:p>
      <w:pPr>
        <w:spacing w:line="240" w:lineRule="auto" w:before="10"/>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871"/>
        <w:gridCol w:w="3005"/>
        <w:gridCol w:w="3020"/>
      </w:tblGrid>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871"/>
        <w:gridCol w:w="3005"/>
        <w:gridCol w:w="3020"/>
      </w:tblGrid>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16,755,947.78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33,133,670.24</w:t>
            </w: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3,393,604.00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575,269,107.74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0"/>
              <w:jc w:val="right"/>
              <w:rPr>
                <w:rFonts w:ascii="宋体" w:hAnsi="宋体" w:cs="宋体" w:eastAsia="宋体" w:hint="default"/>
                <w:sz w:val="21"/>
                <w:szCs w:val="21"/>
              </w:rPr>
            </w:pPr>
            <w:r>
              <w:rPr>
                <w:rFonts w:ascii="宋体"/>
                <w:spacing w:val="-1"/>
                <w:sz w:val="21"/>
              </w:rPr>
              <w:t>478,182,750.31</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595,418,659.52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511,316,420.55</w:t>
            </w:r>
          </w:p>
        </w:tc>
      </w:tr>
    </w:tbl>
    <w:p>
      <w:pPr>
        <w:pStyle w:val="BodyText"/>
        <w:spacing w:line="312" w:lineRule="exact" w:before="110"/>
        <w:ind w:left="157" w:right="138"/>
        <w:jc w:val="left"/>
      </w:pPr>
      <w:r>
        <w:rPr/>
        <w:t>短期借款分类的说明：①抵押借款中，</w:t>
      </w:r>
      <w:r>
        <w:rPr>
          <w:rFonts w:ascii="宋体" w:hAnsi="宋体" w:cs="宋体" w:eastAsia="宋体" w:hint="default"/>
        </w:rPr>
        <w:t>ASL</w:t>
      </w:r>
      <w:r>
        <w:rPr>
          <w:rFonts w:ascii="宋体" w:hAnsi="宋体" w:cs="宋体" w:eastAsia="宋体" w:hint="default"/>
          <w:spacing w:val="-49"/>
        </w:rPr>
        <w:t> </w:t>
      </w:r>
      <w:r>
        <w:rPr/>
        <w:t>公司以自有房屋抵押借款，自香港汇丰银 行取得借款</w:t>
      </w:r>
      <w:r>
        <w:rPr>
          <w:spacing w:val="-85"/>
        </w:rPr>
        <w:t> </w:t>
      </w:r>
      <w:r>
        <w:rPr>
          <w:rFonts w:ascii="宋体" w:hAnsi="宋体" w:cs="宋体" w:eastAsia="宋体" w:hint="default"/>
        </w:rPr>
        <w:t>20,000,000.00</w:t>
      </w:r>
      <w:r>
        <w:rPr>
          <w:rFonts w:ascii="宋体" w:hAnsi="宋体" w:cs="宋体" w:eastAsia="宋体" w:hint="default"/>
          <w:spacing w:val="-85"/>
        </w:rPr>
        <w:t> </w:t>
      </w:r>
      <w:r>
        <w:rPr/>
        <w:t>港币。②信用借款中，本公司使用中国银行综合信用额度</w:t>
      </w:r>
    </w:p>
    <w:p>
      <w:pPr>
        <w:pStyle w:val="BodyText"/>
        <w:spacing w:line="281" w:lineRule="exact"/>
        <w:ind w:left="157" w:right="0"/>
        <w:jc w:val="both"/>
      </w:pPr>
      <w:r>
        <w:rPr/>
        <w:t>申请开立备用信用证，金额</w:t>
      </w:r>
      <w:r>
        <w:rPr>
          <w:spacing w:val="-85"/>
        </w:rPr>
        <w:t> </w:t>
      </w:r>
      <w:r>
        <w:rPr>
          <w:rFonts w:ascii="宋体" w:hAnsi="宋体" w:cs="宋体" w:eastAsia="宋体" w:hint="default"/>
        </w:rPr>
        <w:t>1,000</w:t>
      </w:r>
      <w:r>
        <w:rPr>
          <w:rFonts w:ascii="宋体" w:hAnsi="宋体" w:cs="宋体" w:eastAsia="宋体" w:hint="default"/>
          <w:spacing w:val="-85"/>
        </w:rPr>
        <w:t> </w:t>
      </w:r>
      <w:r>
        <w:rPr/>
        <w:t>万美元为本公司之全资子公司华胜天成（香港）有</w:t>
      </w:r>
    </w:p>
    <w:p>
      <w:pPr>
        <w:pStyle w:val="BodyText"/>
        <w:spacing w:line="311" w:lineRule="exact"/>
        <w:ind w:left="157" w:right="0"/>
        <w:jc w:val="both"/>
        <w:rPr>
          <w:rFonts w:ascii="宋体" w:hAnsi="宋体" w:cs="宋体" w:eastAsia="宋体" w:hint="default"/>
        </w:rPr>
      </w:pPr>
      <w:r>
        <w:rPr/>
        <w:t>限公司在中国银</w:t>
      </w:r>
      <w:r>
        <w:rPr>
          <w:spacing w:val="-113"/>
        </w:rPr>
        <w:t>行</w:t>
      </w:r>
      <w:r>
        <w:rPr/>
        <w:t>（香港</w:t>
      </w:r>
      <w:r>
        <w:rPr>
          <w:spacing w:val="-113"/>
        </w:rPr>
        <w:t>）</w:t>
      </w:r>
      <w:r>
        <w:rPr/>
        <w:t>有限公司申请贸易项下融资业务额度提供不超过美金</w:t>
      </w:r>
      <w:r>
        <w:rPr>
          <w:spacing w:val="-59"/>
        </w:rPr>
        <w:t> </w:t>
      </w:r>
      <w:r>
        <w:rPr>
          <w:rFonts w:ascii="宋体" w:hAnsi="宋体" w:cs="宋体" w:eastAsia="宋体" w:hint="default"/>
        </w:rPr>
        <w:t>1,000</w:t>
      </w:r>
    </w:p>
    <w:p>
      <w:pPr>
        <w:pStyle w:val="BodyText"/>
        <w:spacing w:line="312" w:lineRule="exact"/>
        <w:ind w:left="157" w:right="0"/>
        <w:jc w:val="both"/>
      </w:pPr>
      <w:r>
        <w:rPr/>
        <w:t>万元的担保，自中国银行（香港）有限公司取得借款 </w:t>
      </w:r>
      <w:r>
        <w:rPr>
          <w:rFonts w:ascii="宋体" w:hAnsi="宋体" w:cs="宋体" w:eastAsia="宋体" w:hint="default"/>
        </w:rPr>
        <w:t>1,811,133.88</w:t>
      </w:r>
      <w:r>
        <w:rPr>
          <w:rFonts w:ascii="宋体" w:hAnsi="宋体" w:cs="宋体" w:eastAsia="宋体" w:hint="default"/>
          <w:spacing w:val="-48"/>
        </w:rPr>
        <w:t> </w:t>
      </w:r>
      <w:r>
        <w:rPr/>
        <w:t>美元。③信用借</w:t>
      </w:r>
    </w:p>
    <w:p>
      <w:pPr>
        <w:pStyle w:val="BodyText"/>
        <w:spacing w:line="237" w:lineRule="auto" w:before="1"/>
        <w:ind w:left="157" w:right="151"/>
        <w:jc w:val="both"/>
        <w:rPr>
          <w:rFonts w:ascii="宋体" w:hAnsi="宋体" w:cs="宋体" w:eastAsia="宋体" w:hint="default"/>
        </w:rPr>
      </w:pPr>
      <w:r>
        <w:rPr>
          <w:spacing w:val="-4"/>
        </w:rPr>
        <w:t>款中，本公司使用汇丰银行综合信用额度申请开立备用信用证，金额为人民币</w:t>
      </w:r>
      <w:r>
        <w:rPr>
          <w:spacing w:val="-33"/>
        </w:rPr>
        <w:t> </w:t>
      </w:r>
      <w:r>
        <w:rPr>
          <w:rFonts w:ascii="宋体" w:hAnsi="宋体" w:cs="宋体" w:eastAsia="宋体" w:hint="default"/>
        </w:rPr>
        <w:t>10,000</w:t>
      </w:r>
      <w:r>
        <w:rPr>
          <w:rFonts w:ascii="宋体" w:hAnsi="宋体" w:cs="宋体" w:eastAsia="宋体" w:hint="default"/>
          <w:spacing w:val="-117"/>
        </w:rPr>
        <w:t> </w:t>
      </w:r>
      <w:r>
        <w:rPr>
          <w:spacing w:val="-2"/>
        </w:rPr>
        <w:t>万元整为本公司之全资子公司华胜天成（香港）有限公司在香港上海汇丰银行股份有</w:t>
      </w:r>
      <w:r>
        <w:rPr>
          <w:spacing w:val="-94"/>
        </w:rPr>
        <w:t> </w:t>
      </w:r>
      <w:r>
        <w:rPr>
          <w:spacing w:val="-94"/>
        </w:rPr>
      </w:r>
      <w:r>
        <w:rPr/>
        <w:t>限</w:t>
      </w:r>
      <w:r>
        <w:rPr>
          <w:spacing w:val="-75"/>
        </w:rPr>
        <w:t> </w:t>
      </w:r>
      <w:r>
        <w:rPr/>
        <w:t>公</w:t>
      </w:r>
      <w:r>
        <w:rPr>
          <w:spacing w:val="-75"/>
        </w:rPr>
        <w:t> </w:t>
      </w:r>
      <w:r>
        <w:rPr/>
        <w:t>司</w:t>
      </w:r>
      <w:r>
        <w:rPr>
          <w:spacing w:val="-75"/>
        </w:rPr>
        <w:t> </w:t>
      </w:r>
      <w:r>
        <w:rPr/>
        <w:t>提</w:t>
      </w:r>
      <w:r>
        <w:rPr>
          <w:spacing w:val="-73"/>
        </w:rPr>
        <w:t> </w:t>
      </w:r>
      <w:r>
        <w:rPr/>
        <w:t>供</w:t>
      </w:r>
      <w:r>
        <w:rPr>
          <w:spacing w:val="-75"/>
        </w:rPr>
        <w:t> </w:t>
      </w:r>
      <w:r>
        <w:rPr/>
        <w:t>贸</w:t>
      </w:r>
      <w:r>
        <w:rPr>
          <w:spacing w:val="-73"/>
        </w:rPr>
        <w:t> </w:t>
      </w:r>
      <w:r>
        <w:rPr/>
        <w:t>易</w:t>
      </w:r>
      <w:r>
        <w:rPr>
          <w:spacing w:val="-75"/>
        </w:rPr>
        <w:t> </w:t>
      </w:r>
      <w:r>
        <w:rPr/>
        <w:t>融</w:t>
      </w:r>
      <w:r>
        <w:rPr>
          <w:spacing w:val="-73"/>
        </w:rPr>
        <w:t> </w:t>
      </w:r>
      <w:r>
        <w:rPr/>
        <w:t>资</w:t>
      </w:r>
      <w:r>
        <w:rPr>
          <w:spacing w:val="-75"/>
        </w:rPr>
        <w:t> </w:t>
      </w:r>
      <w:r>
        <w:rPr/>
        <w:t>担</w:t>
      </w:r>
      <w:r>
        <w:rPr>
          <w:spacing w:val="-75"/>
        </w:rPr>
        <w:t> </w:t>
      </w:r>
      <w:r>
        <w:rPr/>
        <w:t>保</w:t>
      </w:r>
      <w:r>
        <w:rPr>
          <w:spacing w:val="-75"/>
        </w:rPr>
        <w:t> </w:t>
      </w:r>
      <w:r>
        <w:rPr/>
        <w:t>，</w:t>
      </w:r>
      <w:r>
        <w:rPr>
          <w:spacing w:val="-73"/>
        </w:rPr>
        <w:t> </w:t>
      </w:r>
      <w:r>
        <w:rPr/>
        <w:t>自</w:t>
      </w:r>
      <w:r>
        <w:rPr>
          <w:spacing w:val="-75"/>
        </w:rPr>
        <w:t> </w:t>
      </w:r>
      <w:r>
        <w:rPr/>
        <w:t>香</w:t>
      </w:r>
      <w:r>
        <w:rPr>
          <w:spacing w:val="-73"/>
        </w:rPr>
        <w:t> </w:t>
      </w:r>
      <w:r>
        <w:rPr/>
        <w:t>港</w:t>
      </w:r>
      <w:r>
        <w:rPr>
          <w:spacing w:val="-75"/>
        </w:rPr>
        <w:t> </w:t>
      </w:r>
      <w:r>
        <w:rPr/>
        <w:t>上</w:t>
      </w:r>
      <w:r>
        <w:rPr>
          <w:spacing w:val="-73"/>
        </w:rPr>
        <w:t> </w:t>
      </w:r>
      <w:r>
        <w:rPr/>
        <w:t>海</w:t>
      </w:r>
      <w:r>
        <w:rPr>
          <w:spacing w:val="-75"/>
        </w:rPr>
        <w:t> </w:t>
      </w:r>
      <w:r>
        <w:rPr/>
        <w:t>汇</w:t>
      </w:r>
      <w:r>
        <w:rPr>
          <w:spacing w:val="-75"/>
        </w:rPr>
        <w:t> </w:t>
      </w:r>
      <w:r>
        <w:rPr/>
        <w:t>丰</w:t>
      </w:r>
      <w:r>
        <w:rPr>
          <w:spacing w:val="-75"/>
        </w:rPr>
        <w:t> </w:t>
      </w:r>
      <w:r>
        <w:rPr/>
        <w:t>银</w:t>
      </w:r>
      <w:r>
        <w:rPr>
          <w:spacing w:val="-73"/>
        </w:rPr>
        <w:t> </w:t>
      </w:r>
      <w:r>
        <w:rPr/>
        <w:t>行</w:t>
      </w:r>
      <w:r>
        <w:rPr>
          <w:spacing w:val="-75"/>
        </w:rPr>
        <w:t> </w:t>
      </w:r>
      <w:r>
        <w:rPr/>
        <w:t>股</w:t>
      </w:r>
      <w:r>
        <w:rPr>
          <w:spacing w:val="-75"/>
        </w:rPr>
        <w:t> </w:t>
      </w:r>
      <w:r>
        <w:rPr/>
        <w:t>份</w:t>
      </w:r>
      <w:r>
        <w:rPr>
          <w:spacing w:val="-73"/>
        </w:rPr>
        <w:t> </w:t>
      </w:r>
      <w:r>
        <w:rPr/>
        <w:t>有</w:t>
      </w:r>
      <w:r>
        <w:rPr>
          <w:spacing w:val="-73"/>
        </w:rPr>
        <w:t> </w:t>
      </w:r>
      <w:r>
        <w:rPr/>
        <w:t>限</w:t>
      </w:r>
      <w:r>
        <w:rPr>
          <w:spacing w:val="-75"/>
        </w:rPr>
        <w:t> </w:t>
      </w:r>
      <w:r>
        <w:rPr/>
        <w:t>公</w:t>
      </w:r>
      <w:r>
        <w:rPr>
          <w:spacing w:val="-75"/>
        </w:rPr>
        <w:t> </w:t>
      </w:r>
      <w:r>
        <w:rPr/>
        <w:t>司</w:t>
      </w:r>
      <w:r>
        <w:rPr>
          <w:spacing w:val="-75"/>
        </w:rPr>
        <w:t> </w:t>
      </w:r>
      <w:r>
        <w:rPr/>
        <w:t>取</w:t>
      </w:r>
      <w:r>
        <w:rPr>
          <w:spacing w:val="-73"/>
        </w:rPr>
        <w:t> </w:t>
      </w:r>
      <w:r>
        <w:rPr/>
        <w:t>得</w:t>
      </w:r>
      <w:r>
        <w:rPr>
          <w:spacing w:val="-75"/>
        </w:rPr>
        <w:t> </w:t>
      </w:r>
      <w:r>
        <w:rPr/>
        <w:t>借</w:t>
      </w:r>
      <w:r>
        <w:rPr>
          <w:spacing w:val="-75"/>
        </w:rPr>
        <w:t> </w:t>
      </w:r>
      <w:r>
        <w:rPr/>
        <w:t>款</w:t>
      </w:r>
      <w:r>
        <w:rPr/>
        <w:t> </w:t>
      </w:r>
      <w:r>
        <w:rPr>
          <w:rFonts w:ascii="宋体" w:hAnsi="宋体" w:cs="宋体" w:eastAsia="宋体" w:hint="default"/>
        </w:rPr>
        <w:t>12,859,900.33</w:t>
      </w:r>
      <w:r>
        <w:rPr>
          <w:rFonts w:ascii="宋体" w:hAnsi="宋体" w:cs="宋体" w:eastAsia="宋体" w:hint="default"/>
          <w:spacing w:val="-49"/>
        </w:rPr>
        <w:t> </w:t>
      </w:r>
      <w:r>
        <w:rPr/>
        <w:t>美元。④信用证借款中，本公司之子公司华胜天成科技（香港）有限 </w:t>
      </w:r>
      <w:r>
        <w:rPr>
          <w:spacing w:val="-2"/>
        </w:rPr>
        <w:t>公司与中国民生银行股份有限公司苏州分行签订福费廷业务合同，自民生银行取得信</w:t>
      </w:r>
      <w:r>
        <w:rPr>
          <w:spacing w:val="-94"/>
        </w:rPr>
        <w:t> </w:t>
      </w:r>
      <w:r>
        <w:rPr>
          <w:spacing w:val="-94"/>
        </w:rPr>
      </w:r>
      <w:r>
        <w:rPr/>
        <w:t>用借款 </w:t>
      </w:r>
      <w:r>
        <w:rPr>
          <w:rFonts w:ascii="宋体" w:hAnsi="宋体" w:cs="宋体" w:eastAsia="宋体" w:hint="default"/>
        </w:rPr>
        <w:t>100,001,280.00</w:t>
      </w:r>
      <w:r>
        <w:rPr>
          <w:rFonts w:ascii="宋体" w:hAnsi="宋体" w:cs="宋体" w:eastAsia="宋体" w:hint="default"/>
          <w:spacing w:val="-49"/>
        </w:rPr>
        <w:t> </w:t>
      </w:r>
      <w:r>
        <w:rPr/>
        <w:t>元。⑤保证借款，本公司之间接控制子公司现代前锋之全资 </w:t>
      </w:r>
      <w:r>
        <w:rPr>
          <w:spacing w:val="-2"/>
        </w:rPr>
        <w:t>子公司摩卡软件（天津）有限公司与上海浦东发展银行股份有限公司天津分行签订借</w:t>
      </w:r>
      <w:r>
        <w:rPr>
          <w:spacing w:val="-94"/>
        </w:rPr>
        <w:t> </w:t>
      </w:r>
      <w:r>
        <w:rPr>
          <w:spacing w:val="-94"/>
        </w:rPr>
      </w:r>
      <w:r>
        <w:rPr/>
        <w:t>款合同，借款金额</w:t>
      </w:r>
      <w:r>
        <w:rPr>
          <w:spacing w:val="-49"/>
        </w:rPr>
        <w:t> </w:t>
      </w:r>
      <w:r>
        <w:rPr>
          <w:rFonts w:ascii="宋体" w:hAnsi="宋体" w:cs="宋体" w:eastAsia="宋体" w:hint="default"/>
        </w:rPr>
        <w:t>3,393,604.00</w:t>
      </w:r>
      <w:r>
        <w:rPr>
          <w:rFonts w:ascii="宋体" w:hAnsi="宋体" w:cs="宋体" w:eastAsia="宋体" w:hint="default"/>
          <w:spacing w:val="-49"/>
        </w:rPr>
        <w:t> </w:t>
      </w:r>
      <w:r>
        <w:rPr/>
        <w:t>元，借款期限为自</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t>月</w:t>
      </w:r>
      <w:r>
        <w:rPr>
          <w:spacing w:val="-49"/>
        </w:rPr>
        <w:t> </w:t>
      </w:r>
      <w:r>
        <w:rPr>
          <w:rFonts w:ascii="宋体" w:hAnsi="宋体" w:cs="宋体" w:eastAsia="宋体" w:hint="default"/>
        </w:rPr>
        <w:t>7</w:t>
      </w:r>
      <w:r>
        <w:rPr>
          <w:rFonts w:ascii="宋体" w:hAnsi="宋体" w:cs="宋体" w:eastAsia="宋体" w:hint="default"/>
          <w:spacing w:val="-49"/>
        </w:rPr>
        <w:t> </w:t>
      </w:r>
      <w:r>
        <w:rPr/>
        <w:t>日起至</w:t>
      </w:r>
      <w:r>
        <w:rPr>
          <w:spacing w:val="-49"/>
        </w:rPr>
        <w:t> </w:t>
      </w:r>
      <w:r>
        <w:rPr>
          <w:rFonts w:ascii="宋体" w:hAnsi="宋体" w:cs="宋体" w:eastAsia="宋体" w:hint="default"/>
        </w:rPr>
        <w:t>2016</w:t>
      </w:r>
      <w:r>
        <w:rPr>
          <w:rFonts w:ascii="宋体" w:hAnsi="宋体" w:cs="宋体" w:eastAsia="宋体" w:hint="default"/>
          <w:spacing w:val="-49"/>
        </w:rPr>
        <w:t> </w:t>
      </w:r>
      <w:r>
        <w:rPr/>
        <w:t>年</w:t>
      </w:r>
      <w:r>
        <w:rPr>
          <w:spacing w:val="-49"/>
        </w:rPr>
        <w:t> </w:t>
      </w:r>
      <w:r>
        <w:rPr>
          <w:rFonts w:ascii="宋体" w:hAnsi="宋体" w:cs="宋体" w:eastAsia="宋体" w:hint="default"/>
        </w:rPr>
        <w:t>9</w:t>
      </w:r>
    </w:p>
    <w:p>
      <w:pPr>
        <w:pStyle w:val="BodyText"/>
        <w:spacing w:line="312" w:lineRule="exact" w:before="29"/>
        <w:ind w:left="157" w:right="137"/>
        <w:jc w:val="left"/>
      </w:pPr>
      <w:r>
        <w:rPr/>
        <w:t>月 </w:t>
      </w:r>
      <w:r>
        <w:rPr>
          <w:rFonts w:ascii="宋体" w:hAnsi="宋体" w:cs="宋体" w:eastAsia="宋体" w:hint="default"/>
        </w:rPr>
        <w:t>17</w:t>
      </w:r>
      <w:r>
        <w:rPr>
          <w:rFonts w:ascii="宋体" w:hAnsi="宋体" w:cs="宋体" w:eastAsia="宋体" w:hint="default"/>
          <w:spacing w:val="-48"/>
        </w:rPr>
        <w:t> </w:t>
      </w:r>
      <w:r>
        <w:rPr/>
        <w:t>日止；该笔借款由天津高新国创科技发展有限公司提供担保。⑥本公司不存在 逾期未偿还的短期借款。</w:t>
      </w:r>
    </w:p>
    <w:p>
      <w:pPr>
        <w:spacing w:line="240" w:lineRule="auto" w:before="1"/>
        <w:rPr>
          <w:rFonts w:ascii="宋体" w:hAnsi="宋体" w:cs="宋体" w:eastAsia="宋体" w:hint="default"/>
          <w:sz w:val="35"/>
          <w:szCs w:val="35"/>
        </w:rPr>
      </w:pPr>
    </w:p>
    <w:p>
      <w:pPr>
        <w:pStyle w:val="Heading2"/>
        <w:spacing w:line="240" w:lineRule="auto" w:before="0"/>
        <w:ind w:left="157" w:right="0"/>
        <w:jc w:val="both"/>
        <w:rPr>
          <w:b w:val="0"/>
          <w:bCs w:val="0"/>
        </w:rPr>
      </w:pPr>
      <w:r>
        <w:rPr>
          <w:rFonts w:ascii="宋体" w:hAnsi="宋体" w:cs="宋体" w:eastAsia="宋体" w:hint="default"/>
        </w:rPr>
        <w:t>(2).</w:t>
      </w:r>
      <w:r>
        <w:rPr>
          <w:rFonts w:ascii="宋体" w:hAnsi="宋体" w:cs="宋体" w:eastAsia="宋体" w:hint="default"/>
          <w:spacing w:val="23"/>
        </w:rPr>
        <w:t> </w:t>
      </w:r>
      <w:r>
        <w:rPr/>
        <w:t>已逾期未偿还的短期借款情况</w:t>
      </w:r>
      <w:r>
        <w:rPr>
          <w:b w:val="0"/>
          <w:bCs w:val="0"/>
        </w:rPr>
      </w:r>
    </w:p>
    <w:p>
      <w:pPr>
        <w:pStyle w:val="BodyText"/>
        <w:spacing w:line="312" w:lineRule="exact" w:before="89"/>
        <w:ind w:left="157" w:right="7170"/>
        <w:jc w:val="left"/>
      </w:pPr>
      <w:r>
        <w:rPr/>
        <w:t>□适用</w:t>
      </w:r>
      <w:r>
        <w:rPr>
          <w:spacing w:val="-1"/>
        </w:rPr>
        <w:t> </w:t>
      </w:r>
      <w:r>
        <w:rPr/>
        <w:t>√不适用</w:t>
      </w:r>
      <w:r>
        <w:rPr/>
        <w:t> 其他说明</w:t>
      </w:r>
    </w:p>
    <w:p>
      <w:pPr>
        <w:pStyle w:val="BodyText"/>
        <w:spacing w:line="281" w:lineRule="exact"/>
        <w:ind w:left="157" w:right="0"/>
        <w:jc w:val="both"/>
      </w:pPr>
      <w:r>
        <w:rPr/>
        <w:t>无</w:t>
      </w:r>
    </w:p>
    <w:p>
      <w:pPr>
        <w:spacing w:line="240" w:lineRule="auto" w:before="4"/>
        <w:rPr>
          <w:rFonts w:ascii="宋体" w:hAnsi="宋体" w:cs="宋体" w:eastAsia="宋体" w:hint="default"/>
          <w:sz w:val="28"/>
          <w:szCs w:val="28"/>
        </w:rPr>
      </w:pPr>
    </w:p>
    <w:p>
      <w:pPr>
        <w:pStyle w:val="Heading2"/>
        <w:spacing w:line="240" w:lineRule="auto" w:before="0"/>
        <w:ind w:left="157" w:right="0"/>
        <w:jc w:val="both"/>
        <w:rPr>
          <w:b w:val="0"/>
          <w:bCs w:val="0"/>
        </w:rPr>
      </w:pPr>
      <w:r>
        <w:rPr>
          <w:rFonts w:ascii="宋体" w:hAnsi="宋体" w:cs="宋体" w:eastAsia="宋体" w:hint="default"/>
        </w:rPr>
        <w:t>32</w:t>
      </w:r>
      <w:r>
        <w:rPr/>
        <w:t>、</w:t>
      </w:r>
      <w:r>
        <w:rPr>
          <w:spacing w:val="-104"/>
        </w:rPr>
        <w:t> </w:t>
      </w:r>
      <w:r>
        <w:rPr/>
        <w:t>以公允价值计量且其变动计入当期损益的金融负债</w:t>
      </w:r>
      <w:r>
        <w:rPr>
          <w:b w:val="0"/>
          <w:bCs w:val="0"/>
        </w:rPr>
      </w:r>
    </w:p>
    <w:p>
      <w:pPr>
        <w:pStyle w:val="BodyText"/>
        <w:spacing w:line="240" w:lineRule="auto" w:before="55"/>
        <w:ind w:left="157" w:right="0"/>
        <w:jc w:val="both"/>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157" w:right="0"/>
        <w:jc w:val="both"/>
        <w:rPr>
          <w:b w:val="0"/>
          <w:bCs w:val="0"/>
        </w:rPr>
      </w:pPr>
      <w:r>
        <w:rPr>
          <w:rFonts w:ascii="宋体" w:hAnsi="宋体" w:cs="宋体" w:eastAsia="宋体" w:hint="default"/>
        </w:rPr>
        <w:t>33</w:t>
      </w:r>
      <w:r>
        <w:rPr/>
        <w:t>、</w:t>
      </w:r>
      <w:r>
        <w:rPr>
          <w:spacing w:val="-104"/>
        </w:rPr>
        <w:t> </w:t>
      </w:r>
      <w:r>
        <w:rPr/>
        <w:t>衍生金融负债</w:t>
      </w:r>
      <w:r>
        <w:rPr>
          <w:b w:val="0"/>
          <w:bCs w:val="0"/>
        </w:rPr>
      </w:r>
    </w:p>
    <w:p>
      <w:pPr>
        <w:pStyle w:val="BodyText"/>
        <w:spacing w:line="240" w:lineRule="auto" w:before="58"/>
        <w:ind w:left="157"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120" w:right="1640"/>
        </w:sectPr>
      </w:pPr>
    </w:p>
    <w:p>
      <w:pPr>
        <w:pStyle w:val="Heading2"/>
        <w:spacing w:line="240" w:lineRule="auto"/>
        <w:ind w:left="157" w:right="-19"/>
        <w:jc w:val="left"/>
        <w:rPr>
          <w:b w:val="0"/>
          <w:bCs w:val="0"/>
        </w:rPr>
      </w:pPr>
      <w:r>
        <w:rPr>
          <w:rFonts w:ascii="宋体" w:hAnsi="宋体" w:cs="宋体" w:eastAsia="宋体" w:hint="default"/>
        </w:rPr>
        <w:t>34</w:t>
      </w:r>
      <w:r>
        <w:rPr/>
        <w:t>、</w:t>
      </w:r>
      <w:r>
        <w:rPr>
          <w:spacing w:val="-101"/>
        </w:rPr>
        <w:t> </w:t>
      </w:r>
      <w:r>
        <w:rPr/>
        <w:t>应付票据</w:t>
      </w:r>
      <w:r>
        <w:rPr>
          <w:b w:val="0"/>
          <w:bCs w:val="0"/>
        </w:rPr>
      </w:r>
    </w:p>
    <w:p>
      <w:pPr>
        <w:pStyle w:val="BodyText"/>
        <w:spacing w:line="240" w:lineRule="auto" w:before="58"/>
        <w:ind w:left="15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57" w:val="left" w:leader="none"/>
        </w:tabs>
        <w:spacing w:line="240" w:lineRule="auto"/>
        <w:ind w:left="157" w:right="0"/>
        <w:jc w:val="left"/>
      </w:pPr>
      <w:r>
        <w:rPr/>
        <w:t>单位：元</w:t>
        <w:tab/>
        <w:t>币种：人民币</w:t>
      </w:r>
    </w:p>
    <w:p>
      <w:pPr>
        <w:spacing w:after="0" w:line="240" w:lineRule="auto"/>
        <w:jc w:val="left"/>
        <w:sectPr>
          <w:type w:val="continuous"/>
          <w:pgSz w:w="11910" w:h="16840"/>
          <w:pgMar w:top="1120" w:bottom="1380" w:left="1120" w:right="1640"/>
          <w:cols w:num="2" w:equalWidth="0">
            <w:col w:w="1958" w:space="4235"/>
            <w:col w:w="2957"/>
          </w:cols>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5"/>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67,892,704.60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42,953,181.98</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220,394,202.87</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51,204,993.22</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5"/>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288,286,907.47</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94,158,175.20</w:t>
            </w:r>
          </w:p>
        </w:tc>
      </w:tr>
    </w:tbl>
    <w:p>
      <w:pPr>
        <w:pStyle w:val="BodyText"/>
        <w:spacing w:line="274" w:lineRule="exact"/>
        <w:ind w:left="157" w:right="138"/>
        <w:jc w:val="left"/>
      </w:pPr>
      <w:r>
        <w:rPr/>
        <w:t>本期末已到期未支付的应付票据总额为 </w:t>
      </w:r>
      <w:r>
        <w:rPr>
          <w:rFonts w:ascii="宋体" w:hAnsi="宋体" w:cs="宋体" w:eastAsia="宋体" w:hint="default"/>
        </w:rPr>
        <w:t>0</w:t>
      </w:r>
      <w:r>
        <w:rPr>
          <w:rFonts w:ascii="宋体" w:hAnsi="宋体" w:cs="宋体" w:eastAsia="宋体" w:hint="default"/>
          <w:spacing w:val="-60"/>
        </w:rPr>
        <w:t> </w:t>
      </w:r>
      <w:r>
        <w:rPr/>
        <w:t>元。</w:t>
      </w:r>
    </w:p>
    <w:p>
      <w:pPr>
        <w:spacing w:after="0" w:line="274" w:lineRule="exact"/>
        <w:jc w:val="left"/>
        <w:sectPr>
          <w:type w:val="continuous"/>
          <w:pgSz w:w="11910" w:h="16840"/>
          <w:pgMar w:top="1120" w:bottom="1380" w:left="1120" w:right="164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1"/>
          <w:pgSz w:w="11910" w:h="16840"/>
          <w:pgMar w:footer="1195" w:header="882" w:top="1120" w:bottom="1380" w:left="1060" w:right="1300"/>
        </w:sectPr>
      </w:pPr>
    </w:p>
    <w:p>
      <w:pPr>
        <w:pStyle w:val="Heading2"/>
        <w:spacing w:line="240" w:lineRule="auto"/>
        <w:ind w:right="0"/>
        <w:jc w:val="left"/>
        <w:rPr>
          <w:b w:val="0"/>
          <w:bCs w:val="0"/>
        </w:rPr>
      </w:pPr>
      <w:r>
        <w:rPr>
          <w:rFonts w:ascii="宋体" w:hAnsi="宋体" w:cs="宋体" w:eastAsia="宋体" w:hint="default"/>
        </w:rPr>
        <w:t>35</w:t>
      </w:r>
      <w:r>
        <w:rPr/>
        <w:t>、</w:t>
      </w:r>
      <w:r>
        <w:rPr>
          <w:spacing w:val="-100"/>
        </w:rPr>
        <w:t> </w:t>
      </w:r>
      <w:r>
        <w:rPr/>
        <w:t>应付账款</w:t>
      </w:r>
      <w:r>
        <w:rPr>
          <w:b w:val="0"/>
          <w:bCs w:val="0"/>
        </w:rPr>
      </w:r>
    </w:p>
    <w:p>
      <w:pPr>
        <w:pStyle w:val="Heading2"/>
        <w:tabs>
          <w:tab w:pos="1057" w:val="left" w:leader="none"/>
        </w:tabs>
        <w:spacing w:line="240" w:lineRule="auto" w:before="58"/>
        <w:ind w:right="0"/>
        <w:jc w:val="left"/>
        <w:rPr>
          <w:b w:val="0"/>
          <w:bCs w:val="0"/>
        </w:rPr>
      </w:pPr>
      <w:r>
        <w:rPr>
          <w:rFonts w:ascii="宋体" w:hAnsi="宋体" w:cs="宋体" w:eastAsia="宋体" w:hint="default"/>
        </w:rPr>
        <w:t>(1).</w:t>
        <w:tab/>
      </w:r>
      <w:r>
        <w:rPr>
          <w:w w:val="95"/>
        </w:rPr>
        <w:t>应付账款列示</w:t>
      </w:r>
      <w:r>
        <w:rPr>
          <w:b w:val="0"/>
          <w:bCs w:val="0"/>
        </w:rPr>
      </w:r>
    </w:p>
    <w:p>
      <w:pPr>
        <w:pStyle w:val="BodyText"/>
        <w:spacing w:line="240" w:lineRule="auto" w:before="55"/>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300"/>
          <w:cols w:num="2" w:equalWidth="0">
            <w:col w:w="2502" w:space="3691"/>
            <w:col w:w="33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989,257,067.21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865,654,448.06</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133,081,395.32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26,588,936.35</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1,122,338,462.53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892,243,384.41</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195"/>
        <w:jc w:val="left"/>
        <w:rPr>
          <w:b w:val="0"/>
          <w:bCs w:val="0"/>
        </w:rPr>
      </w:pPr>
      <w:r>
        <w:rPr>
          <w:rFonts w:ascii="宋体" w:hAnsi="宋体" w:cs="宋体" w:eastAsia="宋体" w:hint="default"/>
        </w:rPr>
        <w:t>(2).</w:t>
        <w:tab/>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年的重要应付账款</w:t>
      </w:r>
      <w:r>
        <w:rPr>
          <w:b w:val="0"/>
          <w:bCs w:val="0"/>
        </w:rPr>
      </w:r>
    </w:p>
    <w:p>
      <w:pPr>
        <w:pStyle w:val="BodyText"/>
        <w:spacing w:line="313" w:lineRule="exact" w:before="39"/>
        <w:ind w:left="217" w:right="6078"/>
        <w:jc w:val="left"/>
      </w:pPr>
      <w:r>
        <w:rPr/>
        <w:t>□适用</w:t>
      </w:r>
      <w:r>
        <w:rPr>
          <w:spacing w:val="-1"/>
        </w:rPr>
        <w:t> </w:t>
      </w:r>
      <w:r>
        <w:rPr/>
        <w:t>√不适用</w:t>
      </w:r>
    </w:p>
    <w:p>
      <w:pPr>
        <w:pStyle w:val="BodyText"/>
        <w:spacing w:line="313" w:lineRule="exact"/>
        <w:ind w:left="217" w:right="195"/>
        <w:jc w:val="left"/>
      </w:pPr>
      <w:r>
        <w:rPr/>
        <w:t>其他说明：账龄超过</w:t>
      </w:r>
      <w:r>
        <w:rPr>
          <w:spacing w:val="-61"/>
        </w:rPr>
        <w:t> </w:t>
      </w:r>
      <w:r>
        <w:rPr>
          <w:rFonts w:ascii="宋体" w:hAnsi="宋体" w:cs="宋体" w:eastAsia="宋体" w:hint="default"/>
        </w:rPr>
        <w:t>1</w:t>
      </w:r>
      <w:r>
        <w:rPr>
          <w:rFonts w:ascii="宋体" w:hAnsi="宋体" w:cs="宋体" w:eastAsia="宋体" w:hint="default"/>
          <w:spacing w:val="-61"/>
        </w:rPr>
        <w:t> </w:t>
      </w:r>
      <w:r>
        <w:rPr/>
        <w:t>年的重要应付账款系尚未到结算期所致。</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60" w:right="1300"/>
        </w:sectPr>
      </w:pPr>
    </w:p>
    <w:p>
      <w:pPr>
        <w:pStyle w:val="Heading2"/>
        <w:spacing w:line="240" w:lineRule="auto"/>
        <w:ind w:right="-18"/>
        <w:jc w:val="left"/>
        <w:rPr>
          <w:b w:val="0"/>
          <w:bCs w:val="0"/>
        </w:rPr>
      </w:pPr>
      <w:r>
        <w:rPr>
          <w:rFonts w:ascii="宋体" w:hAnsi="宋体" w:cs="宋体" w:eastAsia="宋体" w:hint="default"/>
        </w:rPr>
        <w:t>36</w:t>
      </w:r>
      <w:r>
        <w:rPr/>
        <w:t>、</w:t>
      </w:r>
      <w:r>
        <w:rPr>
          <w:spacing w:val="-101"/>
        </w:rPr>
        <w:t> </w:t>
      </w:r>
      <w:r>
        <w:rPr/>
        <w:t>预收款项</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300"/>
          <w:cols w:num="2" w:equalWidth="0">
            <w:col w:w="2509" w:space="3684"/>
            <w:col w:w="33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517,665,459.29</w:t>
            </w:r>
            <w:r>
              <w:rPr>
                <w:rFonts w:ascii="Arial"/>
                <w:spacing w:val="-1"/>
                <w:sz w:val="24"/>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384,086,573.53</w:t>
            </w:r>
          </w:p>
        </w:tc>
      </w:tr>
      <w:tr>
        <w:trPr>
          <w:trHeight w:val="28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517,665,459.29</w:t>
            </w:r>
            <w:r>
              <w:rPr>
                <w:rFonts w:ascii="Arial"/>
                <w:spacing w:val="-1"/>
                <w:sz w:val="24"/>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384,086,573.53</w:t>
            </w:r>
          </w:p>
        </w:tc>
      </w:tr>
    </w:tbl>
    <w:p>
      <w:pPr>
        <w:pStyle w:val="Heading2"/>
        <w:spacing w:line="240" w:lineRule="auto" w:before="20"/>
        <w:ind w:right="195"/>
        <w:jc w:val="left"/>
        <w:rPr>
          <w:b w:val="0"/>
          <w:bCs w:val="0"/>
        </w:rPr>
      </w:pPr>
      <w:r>
        <w:rPr>
          <w:rFonts w:ascii="宋体" w:hAnsi="宋体" w:cs="宋体" w:eastAsia="宋体" w:hint="default"/>
        </w:rPr>
        <w:t>(2).</w:t>
      </w:r>
      <w:r>
        <w:rPr>
          <w:rFonts w:ascii="宋体" w:hAnsi="宋体" w:cs="宋体" w:eastAsia="宋体" w:hint="default"/>
          <w:spacing w:val="-2"/>
        </w:rPr>
        <w:t> </w:t>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8"/>
        <w:ind w:left="217" w:right="607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195"/>
        <w:jc w:val="left"/>
        <w:rPr>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b w:val="0"/>
          <w:bCs w:val="0"/>
        </w:rPr>
      </w:r>
    </w:p>
    <w:p>
      <w:pPr>
        <w:pStyle w:val="BodyText"/>
        <w:spacing w:line="313" w:lineRule="exact" w:before="58"/>
        <w:ind w:left="217" w:right="6078"/>
        <w:jc w:val="left"/>
      </w:pPr>
      <w:r>
        <w:rPr/>
        <w:t>□适用</w:t>
      </w:r>
      <w:r>
        <w:rPr>
          <w:spacing w:val="-1"/>
        </w:rPr>
        <w:t> </w:t>
      </w:r>
      <w:r>
        <w:rPr/>
        <w:t>√不适用</w:t>
      </w:r>
    </w:p>
    <w:p>
      <w:pPr>
        <w:pStyle w:val="BodyText"/>
        <w:spacing w:line="313" w:lineRule="exact"/>
        <w:ind w:left="217" w:right="195"/>
        <w:jc w:val="left"/>
      </w:pPr>
      <w:r>
        <w:rPr/>
        <w:t>其他说明：账龄超过</w:t>
      </w:r>
      <w:r>
        <w:rPr>
          <w:spacing w:val="-61"/>
        </w:rPr>
        <w:t> </w:t>
      </w:r>
      <w:r>
        <w:rPr>
          <w:rFonts w:ascii="宋体" w:hAnsi="宋体" w:cs="宋体" w:eastAsia="宋体" w:hint="default"/>
        </w:rPr>
        <w:t>1</w:t>
      </w:r>
      <w:r>
        <w:rPr>
          <w:rFonts w:ascii="宋体" w:hAnsi="宋体" w:cs="宋体" w:eastAsia="宋体" w:hint="default"/>
          <w:spacing w:val="-61"/>
        </w:rPr>
        <w:t> </w:t>
      </w:r>
      <w:r>
        <w:rPr/>
        <w:t>年的重要预收款项系项目尚未验收结转所致。</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60" w:right="1300"/>
        </w:sectPr>
      </w:pPr>
    </w:p>
    <w:p>
      <w:pPr>
        <w:pStyle w:val="Heading2"/>
        <w:spacing w:line="240" w:lineRule="auto"/>
        <w:ind w:right="-20"/>
        <w:jc w:val="left"/>
        <w:rPr>
          <w:b w:val="0"/>
          <w:bCs w:val="0"/>
        </w:rPr>
      </w:pPr>
      <w:r>
        <w:rPr>
          <w:rFonts w:ascii="宋体" w:hAnsi="宋体" w:cs="宋体" w:eastAsia="宋体" w:hint="default"/>
        </w:rPr>
        <w:t>37</w:t>
      </w:r>
      <w:r>
        <w:rPr/>
        <w:t>、</w:t>
      </w:r>
      <w:r>
        <w:rPr>
          <w:spacing w:val="-103"/>
        </w:rPr>
        <w:t> </w:t>
      </w:r>
      <w:r>
        <w:rPr/>
        <w:t>应付职工薪酬</w:t>
      </w:r>
      <w:r>
        <w:rPr>
          <w:b w:val="0"/>
          <w:bCs w:val="0"/>
        </w:rPr>
      </w:r>
    </w:p>
    <w:p>
      <w:pPr>
        <w:pStyle w:val="Heading2"/>
        <w:tabs>
          <w:tab w:pos="1057" w:val="left" w:leader="none"/>
        </w:tabs>
        <w:spacing w:line="240" w:lineRule="auto" w:before="58"/>
        <w:ind w:right="-20"/>
        <w:jc w:val="left"/>
        <w:rPr>
          <w:b w:val="0"/>
          <w:bCs w:val="0"/>
        </w:rPr>
      </w:pPr>
      <w:r>
        <w:rPr>
          <w:rFonts w:ascii="宋体" w:hAnsi="宋体" w:cs="宋体" w:eastAsia="宋体" w:hint="default"/>
        </w:rPr>
        <w:t>(1).</w:t>
        <w:tab/>
      </w:r>
      <w:r>
        <w:rPr/>
        <w:t>应付职工薪酬列示：</w:t>
      </w:r>
      <w:r>
        <w:rPr>
          <w:b w:val="0"/>
          <w:bCs w:val="0"/>
        </w:rPr>
      </w:r>
    </w:p>
    <w:p>
      <w:pPr>
        <w:pStyle w:val="BodyText"/>
        <w:spacing w:line="240" w:lineRule="auto" w:before="58"/>
        <w:ind w:left="21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300"/>
          <w:cols w:num="2" w:equalWidth="0">
            <w:col w:w="3226" w:space="2967"/>
            <w:col w:w="335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35"/>
        <w:gridCol w:w="1702"/>
        <w:gridCol w:w="1877"/>
        <w:gridCol w:w="1745"/>
        <w:gridCol w:w="1745"/>
      </w:tblGrid>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95"/>
              <w:jc w:val="righ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4"/>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67,098,321.52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913,280,085.13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896,979,888.12</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83,398,518.53</w:t>
            </w:r>
          </w:p>
        </w:tc>
      </w:tr>
      <w:tr>
        <w:trPr>
          <w:trHeight w:val="562"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4,749,046.95</w:t>
            </w:r>
          </w:p>
        </w:tc>
        <w:tc>
          <w:tcPr>
            <w:tcW w:w="1877"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61,023,389.19</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60,498,782.99</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5,273,653.15</w:t>
            </w:r>
          </w:p>
        </w:tc>
      </w:tr>
      <w:tr>
        <w:trPr>
          <w:trHeight w:val="28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4"/>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355,770.41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163,505.10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74,331.51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444,944.00</w:t>
            </w: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95"/>
              <w:jc w:val="righ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72,203,138.88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974,466,979.42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957,553,002.62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89,117,115.68</w:t>
            </w:r>
          </w:p>
        </w:tc>
      </w:tr>
    </w:tbl>
    <w:p>
      <w:pPr>
        <w:pStyle w:val="BodyText"/>
        <w:spacing w:line="240" w:lineRule="auto" w:before="79"/>
        <w:ind w:left="217" w:right="195"/>
        <w:jc w:val="left"/>
      </w:pPr>
      <w:r>
        <w:rPr/>
        <w:t>说明：本期增加中汇率变动影响额为</w:t>
      </w:r>
      <w:r>
        <w:rPr>
          <w:spacing w:val="-60"/>
        </w:rPr>
        <w:t> </w:t>
      </w:r>
      <w:r>
        <w:rPr>
          <w:rFonts w:ascii="宋体" w:hAnsi="宋体" w:cs="宋体" w:eastAsia="宋体" w:hint="default"/>
        </w:rPr>
        <w:t>2,052,826.41</w:t>
      </w:r>
      <w:r>
        <w:rPr>
          <w:rFonts w:ascii="宋体" w:hAnsi="宋体" w:cs="宋体" w:eastAsia="宋体" w:hint="default"/>
          <w:spacing w:val="-60"/>
        </w:rPr>
        <w:t> </w:t>
      </w:r>
      <w:r>
        <w:rPr/>
        <w:t>元。</w:t>
      </w:r>
    </w:p>
    <w:p>
      <w:pPr>
        <w:spacing w:after="0" w:line="240" w:lineRule="auto"/>
        <w:jc w:val="left"/>
        <w:sectPr>
          <w:type w:val="continuous"/>
          <w:pgSz w:w="11910" w:h="16840"/>
          <w:pgMar w:top="1120" w:bottom="1380" w:left="1060" w:right="130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2"/>
          <w:pgSz w:w="11910" w:h="16840"/>
          <w:pgMar w:footer="1195" w:header="882" w:top="1120" w:bottom="1380" w:left="1060" w:right="1300"/>
          <w:pgNumType w:start="141"/>
        </w:sectPr>
      </w:pPr>
    </w:p>
    <w:p>
      <w:pPr>
        <w:pStyle w:val="Heading2"/>
        <w:tabs>
          <w:tab w:pos="1057" w:val="left" w:leader="none"/>
        </w:tabs>
        <w:spacing w:line="240" w:lineRule="auto"/>
        <w:ind w:right="-20"/>
        <w:jc w:val="left"/>
        <w:rPr>
          <w:b w:val="0"/>
          <w:bCs w:val="0"/>
        </w:rPr>
      </w:pPr>
      <w:r>
        <w:rPr>
          <w:rFonts w:ascii="宋体" w:hAnsi="宋体" w:cs="宋体" w:eastAsia="宋体" w:hint="default"/>
        </w:rPr>
        <w:t>(2).</w:t>
        <w:tab/>
      </w:r>
      <w:r>
        <w:rPr/>
        <w:t>短期薪酬列示：</w:t>
      </w:r>
      <w:r>
        <w:rPr>
          <w:b w:val="0"/>
          <w:bCs w:val="0"/>
        </w:rPr>
      </w:r>
    </w:p>
    <w:p>
      <w:pPr>
        <w:pStyle w:val="BodyText"/>
        <w:spacing w:line="240" w:lineRule="auto" w:before="58"/>
        <w:ind w:left="217" w:right="33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300"/>
          <w:cols w:num="2" w:equalWidth="0">
            <w:col w:w="2744" w:space="3569"/>
            <w:col w:w="323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9"/>
        <w:gridCol w:w="1700"/>
        <w:gridCol w:w="1743"/>
        <w:gridCol w:w="1802"/>
        <w:gridCol w:w="1700"/>
      </w:tblGrid>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1"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一、工资、奖金、津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贴和补贴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64,058,909.58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817,769,428.24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803,309,246.95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78,519,090.87</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二、职工福利费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6,823,972.75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6,823,972.75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三、社会保险费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1,136,764.62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25,206,670.96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24,978,832.69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1,364,602.89</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其中：医疗保险费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1,060,696.06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22,651,199.40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22,446,482.86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1,265,412.60</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43"/>
              <w:jc w:val="right"/>
              <w:rPr>
                <w:rFonts w:ascii="宋体" w:hAnsi="宋体" w:cs="宋体" w:eastAsia="宋体" w:hint="default"/>
                <w:sz w:val="24"/>
                <w:szCs w:val="24"/>
              </w:rPr>
            </w:pPr>
            <w:r>
              <w:rPr>
                <w:rFonts w:ascii="宋体" w:hAnsi="宋体" w:cs="宋体" w:eastAsia="宋体" w:hint="default"/>
                <w:sz w:val="24"/>
                <w:szCs w:val="24"/>
              </w:rPr>
              <w:t>工伤保险费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24,051.92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848,326.73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834,316.65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38,062.00</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43"/>
              <w:jc w:val="right"/>
              <w:rPr>
                <w:rFonts w:ascii="宋体" w:hAnsi="宋体" w:cs="宋体" w:eastAsia="宋体" w:hint="default"/>
                <w:sz w:val="24"/>
                <w:szCs w:val="24"/>
              </w:rPr>
            </w:pPr>
            <w:r>
              <w:rPr>
                <w:rFonts w:ascii="宋体" w:hAnsi="宋体" w:cs="宋体" w:eastAsia="宋体" w:hint="default"/>
                <w:sz w:val="24"/>
                <w:szCs w:val="24"/>
              </w:rPr>
              <w:t>生育保险费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52,016.64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1,707,144.83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1,698,033.18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61,128.29</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四、住房公积金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-9,459.77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55,726,231.37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55,160,607.39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556,164.21</w:t>
            </w:r>
          </w:p>
        </w:tc>
      </w:tr>
      <w:tr>
        <w:trPr>
          <w:trHeight w:val="631"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五、工会经费和职工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教育经费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1,912,107.09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7,253,781.81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6,207,228.34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2,958,660.56</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六、短期带薪缺勤</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七、短期利润分享计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划</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八、非货币性福利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67,098,321.52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913,280,085.13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896,979,888.12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83,398,518.53</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300"/>
        </w:sectPr>
      </w:pPr>
    </w:p>
    <w:p>
      <w:pPr>
        <w:pStyle w:val="Heading2"/>
        <w:tabs>
          <w:tab w:pos="1057" w:val="left" w:leader="none"/>
        </w:tabs>
        <w:spacing w:line="240" w:lineRule="auto"/>
        <w:ind w:right="0"/>
        <w:jc w:val="left"/>
        <w:rPr>
          <w:b w:val="0"/>
          <w:bCs w:val="0"/>
        </w:rPr>
      </w:pPr>
      <w:r>
        <w:rPr>
          <w:rFonts w:ascii="宋体" w:hAnsi="宋体" w:cs="宋体" w:eastAsia="宋体" w:hint="default"/>
        </w:rPr>
        <w:t>(3).</w:t>
        <w:tab/>
      </w:r>
      <w:r>
        <w:rPr>
          <w:w w:val="95"/>
        </w:rPr>
        <w:t>设定提存计划列示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300"/>
          <w:cols w:num="2" w:equalWidth="0">
            <w:col w:w="2984" w:space="3209"/>
            <w:col w:w="335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21"/>
        <w:gridCol w:w="1745"/>
        <w:gridCol w:w="1755"/>
        <w:gridCol w:w="1639"/>
        <w:gridCol w:w="1589"/>
      </w:tblGrid>
      <w:tr>
        <w:trPr>
          <w:trHeight w:val="28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4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2,576,497.63</w:t>
            </w:r>
          </w:p>
        </w:tc>
        <w:tc>
          <w:tcPr>
            <w:tcW w:w="175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48,753,745.35</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48,321,066.28</w:t>
            </w:r>
          </w:p>
        </w:tc>
        <w:tc>
          <w:tcPr>
            <w:tcW w:w="158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3,009,176.70</w:t>
            </w:r>
          </w:p>
        </w:tc>
      </w:tr>
      <w:tr>
        <w:trPr>
          <w:trHeight w:val="28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74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145,229.71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4,215,369.08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4,198,604.30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161,994.49</w:t>
            </w:r>
          </w:p>
        </w:tc>
      </w:tr>
      <w:tr>
        <w:trPr>
          <w:trHeight w:val="28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745" w:type="dxa"/>
            <w:tcBorders>
              <w:top w:val="single" w:sz="4" w:space="0" w:color="000000"/>
              <w:left w:val="single" w:sz="6"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．强积金计划</w:t>
            </w:r>
          </w:p>
        </w:tc>
        <w:tc>
          <w:tcPr>
            <w:tcW w:w="174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2,027,319.61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8,054,274.76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7,979,112.41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2,102,481.96</w:t>
            </w:r>
          </w:p>
        </w:tc>
      </w:tr>
      <w:tr>
        <w:trPr>
          <w:trHeight w:val="28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4,749,046.95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61,023,389.19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60,498,782.99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5,273,653.15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300"/>
        </w:sectPr>
      </w:pPr>
    </w:p>
    <w:p>
      <w:pPr>
        <w:pStyle w:val="BodyText"/>
        <w:spacing w:line="313" w:lineRule="exact" w:before="26"/>
        <w:ind w:left="217" w:right="-20"/>
        <w:jc w:val="left"/>
      </w:pPr>
      <w:r>
        <w:rPr/>
        <w:t>其他说明：</w:t>
      </w:r>
    </w:p>
    <w:p>
      <w:pPr>
        <w:pStyle w:val="Heading2"/>
        <w:spacing w:line="313" w:lineRule="exact" w:before="0"/>
        <w:ind w:right="-20"/>
        <w:jc w:val="left"/>
        <w:rPr>
          <w:b w:val="0"/>
          <w:bCs w:val="0"/>
        </w:rPr>
      </w:pPr>
      <w:r>
        <w:rPr/>
        <w:t>（</w:t>
      </w:r>
      <w:r>
        <w:rPr>
          <w:rFonts w:ascii="宋体" w:hAnsi="宋体" w:cs="宋体" w:eastAsia="宋体" w:hint="default"/>
        </w:rPr>
        <w:t>4</w:t>
      </w:r>
      <w:r>
        <w:rPr/>
        <w:t>）辞退福利</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6"/>
        <w:rPr>
          <w:rFonts w:ascii="宋体" w:hAnsi="宋体" w:cs="宋体" w:eastAsia="宋体" w:hint="default"/>
          <w:b/>
          <w:bCs/>
          <w:sz w:val="25"/>
          <w:szCs w:val="25"/>
        </w:rPr>
      </w:pPr>
    </w:p>
    <w:p>
      <w:pPr>
        <w:pStyle w:val="BodyText"/>
        <w:tabs>
          <w:tab w:pos="153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300"/>
          <w:cols w:num="2" w:equalWidth="0">
            <w:col w:w="1785" w:space="4288"/>
            <w:col w:w="3477"/>
          </w:cols>
        </w:sectPr>
      </w:pPr>
    </w:p>
    <w:p>
      <w:pPr>
        <w:spacing w:line="240" w:lineRule="auto" w:before="12"/>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431"/>
        <w:gridCol w:w="1397"/>
        <w:gridCol w:w="1985"/>
        <w:gridCol w:w="1699"/>
        <w:gridCol w:w="1306"/>
      </w:tblGrid>
      <w:tr>
        <w:trPr>
          <w:trHeight w:val="31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595"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一年内支付的辞退福利</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355,770.41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宋体" w:hAnsi="宋体" w:cs="宋体" w:eastAsia="宋体" w:hint="default"/>
                <w:sz w:val="21"/>
                <w:szCs w:val="21"/>
              </w:rPr>
            </w:pPr>
            <w:r>
              <w:rPr>
                <w:rFonts w:ascii="宋体"/>
                <w:spacing w:val="-1"/>
                <w:sz w:val="21"/>
              </w:rPr>
              <w:t>163,505.10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74,331.51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444,944.00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4"/>
        <w:ind w:right="6078"/>
        <w:jc w:val="left"/>
        <w:rPr>
          <w:b w:val="0"/>
          <w:bCs w:val="0"/>
        </w:rPr>
      </w:pPr>
      <w:r>
        <w:rPr>
          <w:rFonts w:ascii="宋体" w:hAnsi="宋体" w:cs="宋体" w:eastAsia="宋体" w:hint="default"/>
        </w:rPr>
        <w:t>38</w:t>
      </w:r>
      <w:r>
        <w:rPr/>
        <w:t>、</w:t>
      </w:r>
      <w:r>
        <w:rPr>
          <w:spacing w:val="-101"/>
        </w:rPr>
        <w:t> </w:t>
      </w:r>
      <w:r>
        <w:rPr/>
        <w:t>应交税费</w:t>
      </w:r>
      <w:r>
        <w:rPr>
          <w:b w:val="0"/>
          <w:bCs w:val="0"/>
        </w:rPr>
      </w:r>
    </w:p>
    <w:p>
      <w:pPr>
        <w:pStyle w:val="BodyText"/>
        <w:tabs>
          <w:tab w:pos="1199" w:val="left" w:leader="none"/>
        </w:tabs>
        <w:spacing w:line="240" w:lineRule="auto" w:before="56"/>
        <w:ind w:left="0" w:right="49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982"/>
        <w:gridCol w:w="2955"/>
        <w:gridCol w:w="2960"/>
      </w:tblGrid>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3"/>
              <w:jc w:val="center"/>
              <w:rPr>
                <w:rFonts w:ascii="宋体" w:hAnsi="宋体" w:cs="宋体" w:eastAsia="宋体" w:hint="default"/>
                <w:sz w:val="24"/>
                <w:szCs w:val="24"/>
              </w:rPr>
            </w:pPr>
            <w:r>
              <w:rPr>
                <w:rFonts w:ascii="宋体" w:hAnsi="宋体" w:cs="宋体" w:eastAsia="宋体" w:hint="default"/>
                <w:sz w:val="24"/>
                <w:szCs w:val="24"/>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bl>
    <w:p>
      <w:pPr>
        <w:spacing w:after="0" w:line="274" w:lineRule="exact"/>
        <w:jc w:val="center"/>
        <w:rPr>
          <w:rFonts w:ascii="宋体" w:hAnsi="宋体" w:cs="宋体" w:eastAsia="宋体" w:hint="default"/>
          <w:sz w:val="24"/>
          <w:szCs w:val="24"/>
        </w:rPr>
        <w:sectPr>
          <w:type w:val="continuous"/>
          <w:pgSz w:w="11910" w:h="16840"/>
          <w:pgMar w:top="1120" w:bottom="1380" w:left="1060" w:right="1300"/>
        </w:sectPr>
      </w:pPr>
    </w:p>
    <w:p>
      <w:pPr>
        <w:spacing w:line="240" w:lineRule="auto" w:before="0"/>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2982"/>
        <w:gridCol w:w="2955"/>
        <w:gridCol w:w="2960"/>
      </w:tblGrid>
      <w:tr>
        <w:trPr>
          <w:trHeight w:val="327"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103,298,390.80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88,689,794.57</w:t>
            </w: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881,457.73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1,272,747.97</w:t>
            </w: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14,141,053.89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13,530,656.46</w:t>
            </w: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2,495,053.01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1,753,726.32</w:t>
            </w: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1,110,047.62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2,494,021.05</w:t>
            </w: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805,701.92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1,724,589.90</w:t>
            </w:r>
          </w:p>
        </w:tc>
      </w:tr>
      <w:tr>
        <w:trPr>
          <w:trHeight w:val="326"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应缴防洪费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35,019.52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40,667.55</w:t>
            </w:r>
          </w:p>
        </w:tc>
      </w:tr>
      <w:tr>
        <w:trPr>
          <w:trHeight w:val="324"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16,806.85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31,905.64</w:t>
            </w:r>
          </w:p>
        </w:tc>
      </w:tr>
      <w:tr>
        <w:trPr>
          <w:trHeight w:val="329" w:hRule="exact"/>
        </w:trPr>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3"/>
              <w:jc w:val="center"/>
              <w:rPr>
                <w:rFonts w:ascii="宋体" w:hAnsi="宋体" w:cs="宋体" w:eastAsia="宋体" w:hint="default"/>
                <w:sz w:val="24"/>
                <w:szCs w:val="24"/>
              </w:rPr>
            </w:pPr>
            <w:r>
              <w:rPr>
                <w:rFonts w:ascii="宋体" w:hAnsi="宋体" w:cs="宋体" w:eastAsia="宋体" w:hint="default"/>
                <w:sz w:val="24"/>
                <w:szCs w:val="24"/>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122,783,531.34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109,538,109.46</w:t>
            </w:r>
          </w:p>
        </w:tc>
      </w:tr>
    </w:tbl>
    <w:p>
      <w:pPr>
        <w:spacing w:line="240" w:lineRule="auto" w:before="8"/>
        <w:rPr>
          <w:rFonts w:ascii="宋体" w:hAnsi="宋体" w:cs="宋体" w:eastAsia="宋体" w:hint="default"/>
          <w:sz w:val="18"/>
          <w:szCs w:val="18"/>
        </w:rPr>
      </w:pPr>
    </w:p>
    <w:p>
      <w:pPr>
        <w:pStyle w:val="BodyText"/>
        <w:spacing w:line="312" w:lineRule="exact" w:before="56"/>
        <w:ind w:left="217" w:right="7849"/>
        <w:jc w:val="left"/>
      </w:pPr>
      <w:r>
        <w:rPr/>
        <w:t>其他说明： 无</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560"/>
        </w:sectPr>
      </w:pPr>
    </w:p>
    <w:p>
      <w:pPr>
        <w:pStyle w:val="Heading2"/>
        <w:spacing w:line="240" w:lineRule="auto"/>
        <w:ind w:right="-19"/>
        <w:jc w:val="left"/>
        <w:rPr>
          <w:b w:val="0"/>
          <w:bCs w:val="0"/>
        </w:rPr>
      </w:pPr>
      <w:r>
        <w:rPr>
          <w:rFonts w:ascii="宋体" w:hAnsi="宋体" w:cs="宋体" w:eastAsia="宋体" w:hint="default"/>
        </w:rPr>
        <w:t>39</w:t>
      </w:r>
      <w:r>
        <w:rPr/>
        <w:t>、</w:t>
      </w:r>
      <w:r>
        <w:rPr>
          <w:spacing w:val="-101"/>
        </w:rPr>
        <w:t> </w:t>
      </w:r>
      <w:r>
        <w:rPr/>
        <w:t>应付利息</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18" w:space="4175"/>
            <w:col w:w="309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z w:val="21"/>
              </w:rPr>
              <w:t>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4,935,665.62</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41,760,000.00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41,757,390.00</w:t>
            </w: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41,760,000.00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46,693,055.62</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569"/>
        <w:jc w:val="left"/>
      </w:pPr>
      <w:r>
        <w:rPr/>
        <w:t>重要的已逾期未支付的利息情况：</w:t>
      </w:r>
    </w:p>
    <w:p>
      <w:pPr>
        <w:pStyle w:val="BodyText"/>
        <w:spacing w:line="261" w:lineRule="auto"/>
        <w:ind w:left="217" w:right="229"/>
        <w:jc w:val="left"/>
      </w:pPr>
      <w:r>
        <w:rPr/>
        <w:t>□适用</w:t>
      </w:r>
      <w:r>
        <w:rPr>
          <w:spacing w:val="-1"/>
        </w:rPr>
        <w:t> </w:t>
      </w:r>
      <w:r>
        <w:rPr/>
        <w:t>√不适用</w:t>
      </w:r>
      <w:r>
        <w:rPr/>
        <w:t> 其他说明：本公司发行的公司债券采用每年付息一次的付息方式，</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 为第一次付息日。详见本附注七、</w:t>
      </w:r>
      <w:r>
        <w:rPr>
          <w:rFonts w:ascii="宋体" w:hAnsi="宋体" w:cs="宋体" w:eastAsia="宋体" w:hint="default"/>
        </w:rPr>
        <w:t>46</w:t>
      </w:r>
      <w:r>
        <w:rPr/>
        <w:t>。</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060" w:right="1560"/>
        </w:sectPr>
      </w:pPr>
    </w:p>
    <w:p>
      <w:pPr>
        <w:pStyle w:val="Heading2"/>
        <w:spacing w:line="240" w:lineRule="auto"/>
        <w:ind w:right="-19"/>
        <w:jc w:val="left"/>
        <w:rPr>
          <w:b w:val="0"/>
          <w:bCs w:val="0"/>
        </w:rPr>
      </w:pPr>
      <w:r>
        <w:rPr>
          <w:rFonts w:ascii="宋体" w:hAnsi="宋体" w:cs="宋体" w:eastAsia="宋体" w:hint="default"/>
        </w:rPr>
        <w:t>40</w:t>
      </w:r>
      <w:r>
        <w:rPr/>
        <w:t>、</w:t>
      </w:r>
      <w:r>
        <w:rPr>
          <w:spacing w:val="-101"/>
        </w:rPr>
        <w:t> </w:t>
      </w:r>
      <w:r>
        <w:rPr/>
        <w:t>应付股利</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18" w:space="4175"/>
            <w:col w:w="3097"/>
          </w:cols>
        </w:sectPr>
      </w:pP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3,225.70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12,945.97</w:t>
            </w:r>
          </w:p>
        </w:tc>
      </w:tr>
      <w:tr>
        <w:trPr>
          <w:trHeight w:val="55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3,225.70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12,945.97</w:t>
            </w:r>
          </w:p>
        </w:tc>
      </w:tr>
    </w:tbl>
    <w:p>
      <w:pPr>
        <w:pStyle w:val="BodyText"/>
        <w:spacing w:line="274" w:lineRule="exact"/>
        <w:ind w:left="217" w:right="221"/>
        <w:jc w:val="left"/>
      </w:pPr>
      <w:r>
        <w:rPr/>
        <w:t>其他说明，包括重要的超过</w:t>
      </w:r>
      <w:r>
        <w:rPr>
          <w:spacing w:val="-60"/>
        </w:rPr>
        <w:t> </w:t>
      </w:r>
      <w:r>
        <w:rPr>
          <w:rFonts w:ascii="宋体" w:hAnsi="宋体" w:cs="宋体" w:eastAsia="宋体" w:hint="default"/>
        </w:rPr>
        <w:t>1</w:t>
      </w:r>
      <w:r>
        <w:rPr>
          <w:rFonts w:ascii="宋体" w:hAnsi="宋体" w:cs="宋体" w:eastAsia="宋体" w:hint="default"/>
          <w:spacing w:val="-60"/>
        </w:rPr>
        <w:t> </w:t>
      </w:r>
      <w:r>
        <w:rPr/>
        <w:t>年未支付的应付股利，应披露未支付原因：</w:t>
      </w:r>
    </w:p>
    <w:p>
      <w:pPr>
        <w:spacing w:after="0" w:line="274" w:lineRule="exact"/>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ind w:right="-18"/>
        <w:jc w:val="left"/>
        <w:rPr>
          <w:b w:val="0"/>
          <w:bCs w:val="0"/>
        </w:rPr>
      </w:pPr>
      <w:r>
        <w:rPr>
          <w:rFonts w:ascii="宋体" w:hAnsi="宋体" w:cs="宋体" w:eastAsia="宋体" w:hint="default"/>
        </w:rPr>
        <w:t>41</w:t>
      </w:r>
      <w:r>
        <w:rPr/>
        <w:t>、</w:t>
      </w:r>
      <w:r>
        <w:rPr>
          <w:spacing w:val="-102"/>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713" w:space="2480"/>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20,159,869.74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91,976,316.12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837,204.00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6,119,000.00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代收专项拨款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39,280.57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4,907,507.70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5,563,018.92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其他待付款项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23,763,068.33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14,765,022.73</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附回购条件的限制性股票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67,829,440.00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27,555,953.85</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117,536,370.34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146,829,311.62</w:t>
            </w:r>
          </w:p>
        </w:tc>
      </w:tr>
    </w:tbl>
    <w:p>
      <w:pPr>
        <w:pStyle w:val="BodyText"/>
        <w:spacing w:line="240" w:lineRule="auto" w:before="79"/>
        <w:ind w:left="217" w:right="221"/>
        <w:jc w:val="left"/>
      </w:pPr>
      <w:r>
        <w:rPr/>
        <w:t>其中，账龄超过</w:t>
      </w:r>
      <w:r>
        <w:rPr>
          <w:spacing w:val="-61"/>
        </w:rPr>
        <w:t> </w:t>
      </w:r>
      <w:r>
        <w:rPr>
          <w:rFonts w:ascii="宋体" w:hAnsi="宋体" w:cs="宋体" w:eastAsia="宋体" w:hint="default"/>
        </w:rPr>
        <w:t>1</w:t>
      </w:r>
      <w:r>
        <w:rPr>
          <w:rFonts w:ascii="宋体" w:hAnsi="宋体" w:cs="宋体" w:eastAsia="宋体" w:hint="default"/>
          <w:spacing w:val="-60"/>
        </w:rPr>
        <w:t> </w:t>
      </w:r>
      <w:r>
        <w:rPr/>
        <w:t>年的重要其他应付款主要为合同保证金及股权收购款。</w:t>
      </w:r>
    </w:p>
    <w:p>
      <w:pPr>
        <w:pStyle w:val="Heading2"/>
        <w:spacing w:line="240" w:lineRule="auto" w:before="118"/>
        <w:ind w:right="2569"/>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9"/>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312" w:lineRule="exact" w:before="66"/>
        <w:ind w:left="217" w:right="7250"/>
        <w:jc w:val="left"/>
      </w:pPr>
      <w:r>
        <w:rPr/>
        <w:t>□适用</w:t>
      </w:r>
      <w:r>
        <w:rPr>
          <w:spacing w:val="-1"/>
        </w:rPr>
        <w:t> </w:t>
      </w:r>
      <w:r>
        <w:rPr/>
        <w:t>√不适用</w:t>
      </w:r>
      <w:r>
        <w:rPr/>
        <w:t> 其他说明</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2"/>
        <w:spacing w:line="240" w:lineRule="auto" w:before="0"/>
        <w:ind w:right="2569"/>
        <w:jc w:val="left"/>
        <w:rPr>
          <w:b w:val="0"/>
          <w:bCs w:val="0"/>
        </w:rPr>
      </w:pPr>
      <w:r>
        <w:rPr>
          <w:rFonts w:ascii="宋体" w:hAnsi="宋体" w:cs="宋体" w:eastAsia="宋体" w:hint="default"/>
        </w:rPr>
        <w:t>42</w:t>
      </w:r>
      <w:r>
        <w:rPr/>
        <w:t>、</w:t>
      </w:r>
      <w:r>
        <w:rPr>
          <w:spacing w:val="-103"/>
        </w:rPr>
        <w:t> </w:t>
      </w:r>
      <w:r>
        <w:rPr/>
        <w:t>划分为持有待售的负债</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060" w:right="1560"/>
        </w:sectPr>
      </w:pPr>
    </w:p>
    <w:p>
      <w:pPr>
        <w:pStyle w:val="Heading2"/>
        <w:spacing w:line="240" w:lineRule="auto"/>
        <w:ind w:right="-17"/>
        <w:jc w:val="left"/>
        <w:rPr>
          <w:b w:val="0"/>
          <w:bCs w:val="0"/>
        </w:rPr>
      </w:pPr>
      <w:r>
        <w:rPr>
          <w:rFonts w:ascii="宋体" w:hAnsi="宋体" w:cs="宋体" w:eastAsia="宋体" w:hint="default"/>
        </w:rPr>
        <w:t>43</w:t>
      </w:r>
      <w:r>
        <w:rPr/>
        <w:t>、</w:t>
      </w:r>
      <w:r>
        <w:rPr>
          <w:spacing w:val="-102"/>
        </w:rPr>
        <w:t> </w:t>
      </w:r>
      <w:r>
        <w:rPr>
          <w:rFonts w:ascii="宋体" w:hAnsi="宋体" w:cs="宋体" w:eastAsia="宋体" w:hint="default"/>
        </w:rPr>
        <w:t>1</w:t>
      </w:r>
      <w:r>
        <w:rPr>
          <w:rFonts w:ascii="宋体" w:hAnsi="宋体" w:cs="宋体" w:eastAsia="宋体" w:hint="default"/>
          <w:spacing w:val="-63"/>
        </w:rPr>
        <w:t> </w:t>
      </w:r>
      <w:r>
        <w:rPr/>
        <w:t>年内到期的非流动负债</w:t>
      </w:r>
      <w:r>
        <w:rPr>
          <w:b w:val="0"/>
          <w:bCs w:val="0"/>
        </w:rPr>
      </w:r>
    </w:p>
    <w:p>
      <w:pPr>
        <w:pStyle w:val="BodyText"/>
        <w:spacing w:line="240" w:lineRule="auto" w:before="58"/>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311" w:space="2882"/>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39,960,000.00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265,487,180.65</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39,960,000.00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265,487,180.65</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auto" w:before="20"/>
        <w:ind w:left="337" w:right="-20"/>
        <w:jc w:val="left"/>
      </w:pPr>
      <w:r>
        <w:rPr/>
        <w:t>其他说明：</w:t>
      </w:r>
    </w:p>
    <w:p>
      <w:pPr>
        <w:pStyle w:val="BodyText"/>
        <w:spacing w:line="240" w:lineRule="auto" w:before="58"/>
        <w:ind w:left="217" w:right="-20"/>
        <w:jc w:val="left"/>
      </w:pPr>
      <w:r>
        <w:rPr/>
        <w:t>（</w:t>
      </w:r>
      <w:r>
        <w:rPr>
          <w:rFonts w:ascii="宋体" w:hAnsi="宋体" w:cs="宋体" w:eastAsia="宋体" w:hint="default"/>
        </w:rPr>
        <w:t>1</w:t>
      </w:r>
      <w:r>
        <w:rPr/>
        <w:t>）一年内到期的长期借款：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9"/>
          <w:szCs w:val="29"/>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458" w:space="2735"/>
            <w:col w:w="3097"/>
          </w:cols>
        </w:sectPr>
      </w:pPr>
    </w:p>
    <w:p>
      <w:pPr>
        <w:spacing w:line="240" w:lineRule="auto" w:before="12"/>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2299"/>
        <w:gridCol w:w="3102"/>
        <w:gridCol w:w="3526"/>
      </w:tblGrid>
      <w:tr>
        <w:trPr>
          <w:trHeight w:val="29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29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0.00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196,115,980.65</w:t>
            </w:r>
          </w:p>
        </w:tc>
      </w:tr>
      <w:tr>
        <w:trPr>
          <w:trHeight w:val="29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39,960,000.00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40,000,000.00</w:t>
            </w:r>
          </w:p>
        </w:tc>
      </w:tr>
      <w:tr>
        <w:trPr>
          <w:trHeight w:val="29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0.00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29,371,200.00</w:t>
            </w:r>
          </w:p>
        </w:tc>
      </w:tr>
      <w:tr>
        <w:trPr>
          <w:trHeight w:val="29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b/>
                <w:w w:val="95"/>
                <w:sz w:val="21"/>
              </w:rPr>
              <w:t>39,960,000.00</w:t>
            </w:r>
            <w:r>
              <w:rPr>
                <w:rFonts w:ascii="宋体"/>
                <w:sz w:val="21"/>
              </w:rPr>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b/>
                <w:w w:val="95"/>
                <w:sz w:val="21"/>
              </w:rPr>
              <w:t>265,487,180.65</w:t>
            </w:r>
            <w:r>
              <w:rPr>
                <w:rFonts w:ascii="宋体"/>
                <w:sz w:val="21"/>
              </w:rPr>
            </w:r>
          </w:p>
        </w:tc>
      </w:tr>
    </w:tbl>
    <w:p>
      <w:pPr>
        <w:spacing w:line="240" w:lineRule="auto" w:before="5"/>
        <w:rPr>
          <w:rFonts w:ascii="宋体" w:hAnsi="宋体" w:cs="宋体" w:eastAsia="宋体" w:hint="default"/>
          <w:sz w:val="23"/>
          <w:szCs w:val="23"/>
        </w:rPr>
      </w:pPr>
    </w:p>
    <w:p>
      <w:pPr>
        <w:pStyle w:val="Heading2"/>
        <w:spacing w:line="240" w:lineRule="auto"/>
        <w:ind w:right="2569"/>
        <w:jc w:val="left"/>
        <w:rPr>
          <w:b w:val="0"/>
          <w:bCs w:val="0"/>
        </w:rPr>
      </w:pPr>
      <w:r>
        <w:rPr>
          <w:rFonts w:ascii="宋体" w:hAnsi="宋体" w:cs="宋体" w:eastAsia="宋体" w:hint="default"/>
        </w:rPr>
        <w:t>44</w:t>
      </w:r>
      <w:r>
        <w:rPr/>
        <w:t>、</w:t>
      </w:r>
      <w:r>
        <w:rPr>
          <w:spacing w:val="-103"/>
        </w:rPr>
        <w:t> </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7" w:right="2569"/>
        <w:jc w:val="left"/>
      </w:pPr>
      <w:r>
        <w:rPr/>
        <w:t>短期应付债券的增减变动：</w:t>
      </w:r>
    </w:p>
    <w:p>
      <w:pPr>
        <w:spacing w:after="0" w:line="240" w:lineRule="auto"/>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spacing w:line="283" w:lineRule="auto" w:before="26"/>
        <w:ind w:left="157" w:right="7170"/>
        <w:jc w:val="left"/>
      </w:pPr>
      <w:r>
        <w:rPr/>
        <w:t>□适用</w:t>
      </w:r>
      <w:r>
        <w:rPr>
          <w:spacing w:val="-1"/>
        </w:rPr>
        <w:t> </w:t>
      </w:r>
      <w:r>
        <w:rPr/>
        <w:t>√不适用</w:t>
      </w:r>
      <w:r>
        <w:rPr/>
        <w:t> 其他说明：</w:t>
      </w:r>
    </w:p>
    <w:p>
      <w:pPr>
        <w:pStyle w:val="BodyText"/>
        <w:spacing w:line="240" w:lineRule="auto" w:before="12"/>
        <w:ind w:left="157" w:right="138"/>
        <w:jc w:val="left"/>
      </w:pP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120" w:right="1640"/>
        </w:sectPr>
      </w:pPr>
    </w:p>
    <w:p>
      <w:pPr>
        <w:pStyle w:val="Heading2"/>
        <w:spacing w:line="240" w:lineRule="auto"/>
        <w:ind w:left="157" w:right="-18"/>
        <w:jc w:val="left"/>
        <w:rPr>
          <w:b w:val="0"/>
          <w:bCs w:val="0"/>
        </w:rPr>
      </w:pPr>
      <w:r>
        <w:rPr>
          <w:rFonts w:ascii="宋体" w:hAnsi="宋体" w:cs="宋体" w:eastAsia="宋体" w:hint="default"/>
        </w:rPr>
        <w:t>45</w:t>
      </w:r>
      <w:r>
        <w:rPr/>
        <w:t>、</w:t>
      </w:r>
      <w:r>
        <w:rPr>
          <w:spacing w:val="-101"/>
        </w:rPr>
        <w:t> </w:t>
      </w:r>
      <w:r>
        <w:rPr/>
        <w:t>长期借款</w:t>
      </w:r>
      <w:r>
        <w:rPr>
          <w:b w:val="0"/>
          <w:bCs w:val="0"/>
        </w:rPr>
      </w:r>
    </w:p>
    <w:p>
      <w:pPr>
        <w:spacing w:line="283" w:lineRule="auto" w:before="55"/>
        <w:ind w:left="157"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23"/>
          <w:sz w:val="24"/>
          <w:szCs w:val="24"/>
        </w:rPr>
        <w:t> </w:t>
      </w:r>
      <w:r>
        <w:rPr>
          <w:rFonts w:ascii="宋体" w:hAnsi="宋体" w:cs="宋体" w:eastAsia="宋体" w:hint="default"/>
          <w:b/>
          <w:bCs/>
          <w:sz w:val="24"/>
          <w:szCs w:val="24"/>
        </w:rPr>
        <w:t>长期借款分类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357" w:val="left" w:leader="none"/>
        </w:tabs>
        <w:spacing w:line="240" w:lineRule="auto" w:before="197"/>
        <w:ind w:left="157" w:right="0"/>
        <w:jc w:val="left"/>
      </w:pPr>
      <w:r>
        <w:rPr/>
        <w:t>单位：元</w:t>
        <w:tab/>
        <w:t>币种：人民币</w:t>
      </w:r>
    </w:p>
    <w:p>
      <w:pPr>
        <w:spacing w:after="0" w:line="240" w:lineRule="auto"/>
        <w:jc w:val="left"/>
        <w:sectPr>
          <w:type w:val="continuous"/>
          <w:pgSz w:w="11910" w:h="16840"/>
          <w:pgMar w:top="1120" w:bottom="1380" w:left="1120" w:right="1640"/>
          <w:cols w:num="2" w:equalWidth="0">
            <w:col w:w="2233" w:space="3960"/>
            <w:col w:w="2957"/>
          </w:cols>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01"/>
        <w:gridCol w:w="2998"/>
        <w:gridCol w:w="2897"/>
      </w:tblGrid>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602,620,197.93</w:t>
            </w:r>
          </w:p>
        </w:tc>
      </w:tr>
      <w:tr>
        <w:trPr>
          <w:trHeight w:val="28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39,960,000.00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79,480,000.00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z w:val="21"/>
              </w:rPr>
              <w:t>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29,371,200.00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-39,960,000.00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-265,487,180.65</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445,984,217.28</w:t>
            </w:r>
          </w:p>
        </w:tc>
      </w:tr>
    </w:tbl>
    <w:p>
      <w:pPr>
        <w:spacing w:line="240" w:lineRule="auto" w:before="2"/>
        <w:rPr>
          <w:rFonts w:ascii="宋体" w:hAnsi="宋体" w:cs="宋体" w:eastAsia="宋体" w:hint="default"/>
          <w:sz w:val="23"/>
          <w:szCs w:val="23"/>
        </w:rPr>
      </w:pPr>
    </w:p>
    <w:p>
      <w:pPr>
        <w:pStyle w:val="BodyText"/>
        <w:spacing w:line="283" w:lineRule="auto" w:before="26"/>
        <w:ind w:left="157" w:right="6569"/>
        <w:jc w:val="left"/>
      </w:pPr>
      <w:r>
        <w:rPr/>
        <w:t>长期借款分类的说明： 无</w:t>
      </w:r>
    </w:p>
    <w:p>
      <w:pPr>
        <w:spacing w:line="240" w:lineRule="auto" w:before="3"/>
        <w:rPr>
          <w:rFonts w:ascii="宋体" w:hAnsi="宋体" w:cs="宋体" w:eastAsia="宋体" w:hint="default"/>
          <w:sz w:val="20"/>
          <w:szCs w:val="20"/>
        </w:rPr>
      </w:pPr>
    </w:p>
    <w:p>
      <w:pPr>
        <w:pStyle w:val="BodyText"/>
        <w:spacing w:line="240" w:lineRule="auto"/>
        <w:ind w:left="157" w:right="138"/>
        <w:jc w:val="left"/>
      </w:pPr>
      <w:r>
        <w:rPr/>
        <w:t>其他说明，包括利率区间：</w:t>
      </w:r>
    </w:p>
    <w:p>
      <w:pPr>
        <w:pStyle w:val="BodyText"/>
        <w:spacing w:line="240" w:lineRule="auto" w:before="118"/>
        <w:ind w:right="138"/>
        <w:jc w:val="left"/>
      </w:pPr>
      <w:r>
        <w:rPr/>
        <w:t>（</w:t>
      </w:r>
      <w:r>
        <w:rPr>
          <w:rFonts w:ascii="宋体" w:hAnsi="宋体" w:cs="宋体" w:eastAsia="宋体" w:hint="default"/>
        </w:rPr>
        <w:t>1</w:t>
      </w:r>
      <w:r>
        <w:rPr/>
        <w:t>）关联方保证、抵押或质押</w:t>
      </w:r>
    </w:p>
    <w:p>
      <w:pPr>
        <w:pStyle w:val="BodyText"/>
        <w:spacing w:line="312" w:lineRule="exact" w:before="118"/>
        <w:ind w:left="637" w:right="138"/>
        <w:jc w:val="left"/>
      </w:pPr>
      <w:r>
        <w:rPr/>
        <w:t>根据本公司</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8</w:t>
      </w:r>
      <w:r>
        <w:rPr>
          <w:rFonts w:ascii="宋体" w:hAnsi="宋体" w:cs="宋体" w:eastAsia="宋体" w:hint="default"/>
          <w:spacing w:val="-61"/>
        </w:rPr>
        <w:t> </w:t>
      </w:r>
      <w:r>
        <w:rPr/>
        <w:t>日与中国进出口银行签订的境外投资贷款借款合同，</w:t>
      </w:r>
    </w:p>
    <w:p>
      <w:pPr>
        <w:pStyle w:val="BodyText"/>
        <w:spacing w:line="311" w:lineRule="exact"/>
        <w:ind w:left="157" w:right="138"/>
        <w:jc w:val="left"/>
      </w:pPr>
      <w:r>
        <w:rPr/>
        <w:t>本公司取得借款壹亿陆仟万元人民币，借款期限自</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p>
    <w:p>
      <w:pPr>
        <w:pStyle w:val="BodyText"/>
        <w:spacing w:line="237" w:lineRule="auto" w:before="1"/>
        <w:ind w:left="157" w:right="137"/>
        <w:jc w:val="left"/>
      </w:pPr>
      <w:r>
        <w:rPr>
          <w:rFonts w:ascii="宋体" w:hAnsi="宋体" w:cs="宋体" w:eastAsia="宋体" w:hint="default"/>
        </w:rPr>
        <w:t>10</w:t>
      </w:r>
      <w:r>
        <w:rPr>
          <w:rFonts w:ascii="宋体" w:hAnsi="宋体" w:cs="宋体" w:eastAsia="宋体" w:hint="default"/>
          <w:spacing w:val="-60"/>
        </w:rPr>
        <w:t> </w:t>
      </w:r>
      <w:r>
        <w:rPr>
          <w:spacing w:val="-3"/>
        </w:rPr>
        <w:t>日止，公司的二位自然人股东（王维航、胡联奎）作为出质人将其分别持有的约壹</w:t>
      </w:r>
      <w:r>
        <w:rPr/>
        <w:t> 仟叁佰伍拾万股北京华胜天成科技股份有限公司的依法可转让的无限售条件流通股 股票用于上述贷款质押担保。截止期末借款余额为</w:t>
      </w:r>
      <w:r>
        <w:rPr>
          <w:spacing w:val="-60"/>
        </w:rPr>
        <w:t> </w:t>
      </w:r>
      <w:r>
        <w:rPr>
          <w:rFonts w:ascii="宋体" w:hAnsi="宋体" w:cs="宋体" w:eastAsia="宋体" w:hint="default"/>
        </w:rPr>
        <w:t>3,996.00</w:t>
      </w:r>
      <w:r>
        <w:rPr>
          <w:rFonts w:ascii="宋体" w:hAnsi="宋体" w:cs="宋体" w:eastAsia="宋体" w:hint="default"/>
          <w:spacing w:val="-60"/>
        </w:rPr>
        <w:t> </w:t>
      </w:r>
      <w:r>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120" w:right="1640"/>
        </w:sectPr>
      </w:pPr>
    </w:p>
    <w:p>
      <w:pPr>
        <w:pStyle w:val="Heading2"/>
        <w:spacing w:line="240" w:lineRule="auto"/>
        <w:ind w:left="157" w:right="-19"/>
        <w:jc w:val="left"/>
        <w:rPr>
          <w:b w:val="0"/>
          <w:bCs w:val="0"/>
        </w:rPr>
      </w:pPr>
      <w:r>
        <w:rPr>
          <w:rFonts w:ascii="宋体" w:hAnsi="宋体" w:cs="宋体" w:eastAsia="宋体" w:hint="default"/>
        </w:rPr>
        <w:t>46</w:t>
      </w:r>
      <w:r>
        <w:rPr/>
        <w:t>、</w:t>
      </w:r>
      <w:r>
        <w:rPr>
          <w:spacing w:val="-101"/>
        </w:rPr>
        <w:t> </w:t>
      </w:r>
      <w:r>
        <w:rPr/>
        <w:t>应付债券</w:t>
      </w:r>
      <w:r>
        <w:rPr>
          <w:b w:val="0"/>
          <w:bCs w:val="0"/>
        </w:rPr>
      </w:r>
    </w:p>
    <w:p>
      <w:pPr>
        <w:spacing w:line="283" w:lineRule="auto" w:before="58"/>
        <w:ind w:left="157" w:right="-1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67"/>
          <w:sz w:val="24"/>
          <w:szCs w:val="24"/>
        </w:rPr>
        <w:t> </w:t>
      </w:r>
      <w:r>
        <w:rPr>
          <w:rFonts w:ascii="宋体" w:hAnsi="宋体" w:cs="宋体" w:eastAsia="宋体" w:hint="default"/>
          <w:b/>
          <w:bCs/>
          <w:sz w:val="24"/>
          <w:szCs w:val="24"/>
        </w:rPr>
        <w:t>应付债券</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357" w:val="left" w:leader="none"/>
        </w:tabs>
        <w:spacing w:line="240" w:lineRule="auto" w:before="198"/>
        <w:ind w:left="157" w:right="0"/>
        <w:jc w:val="left"/>
      </w:pPr>
      <w:r>
        <w:rPr/>
        <w:t>单位：元</w:t>
        <w:tab/>
        <w:t>币种：人民币</w:t>
      </w:r>
    </w:p>
    <w:p>
      <w:pPr>
        <w:spacing w:after="0" w:line="240" w:lineRule="auto"/>
        <w:jc w:val="left"/>
        <w:sectPr>
          <w:type w:val="continuous"/>
          <w:pgSz w:w="11910" w:h="16840"/>
          <w:pgMar w:top="1120" w:bottom="1380" w:left="1120" w:right="1640"/>
          <w:cols w:num="2" w:equalWidth="0">
            <w:col w:w="1958" w:space="4235"/>
            <w:col w:w="2957"/>
          </w:cols>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01"/>
        <w:gridCol w:w="3022"/>
        <w:gridCol w:w="2873"/>
      </w:tblGrid>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1"/>
              <w:jc w:val="right"/>
              <w:rPr>
                <w:rFonts w:ascii="宋体" w:hAnsi="宋体" w:cs="宋体" w:eastAsia="宋体" w:hint="default"/>
                <w:sz w:val="24"/>
                <w:szCs w:val="24"/>
              </w:rPr>
            </w:pPr>
            <w:r>
              <w:rPr>
                <w:rFonts w:ascii="宋体" w:hAnsi="宋体" w:cs="宋体" w:eastAsia="宋体" w:hint="default"/>
                <w:sz w:val="24"/>
                <w:szCs w:val="24"/>
              </w:rPr>
              <w:t>项目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33"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4"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债券面值</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900,000,000.00</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900,000,000.00</w:t>
            </w: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利息调整</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-4,100,983.78</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-5,697,655.75</w:t>
            </w:r>
          </w:p>
        </w:tc>
      </w:tr>
      <w:tr>
        <w:trPr>
          <w:trHeight w:val="32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251"/>
              <w:jc w:val="right"/>
              <w:rPr>
                <w:rFonts w:ascii="宋体" w:hAnsi="宋体" w:cs="宋体" w:eastAsia="宋体" w:hint="default"/>
                <w:sz w:val="24"/>
                <w:szCs w:val="24"/>
              </w:rPr>
            </w:pPr>
            <w:r>
              <w:rPr>
                <w:rFonts w:ascii="宋体" w:hAnsi="宋体" w:cs="宋体" w:eastAsia="宋体" w:hint="default"/>
                <w:sz w:val="24"/>
                <w:szCs w:val="24"/>
              </w:rPr>
              <w:t>合计</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895,899,016.22</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894,302,344.25</w:t>
            </w:r>
          </w:p>
        </w:tc>
      </w:tr>
    </w:tbl>
    <w:p>
      <w:pPr>
        <w:spacing w:line="240" w:lineRule="auto" w:before="2"/>
        <w:rPr>
          <w:rFonts w:ascii="宋体" w:hAnsi="宋体" w:cs="宋体" w:eastAsia="宋体" w:hint="default"/>
          <w:sz w:val="23"/>
          <w:szCs w:val="23"/>
        </w:rPr>
      </w:pPr>
    </w:p>
    <w:p>
      <w:pPr>
        <w:pStyle w:val="Heading2"/>
        <w:spacing w:line="312" w:lineRule="exact" w:before="56"/>
        <w:ind w:left="577" w:right="159" w:hanging="420"/>
        <w:jc w:val="left"/>
        <w:rPr>
          <w:b w:val="0"/>
          <w:bCs w:val="0"/>
        </w:rPr>
      </w:pPr>
      <w:r>
        <w:rPr>
          <w:rFonts w:ascii="宋体" w:hAnsi="宋体" w:cs="宋体" w:eastAsia="宋体" w:hint="default"/>
          <w:spacing w:val="1"/>
          <w:w w:val="99"/>
        </w:rPr>
        <w:t>(2).</w:t>
      </w:r>
      <w:r>
        <w:rPr>
          <w:rFonts w:ascii="宋体" w:hAnsi="宋体" w:cs="宋体" w:eastAsia="宋体" w:hint="default"/>
          <w:spacing w:val="80"/>
          <w:w w:val="99"/>
        </w:rPr>
        <w:t> </w:t>
      </w:r>
      <w:r>
        <w:rPr>
          <w:spacing w:val="-1"/>
          <w:w w:val="99"/>
        </w:rPr>
        <w:t>应付债券的增减变动：（不包括划分为金融负债的优先股、永续债等其他金融</w:t>
      </w:r>
      <w:r>
        <w:rPr>
          <w:w w:val="99"/>
        </w:rPr>
        <w:t> </w:t>
      </w:r>
      <w:r>
        <w:rPr/>
        <w:t>工具）</w:t>
      </w:r>
      <w:r>
        <w:rPr>
          <w:b w:val="0"/>
          <w:bCs w:val="0"/>
        </w:rPr>
      </w:r>
    </w:p>
    <w:p>
      <w:pPr>
        <w:pStyle w:val="BodyText"/>
        <w:spacing w:line="240" w:lineRule="auto" w:before="29"/>
        <w:ind w:left="157" w:right="138"/>
        <w:jc w:val="left"/>
      </w:pPr>
      <w:r>
        <w:rPr/>
        <w:t>√适用</w:t>
      </w:r>
      <w:r>
        <w:rPr>
          <w:spacing w:val="-1"/>
        </w:rPr>
        <w:t> </w:t>
      </w:r>
      <w:r>
        <w:rPr/>
        <w:t>□不适用</w:t>
      </w:r>
    </w:p>
    <w:p>
      <w:pPr>
        <w:pStyle w:val="BodyText"/>
        <w:tabs>
          <w:tab w:pos="1199" w:val="left" w:leader="none"/>
        </w:tabs>
        <w:spacing w:line="310" w:lineRule="exact"/>
        <w:ind w:left="0" w:right="153"/>
        <w:jc w:val="right"/>
      </w:pPr>
      <w:r>
        <w:rPr/>
        <w:t>单位：元</w:t>
        <w:tab/>
        <w:t>币种：人民币</w:t>
      </w:r>
    </w:p>
    <w:p>
      <w:pPr>
        <w:spacing w:after="0" w:line="310" w:lineRule="exact"/>
        <w:jc w:val="right"/>
        <w:sectPr>
          <w:type w:val="continuous"/>
          <w:pgSz w:w="11910" w:h="16840"/>
          <w:pgMar w:top="1120" w:bottom="1380" w:left="1120" w:right="164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265"/>
        <w:gridCol w:w="1121"/>
        <w:gridCol w:w="744"/>
        <w:gridCol w:w="212"/>
        <w:gridCol w:w="1121"/>
        <w:gridCol w:w="1118"/>
        <w:gridCol w:w="212"/>
        <w:gridCol w:w="1044"/>
        <w:gridCol w:w="1044"/>
        <w:gridCol w:w="1045"/>
        <w:gridCol w:w="1118"/>
      </w:tblGrid>
      <w:tr>
        <w:trPr>
          <w:trHeight w:val="792"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5" w:right="471"/>
              <w:jc w:val="center"/>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211"/>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73"/>
                <w:sz w:val="15"/>
                <w:szCs w:val="15"/>
              </w:rPr>
              <w:t> </w:t>
            </w:r>
            <w:r>
              <w:rPr>
                <w:rFonts w:ascii="宋体" w:hAnsi="宋体" w:cs="宋体" w:eastAsia="宋体" w:hint="default"/>
                <w:sz w:val="15"/>
                <w:szCs w:val="15"/>
              </w:rPr>
              <w:t>日期</w:t>
            </w:r>
          </w:p>
        </w:tc>
        <w:tc>
          <w:tcPr>
            <w:tcW w:w="2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债</w:t>
            </w:r>
          </w:p>
          <w:p>
            <w:pPr>
              <w:pStyle w:val="TableParagraph"/>
              <w:spacing w:line="240" w:lineRule="auto"/>
              <w:ind w:left="21" w:right="23"/>
              <w:jc w:val="both"/>
              <w:rPr>
                <w:rFonts w:ascii="宋体" w:hAnsi="宋体" w:cs="宋体" w:eastAsia="宋体" w:hint="default"/>
                <w:sz w:val="15"/>
                <w:szCs w:val="15"/>
              </w:rPr>
            </w:pPr>
            <w:r>
              <w:rPr>
                <w:rFonts w:ascii="宋体" w:hAnsi="宋体" w:cs="宋体" w:eastAsia="宋体" w:hint="default"/>
                <w:sz w:val="15"/>
                <w:szCs w:val="15"/>
              </w:rPr>
              <w:t>券</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限</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3" w:right="398"/>
              <w:jc w:val="center"/>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398"/>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2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21" w:right="22"/>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6" w:right="62" w:hanging="375"/>
              <w:jc w:val="left"/>
              <w:rPr>
                <w:rFonts w:ascii="宋体" w:hAnsi="宋体" w:cs="宋体" w:eastAsia="宋体" w:hint="default"/>
                <w:sz w:val="15"/>
                <w:szCs w:val="15"/>
              </w:rPr>
            </w:pPr>
            <w:r>
              <w:rPr>
                <w:rFonts w:ascii="宋体" w:hAnsi="宋体" w:cs="宋体" w:eastAsia="宋体" w:hint="default"/>
                <w:sz w:val="15"/>
                <w:szCs w:val="15"/>
              </w:rPr>
              <w:t>按面值计提利</w:t>
            </w:r>
            <w:r>
              <w:rPr>
                <w:rFonts w:ascii="宋体" w:hAnsi="宋体" w:cs="宋体" w:eastAsia="宋体" w:hint="default"/>
                <w:w w:val="100"/>
                <w:sz w:val="15"/>
                <w:szCs w:val="15"/>
              </w:rPr>
              <w:t> </w:t>
            </w:r>
            <w:r>
              <w:rPr>
                <w:rFonts w:ascii="宋体" w:hAnsi="宋体" w:cs="宋体" w:eastAsia="宋体" w:hint="default"/>
                <w:sz w:val="15"/>
                <w:szCs w:val="15"/>
              </w:rPr>
              <w:t>息</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溢折价摊销</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2" w:right="362"/>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偿还</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398"/>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794"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21" w:right="0"/>
              <w:jc w:val="left"/>
              <w:rPr>
                <w:rFonts w:ascii="宋体" w:hAnsi="宋体" w:cs="宋体" w:eastAsia="宋体" w:hint="default"/>
                <w:sz w:val="15"/>
                <w:szCs w:val="15"/>
              </w:rPr>
            </w:pPr>
            <w:r>
              <w:rPr>
                <w:rFonts w:ascii="宋体" w:hAnsi="宋体" w:cs="宋体" w:eastAsia="宋体" w:hint="default"/>
                <w:sz w:val="15"/>
                <w:szCs w:val="15"/>
              </w:rPr>
              <w:t>北京华胜天成科技</w:t>
            </w:r>
          </w:p>
          <w:p>
            <w:pPr>
              <w:pStyle w:val="TableParagraph"/>
              <w:spacing w:line="240" w:lineRule="auto"/>
              <w:ind w:left="21" w:right="137"/>
              <w:jc w:val="left"/>
              <w:rPr>
                <w:rFonts w:ascii="宋体" w:hAnsi="宋体" w:cs="宋体" w:eastAsia="宋体" w:hint="default"/>
                <w:sz w:val="15"/>
                <w:szCs w:val="15"/>
              </w:rPr>
            </w:pPr>
            <w:r>
              <w:rPr>
                <w:rFonts w:ascii="宋体" w:hAnsi="宋体" w:cs="宋体" w:eastAsia="宋体" w:hint="default"/>
                <w:sz w:val="15"/>
                <w:szCs w:val="15"/>
              </w:rPr>
              <w:t>股份有限公司</w:t>
            </w:r>
            <w:r>
              <w:rPr>
                <w:rFonts w:ascii="宋体" w:hAnsi="宋体" w:cs="宋体" w:eastAsia="宋体" w:hint="default"/>
                <w:w w:val="100"/>
                <w:sz w:val="15"/>
                <w:szCs w:val="15"/>
              </w:rPr>
              <w:t> </w:t>
            </w: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年公司债券</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sz w:val="15"/>
                <w:szCs w:val="15"/>
              </w:rPr>
              <w:t>（第一期）</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 w:right="0"/>
              <w:jc w:val="center"/>
              <w:rPr>
                <w:rFonts w:ascii="宋体" w:hAnsi="宋体" w:cs="宋体" w:eastAsia="宋体" w:hint="default"/>
                <w:sz w:val="15"/>
                <w:szCs w:val="15"/>
              </w:rPr>
            </w:pPr>
            <w:r>
              <w:rPr>
                <w:rFonts w:ascii="宋体"/>
                <w:sz w:val="15"/>
              </w:rPr>
              <w:t>900,000,000.00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 w:right="0"/>
              <w:jc w:val="center"/>
              <w:rPr>
                <w:rFonts w:ascii="宋体" w:hAnsi="宋体" w:cs="宋体" w:eastAsia="宋体" w:hint="default"/>
                <w:sz w:val="15"/>
                <w:szCs w:val="15"/>
              </w:rPr>
            </w:pPr>
            <w:r>
              <w:rPr>
                <w:rFonts w:ascii="宋体"/>
                <w:sz w:val="15"/>
              </w:rPr>
              <w:t>2013/3/13</w:t>
            </w:r>
          </w:p>
        </w:tc>
        <w:tc>
          <w:tcPr>
            <w:tcW w:w="21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21" w:right="0"/>
              <w:jc w:val="left"/>
              <w:rPr>
                <w:rFonts w:ascii="宋体" w:hAnsi="宋体" w:cs="宋体" w:eastAsia="宋体" w:hint="default"/>
                <w:sz w:val="15"/>
                <w:szCs w:val="15"/>
              </w:rPr>
            </w:pPr>
            <w:r>
              <w:rPr>
                <w:rFonts w:ascii="宋体"/>
                <w:w w:val="100"/>
                <w:sz w:val="15"/>
              </w:rPr>
              <w:t>5</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900,000,000.00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894,302,344.25</w:t>
            </w:r>
          </w:p>
        </w:tc>
        <w:tc>
          <w:tcPr>
            <w:tcW w:w="21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w w:val="100"/>
                <w:sz w:val="15"/>
              </w:rPr>
              <w:t>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31" w:right="0"/>
              <w:jc w:val="left"/>
              <w:rPr>
                <w:rFonts w:ascii="宋体" w:hAnsi="宋体" w:cs="宋体" w:eastAsia="宋体" w:hint="default"/>
                <w:sz w:val="15"/>
                <w:szCs w:val="15"/>
              </w:rPr>
            </w:pPr>
            <w:r>
              <w:rPr>
                <w:rFonts w:ascii="宋体"/>
                <w:sz w:val="15"/>
              </w:rPr>
              <w:t>52,205,220.00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sz w:val="15"/>
              </w:rPr>
              <w:t>1,596,671.97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52,202,610.00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5" w:right="0"/>
              <w:jc w:val="center"/>
              <w:rPr>
                <w:rFonts w:ascii="宋体" w:hAnsi="宋体" w:cs="宋体" w:eastAsia="宋体" w:hint="default"/>
                <w:sz w:val="15"/>
                <w:szCs w:val="15"/>
              </w:rPr>
            </w:pPr>
            <w:r>
              <w:rPr>
                <w:rFonts w:ascii="宋体"/>
                <w:sz w:val="15"/>
              </w:rPr>
              <w:t>895,899,016.22</w:t>
            </w:r>
          </w:p>
        </w:tc>
      </w:tr>
      <w:tr>
        <w:trPr>
          <w:trHeight w:val="281" w:hRule="exact"/>
        </w:trPr>
        <w:tc>
          <w:tcPr>
            <w:tcW w:w="1265"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212"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212"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r>
      <w:tr>
        <w:trPr>
          <w:trHeight w:val="281"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2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60" w:right="0"/>
              <w:jc w:val="left"/>
              <w:rPr>
                <w:rFonts w:ascii="宋体" w:hAnsi="宋体" w:cs="宋体" w:eastAsia="宋体" w:hint="default"/>
                <w:sz w:val="15"/>
                <w:szCs w:val="15"/>
              </w:rPr>
            </w:pPr>
            <w:r>
              <w:rPr>
                <w:rFonts w:ascii="宋体"/>
                <w:w w:val="100"/>
                <w:sz w:val="15"/>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900,000,000.00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894,302,344.25</w:t>
            </w:r>
          </w:p>
        </w:tc>
        <w:tc>
          <w:tcPr>
            <w:tcW w:w="2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1" w:right="0"/>
              <w:jc w:val="left"/>
              <w:rPr>
                <w:rFonts w:ascii="宋体" w:hAnsi="宋体" w:cs="宋体" w:eastAsia="宋体" w:hint="default"/>
                <w:sz w:val="15"/>
                <w:szCs w:val="15"/>
              </w:rPr>
            </w:pPr>
            <w:r>
              <w:rPr>
                <w:rFonts w:ascii="宋体"/>
                <w:sz w:val="15"/>
              </w:rPr>
              <w:t>52,205,220.00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1,596,671.97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52,202,610.00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sz w:val="15"/>
              </w:rPr>
              <w:t>895,899,016.22</w:t>
            </w:r>
          </w:p>
        </w:tc>
      </w:tr>
    </w:tbl>
    <w:p>
      <w:pPr>
        <w:spacing w:line="240" w:lineRule="auto" w:before="5"/>
        <w:rPr>
          <w:rFonts w:ascii="宋体" w:hAnsi="宋体" w:cs="宋体" w:eastAsia="宋体" w:hint="default"/>
          <w:sz w:val="23"/>
          <w:szCs w:val="23"/>
        </w:rPr>
      </w:pPr>
    </w:p>
    <w:p>
      <w:pPr>
        <w:pStyle w:val="Heading2"/>
        <w:spacing w:line="283" w:lineRule="auto"/>
        <w:ind w:left="717" w:right="406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3"/>
        </w:rPr>
        <w:t> </w:t>
      </w:r>
      <w:r>
        <w:rPr/>
        <w:t>可转换公司债券的转股条件、转股时间说明：</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29"/>
          <w:szCs w:val="29"/>
        </w:rPr>
      </w:pPr>
    </w:p>
    <w:p>
      <w:pPr>
        <w:pStyle w:val="Heading2"/>
        <w:spacing w:line="240" w:lineRule="auto" w:before="0"/>
        <w:ind w:left="717" w:right="0"/>
        <w:jc w:val="both"/>
        <w:rPr>
          <w:b w:val="0"/>
          <w:bCs w:val="0"/>
        </w:rPr>
      </w:pPr>
      <w:r>
        <w:rPr>
          <w:rFonts w:ascii="宋体" w:hAnsi="宋体" w:cs="宋体" w:eastAsia="宋体" w:hint="default"/>
        </w:rPr>
        <w:t>(4).</w:t>
      </w:r>
      <w:r>
        <w:rPr>
          <w:rFonts w:ascii="宋体" w:hAnsi="宋体" w:cs="宋体" w:eastAsia="宋体" w:hint="default"/>
          <w:spacing w:val="64"/>
        </w:rPr>
        <w:t> </w:t>
      </w:r>
      <w:r>
        <w:rPr/>
        <w:t>划分为金融负债的其他金融工具说明：</w:t>
      </w:r>
      <w:r>
        <w:rPr>
          <w:b w:val="0"/>
          <w:bCs w:val="0"/>
        </w:rPr>
      </w:r>
    </w:p>
    <w:p>
      <w:pPr>
        <w:pStyle w:val="BodyText"/>
        <w:spacing w:line="240" w:lineRule="auto" w:before="58"/>
        <w:ind w:left="717"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BodyText"/>
        <w:spacing w:line="240" w:lineRule="auto"/>
        <w:ind w:left="717" w:right="0"/>
        <w:jc w:val="both"/>
      </w:pPr>
      <w:r>
        <w:rPr/>
        <w:t>其他说明：</w:t>
      </w:r>
    </w:p>
    <w:p>
      <w:pPr>
        <w:pStyle w:val="Heading2"/>
        <w:spacing w:line="240" w:lineRule="auto" w:before="58"/>
        <w:ind w:left="717" w:right="0"/>
        <w:jc w:val="both"/>
        <w:rPr>
          <w:b w:val="0"/>
          <w:bCs w:val="0"/>
        </w:rPr>
      </w:pPr>
      <w:r>
        <w:rPr/>
        <w:t>（</w:t>
      </w:r>
      <w:r>
        <w:rPr>
          <w:rFonts w:ascii="宋体" w:hAnsi="宋体" w:cs="宋体" w:eastAsia="宋体" w:hint="default"/>
        </w:rPr>
        <w:t>5</w:t>
      </w:r>
      <w:r>
        <w:rPr/>
        <w:t>）公司债券应付利息本年变化情况</w:t>
      </w:r>
      <w:r>
        <w:rPr>
          <w:b w:val="0"/>
          <w:bCs w:val="0"/>
        </w:rPr>
      </w:r>
    </w:p>
    <w:p>
      <w:pPr>
        <w:spacing w:line="240" w:lineRule="auto" w:before="9"/>
        <w:rPr>
          <w:rFonts w:ascii="宋体" w:hAnsi="宋体" w:cs="宋体" w:eastAsia="宋体" w:hint="default"/>
          <w:b/>
          <w:bCs/>
          <w:sz w:val="32"/>
          <w:szCs w:val="32"/>
        </w:rPr>
      </w:pPr>
    </w:p>
    <w:p>
      <w:pPr>
        <w:pStyle w:val="BodyText"/>
        <w:spacing w:line="240" w:lineRule="auto"/>
        <w:ind w:left="717" w:right="0"/>
        <w:jc w:val="both"/>
      </w:pPr>
      <w:r>
        <w:rPr/>
        <w:t>说明：</w:t>
      </w:r>
    </w:p>
    <w:p>
      <w:pPr>
        <w:pStyle w:val="BodyText"/>
        <w:spacing w:line="313" w:lineRule="exact" w:before="118"/>
        <w:ind w:left="1197" w:right="0"/>
        <w:jc w:val="left"/>
      </w:pPr>
      <w:r>
        <w:rPr>
          <w:rFonts w:ascii="宋体" w:hAnsi="宋体" w:cs="宋体" w:eastAsia="宋体" w:hint="default"/>
          <w:spacing w:val="-7"/>
        </w:rPr>
        <w:t>A</w:t>
      </w:r>
      <w:r>
        <w:rPr>
          <w:spacing w:val="-7"/>
        </w:rPr>
        <w:t>、</w:t>
      </w:r>
      <w:r>
        <w:rPr>
          <w:rFonts w:ascii="宋体" w:hAnsi="宋体" w:cs="宋体" w:eastAsia="宋体" w:hint="default"/>
          <w:spacing w:val="-7"/>
        </w:rPr>
        <w:t>2012</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5"/>
        </w:rPr>
        <w:t> </w:t>
      </w:r>
      <w:r>
        <w:rPr>
          <w:rFonts w:ascii="宋体" w:hAnsi="宋体" w:cs="宋体" w:eastAsia="宋体" w:hint="default"/>
        </w:rPr>
        <w:t>6</w:t>
      </w:r>
      <w:r>
        <w:rPr>
          <w:rFonts w:ascii="宋体" w:hAnsi="宋体" w:cs="宋体" w:eastAsia="宋体" w:hint="default"/>
          <w:spacing w:val="-65"/>
        </w:rPr>
        <w:t> </w:t>
      </w:r>
      <w:r>
        <w:rPr>
          <w:spacing w:val="-6"/>
        </w:rPr>
        <w:t>日，经本公司</w:t>
      </w:r>
      <w:r>
        <w:rPr>
          <w:spacing w:val="-65"/>
        </w:rPr>
        <w:t> </w:t>
      </w:r>
      <w:r>
        <w:rPr>
          <w:rFonts w:ascii="宋体" w:hAnsi="宋体" w:cs="宋体" w:eastAsia="宋体" w:hint="default"/>
        </w:rPr>
        <w:t>2012</w:t>
      </w:r>
      <w:r>
        <w:rPr>
          <w:rFonts w:ascii="宋体" w:hAnsi="宋体" w:cs="宋体" w:eastAsia="宋体" w:hint="default"/>
          <w:spacing w:val="-65"/>
        </w:rPr>
        <w:t> </w:t>
      </w:r>
      <w:r>
        <w:rPr/>
        <w:t>年第二次临时股东大会决议，拟发行规模不</w:t>
      </w:r>
    </w:p>
    <w:p>
      <w:pPr>
        <w:pStyle w:val="BodyText"/>
        <w:spacing w:line="237" w:lineRule="auto" w:before="2"/>
        <w:ind w:left="717" w:right="613"/>
        <w:jc w:val="both"/>
      </w:pPr>
      <w:r>
        <w:rPr/>
        <w:t>超过人民币</w:t>
      </w:r>
      <w:r>
        <w:rPr>
          <w:spacing w:val="-60"/>
        </w:rPr>
        <w:t> </w:t>
      </w:r>
      <w:r>
        <w:rPr>
          <w:rFonts w:ascii="宋体" w:hAnsi="宋体" w:cs="宋体" w:eastAsia="宋体" w:hint="default"/>
        </w:rPr>
        <w:t>9</w:t>
      </w:r>
      <w:r>
        <w:rPr>
          <w:rFonts w:ascii="宋体" w:hAnsi="宋体" w:cs="宋体" w:eastAsia="宋体" w:hint="default"/>
          <w:spacing w:val="-59"/>
        </w:rPr>
        <w:t> </w:t>
      </w:r>
      <w:r>
        <w:rPr>
          <w:spacing w:val="-9"/>
        </w:rPr>
        <w:t>亿（含</w:t>
      </w:r>
      <w:r>
        <w:rPr>
          <w:spacing w:val="-59"/>
        </w:rPr>
        <w:t> </w:t>
      </w:r>
      <w:r>
        <w:rPr>
          <w:rFonts w:ascii="宋体" w:hAnsi="宋体" w:cs="宋体" w:eastAsia="宋体" w:hint="default"/>
        </w:rPr>
        <w:t>9</w:t>
      </w:r>
      <w:r>
        <w:rPr>
          <w:rFonts w:ascii="宋体" w:hAnsi="宋体" w:cs="宋体" w:eastAsia="宋体" w:hint="default"/>
          <w:spacing w:val="-59"/>
        </w:rPr>
        <w:t> </w:t>
      </w:r>
      <w:r>
        <w:rPr>
          <w:spacing w:val="-5"/>
        </w:rPr>
        <w:t>亿）的公司债券。</w:t>
      </w:r>
      <w:r>
        <w:rPr>
          <w:rFonts w:ascii="宋体" w:hAnsi="宋体" w:cs="宋体" w:eastAsia="宋体" w:hint="default"/>
          <w:spacing w:val="-5"/>
        </w:rPr>
        <w:t>2012</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3"/>
        </w:rPr>
        <w:t>日，经中国证券监督管理委</w:t>
      </w:r>
      <w:r>
        <w:rPr>
          <w:spacing w:val="-117"/>
        </w:rPr>
        <w:t> </w:t>
      </w:r>
      <w:r>
        <w:rPr>
          <w:spacing w:val="-117"/>
        </w:rPr>
      </w:r>
      <w:r>
        <w:rPr>
          <w:spacing w:val="-1"/>
        </w:rPr>
        <w:t>员会证监许可</w:t>
      </w:r>
      <w:r>
        <w:rPr>
          <w:rFonts w:ascii="宋体" w:hAnsi="宋体" w:cs="宋体" w:eastAsia="宋体" w:hint="default"/>
          <w:spacing w:val="-1"/>
        </w:rPr>
        <w:t>[2012]1531</w:t>
      </w:r>
      <w:r>
        <w:rPr>
          <w:rFonts w:ascii="宋体" w:hAnsi="宋体" w:cs="宋体" w:eastAsia="宋体" w:hint="default"/>
          <w:spacing w:val="-57"/>
        </w:rPr>
        <w:t> </w:t>
      </w:r>
      <w:r>
        <w:rPr>
          <w:spacing w:val="-5"/>
        </w:rPr>
        <w:t>号文核准，本公司获准发行票面总额不超过人民币</w:t>
      </w:r>
      <w:r>
        <w:rPr>
          <w:spacing w:val="-56"/>
        </w:rPr>
        <w:t> </w:t>
      </w:r>
      <w:r>
        <w:rPr>
          <w:rFonts w:ascii="宋体" w:hAnsi="宋体" w:cs="宋体" w:eastAsia="宋体" w:hint="default"/>
        </w:rPr>
        <w:t>9</w:t>
      </w:r>
      <w:r>
        <w:rPr>
          <w:rFonts w:ascii="宋体" w:hAnsi="宋体" w:cs="宋体" w:eastAsia="宋体" w:hint="default"/>
          <w:spacing w:val="-57"/>
        </w:rPr>
        <w:t> </w:t>
      </w:r>
      <w:r>
        <w:rPr/>
        <w:t>亿元公</w:t>
      </w:r>
      <w:r>
        <w:rPr>
          <w:spacing w:val="-113"/>
        </w:rPr>
        <w:t> </w:t>
      </w:r>
      <w:r>
        <w:rPr/>
        <w:t>司债券。根据网下向投资者询价申购结果，经本公司和主承销商渤海证券股份有限公</w:t>
      </w:r>
      <w:r>
        <w:rPr/>
        <w:t> 司协商一致，确定本公司</w:t>
      </w:r>
      <w:r>
        <w:rPr>
          <w:spacing w:val="-66"/>
        </w:rPr>
        <w:t> </w:t>
      </w:r>
      <w:r>
        <w:rPr>
          <w:rFonts w:ascii="宋体" w:hAnsi="宋体" w:cs="宋体" w:eastAsia="宋体" w:hint="default"/>
        </w:rPr>
        <w:t>2012</w:t>
      </w:r>
      <w:r>
        <w:rPr>
          <w:rFonts w:ascii="宋体" w:hAnsi="宋体" w:cs="宋体" w:eastAsia="宋体" w:hint="default"/>
          <w:spacing w:val="-66"/>
        </w:rPr>
        <w:t> </w:t>
      </w:r>
      <w:r>
        <w:rPr/>
        <w:t>年公司债券（第一期）票面利率为</w:t>
      </w:r>
      <w:r>
        <w:rPr>
          <w:spacing w:val="-66"/>
        </w:rPr>
        <w:t> </w:t>
      </w:r>
      <w:r>
        <w:rPr>
          <w:rFonts w:ascii="宋体" w:hAnsi="宋体" w:cs="宋体" w:eastAsia="宋体" w:hint="default"/>
        </w:rPr>
        <w:t>5.8%</w:t>
      </w:r>
      <w:r>
        <w:rPr/>
        <w:t>。</w:t>
      </w:r>
      <w:r>
        <w:rPr>
          <w:rFonts w:ascii="宋体" w:hAnsi="宋体" w:cs="宋体" w:eastAsia="宋体" w:hint="default"/>
        </w:rPr>
        <w:t>2013</w:t>
      </w:r>
      <w:r>
        <w:rPr>
          <w:rFonts w:ascii="宋体" w:hAnsi="宋体" w:cs="宋体" w:eastAsia="宋体" w:hint="default"/>
          <w:spacing w:val="-66"/>
        </w:rPr>
        <w:t> </w:t>
      </w:r>
      <w:r>
        <w:rPr/>
        <w:t>年</w:t>
      </w:r>
      <w:r>
        <w:rPr>
          <w:spacing w:val="-66"/>
        </w:rPr>
        <w:t> </w:t>
      </w:r>
      <w:r>
        <w:rPr>
          <w:rFonts w:ascii="宋体" w:hAnsi="宋体" w:cs="宋体" w:eastAsia="宋体" w:hint="default"/>
        </w:rPr>
        <w:t>3</w:t>
      </w:r>
      <w:r>
        <w:rPr>
          <w:rFonts w:ascii="宋体" w:hAnsi="宋体" w:cs="宋体" w:eastAsia="宋体" w:hint="default"/>
          <w:spacing w:val="-66"/>
        </w:rPr>
        <w:t> </w:t>
      </w:r>
      <w:r>
        <w:rPr/>
        <w:t>月 </w:t>
      </w:r>
      <w:r>
        <w:rPr>
          <w:rFonts w:ascii="宋体" w:hAnsi="宋体" w:cs="宋体" w:eastAsia="宋体" w:hint="default"/>
        </w:rPr>
        <w:t>13</w:t>
      </w:r>
      <w:r>
        <w:rPr>
          <w:rFonts w:ascii="宋体" w:hAnsi="宋体" w:cs="宋体" w:eastAsia="宋体" w:hint="default"/>
          <w:spacing w:val="-72"/>
        </w:rPr>
        <w:t> </w:t>
      </w:r>
      <w:r>
        <w:rPr/>
        <w:t>日面向社会公众投资者网上公开发行</w:t>
      </w:r>
      <w:r>
        <w:rPr>
          <w:spacing w:val="-72"/>
        </w:rPr>
        <w:t> </w:t>
      </w:r>
      <w:r>
        <w:rPr>
          <w:rFonts w:ascii="宋体" w:hAnsi="宋体" w:cs="宋体" w:eastAsia="宋体" w:hint="default"/>
        </w:rPr>
        <w:t>0.5</w:t>
      </w:r>
      <w:r>
        <w:rPr>
          <w:rFonts w:ascii="宋体" w:hAnsi="宋体" w:cs="宋体" w:eastAsia="宋体" w:hint="default"/>
          <w:spacing w:val="-72"/>
        </w:rPr>
        <w:t> </w:t>
      </w:r>
      <w:r>
        <w:rPr>
          <w:spacing w:val="-8"/>
        </w:rPr>
        <w:t>亿元，占本期公司债券发行总量的</w:t>
      </w:r>
      <w:r>
        <w:rPr>
          <w:spacing w:val="-71"/>
        </w:rPr>
        <w:t> </w:t>
      </w:r>
      <w:r>
        <w:rPr>
          <w:rFonts w:ascii="宋体" w:hAnsi="宋体" w:cs="宋体" w:eastAsia="宋体" w:hint="default"/>
        </w:rPr>
        <w:t>5.55%</w:t>
      </w:r>
      <w:r>
        <w:rPr/>
        <w:t>。</w:t>
      </w:r>
    </w:p>
    <w:p>
      <w:pPr>
        <w:pStyle w:val="BodyText"/>
        <w:spacing w:line="311" w:lineRule="exact"/>
        <w:ind w:left="717" w:right="0"/>
        <w:jc w:val="both"/>
      </w:pPr>
      <w:r>
        <w:rPr>
          <w:rFonts w:ascii="宋体" w:hAnsi="宋体" w:cs="宋体" w:eastAsia="宋体" w:hint="default"/>
        </w:rPr>
        <w:t>2013</w:t>
      </w:r>
      <w:r>
        <w:rPr>
          <w:rFonts w:ascii="宋体" w:hAnsi="宋体" w:cs="宋体" w:eastAsia="宋体" w:hint="default"/>
          <w:spacing w:val="-60"/>
        </w:rPr>
        <w:t>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日至</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日面向投资者网下协议发行</w:t>
      </w:r>
      <w:r>
        <w:rPr>
          <w:spacing w:val="-60"/>
        </w:rPr>
        <w:t> </w:t>
      </w:r>
      <w:r>
        <w:rPr>
          <w:rFonts w:ascii="宋体" w:hAnsi="宋体" w:cs="宋体" w:eastAsia="宋体" w:hint="default"/>
        </w:rPr>
        <w:t>8.5</w:t>
      </w:r>
      <w:r>
        <w:rPr>
          <w:rFonts w:ascii="宋体" w:hAnsi="宋体" w:cs="宋体" w:eastAsia="宋体" w:hint="default"/>
          <w:spacing w:val="-60"/>
        </w:rPr>
        <w:t> </w:t>
      </w:r>
      <w:r>
        <w:rPr/>
        <w:t>亿元</w:t>
      </w:r>
      <w:r>
        <w:rPr>
          <w:spacing w:val="-108"/>
        </w:rPr>
        <w:t>，</w:t>
      </w:r>
      <w:r>
        <w:rPr/>
        <w:t>占本期公司债券发</w:t>
      </w:r>
    </w:p>
    <w:p>
      <w:pPr>
        <w:pStyle w:val="BodyText"/>
        <w:spacing w:line="310" w:lineRule="exact" w:before="31"/>
        <w:ind w:left="717" w:right="720"/>
        <w:jc w:val="left"/>
      </w:pPr>
      <w:r>
        <w:rPr/>
        <w:t>行总量的</w:t>
      </w:r>
      <w:r>
        <w:rPr>
          <w:spacing w:val="-60"/>
        </w:rPr>
        <w:t> </w:t>
      </w:r>
      <w:r>
        <w:rPr>
          <w:rFonts w:ascii="宋体" w:hAnsi="宋体" w:cs="宋体" w:eastAsia="宋体" w:hint="default"/>
          <w:spacing w:val="-5"/>
        </w:rPr>
        <w:t>94.45%</w:t>
      </w:r>
      <w:r>
        <w:rPr>
          <w:spacing w:val="-5"/>
        </w:rPr>
        <w:t>。本期债券为</w:t>
      </w:r>
      <w:r>
        <w:rPr>
          <w:spacing w:val="-59"/>
        </w:rPr>
        <w:t> </w:t>
      </w:r>
      <w:r>
        <w:rPr>
          <w:rFonts w:ascii="宋体" w:hAnsi="宋体" w:cs="宋体" w:eastAsia="宋体" w:hint="default"/>
        </w:rPr>
        <w:t>5</w:t>
      </w:r>
      <w:r>
        <w:rPr>
          <w:rFonts w:ascii="宋体" w:hAnsi="宋体" w:cs="宋体" w:eastAsia="宋体" w:hint="default"/>
          <w:spacing w:val="-59"/>
        </w:rPr>
        <w:t> </w:t>
      </w:r>
      <w:r>
        <w:rPr>
          <w:spacing w:val="-5"/>
        </w:rPr>
        <w:t>年期固定利率债券，附第</w:t>
      </w:r>
      <w:r>
        <w:rPr>
          <w:spacing w:val="-59"/>
        </w:rPr>
        <w:t> </w:t>
      </w:r>
      <w:r>
        <w:rPr>
          <w:rFonts w:ascii="宋体" w:hAnsi="宋体" w:cs="宋体" w:eastAsia="宋体" w:hint="default"/>
        </w:rPr>
        <w:t>3</w:t>
      </w:r>
      <w:r>
        <w:rPr>
          <w:rFonts w:ascii="宋体" w:hAnsi="宋体" w:cs="宋体" w:eastAsia="宋体" w:hint="default"/>
          <w:spacing w:val="-59"/>
        </w:rPr>
        <w:t> </w:t>
      </w:r>
      <w:r>
        <w:rPr/>
        <w:t>年末发行人上调票面利率 选择权和投资者回售选择权。</w:t>
      </w:r>
    </w:p>
    <w:p>
      <w:pPr>
        <w:pStyle w:val="BodyText"/>
        <w:spacing w:line="313" w:lineRule="exact" w:before="89"/>
        <w:ind w:left="1197" w:right="0"/>
        <w:jc w:val="left"/>
      </w:pPr>
      <w:r>
        <w:rPr>
          <w:rFonts w:ascii="宋体" w:hAnsi="宋体" w:cs="宋体" w:eastAsia="宋体" w:hint="default"/>
        </w:rPr>
        <w:t>B</w:t>
      </w:r>
      <w:r>
        <w:rPr/>
        <w:t>、本次发行公司债券应募集资金总额为人民币</w:t>
      </w:r>
      <w:r>
        <w:rPr>
          <w:spacing w:val="-70"/>
        </w:rPr>
        <w:t> </w:t>
      </w:r>
      <w:r>
        <w:rPr>
          <w:rFonts w:ascii="宋体" w:hAnsi="宋体" w:cs="宋体" w:eastAsia="宋体" w:hint="default"/>
        </w:rPr>
        <w:t>900,000,000.00</w:t>
      </w:r>
      <w:r>
        <w:rPr>
          <w:rFonts w:ascii="宋体" w:hAnsi="宋体" w:cs="宋体" w:eastAsia="宋体" w:hint="default"/>
          <w:spacing w:val="-70"/>
        </w:rPr>
        <w:t> </w:t>
      </w:r>
      <w:r>
        <w:rPr>
          <w:spacing w:val="-4"/>
        </w:rPr>
        <w:t>元，扣除承销费</w:t>
      </w:r>
    </w:p>
    <w:p>
      <w:pPr>
        <w:pStyle w:val="BodyText"/>
        <w:spacing w:line="237" w:lineRule="auto" w:before="1"/>
        <w:ind w:left="717" w:right="733"/>
        <w:jc w:val="both"/>
      </w:pPr>
      <w:r>
        <w:rPr/>
        <w:t>和保荐费</w:t>
      </w:r>
      <w:r>
        <w:rPr>
          <w:spacing w:val="-61"/>
        </w:rPr>
        <w:t> </w:t>
      </w:r>
      <w:r>
        <w:rPr>
          <w:rFonts w:ascii="宋体" w:hAnsi="宋体" w:cs="宋体" w:eastAsia="宋体" w:hint="default"/>
        </w:rPr>
        <w:t>8,100,000.00</w:t>
      </w:r>
      <w:r>
        <w:rPr>
          <w:rFonts w:ascii="宋体" w:hAnsi="宋体" w:cs="宋体" w:eastAsia="宋体" w:hint="default"/>
          <w:spacing w:val="-60"/>
        </w:rPr>
        <w:t> </w:t>
      </w:r>
      <w:r>
        <w:rPr/>
        <w:t>元后的募集资金为人民币</w:t>
      </w:r>
      <w:r>
        <w:rPr>
          <w:spacing w:val="-59"/>
        </w:rPr>
        <w:t> </w:t>
      </w:r>
      <w:r>
        <w:rPr>
          <w:rFonts w:ascii="宋体" w:hAnsi="宋体" w:cs="宋体" w:eastAsia="宋体" w:hint="default"/>
        </w:rPr>
        <w:t>891,900,000.00</w:t>
      </w:r>
      <w:r>
        <w:rPr>
          <w:rFonts w:ascii="宋体" w:hAnsi="宋体" w:cs="宋体" w:eastAsia="宋体" w:hint="default"/>
          <w:spacing w:val="-60"/>
        </w:rPr>
        <w:t> </w:t>
      </w:r>
      <w:r>
        <w:rPr>
          <w:spacing w:val="-6"/>
        </w:rPr>
        <w:t>元，主承销商渤海</w:t>
      </w:r>
      <w:r>
        <w:rPr/>
        <w:t> </w:t>
      </w:r>
      <w:r>
        <w:rPr>
          <w:spacing w:val="-2"/>
        </w:rPr>
        <w:t>证券股份有限公司已将上述款项汇入本公司银行账户。上述募集资金到位情况业经致</w:t>
      </w:r>
      <w:r>
        <w:rPr>
          <w:spacing w:val="-94"/>
        </w:rPr>
        <w:t> </w:t>
      </w:r>
      <w:r>
        <w:rPr>
          <w:spacing w:val="-94"/>
        </w:rPr>
      </w:r>
      <w:r>
        <w:rPr>
          <w:spacing w:val="-8"/>
        </w:rPr>
        <w:t>同会计师事务所（特殊普通合伙）验证，并出具致同验字（</w:t>
      </w:r>
      <w:r>
        <w:rPr>
          <w:rFonts w:ascii="宋体" w:hAnsi="宋体" w:cs="宋体" w:eastAsia="宋体" w:hint="default"/>
          <w:spacing w:val="-8"/>
        </w:rPr>
        <w:t>2013</w:t>
      </w:r>
      <w:r>
        <w:rPr>
          <w:spacing w:val="-8"/>
        </w:rPr>
        <w:t>）第 </w:t>
      </w:r>
      <w:r>
        <w:rPr>
          <w:rFonts w:ascii="宋体" w:hAnsi="宋体" w:cs="宋体" w:eastAsia="宋体" w:hint="default"/>
        </w:rPr>
        <w:t>110ZA0037</w:t>
      </w:r>
      <w:r>
        <w:rPr>
          <w:rFonts w:ascii="宋体" w:hAnsi="宋体" w:cs="宋体" w:eastAsia="宋体" w:hint="default"/>
          <w:spacing w:val="-97"/>
        </w:rPr>
        <w:t> </w:t>
      </w:r>
      <w:r>
        <w:rPr>
          <w:spacing w:val="-16"/>
        </w:rPr>
        <w:t>号《验</w:t>
      </w:r>
      <w:r>
        <w:rPr/>
        <w:t> 资报告》。</w:t>
      </w:r>
    </w:p>
    <w:p>
      <w:pPr>
        <w:pStyle w:val="BodyText"/>
        <w:spacing w:line="312" w:lineRule="exact" w:before="118"/>
        <w:ind w:left="1197" w:right="0"/>
        <w:jc w:val="left"/>
      </w:pPr>
      <w:r>
        <w:rPr>
          <w:rFonts w:ascii="宋体" w:hAnsi="宋体" w:cs="宋体" w:eastAsia="宋体" w:hint="default"/>
        </w:rPr>
        <w:t>C</w:t>
      </w:r>
      <w:r>
        <w:rPr/>
        <w:t>、初始确认利息调整金额为</w:t>
      </w:r>
      <w:r>
        <w:rPr>
          <w:spacing w:val="-84"/>
        </w:rPr>
        <w:t> </w:t>
      </w:r>
      <w:r>
        <w:rPr>
          <w:rFonts w:ascii="宋体" w:hAnsi="宋体" w:cs="宋体" w:eastAsia="宋体" w:hint="default"/>
        </w:rPr>
        <w:t>8,100,000.00</w:t>
      </w:r>
      <w:r>
        <w:rPr>
          <w:rFonts w:ascii="宋体" w:hAnsi="宋体" w:cs="宋体" w:eastAsia="宋体" w:hint="default"/>
          <w:spacing w:val="-84"/>
        </w:rPr>
        <w:t> </w:t>
      </w:r>
      <w:r>
        <w:rPr/>
        <w:t>元，本期按照实际利率计算利息费用</w:t>
      </w:r>
    </w:p>
    <w:p>
      <w:pPr>
        <w:pStyle w:val="BodyText"/>
        <w:spacing w:line="312" w:lineRule="exact" w:before="28"/>
        <w:ind w:left="717" w:right="723"/>
        <w:jc w:val="left"/>
      </w:pPr>
      <w:r>
        <w:rPr/>
        <w:t>为</w:t>
      </w:r>
      <w:r>
        <w:rPr>
          <w:spacing w:val="-81"/>
        </w:rPr>
        <w:t> </w:t>
      </w:r>
      <w:r>
        <w:rPr>
          <w:rFonts w:ascii="宋体" w:hAnsi="宋体" w:cs="宋体" w:eastAsia="宋体" w:hint="default"/>
        </w:rPr>
        <w:t>53,801,891.97</w:t>
      </w:r>
      <w:r>
        <w:rPr>
          <w:rFonts w:ascii="宋体" w:hAnsi="宋体" w:cs="宋体" w:eastAsia="宋体" w:hint="default"/>
          <w:spacing w:val="-81"/>
        </w:rPr>
        <w:t> </w:t>
      </w:r>
      <w:r>
        <w:rPr>
          <w:spacing w:val="-10"/>
        </w:rPr>
        <w:t>元，按票面利率计算应计利息</w:t>
      </w:r>
      <w:r>
        <w:rPr>
          <w:spacing w:val="-80"/>
        </w:rPr>
        <w:t> </w:t>
      </w:r>
      <w:r>
        <w:rPr>
          <w:rFonts w:ascii="宋体" w:hAnsi="宋体" w:cs="宋体" w:eastAsia="宋体" w:hint="default"/>
        </w:rPr>
        <w:t>52,205,220.00</w:t>
      </w:r>
      <w:r>
        <w:rPr>
          <w:rFonts w:ascii="宋体" w:hAnsi="宋体" w:cs="宋体" w:eastAsia="宋体" w:hint="default"/>
          <w:spacing w:val="-81"/>
        </w:rPr>
        <w:t> </w:t>
      </w:r>
      <w:r>
        <w:rPr>
          <w:spacing w:val="-30"/>
        </w:rPr>
        <w:t>元，差额</w:t>
      </w:r>
      <w:r>
        <w:rPr>
          <w:spacing w:val="-81"/>
        </w:rPr>
        <w:t> </w:t>
      </w:r>
      <w:r>
        <w:rPr>
          <w:rFonts w:ascii="宋体" w:hAnsi="宋体" w:cs="宋体" w:eastAsia="宋体" w:hint="default"/>
        </w:rPr>
        <w:t>1,596,671.97 </w:t>
      </w:r>
      <w:r>
        <w:rPr/>
        <w:t>元调整利息调整项目。</w:t>
      </w:r>
    </w:p>
    <w:p>
      <w:pPr>
        <w:spacing w:line="240" w:lineRule="auto" w:before="1"/>
        <w:rPr>
          <w:rFonts w:ascii="宋体" w:hAnsi="宋体" w:cs="宋体" w:eastAsia="宋体" w:hint="default"/>
          <w:sz w:val="35"/>
          <w:szCs w:val="35"/>
        </w:rPr>
      </w:pPr>
    </w:p>
    <w:p>
      <w:pPr>
        <w:pStyle w:val="Heading2"/>
        <w:spacing w:line="240" w:lineRule="auto" w:before="0"/>
        <w:ind w:left="717" w:right="0"/>
        <w:jc w:val="both"/>
        <w:rPr>
          <w:b w:val="0"/>
          <w:bCs w:val="0"/>
        </w:rPr>
      </w:pPr>
      <w:r>
        <w:rPr>
          <w:rFonts w:ascii="宋体" w:hAnsi="宋体" w:cs="宋体" w:eastAsia="宋体" w:hint="default"/>
        </w:rPr>
        <w:t>47</w:t>
      </w:r>
      <w:r>
        <w:rPr/>
        <w:t>、</w:t>
      </w:r>
      <w:r>
        <w:rPr>
          <w:spacing w:val="-102"/>
        </w:rPr>
        <w:t> </w:t>
      </w:r>
      <w:r>
        <w:rPr/>
        <w:t>长期应付款</w:t>
      </w:r>
      <w:r>
        <w:rPr>
          <w:b w:val="0"/>
          <w:bCs w:val="0"/>
        </w:rPr>
      </w:r>
    </w:p>
    <w:p>
      <w:pPr>
        <w:pStyle w:val="BodyText"/>
        <w:spacing w:line="240" w:lineRule="auto" w:before="58"/>
        <w:ind w:left="717" w:right="0"/>
        <w:jc w:val="both"/>
      </w:pPr>
      <w:r>
        <w:rPr/>
        <w:t>□适用</w:t>
      </w:r>
      <w:r>
        <w:rPr>
          <w:spacing w:val="-1"/>
        </w:rPr>
        <w:t> </w:t>
      </w:r>
      <w:r>
        <w:rPr/>
        <w:t>√不适用</w:t>
      </w:r>
    </w:p>
    <w:p>
      <w:pPr>
        <w:spacing w:after="0" w:line="240" w:lineRule="auto"/>
        <w:jc w:val="both"/>
        <w:sectPr>
          <w:pgSz w:w="11910" w:h="16840"/>
          <w:pgMar w:header="882" w:footer="1195" w:top="1120" w:bottom="1380" w:left="560" w:right="1060"/>
        </w:sectPr>
      </w:pPr>
    </w:p>
    <w:p>
      <w:pPr>
        <w:spacing w:line="240" w:lineRule="auto" w:before="13"/>
        <w:rPr>
          <w:rFonts w:ascii="宋体" w:hAnsi="宋体" w:cs="宋体" w:eastAsia="宋体" w:hint="default"/>
          <w:sz w:val="18"/>
          <w:szCs w:val="18"/>
        </w:rPr>
      </w:pPr>
    </w:p>
    <w:p>
      <w:pPr>
        <w:pStyle w:val="Heading2"/>
        <w:spacing w:line="240" w:lineRule="auto"/>
        <w:ind w:left="717" w:right="4062"/>
        <w:jc w:val="left"/>
        <w:rPr>
          <w:b w:val="0"/>
          <w:bCs w:val="0"/>
        </w:rPr>
      </w:pPr>
      <w:r>
        <w:rPr>
          <w:rFonts w:ascii="宋体" w:hAnsi="宋体" w:cs="宋体" w:eastAsia="宋体" w:hint="default"/>
        </w:rPr>
        <w:t>48</w:t>
      </w:r>
      <w:r>
        <w:rPr/>
        <w:t>、</w:t>
      </w:r>
      <w:r>
        <w:rPr>
          <w:spacing w:val="-103"/>
        </w:rPr>
        <w:t> </w:t>
      </w:r>
      <w:r>
        <w:rPr/>
        <w:t>长期应付职工薪酬</w:t>
      </w:r>
      <w:r>
        <w:rPr>
          <w:b w:val="0"/>
          <w:bCs w:val="0"/>
        </w:rPr>
      </w:r>
    </w:p>
    <w:p>
      <w:pPr>
        <w:pStyle w:val="BodyText"/>
        <w:spacing w:line="240" w:lineRule="auto" w:before="58"/>
        <w:ind w:left="717" w:right="406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717" w:right="4062"/>
        <w:jc w:val="left"/>
        <w:rPr>
          <w:b w:val="0"/>
          <w:bCs w:val="0"/>
        </w:rPr>
      </w:pPr>
      <w:r>
        <w:rPr>
          <w:rFonts w:ascii="宋体" w:hAnsi="宋体" w:cs="宋体" w:eastAsia="宋体" w:hint="default"/>
        </w:rPr>
        <w:t>49</w:t>
      </w:r>
      <w:r>
        <w:rPr/>
        <w:t>、</w:t>
      </w:r>
      <w:r>
        <w:rPr>
          <w:spacing w:val="-102"/>
        </w:rPr>
        <w:t> </w:t>
      </w:r>
      <w:r>
        <w:rPr/>
        <w:t>专项应付款</w:t>
      </w:r>
      <w:r>
        <w:rPr>
          <w:b w:val="0"/>
          <w:bCs w:val="0"/>
        </w:rPr>
      </w:r>
    </w:p>
    <w:p>
      <w:pPr>
        <w:pStyle w:val="BodyText"/>
        <w:spacing w:line="240" w:lineRule="auto" w:before="55"/>
        <w:ind w:left="717" w:right="406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60" w:right="1060"/>
        </w:sectPr>
      </w:pPr>
    </w:p>
    <w:p>
      <w:pPr>
        <w:pStyle w:val="Heading2"/>
        <w:spacing w:line="240" w:lineRule="auto" w:before="158"/>
        <w:ind w:left="717" w:right="-19"/>
        <w:jc w:val="left"/>
        <w:rPr>
          <w:b w:val="0"/>
          <w:bCs w:val="0"/>
        </w:rPr>
      </w:pPr>
      <w:r>
        <w:rPr>
          <w:rFonts w:ascii="宋体" w:hAnsi="宋体" w:cs="宋体" w:eastAsia="宋体" w:hint="default"/>
        </w:rPr>
        <w:t>50</w:t>
      </w:r>
      <w:r>
        <w:rPr/>
        <w:t>、</w:t>
      </w:r>
      <w:r>
        <w:rPr>
          <w:spacing w:val="-101"/>
        </w:rPr>
        <w:t> </w:t>
      </w:r>
      <w:r>
        <w:rPr/>
        <w:t>预计负债</w:t>
      </w:r>
      <w:r>
        <w:rPr>
          <w:b w:val="0"/>
          <w:bCs w:val="0"/>
        </w:rPr>
      </w:r>
    </w:p>
    <w:p>
      <w:pPr>
        <w:pStyle w:val="BodyText"/>
        <w:spacing w:line="240" w:lineRule="auto" w:before="55"/>
        <w:ind w:left="7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1917" w:val="left" w:leader="none"/>
        </w:tabs>
        <w:spacing w:line="240" w:lineRule="auto" w:before="212"/>
        <w:ind w:left="717" w:right="0"/>
        <w:jc w:val="left"/>
      </w:pPr>
      <w:r>
        <w:rPr/>
        <w:t>单位：元</w:t>
        <w:tab/>
        <w:t>币种：人民币</w:t>
      </w:r>
    </w:p>
    <w:p>
      <w:pPr>
        <w:spacing w:after="0" w:line="240" w:lineRule="auto"/>
        <w:jc w:val="left"/>
        <w:sectPr>
          <w:type w:val="continuous"/>
          <w:pgSz w:w="11910" w:h="16840"/>
          <w:pgMar w:top="1120" w:bottom="1380" w:left="560" w:right="1060"/>
          <w:cols w:num="2" w:equalWidth="0">
            <w:col w:w="2518" w:space="3675"/>
            <w:col w:w="4097"/>
          </w:cols>
        </w:sectPr>
      </w:pPr>
    </w:p>
    <w:p>
      <w:pPr>
        <w:spacing w:line="240" w:lineRule="auto" w:before="12"/>
        <w:rPr>
          <w:rFonts w:ascii="宋体" w:hAnsi="宋体" w:cs="宋体" w:eastAsia="宋体" w:hint="default"/>
          <w:sz w:val="2"/>
          <w:szCs w:val="2"/>
        </w:rPr>
      </w:pPr>
    </w:p>
    <w:tbl>
      <w:tblPr>
        <w:tblW w:w="0" w:type="auto"/>
        <w:jc w:val="left"/>
        <w:tblInd w:w="678" w:type="dxa"/>
        <w:tblLayout w:type="fixed"/>
        <w:tblCellMar>
          <w:top w:w="0" w:type="dxa"/>
          <w:left w:w="0" w:type="dxa"/>
          <w:bottom w:w="0" w:type="dxa"/>
          <w:right w:w="0" w:type="dxa"/>
        </w:tblCellMar>
        <w:tblLook w:val="01E0"/>
      </w:tblPr>
      <w:tblGrid>
        <w:gridCol w:w="2223"/>
        <w:gridCol w:w="2225"/>
        <w:gridCol w:w="2225"/>
        <w:gridCol w:w="2223"/>
      </w:tblGrid>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3,350,412.86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10,038,438.45</w:t>
            </w: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3,350,412.86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10,038,438.45</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0"/>
        <w:ind w:left="717" w:right="0"/>
        <w:jc w:val="left"/>
      </w:pPr>
      <w:r>
        <w:rPr/>
        <w:t>其他说明，包括重要预计负债的相关重要假设、估计说明：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560" w:right="1060"/>
        </w:sectPr>
      </w:pPr>
    </w:p>
    <w:p>
      <w:pPr>
        <w:pStyle w:val="Heading2"/>
        <w:spacing w:line="240" w:lineRule="auto"/>
        <w:ind w:left="717" w:right="-19"/>
        <w:jc w:val="left"/>
        <w:rPr>
          <w:b w:val="0"/>
          <w:bCs w:val="0"/>
        </w:rPr>
      </w:pPr>
      <w:r>
        <w:rPr>
          <w:rFonts w:ascii="宋体" w:hAnsi="宋体" w:cs="宋体" w:eastAsia="宋体" w:hint="default"/>
        </w:rPr>
        <w:t>51</w:t>
      </w:r>
      <w:r>
        <w:rPr/>
        <w:t>、</w:t>
      </w:r>
      <w:r>
        <w:rPr>
          <w:spacing w:val="-101"/>
        </w:rPr>
        <w:t> </w:t>
      </w:r>
      <w:r>
        <w:rPr/>
        <w:t>递延收益</w:t>
      </w:r>
      <w:r>
        <w:rPr>
          <w:b w:val="0"/>
          <w:bCs w:val="0"/>
        </w:rPr>
      </w:r>
    </w:p>
    <w:p>
      <w:pPr>
        <w:pStyle w:val="BodyText"/>
        <w:spacing w:line="240" w:lineRule="auto" w:before="58"/>
        <w:ind w:left="7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917" w:val="left" w:leader="none"/>
        </w:tabs>
        <w:spacing w:line="240" w:lineRule="auto"/>
        <w:ind w:left="717" w:right="0"/>
        <w:jc w:val="left"/>
      </w:pPr>
      <w:r>
        <w:rPr/>
        <w:t>单位：元</w:t>
        <w:tab/>
        <w:t>币种人民币</w:t>
      </w:r>
    </w:p>
    <w:p>
      <w:pPr>
        <w:spacing w:after="0" w:line="240" w:lineRule="auto"/>
        <w:jc w:val="left"/>
        <w:sectPr>
          <w:type w:val="continuous"/>
          <w:pgSz w:w="11910" w:h="16840"/>
          <w:pgMar w:top="1120" w:bottom="1380" w:left="560" w:right="1060"/>
          <w:cols w:num="2" w:equalWidth="0">
            <w:col w:w="2518" w:space="3915"/>
            <w:col w:w="3857"/>
          </w:cols>
        </w:sectPr>
      </w:pPr>
    </w:p>
    <w:p>
      <w:pPr>
        <w:spacing w:line="240" w:lineRule="auto" w:before="10"/>
        <w:rPr>
          <w:rFonts w:ascii="宋体" w:hAnsi="宋体" w:cs="宋体" w:eastAsia="宋体" w:hint="default"/>
          <w:sz w:val="2"/>
          <w:szCs w:val="2"/>
        </w:rPr>
      </w:pPr>
    </w:p>
    <w:tbl>
      <w:tblPr>
        <w:tblW w:w="0" w:type="auto"/>
        <w:jc w:val="left"/>
        <w:tblInd w:w="678" w:type="dxa"/>
        <w:tblLayout w:type="fixed"/>
        <w:tblCellMar>
          <w:top w:w="0" w:type="dxa"/>
          <w:left w:w="0" w:type="dxa"/>
          <w:bottom w:w="0" w:type="dxa"/>
          <w:right w:w="0" w:type="dxa"/>
        </w:tblCellMar>
        <w:tblLook w:val="01E0"/>
      </w:tblPr>
      <w:tblGrid>
        <w:gridCol w:w="1503"/>
        <w:gridCol w:w="1443"/>
        <w:gridCol w:w="1457"/>
        <w:gridCol w:w="1440"/>
        <w:gridCol w:w="1486"/>
        <w:gridCol w:w="1568"/>
      </w:tblGrid>
      <w:tr>
        <w:trPr>
          <w:trHeight w:val="350"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73,968,596.46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38,000,000.00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20,928,922.06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91,039,674.40</w:t>
            </w: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289,148.82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288,645.44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503.38</w:t>
            </w: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74,257,745.28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38,000,000.00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21,217,567.50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91,040,177.78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pStyle w:val="BodyText"/>
        <w:spacing w:line="240" w:lineRule="auto" w:before="26"/>
        <w:ind w:left="717" w:right="4062"/>
        <w:jc w:val="left"/>
      </w:pPr>
      <w:r>
        <w:rPr/>
        <w:t>涉及政府补助的项目：</w:t>
      </w:r>
    </w:p>
    <w:p>
      <w:pPr>
        <w:pStyle w:val="BodyText"/>
        <w:tabs>
          <w:tab w:pos="1199" w:val="left" w:leader="none"/>
        </w:tabs>
        <w:spacing w:line="240" w:lineRule="auto" w:before="58"/>
        <w:ind w:left="0" w:right="733"/>
        <w:jc w:val="right"/>
      </w:pPr>
      <w:r>
        <w:rPr/>
        <w:t>单位：元</w:t>
        <w:tab/>
        <w:t>币种：人民币</w:t>
      </w:r>
    </w:p>
    <w:p>
      <w:pPr>
        <w:spacing w:line="240" w:lineRule="auto" w:before="7"/>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300"/>
        <w:gridCol w:w="1229"/>
        <w:gridCol w:w="1282"/>
        <w:gridCol w:w="1392"/>
        <w:gridCol w:w="1178"/>
        <w:gridCol w:w="1229"/>
        <w:gridCol w:w="1438"/>
      </w:tblGrid>
      <w:tr>
        <w:trPr>
          <w:trHeight w:val="47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本期新增补助</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本期计入营业外</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益相关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中小型企业业务支撑与供应</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链金融云服务平台示范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34,650,000.00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12,824,846.21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27,825,153.79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基于云计算和大数据技术的</w:t>
            </w:r>
          </w:p>
          <w:p>
            <w:pPr>
              <w:pStyle w:val="TableParagraph"/>
              <w:spacing w:line="240" w:lineRule="auto"/>
              <w:ind w:left="24" w:right="105"/>
              <w:jc w:val="left"/>
              <w:rPr>
                <w:rFonts w:ascii="宋体" w:hAnsi="宋体" w:cs="宋体" w:eastAsia="宋体" w:hint="default"/>
                <w:sz w:val="18"/>
                <w:szCs w:val="18"/>
              </w:rPr>
            </w:pPr>
            <w:r>
              <w:rPr>
                <w:rFonts w:ascii="宋体" w:hAnsi="宋体" w:cs="宋体" w:eastAsia="宋体" w:hint="default"/>
                <w:sz w:val="18"/>
                <w:szCs w:val="18"/>
              </w:rPr>
              <w:t>生活饮用水水质监测分析预 警平台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大数据平台技术北京市工程</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实验室创新能力建设项目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11,810,000.00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11,810,000.00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运维云服务平台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研究开发及产业化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8,000,000.00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bl>
    <w:p>
      <w:pPr>
        <w:spacing w:after="0" w:line="234" w:lineRule="exact"/>
        <w:jc w:val="left"/>
        <w:rPr>
          <w:rFonts w:ascii="宋体" w:hAnsi="宋体" w:cs="宋体" w:eastAsia="宋体" w:hint="default"/>
          <w:sz w:val="18"/>
          <w:szCs w:val="18"/>
        </w:rPr>
        <w:sectPr>
          <w:type w:val="continuous"/>
          <w:pgSz w:w="11910" w:h="16840"/>
          <w:pgMar w:top="1120" w:bottom="1380" w:left="560" w:right="106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300"/>
        <w:gridCol w:w="1229"/>
        <w:gridCol w:w="1282"/>
        <w:gridCol w:w="1392"/>
        <w:gridCol w:w="1178"/>
        <w:gridCol w:w="1229"/>
        <w:gridCol w:w="1438"/>
      </w:tblGrid>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宋体" w:hAnsi="宋体" w:cs="宋体" w:eastAsia="宋体" w:hint="default"/>
                <w:spacing w:val="-45"/>
                <w:sz w:val="18"/>
                <w:szCs w:val="18"/>
              </w:rPr>
              <w:t> </w:t>
            </w: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运维服务</w:t>
            </w:r>
            <w:r>
              <w:rPr>
                <w:rFonts w:ascii="宋体" w:hAnsi="宋体" w:cs="宋体" w:eastAsia="宋体" w:hint="default"/>
                <w:sz w:val="18"/>
                <w:szCs w:val="18"/>
              </w:rPr>
              <w:t>-</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云悦服务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8,090,000.00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165,102.04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7,924,897.96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中关村科技园区管理委员会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重大统筹项目基金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4,880,000.00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4,880,000.00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大数据应用服务支撑系统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iBigData</w:t>
            </w:r>
            <w:r>
              <w:rPr>
                <w:rFonts w:ascii="宋体" w:hAnsi="宋体" w:cs="宋体" w:eastAsia="宋体" w:hint="default"/>
                <w:sz w:val="18"/>
                <w:szCs w:val="18"/>
              </w:rPr>
              <w:t>）产业化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南京农业大学</w:t>
            </w:r>
            <w:r>
              <w:rPr>
                <w:rFonts w:ascii="宋体" w:hAnsi="宋体" w:cs="宋体" w:eastAsia="宋体" w:hint="default"/>
                <w:sz w:val="18"/>
                <w:szCs w:val="18"/>
              </w:rPr>
              <w:t>-863</w:t>
            </w:r>
            <w:r>
              <w:rPr>
                <w:rFonts w:ascii="宋体" w:hAnsi="宋体" w:cs="宋体" w:eastAsia="宋体" w:hint="default"/>
                <w:spacing w:val="-44"/>
                <w:sz w:val="18"/>
                <w:szCs w:val="18"/>
              </w:rPr>
              <w:t> </w:t>
            </w:r>
            <w:r>
              <w:rPr>
                <w:rFonts w:ascii="宋体" w:hAnsi="宋体" w:cs="宋体" w:eastAsia="宋体" w:hint="default"/>
                <w:sz w:val="18"/>
                <w:szCs w:val="18"/>
              </w:rPr>
              <w:t>农业物联</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网项目基金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2,350,000.00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2,350,000.00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银行在线业务系统内容管理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支撑平台（</w:t>
            </w:r>
            <w:r>
              <w:rPr>
                <w:rFonts w:ascii="宋体" w:hAnsi="宋体" w:cs="宋体" w:eastAsia="宋体" w:hint="default"/>
                <w:sz w:val="18"/>
                <w:szCs w:val="18"/>
              </w:rPr>
              <w:t>iECM</w:t>
            </w:r>
            <w:r>
              <w:rPr>
                <w:rFonts w:ascii="宋体" w:hAnsi="宋体" w:cs="宋体" w:eastAsia="宋体" w:hint="default"/>
                <w:sz w:val="18"/>
                <w:szCs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2,189,622.65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2,189,622.65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云计算关键支撑软件研发与</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产业化（平台安全软件）</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3,300,000.00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2,340,000.00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960,000.00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移动互联网应用云服务中心</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产业化项目基金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面向城市管理与公共服务的</w:t>
            </w:r>
          </w:p>
          <w:p>
            <w:pPr>
              <w:pStyle w:val="TableParagraph"/>
              <w:spacing w:line="240" w:lineRule="auto"/>
              <w:ind w:left="24" w:right="105"/>
              <w:jc w:val="left"/>
              <w:rPr>
                <w:rFonts w:ascii="宋体" w:hAnsi="宋体" w:cs="宋体" w:eastAsia="宋体" w:hint="default"/>
                <w:sz w:val="18"/>
                <w:szCs w:val="18"/>
              </w:rPr>
            </w:pPr>
            <w:r>
              <w:rPr>
                <w:rFonts w:ascii="宋体" w:hAnsi="宋体" w:cs="宋体" w:eastAsia="宋体" w:hint="default"/>
                <w:sz w:val="18"/>
                <w:szCs w:val="18"/>
              </w:rPr>
              <w:t>物联网应用支撑平台系统研 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300,000.00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300,000.00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TeamSec</w:t>
            </w:r>
            <w:r>
              <w:rPr>
                <w:rFonts w:ascii="宋体" w:hAnsi="宋体" w:cs="宋体" w:eastAsia="宋体" w:hint="default"/>
                <w:spacing w:val="-46"/>
                <w:sz w:val="18"/>
                <w:szCs w:val="18"/>
              </w:rPr>
              <w:t> </w:t>
            </w:r>
            <w:r>
              <w:rPr>
                <w:rFonts w:ascii="宋体" w:hAnsi="宋体" w:cs="宋体" w:eastAsia="宋体" w:hint="default"/>
                <w:sz w:val="18"/>
                <w:szCs w:val="18"/>
              </w:rPr>
              <w:t>内网安全管理平台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ISP</w:t>
            </w:r>
            <w:r>
              <w:rPr>
                <w:rFonts w:ascii="宋体" w:hAnsi="宋体" w:cs="宋体" w:eastAsia="宋体" w:hint="default"/>
                <w:spacing w:val="-45"/>
                <w:sz w:val="18"/>
                <w:szCs w:val="18"/>
              </w:rPr>
              <w:t> </w:t>
            </w:r>
            <w:r>
              <w:rPr>
                <w:rFonts w:ascii="宋体" w:hAnsi="宋体" w:cs="宋体" w:eastAsia="宋体" w:hint="default"/>
                <w:sz w:val="18"/>
                <w:szCs w:val="18"/>
              </w:rPr>
              <w:t>项目无偿资助</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电信针对性营销系统</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工业和信息化部</w:t>
            </w:r>
            <w:r>
              <w:rPr>
                <w:rFonts w:ascii="宋体" w:hAnsi="宋体" w:cs="宋体" w:eastAsia="宋体" w:hint="default"/>
                <w:sz w:val="18"/>
                <w:szCs w:val="18"/>
              </w:rPr>
              <w:t>-</w:t>
            </w:r>
            <w:r>
              <w:rPr>
                <w:rFonts w:ascii="宋体" w:hAnsi="宋体" w:cs="宋体" w:eastAsia="宋体" w:hint="default"/>
                <w:sz w:val="18"/>
                <w:szCs w:val="18"/>
              </w:rPr>
              <w:t>电子信息</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产业发展基金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0"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北京旅游公共服务信息整合</w:t>
            </w:r>
          </w:p>
          <w:p>
            <w:pPr>
              <w:pStyle w:val="TableParagraph"/>
              <w:spacing w:line="240" w:lineRule="auto"/>
              <w:ind w:left="24" w:right="105"/>
              <w:jc w:val="left"/>
              <w:rPr>
                <w:rFonts w:ascii="宋体" w:hAnsi="宋体" w:cs="宋体" w:eastAsia="宋体" w:hint="default"/>
                <w:sz w:val="18"/>
                <w:szCs w:val="18"/>
              </w:rPr>
            </w:pPr>
            <w:r>
              <w:rPr>
                <w:rFonts w:ascii="宋体" w:hAnsi="宋体" w:cs="宋体" w:eastAsia="宋体" w:hint="default"/>
                <w:sz w:val="18"/>
                <w:szCs w:val="18"/>
              </w:rPr>
              <w:t>分析与实时发布关键技术研 究及示范应用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153,196.08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153,196.08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城市轨道交通运输组织、控</w:t>
            </w:r>
          </w:p>
          <w:p>
            <w:pPr>
              <w:pStyle w:val="TableParagraph"/>
              <w:spacing w:line="240" w:lineRule="auto"/>
              <w:ind w:left="24" w:right="105"/>
              <w:jc w:val="left"/>
              <w:rPr>
                <w:rFonts w:ascii="宋体" w:hAnsi="宋体" w:cs="宋体" w:eastAsia="宋体" w:hint="default"/>
                <w:sz w:val="18"/>
                <w:szCs w:val="18"/>
              </w:rPr>
            </w:pPr>
            <w:r>
              <w:rPr>
                <w:rFonts w:ascii="宋体" w:hAnsi="宋体" w:cs="宋体" w:eastAsia="宋体" w:hint="default"/>
                <w:sz w:val="18"/>
                <w:szCs w:val="18"/>
              </w:rPr>
              <w:t>制及保障一体化关键技术与 系统研制</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945,777.73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945,777.73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与资产及收益相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290"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73,968,596.46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19,829,948.25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1,098,973.81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91,039,674.40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83" w:lineRule="auto" w:before="168"/>
        <w:ind w:left="717" w:right="8349"/>
        <w:jc w:val="left"/>
      </w:pPr>
      <w:r>
        <w:rPr/>
        <w:t>其他说明： 无</w:t>
      </w:r>
    </w:p>
    <w:p>
      <w:pPr>
        <w:spacing w:line="240" w:lineRule="auto" w:before="10"/>
        <w:rPr>
          <w:rFonts w:ascii="宋体" w:hAnsi="宋体" w:cs="宋体" w:eastAsia="宋体" w:hint="default"/>
          <w:sz w:val="24"/>
          <w:szCs w:val="24"/>
        </w:rPr>
      </w:pPr>
    </w:p>
    <w:p>
      <w:pPr>
        <w:pStyle w:val="Heading2"/>
        <w:spacing w:line="520" w:lineRule="auto" w:before="0"/>
        <w:ind w:left="717" w:right="7361"/>
        <w:jc w:val="left"/>
        <w:rPr>
          <w:rFonts w:ascii="宋体" w:hAnsi="宋体" w:cs="宋体" w:eastAsia="宋体" w:hint="default"/>
          <w:b w:val="0"/>
          <w:bCs w:val="0"/>
        </w:rPr>
      </w:pPr>
      <w:r>
        <w:rPr>
          <w:rFonts w:ascii="宋体" w:hAnsi="宋体" w:cs="宋体" w:eastAsia="宋体" w:hint="default"/>
        </w:rPr>
        <w:t>52</w:t>
      </w:r>
      <w:r>
        <w:rPr/>
        <w:t>、</w:t>
      </w:r>
      <w:r>
        <w:rPr>
          <w:spacing w:val="-102"/>
        </w:rPr>
        <w:t> </w:t>
      </w:r>
      <w:r>
        <w:rPr/>
        <w:t>其他非流动负债</w:t>
      </w:r>
      <w:r>
        <w:rPr>
          <w:w w:val="99"/>
        </w:rPr>
        <w:t> </w:t>
      </w:r>
      <w:r>
        <w:rPr>
          <w:rFonts w:ascii="宋体" w:hAnsi="宋体" w:cs="宋体" w:eastAsia="宋体" w:hint="default"/>
          <w:b w:val="0"/>
          <w:bCs w:val="0"/>
        </w:rPr>
        <w:t>无</w:t>
      </w:r>
    </w:p>
    <w:p>
      <w:pPr>
        <w:pStyle w:val="Heading2"/>
        <w:spacing w:line="240" w:lineRule="auto" w:before="89"/>
        <w:ind w:left="717" w:right="4062"/>
        <w:jc w:val="left"/>
        <w:rPr>
          <w:b w:val="0"/>
          <w:bCs w:val="0"/>
        </w:rPr>
      </w:pPr>
      <w:r>
        <w:rPr>
          <w:rFonts w:ascii="宋体" w:hAnsi="宋体" w:cs="宋体" w:eastAsia="宋体" w:hint="default"/>
        </w:rPr>
        <w:t>53</w:t>
      </w:r>
      <w:r>
        <w:rPr/>
        <w:t>、</w:t>
      </w:r>
      <w:r>
        <w:rPr>
          <w:spacing w:val="-99"/>
        </w:rPr>
        <w:t> </w:t>
      </w:r>
      <w:r>
        <w:rPr/>
        <w:t>股本</w:t>
      </w:r>
      <w:r>
        <w:rPr>
          <w:b w:val="0"/>
          <w:bCs w:val="0"/>
        </w:rPr>
      </w:r>
    </w:p>
    <w:p>
      <w:pPr>
        <w:pStyle w:val="BodyText"/>
        <w:tabs>
          <w:tab w:pos="1199" w:val="left" w:leader="none"/>
        </w:tabs>
        <w:spacing w:line="240" w:lineRule="auto" w:before="55"/>
        <w:ind w:left="0" w:right="7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457" w:type="dxa"/>
        <w:tblLayout w:type="fixed"/>
        <w:tblCellMar>
          <w:top w:w="0" w:type="dxa"/>
          <w:left w:w="0" w:type="dxa"/>
          <w:bottom w:w="0" w:type="dxa"/>
          <w:right w:w="0" w:type="dxa"/>
        </w:tblCellMar>
        <w:tblLook w:val="01E0"/>
      </w:tblPr>
      <w:tblGrid>
        <w:gridCol w:w="752"/>
        <w:gridCol w:w="1730"/>
        <w:gridCol w:w="1189"/>
        <w:gridCol w:w="653"/>
        <w:gridCol w:w="655"/>
        <w:gridCol w:w="1373"/>
        <w:gridCol w:w="1301"/>
        <w:gridCol w:w="1945"/>
      </w:tblGrid>
      <w:tr>
        <w:trPr>
          <w:trHeight w:val="283" w:hRule="exact"/>
        </w:trPr>
        <w:tc>
          <w:tcPr>
            <w:tcW w:w="752" w:type="dxa"/>
            <w:vMerge w:val="restart"/>
            <w:tcBorders>
              <w:top w:val="single" w:sz="4" w:space="0" w:color="000000"/>
              <w:left w:val="single" w:sz="4" w:space="0" w:color="000000"/>
              <w:right w:val="single" w:sz="4" w:space="0" w:color="000000"/>
            </w:tcBorders>
          </w:tcPr>
          <w:p>
            <w:pPr/>
          </w:p>
        </w:tc>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752" w:type="dxa"/>
            <w:vMerge/>
            <w:tcBorders>
              <w:left w:val="single" w:sz="4" w:space="0" w:color="000000"/>
              <w:bottom w:val="single" w:sz="4" w:space="0" w:color="000000"/>
              <w:right w:val="single" w:sz="4" w:space="0" w:color="000000"/>
            </w:tcBorders>
          </w:tcPr>
          <w:p>
            <w:pPr/>
          </w:p>
        </w:tc>
        <w:tc>
          <w:tcPr>
            <w:tcW w:w="1730" w:type="dxa"/>
            <w:vMerge/>
            <w:tcBorders>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7" w:right="37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10" w:right="11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45" w:type="dxa"/>
            <w:vMerge/>
            <w:tcBorders>
              <w:left w:val="single" w:sz="4" w:space="0" w:color="000000"/>
              <w:bottom w:val="single" w:sz="4" w:space="0" w:color="000000"/>
              <w:right w:val="single" w:sz="4" w:space="0" w:color="000000"/>
            </w:tcBorders>
          </w:tcPr>
          <w:p>
            <w:pPr/>
          </w:p>
        </w:tc>
      </w:tr>
      <w:tr>
        <w:trPr>
          <w:trHeight w:val="557"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0"/>
              <w:jc w:val="left"/>
              <w:rPr>
                <w:rFonts w:ascii="宋体" w:hAnsi="宋体" w:cs="宋体" w:eastAsia="宋体" w:hint="default"/>
                <w:sz w:val="21"/>
                <w:szCs w:val="21"/>
              </w:rPr>
            </w:pPr>
            <w:r>
              <w:rPr>
                <w:rFonts w:ascii="宋体"/>
                <w:sz w:val="21"/>
              </w:rPr>
              <w:t>641,323,885.00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4,280,000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left"/>
              <w:rPr>
                <w:rFonts w:ascii="宋体" w:hAnsi="宋体" w:cs="宋体" w:eastAsia="宋体" w:hint="default"/>
                <w:sz w:val="21"/>
                <w:szCs w:val="21"/>
              </w:rPr>
            </w:pPr>
            <w:r>
              <w:rPr>
                <w:rFonts w:ascii="宋体"/>
                <w:sz w:val="21"/>
              </w:rPr>
              <w:t>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-3,878,389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 w:right="0"/>
              <w:jc w:val="center"/>
              <w:rPr>
                <w:rFonts w:ascii="宋体" w:hAnsi="宋体" w:cs="宋体" w:eastAsia="宋体" w:hint="default"/>
                <w:sz w:val="21"/>
                <w:szCs w:val="21"/>
              </w:rPr>
            </w:pPr>
            <w:r>
              <w:rPr>
                <w:rFonts w:ascii="宋体"/>
                <w:sz w:val="21"/>
              </w:rPr>
              <w:t>401,611.00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sz w:val="21"/>
              </w:rPr>
              <w:t>641,725,496.00</w:t>
            </w:r>
          </w:p>
        </w:tc>
      </w:tr>
    </w:tbl>
    <w:p>
      <w:pPr>
        <w:pStyle w:val="BodyText"/>
        <w:spacing w:line="240" w:lineRule="auto" w:before="20"/>
        <w:ind w:left="717" w:right="4062"/>
        <w:jc w:val="left"/>
      </w:pPr>
      <w:r>
        <w:rPr/>
        <w:t>其他说明：</w:t>
      </w:r>
    </w:p>
    <w:p>
      <w:pPr>
        <w:spacing w:after="0" w:line="240" w:lineRule="auto"/>
        <w:jc w:val="left"/>
        <w:sectPr>
          <w:pgSz w:w="11910" w:h="16840"/>
          <w:pgMar w:header="882" w:footer="1195" w:top="1120" w:bottom="1380" w:left="560" w:right="1060"/>
        </w:sectPr>
      </w:pPr>
    </w:p>
    <w:p>
      <w:pPr>
        <w:spacing w:line="240" w:lineRule="auto" w:before="13"/>
        <w:rPr>
          <w:rFonts w:ascii="宋体" w:hAnsi="宋体" w:cs="宋体" w:eastAsia="宋体" w:hint="default"/>
          <w:sz w:val="18"/>
          <w:szCs w:val="18"/>
        </w:rPr>
      </w:pPr>
    </w:p>
    <w:p>
      <w:pPr>
        <w:pStyle w:val="BodyText"/>
        <w:spacing w:line="237" w:lineRule="auto" w:before="28"/>
        <w:ind w:left="173" w:right="151" w:firstLine="480"/>
        <w:jc w:val="both"/>
      </w:pPr>
      <w:r>
        <w:rPr/>
        <w:t>（</w:t>
      </w:r>
      <w:r>
        <w:rPr>
          <w:rFonts w:ascii="宋体" w:hAnsi="宋体" w:cs="宋体" w:eastAsia="宋体" w:hint="default"/>
        </w:rPr>
        <w:t>1</w:t>
      </w:r>
      <w:r>
        <w:rPr/>
        <w:t>）本期减少股本</w:t>
      </w:r>
      <w:r>
        <w:rPr>
          <w:spacing w:val="-47"/>
        </w:rPr>
        <w:t> </w:t>
      </w:r>
      <w:r>
        <w:rPr>
          <w:rFonts w:ascii="宋体" w:hAnsi="宋体" w:cs="宋体" w:eastAsia="宋体" w:hint="default"/>
        </w:rPr>
        <w:t>3,878,389</w:t>
      </w:r>
      <w:r>
        <w:rPr>
          <w:rFonts w:ascii="宋体" w:hAnsi="宋体" w:cs="宋体" w:eastAsia="宋体" w:hint="default"/>
          <w:spacing w:val="-46"/>
        </w:rPr>
        <w:t> </w:t>
      </w:r>
      <w:r>
        <w:rPr/>
        <w:t>股，系因本公司</w:t>
      </w:r>
      <w:r>
        <w:rPr>
          <w:spacing w:val="-47"/>
        </w:rPr>
        <w:t> </w:t>
      </w:r>
      <w:r>
        <w:rPr>
          <w:rFonts w:ascii="宋体" w:hAnsi="宋体" w:cs="宋体" w:eastAsia="宋体" w:hint="default"/>
        </w:rPr>
        <w:t>2014</w:t>
      </w:r>
      <w:r>
        <w:rPr>
          <w:rFonts w:ascii="宋体" w:hAnsi="宋体" w:cs="宋体" w:eastAsia="宋体" w:hint="default"/>
          <w:spacing w:val="-47"/>
        </w:rPr>
        <w:t> </w:t>
      </w:r>
      <w:r>
        <w:rPr/>
        <w:t>年的业绩未达到股权激励股 票解锁的条件，根据《北京华胜天成科技股份有限公司首期股票激励计划（草案修订</w:t>
      </w:r>
      <w:r>
        <w:rPr>
          <w:spacing w:val="-71"/>
        </w:rPr>
        <w:t> </w:t>
      </w:r>
      <w:r>
        <w:rPr>
          <w:spacing w:val="-71"/>
        </w:rPr>
      </w:r>
      <w:r>
        <w:rPr>
          <w:spacing w:val="-5"/>
        </w:rPr>
        <w:t>稿）》有关条款及股东大会授权，于</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t>日召开的第五届董事会第四次会议 上审议通过了《关于回购并注销部分股权激励股票的议案》</w:t>
      </w:r>
      <w:r>
        <w:rPr>
          <w:rFonts w:ascii="宋体" w:hAnsi="宋体" w:cs="宋体" w:eastAsia="宋体" w:hint="default"/>
        </w:rPr>
        <w:t>(</w:t>
      </w:r>
      <w:r>
        <w:rPr/>
        <w:t>第八批</w:t>
      </w:r>
      <w:r>
        <w:rPr>
          <w:rFonts w:ascii="宋体" w:hAnsi="宋体" w:cs="宋体" w:eastAsia="宋体" w:hint="default"/>
        </w:rPr>
        <w:t>)</w:t>
      </w:r>
      <w:r>
        <w:rPr/>
        <w:t>，公司董事会决</w:t>
      </w:r>
      <w:r>
        <w:rPr>
          <w:spacing w:val="-68"/>
        </w:rPr>
        <w:t> </w:t>
      </w:r>
      <w:r>
        <w:rPr>
          <w:spacing w:val="-68"/>
        </w:rPr>
      </w:r>
      <w:r>
        <w:rPr>
          <w:spacing w:val="23"/>
        </w:rPr>
        <w:t>定回购并注销第一期股权激励计划的杨俏丛等 </w:t>
      </w:r>
      <w:r>
        <w:rPr>
          <w:rFonts w:ascii="宋体" w:hAnsi="宋体" w:cs="宋体" w:eastAsia="宋体" w:hint="default"/>
        </w:rPr>
        <w:t>50 </w:t>
      </w:r>
      <w:r>
        <w:rPr>
          <w:spacing w:val="21"/>
        </w:rPr>
        <w:t>人此批股权激励股票，</w:t>
      </w:r>
      <w:r>
        <w:rPr>
          <w:spacing w:val="-71"/>
        </w:rPr>
        <w:t> </w:t>
      </w:r>
      <w:r>
        <w:rPr>
          <w:spacing w:val="11"/>
        </w:rPr>
        <w:t>共计</w:t>
      </w:r>
      <w:r>
        <w:rPr/>
        <w:t> </w:t>
      </w:r>
      <w:r>
        <w:rPr>
          <w:rFonts w:ascii="宋体" w:hAnsi="宋体" w:cs="宋体" w:eastAsia="宋体" w:hint="default"/>
        </w:rPr>
        <w:t>3,878,389 </w:t>
      </w:r>
      <w:r>
        <w:rPr/>
        <w:t>股。上述需要回购并注销的限制性股票共计 </w:t>
      </w:r>
      <w:r>
        <w:rPr>
          <w:rFonts w:ascii="宋体" w:hAnsi="宋体" w:cs="宋体" w:eastAsia="宋体" w:hint="default"/>
        </w:rPr>
        <w:t>3,878,389</w:t>
      </w:r>
      <w:r>
        <w:rPr>
          <w:rFonts w:ascii="宋体" w:hAnsi="宋体" w:cs="宋体" w:eastAsia="宋体" w:hint="default"/>
          <w:spacing w:val="-65"/>
        </w:rPr>
        <w:t> </w:t>
      </w:r>
      <w:r>
        <w:rPr/>
        <w:t>股，已过户至公司 </w:t>
      </w:r>
      <w:r>
        <w:rPr>
          <w:spacing w:val="19"/>
        </w:rPr>
        <w:t>开立的回购专用证券账户，并于</w:t>
      </w:r>
      <w:r>
        <w:rPr>
          <w:spacing w:val="24"/>
        </w:rPr>
        <w:t> </w:t>
      </w:r>
      <w:r>
        <w:rPr>
          <w:rFonts w:ascii="宋体" w:hAnsi="宋体" w:cs="宋体" w:eastAsia="宋体" w:hint="default"/>
        </w:rPr>
        <w:t>2015</w:t>
      </w:r>
      <w:r>
        <w:rPr>
          <w:rFonts w:ascii="宋体" w:hAnsi="宋体" w:cs="宋体" w:eastAsia="宋体" w:hint="default"/>
          <w:spacing w:val="23"/>
        </w:rPr>
        <w:t> </w:t>
      </w:r>
      <w:r>
        <w:rPr/>
        <w:t>年</w:t>
      </w:r>
      <w:r>
        <w:rPr>
          <w:spacing w:val="26"/>
        </w:rPr>
        <w:t> </w:t>
      </w:r>
      <w:r>
        <w:rPr>
          <w:rFonts w:ascii="宋体" w:hAnsi="宋体" w:cs="宋体" w:eastAsia="宋体" w:hint="default"/>
        </w:rPr>
        <w:t>7</w:t>
      </w:r>
      <w:r>
        <w:rPr>
          <w:rFonts w:ascii="宋体" w:hAnsi="宋体" w:cs="宋体" w:eastAsia="宋体" w:hint="default"/>
          <w:spacing w:val="23"/>
        </w:rPr>
        <w:t> </w:t>
      </w:r>
      <w:r>
        <w:rPr/>
        <w:t>月</w:t>
      </w:r>
      <w:r>
        <w:rPr>
          <w:spacing w:val="24"/>
        </w:rPr>
        <w:t> </w:t>
      </w:r>
      <w:r>
        <w:rPr>
          <w:rFonts w:ascii="宋体" w:hAnsi="宋体" w:cs="宋体" w:eastAsia="宋体" w:hint="default"/>
        </w:rPr>
        <w:t>24</w:t>
      </w:r>
      <w:r>
        <w:rPr>
          <w:rFonts w:ascii="宋体" w:hAnsi="宋体" w:cs="宋体" w:eastAsia="宋体" w:hint="default"/>
          <w:spacing w:val="23"/>
        </w:rPr>
        <w:t> </w:t>
      </w:r>
      <w:r>
        <w:rPr>
          <w:spacing w:val="15"/>
        </w:rPr>
        <w:t>日注销。</w:t>
      </w:r>
      <w:r>
        <w:rPr>
          <w:spacing w:val="-99"/>
        </w:rPr>
        <w:t> </w:t>
      </w:r>
      <w:r>
        <w:rPr>
          <w:spacing w:val="18"/>
        </w:rPr>
        <w:t>公司相应减少股本</w:t>
      </w:r>
      <w:r>
        <w:rPr/>
        <w:t> </w:t>
      </w:r>
      <w:r>
        <w:rPr>
          <w:rFonts w:ascii="宋体" w:hAnsi="宋体" w:cs="宋体" w:eastAsia="宋体" w:hint="default"/>
        </w:rPr>
        <w:t>3,878,389.00</w:t>
      </w:r>
      <w:r>
        <w:rPr>
          <w:rFonts w:ascii="宋体" w:hAnsi="宋体" w:cs="宋体" w:eastAsia="宋体" w:hint="default"/>
          <w:spacing w:val="-57"/>
        </w:rPr>
        <w:t> </w:t>
      </w:r>
      <w:r>
        <w:rPr>
          <w:spacing w:val="-17"/>
        </w:rPr>
        <w:t>元，减少库存股</w:t>
      </w:r>
      <w:r>
        <w:rPr>
          <w:spacing w:val="-57"/>
        </w:rPr>
        <w:t> </w:t>
      </w:r>
      <w:r>
        <w:rPr>
          <w:rFonts w:ascii="宋体" w:hAnsi="宋体" w:cs="宋体" w:eastAsia="宋体" w:hint="default"/>
          <w:spacing w:val="-5"/>
        </w:rPr>
        <w:t>28,932,781.95</w:t>
      </w:r>
      <w:r>
        <w:rPr>
          <w:spacing w:val="-5"/>
        </w:rPr>
        <w:t>，减少资本公积</w:t>
      </w:r>
      <w:r>
        <w:rPr>
          <w:rFonts w:ascii="宋体" w:hAnsi="宋体" w:cs="宋体" w:eastAsia="宋体" w:hint="default"/>
          <w:spacing w:val="-5"/>
        </w:rPr>
        <w:t>-</w:t>
      </w:r>
      <w:r>
        <w:rPr>
          <w:spacing w:val="-5"/>
        </w:rPr>
        <w:t>股本溢价</w:t>
      </w:r>
      <w:r>
        <w:rPr>
          <w:spacing w:val="-58"/>
        </w:rPr>
        <w:t> </w:t>
      </w:r>
      <w:r>
        <w:rPr>
          <w:rFonts w:ascii="宋体" w:hAnsi="宋体" w:cs="宋体" w:eastAsia="宋体" w:hint="default"/>
          <w:spacing w:val="-1"/>
        </w:rPr>
        <w:t>25,054,392.95</w:t>
      </w:r>
      <w:r>
        <w:rPr>
          <w:rFonts w:ascii="宋体" w:hAnsi="宋体" w:cs="宋体" w:eastAsia="宋体" w:hint="default"/>
        </w:rPr>
        <w:t> </w:t>
      </w:r>
      <w:r>
        <w:rPr/>
        <w:t>元。</w:t>
      </w:r>
    </w:p>
    <w:p>
      <w:pPr>
        <w:pStyle w:val="BodyText"/>
        <w:spacing w:line="240" w:lineRule="auto" w:before="116"/>
        <w:ind w:left="173" w:right="139" w:firstLine="480"/>
        <w:jc w:val="left"/>
      </w:pPr>
      <w:r>
        <w:rPr>
          <w:spacing w:val="-6"/>
        </w:rPr>
        <w:t>（</w:t>
      </w:r>
      <w:r>
        <w:rPr>
          <w:rFonts w:ascii="宋体" w:hAnsi="宋体" w:cs="宋体" w:eastAsia="宋体" w:hint="default"/>
          <w:spacing w:val="-6"/>
        </w:rPr>
        <w:t>2</w:t>
      </w:r>
      <w:r>
        <w:rPr>
          <w:spacing w:val="-6"/>
        </w:rPr>
        <w:t>）本公司根据《关于</w:t>
      </w:r>
      <w:r>
        <w:rPr>
          <w:rFonts w:ascii="宋体" w:hAnsi="宋体" w:cs="宋体" w:eastAsia="宋体" w:hint="default"/>
          <w:spacing w:val="-6"/>
        </w:rPr>
        <w:t>&lt;</w:t>
      </w:r>
      <w:r>
        <w:rPr>
          <w:spacing w:val="-6"/>
        </w:rPr>
        <w:t>北京华胜天成科技股份有限公司第二期股权激励计划（草</w:t>
      </w:r>
      <w:r>
        <w:rPr/>
        <w:t> </w:t>
      </w:r>
      <w:r>
        <w:rPr>
          <w:spacing w:val="-3"/>
        </w:rPr>
        <w:t>案）</w:t>
      </w:r>
      <w:r>
        <w:rPr>
          <w:rFonts w:ascii="宋体" w:hAnsi="宋体" w:cs="宋体" w:eastAsia="宋体" w:hint="default"/>
          <w:spacing w:val="-3"/>
        </w:rPr>
        <w:t>&gt;</w:t>
      </w:r>
      <w:r>
        <w:rPr>
          <w:spacing w:val="-3"/>
        </w:rPr>
        <w:t>及其摘要的议案》有关条款和股东大会授权，于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t>日向激励对象授</w:t>
      </w:r>
    </w:p>
    <w:p>
      <w:pPr>
        <w:pStyle w:val="BodyText"/>
        <w:spacing w:line="310" w:lineRule="exact"/>
        <w:ind w:left="173" w:right="0"/>
        <w:jc w:val="both"/>
      </w:pPr>
      <w:r>
        <w:rPr/>
        <w:t>予 </w:t>
      </w:r>
      <w:r>
        <w:rPr>
          <w:rFonts w:ascii="宋体" w:hAnsi="宋体" w:cs="宋体" w:eastAsia="宋体" w:hint="default"/>
        </w:rPr>
        <w:t>4,430,000</w:t>
      </w:r>
      <w:r>
        <w:rPr>
          <w:rFonts w:ascii="宋体" w:hAnsi="宋体" w:cs="宋体" w:eastAsia="宋体" w:hint="default"/>
          <w:spacing w:val="-66"/>
        </w:rPr>
        <w:t> </w:t>
      </w:r>
      <w:r>
        <w:rPr/>
        <w:t>股股票用于实施股权激励计划（包括公司高级管理人员杨俏丛将自其最</w:t>
      </w:r>
    </w:p>
    <w:p>
      <w:pPr>
        <w:pStyle w:val="BodyText"/>
        <w:spacing w:line="311" w:lineRule="exact"/>
        <w:ind w:left="173" w:right="0"/>
        <w:jc w:val="both"/>
      </w:pPr>
      <w:r>
        <w:rPr/>
        <w:t>后一次减持本公司股票之日起</w:t>
      </w:r>
      <w:r>
        <w:rPr>
          <w:spacing w:val="-45"/>
        </w:rPr>
        <w:t> </w:t>
      </w:r>
      <w:r>
        <w:rPr>
          <w:rFonts w:ascii="宋体" w:hAnsi="宋体" w:cs="宋体" w:eastAsia="宋体" w:hint="default"/>
        </w:rPr>
        <w:t>6</w:t>
      </w:r>
      <w:r>
        <w:rPr>
          <w:rFonts w:ascii="宋体" w:hAnsi="宋体" w:cs="宋体" w:eastAsia="宋体" w:hint="default"/>
          <w:spacing w:val="-46"/>
        </w:rPr>
        <w:t> </w:t>
      </w:r>
      <w:r>
        <w:rPr/>
        <w:t>个月后另行登记的限制性股票</w:t>
      </w:r>
      <w:r>
        <w:rPr>
          <w:spacing w:val="-46"/>
        </w:rPr>
        <w:t> </w:t>
      </w:r>
      <w:r>
        <w:rPr>
          <w:rFonts w:ascii="宋体" w:hAnsi="宋体" w:cs="宋体" w:eastAsia="宋体" w:hint="default"/>
        </w:rPr>
        <w:t>150,000</w:t>
      </w:r>
      <w:r>
        <w:rPr>
          <w:rFonts w:ascii="宋体" w:hAnsi="宋体" w:cs="宋体" w:eastAsia="宋体" w:hint="default"/>
          <w:spacing w:val="-46"/>
        </w:rPr>
        <w:t> </w:t>
      </w:r>
      <w:r>
        <w:rPr/>
        <w:t>股）。本次股</w:t>
      </w:r>
    </w:p>
    <w:p>
      <w:pPr>
        <w:pStyle w:val="BodyText"/>
        <w:spacing w:line="312" w:lineRule="exact"/>
        <w:ind w:left="173" w:right="0"/>
        <w:jc w:val="both"/>
      </w:pPr>
      <w:r>
        <w:rPr/>
        <w:t>权激励计划本期进行变更登记增加限制性股票的数量为 </w:t>
      </w:r>
      <w:r>
        <w:rPr>
          <w:rFonts w:ascii="宋体" w:hAnsi="宋体" w:cs="宋体" w:eastAsia="宋体" w:hint="default"/>
        </w:rPr>
        <w:t>4,280,000</w:t>
      </w:r>
      <w:r>
        <w:rPr>
          <w:rFonts w:ascii="宋体" w:hAnsi="宋体" w:cs="宋体" w:eastAsia="宋体" w:hint="default"/>
          <w:spacing w:val="-65"/>
        </w:rPr>
        <w:t> </w:t>
      </w:r>
      <w:r>
        <w:rPr/>
        <w:t>股，认购价格每股</w:t>
      </w:r>
    </w:p>
    <w:p>
      <w:pPr>
        <w:pStyle w:val="BodyText"/>
        <w:spacing w:line="311" w:lineRule="exact"/>
        <w:ind w:left="173" w:right="0"/>
        <w:jc w:val="both"/>
      </w:pPr>
      <w:r>
        <w:rPr>
          <w:rFonts w:ascii="宋体" w:hAnsi="宋体" w:cs="宋体" w:eastAsia="宋体" w:hint="default"/>
        </w:rPr>
        <w:t>15.848</w:t>
      </w:r>
      <w:r>
        <w:rPr>
          <w:rFonts w:ascii="宋体" w:hAnsi="宋体" w:cs="宋体" w:eastAsia="宋体" w:hint="default"/>
          <w:spacing w:val="-53"/>
        </w:rPr>
        <w:t> </w:t>
      </w:r>
      <w:r>
        <w:rPr>
          <w:spacing w:val="-11"/>
        </w:rPr>
        <w:t>元，认购金额合计</w:t>
      </w:r>
      <w:r>
        <w:rPr>
          <w:spacing w:val="-53"/>
        </w:rPr>
        <w:t> </w:t>
      </w:r>
      <w:r>
        <w:rPr>
          <w:rFonts w:ascii="宋体" w:hAnsi="宋体" w:cs="宋体" w:eastAsia="宋体" w:hint="default"/>
        </w:rPr>
        <w:t>67,829,440.00</w:t>
      </w:r>
      <w:r>
        <w:rPr>
          <w:rFonts w:ascii="宋体" w:hAnsi="宋体" w:cs="宋体" w:eastAsia="宋体" w:hint="default"/>
          <w:spacing w:val="-53"/>
        </w:rPr>
        <w:t> </w:t>
      </w:r>
      <w:r>
        <w:rPr>
          <w:spacing w:val="-9"/>
        </w:rPr>
        <w:t>元，业经致同会计师事务所（特殊普通合伙）</w:t>
      </w:r>
    </w:p>
    <w:p>
      <w:pPr>
        <w:pStyle w:val="BodyText"/>
        <w:spacing w:line="312" w:lineRule="exact" w:before="28"/>
        <w:ind w:left="173" w:right="105"/>
        <w:jc w:val="both"/>
      </w:pPr>
      <w:r>
        <w:rPr/>
        <w:t>出具的致同验字（</w:t>
      </w:r>
      <w:r>
        <w:rPr>
          <w:rFonts w:ascii="宋体" w:hAnsi="宋体" w:cs="宋体" w:eastAsia="宋体" w:hint="default"/>
        </w:rPr>
        <w:t>2015</w:t>
      </w:r>
      <w:r>
        <w:rPr/>
        <w:t>）第</w:t>
      </w:r>
      <w:r>
        <w:rPr>
          <w:spacing w:val="-53"/>
        </w:rPr>
        <w:t> </w:t>
      </w:r>
      <w:r>
        <w:rPr>
          <w:rFonts w:ascii="宋体" w:hAnsi="宋体" w:cs="宋体" w:eastAsia="宋体" w:hint="default"/>
        </w:rPr>
        <w:t>110ZA0256</w:t>
      </w:r>
      <w:r>
        <w:rPr>
          <w:rFonts w:ascii="宋体" w:hAnsi="宋体" w:cs="宋体" w:eastAsia="宋体" w:hint="default"/>
          <w:spacing w:val="-53"/>
        </w:rPr>
        <w:t> </w:t>
      </w:r>
      <w:r>
        <w:rPr/>
        <w:t>号验资报告予以验证，并于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 在</w:t>
      </w:r>
      <w:r>
        <w:rPr>
          <w:spacing w:val="-90"/>
        </w:rPr>
        <w:t> </w:t>
      </w:r>
      <w:r>
        <w:rPr/>
        <w:t>中</w:t>
      </w:r>
      <w:r>
        <w:rPr>
          <w:spacing w:val="-90"/>
        </w:rPr>
        <w:t> </w:t>
      </w:r>
      <w:r>
        <w:rPr/>
        <w:t>国</w:t>
      </w:r>
      <w:r>
        <w:rPr>
          <w:spacing w:val="-90"/>
        </w:rPr>
        <w:t> </w:t>
      </w:r>
      <w:r>
        <w:rPr/>
        <w:t>证</w:t>
      </w:r>
      <w:r>
        <w:rPr>
          <w:spacing w:val="-90"/>
        </w:rPr>
        <w:t> </w:t>
      </w:r>
      <w:r>
        <w:rPr/>
        <w:t>券</w:t>
      </w:r>
      <w:r>
        <w:rPr>
          <w:spacing w:val="-90"/>
        </w:rPr>
        <w:t> </w:t>
      </w:r>
      <w:r>
        <w:rPr/>
        <w:t>登</w:t>
      </w:r>
      <w:r>
        <w:rPr>
          <w:spacing w:val="-87"/>
        </w:rPr>
        <w:t> </w:t>
      </w:r>
      <w:r>
        <w:rPr/>
        <w:t>记</w:t>
      </w:r>
      <w:r>
        <w:rPr>
          <w:spacing w:val="-90"/>
        </w:rPr>
        <w:t> </w:t>
      </w:r>
      <w:r>
        <w:rPr/>
        <w:t>结</w:t>
      </w:r>
      <w:r>
        <w:rPr>
          <w:spacing w:val="-90"/>
        </w:rPr>
        <w:t> </w:t>
      </w:r>
      <w:r>
        <w:rPr/>
        <w:t>算</w:t>
      </w:r>
      <w:r>
        <w:rPr>
          <w:spacing w:val="-87"/>
        </w:rPr>
        <w:t> </w:t>
      </w:r>
      <w:r>
        <w:rPr/>
        <w:t>有</w:t>
      </w:r>
      <w:r>
        <w:rPr>
          <w:spacing w:val="-90"/>
        </w:rPr>
        <w:t> </w:t>
      </w:r>
      <w:r>
        <w:rPr/>
        <w:t>限</w:t>
      </w:r>
      <w:r>
        <w:rPr>
          <w:spacing w:val="-90"/>
        </w:rPr>
        <w:t> </w:t>
      </w:r>
      <w:r>
        <w:rPr/>
        <w:t>责</w:t>
      </w:r>
      <w:r>
        <w:rPr>
          <w:spacing w:val="-90"/>
        </w:rPr>
        <w:t> </w:t>
      </w:r>
      <w:r>
        <w:rPr/>
        <w:t>任</w:t>
      </w:r>
      <w:r>
        <w:rPr>
          <w:spacing w:val="-90"/>
        </w:rPr>
        <w:t> </w:t>
      </w:r>
      <w:r>
        <w:rPr/>
        <w:t>公</w:t>
      </w:r>
      <w:r>
        <w:rPr>
          <w:spacing w:val="-90"/>
        </w:rPr>
        <w:t> </w:t>
      </w:r>
      <w:r>
        <w:rPr/>
        <w:t>司</w:t>
      </w:r>
      <w:r>
        <w:rPr>
          <w:spacing w:val="-87"/>
        </w:rPr>
        <w:t> </w:t>
      </w:r>
      <w:r>
        <w:rPr/>
        <w:t>上</w:t>
      </w:r>
      <w:r>
        <w:rPr>
          <w:spacing w:val="-90"/>
        </w:rPr>
        <w:t> </w:t>
      </w:r>
      <w:r>
        <w:rPr/>
        <w:t>海</w:t>
      </w:r>
      <w:r>
        <w:rPr>
          <w:spacing w:val="-90"/>
        </w:rPr>
        <w:t> </w:t>
      </w:r>
      <w:r>
        <w:rPr/>
        <w:t>分</w:t>
      </w:r>
      <w:r>
        <w:rPr>
          <w:spacing w:val="-87"/>
        </w:rPr>
        <w:t> </w:t>
      </w:r>
      <w:r>
        <w:rPr/>
        <w:t>公</w:t>
      </w:r>
      <w:r>
        <w:rPr>
          <w:spacing w:val="-90"/>
        </w:rPr>
        <w:t> </w:t>
      </w:r>
      <w:r>
        <w:rPr/>
        <w:t>司</w:t>
      </w:r>
      <w:r>
        <w:rPr>
          <w:spacing w:val="-90"/>
        </w:rPr>
        <w:t> </w:t>
      </w:r>
      <w:r>
        <w:rPr/>
        <w:t>完</w:t>
      </w:r>
      <w:r>
        <w:rPr>
          <w:spacing w:val="-90"/>
        </w:rPr>
        <w:t> </w:t>
      </w:r>
      <w:r>
        <w:rPr/>
        <w:t>成</w:t>
      </w:r>
      <w:r>
        <w:rPr>
          <w:spacing w:val="-90"/>
        </w:rPr>
        <w:t> </w:t>
      </w:r>
      <w:r>
        <w:rPr/>
        <w:t>登</w:t>
      </w:r>
      <w:r>
        <w:rPr>
          <w:spacing w:val="-90"/>
        </w:rPr>
        <w:t> </w:t>
      </w:r>
      <w:r>
        <w:rPr/>
        <w:t>记</w:t>
      </w:r>
      <w:r>
        <w:rPr>
          <w:spacing w:val="-87"/>
        </w:rPr>
        <w:t> </w:t>
      </w:r>
      <w:r>
        <w:rPr/>
        <w:t>。</w:t>
      </w:r>
      <w:r>
        <w:rPr>
          <w:spacing w:val="-90"/>
        </w:rPr>
        <w:t> </w:t>
      </w:r>
      <w:r>
        <w:rPr/>
        <w:t>公</w:t>
      </w:r>
      <w:r>
        <w:rPr>
          <w:spacing w:val="-90"/>
        </w:rPr>
        <w:t> </w:t>
      </w:r>
      <w:r>
        <w:rPr/>
        <w:t>司</w:t>
      </w:r>
      <w:r>
        <w:rPr>
          <w:spacing w:val="-87"/>
        </w:rPr>
        <w:t> </w:t>
      </w:r>
      <w:r>
        <w:rPr/>
        <w:t>相</w:t>
      </w:r>
      <w:r>
        <w:rPr>
          <w:spacing w:val="-90"/>
        </w:rPr>
        <w:t> </w:t>
      </w:r>
      <w:r>
        <w:rPr/>
        <w:t>应</w:t>
      </w:r>
      <w:r>
        <w:rPr>
          <w:spacing w:val="-90"/>
        </w:rPr>
        <w:t> </w:t>
      </w:r>
      <w:r>
        <w:rPr/>
        <w:t>增</w:t>
      </w:r>
      <w:r>
        <w:rPr>
          <w:spacing w:val="-90"/>
        </w:rPr>
        <w:t> </w:t>
      </w:r>
      <w:r>
        <w:rPr/>
        <w:t>加</w:t>
      </w:r>
      <w:r>
        <w:rPr>
          <w:spacing w:val="-90"/>
        </w:rPr>
        <w:t> </w:t>
      </w:r>
      <w:r>
        <w:rPr/>
        <w:t>股</w:t>
      </w:r>
      <w:r>
        <w:rPr>
          <w:spacing w:val="-90"/>
        </w:rPr>
        <w:t> </w:t>
      </w:r>
      <w:r>
        <w:rPr/>
        <w:t>本</w:t>
      </w:r>
      <w:r>
        <w:rPr/>
        <w:t> </w:t>
      </w:r>
      <w:r>
        <w:rPr>
          <w:rFonts w:ascii="宋体" w:hAnsi="宋体" w:cs="宋体" w:eastAsia="宋体" w:hint="default"/>
        </w:rPr>
        <w:t>4,280,000.00</w:t>
      </w:r>
      <w:r>
        <w:rPr>
          <w:rFonts w:ascii="宋体" w:hAnsi="宋体" w:cs="宋体" w:eastAsia="宋体" w:hint="default"/>
          <w:spacing w:val="42"/>
        </w:rPr>
        <w:t> </w:t>
      </w:r>
      <w:r>
        <w:rPr/>
        <w:t>元</w:t>
      </w:r>
      <w:r>
        <w:rPr>
          <w:spacing w:val="-79"/>
        </w:rPr>
        <w:t> </w:t>
      </w:r>
      <w:r>
        <w:rPr/>
        <w:t>，</w:t>
      </w:r>
      <w:r>
        <w:rPr>
          <w:spacing w:val="-79"/>
        </w:rPr>
        <w:t> </w:t>
      </w:r>
      <w:r>
        <w:rPr/>
        <w:t>增</w:t>
      </w:r>
      <w:r>
        <w:rPr>
          <w:spacing w:val="-81"/>
        </w:rPr>
        <w:t> </w:t>
      </w:r>
      <w:r>
        <w:rPr/>
        <w:t>加</w:t>
      </w:r>
      <w:r>
        <w:rPr>
          <w:spacing w:val="-79"/>
        </w:rPr>
        <w:t> </w:t>
      </w:r>
      <w:r>
        <w:rPr/>
        <w:t>库</w:t>
      </w:r>
      <w:r>
        <w:rPr>
          <w:spacing w:val="-79"/>
        </w:rPr>
        <w:t> </w:t>
      </w:r>
      <w:r>
        <w:rPr/>
        <w:t>存</w:t>
      </w:r>
      <w:r>
        <w:rPr>
          <w:spacing w:val="-79"/>
        </w:rPr>
        <w:t> </w:t>
      </w:r>
      <w:r>
        <w:rPr/>
        <w:t>股</w:t>
      </w:r>
      <w:r>
        <w:rPr>
          <w:spacing w:val="44"/>
        </w:rPr>
        <w:t> </w:t>
      </w:r>
      <w:r>
        <w:rPr>
          <w:rFonts w:ascii="宋体" w:hAnsi="宋体" w:cs="宋体" w:eastAsia="宋体" w:hint="default"/>
        </w:rPr>
        <w:t>67,829,440.00</w:t>
      </w:r>
      <w:r>
        <w:rPr>
          <w:rFonts w:ascii="宋体" w:hAnsi="宋体" w:cs="宋体" w:eastAsia="宋体" w:hint="default"/>
          <w:spacing w:val="42"/>
        </w:rPr>
        <w:t> </w:t>
      </w:r>
      <w:r>
        <w:rPr/>
        <w:t>元</w:t>
      </w:r>
      <w:r>
        <w:rPr>
          <w:spacing w:val="-79"/>
        </w:rPr>
        <w:t> </w:t>
      </w:r>
      <w:r>
        <w:rPr/>
        <w:t>，</w:t>
      </w:r>
      <w:r>
        <w:rPr>
          <w:spacing w:val="-79"/>
        </w:rPr>
        <w:t> </w:t>
      </w:r>
      <w:r>
        <w:rPr/>
        <w:t>增</w:t>
      </w:r>
      <w:r>
        <w:rPr>
          <w:spacing w:val="-79"/>
        </w:rPr>
        <w:t> </w:t>
      </w:r>
      <w:r>
        <w:rPr/>
        <w:t>加</w:t>
      </w:r>
      <w:r>
        <w:rPr>
          <w:spacing w:val="-79"/>
        </w:rPr>
        <w:t> </w:t>
      </w:r>
      <w:r>
        <w:rPr/>
        <w:t>资</w:t>
      </w:r>
      <w:r>
        <w:rPr>
          <w:spacing w:val="-79"/>
        </w:rPr>
        <w:t> </w:t>
      </w:r>
      <w:r>
        <w:rPr/>
        <w:t>本</w:t>
      </w:r>
      <w:r>
        <w:rPr>
          <w:spacing w:val="-81"/>
        </w:rPr>
        <w:t> </w:t>
      </w:r>
      <w:r>
        <w:rPr/>
        <w:t>公</w:t>
      </w:r>
      <w:r>
        <w:rPr>
          <w:spacing w:val="-79"/>
        </w:rPr>
        <w:t> </w:t>
      </w:r>
      <w:r>
        <w:rPr/>
        <w:t>积</w:t>
      </w:r>
      <w:r>
        <w:rPr>
          <w:spacing w:val="-77"/>
        </w:rPr>
        <w:t> </w:t>
      </w:r>
      <w:r>
        <w:rPr>
          <w:rFonts w:ascii="宋体" w:hAnsi="宋体" w:cs="宋体" w:eastAsia="宋体" w:hint="default"/>
        </w:rPr>
        <w:t>-</w:t>
      </w:r>
      <w:r>
        <w:rPr>
          <w:rFonts w:ascii="宋体" w:hAnsi="宋体" w:cs="宋体" w:eastAsia="宋体" w:hint="default"/>
          <w:spacing w:val="-78"/>
        </w:rPr>
        <w:t> </w:t>
      </w:r>
      <w:r>
        <w:rPr>
          <w:spacing w:val="32"/>
        </w:rPr>
        <w:t>股本溢价</w:t>
      </w:r>
      <w:r>
        <w:rPr>
          <w:spacing w:val="-77"/>
        </w:rPr>
        <w:t> </w:t>
      </w:r>
      <w:r>
        <w:rPr/>
      </w:r>
    </w:p>
    <w:p>
      <w:pPr>
        <w:pStyle w:val="BodyText"/>
        <w:spacing w:line="281" w:lineRule="exact"/>
        <w:ind w:left="173" w:right="0"/>
        <w:jc w:val="both"/>
      </w:pPr>
      <w:r>
        <w:rPr>
          <w:rFonts w:ascii="宋体" w:hAnsi="宋体" w:cs="宋体" w:eastAsia="宋体" w:hint="default"/>
        </w:rPr>
        <w:t>63,549,440.00</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pStyle w:val="Heading2"/>
        <w:spacing w:line="240" w:lineRule="auto" w:before="176"/>
        <w:ind w:left="259" w:right="7020"/>
        <w:jc w:val="center"/>
        <w:rPr>
          <w:b w:val="0"/>
          <w:bCs w:val="0"/>
        </w:rPr>
      </w:pPr>
      <w:r>
        <w:rPr>
          <w:rFonts w:ascii="宋体" w:hAnsi="宋体" w:cs="宋体" w:eastAsia="宋体" w:hint="default"/>
        </w:rPr>
        <w:t>54</w:t>
      </w:r>
      <w:r>
        <w:rPr/>
        <w:t>、</w:t>
      </w:r>
      <w:r>
        <w:rPr>
          <w:spacing w:val="-103"/>
        </w:rPr>
        <w:t> </w:t>
      </w:r>
      <w:r>
        <w:rPr/>
        <w:t>其他权益工具</w:t>
      </w:r>
      <w:r>
        <w:rPr>
          <w:b w:val="0"/>
          <w:bCs w:val="0"/>
        </w:rPr>
      </w:r>
    </w:p>
    <w:p>
      <w:pPr>
        <w:pStyle w:val="BodyText"/>
        <w:spacing w:line="240" w:lineRule="auto" w:before="55"/>
        <w:ind w:left="277" w:right="104"/>
        <w:jc w:val="left"/>
      </w:pPr>
      <w:r>
        <w:rPr/>
        <w:t>□适用</w:t>
      </w:r>
      <w:r>
        <w:rPr>
          <w:spacing w:val="-1"/>
        </w:rPr>
        <w:t> </w:t>
      </w:r>
      <w:r>
        <w:rPr/>
        <w:t>√不适用</w:t>
      </w:r>
    </w:p>
    <w:p>
      <w:pPr>
        <w:spacing w:line="240" w:lineRule="auto" w:before="4"/>
        <w:rPr>
          <w:rFonts w:ascii="宋体" w:hAnsi="宋体" w:cs="宋体" w:eastAsia="宋体" w:hint="default"/>
          <w:sz w:val="26"/>
          <w:szCs w:val="26"/>
        </w:rPr>
      </w:pPr>
    </w:p>
    <w:p>
      <w:pPr>
        <w:pStyle w:val="Heading2"/>
        <w:spacing w:line="240" w:lineRule="auto"/>
        <w:ind w:left="277" w:right="104"/>
        <w:jc w:val="left"/>
        <w:rPr>
          <w:b w:val="0"/>
          <w:bCs w:val="0"/>
        </w:rPr>
      </w:pPr>
      <w:r>
        <w:rPr>
          <w:rFonts w:ascii="宋体" w:hAnsi="宋体" w:cs="宋体" w:eastAsia="宋体" w:hint="default"/>
        </w:rPr>
        <w:t>55</w:t>
      </w:r>
      <w:r>
        <w:rPr/>
        <w:t>、</w:t>
      </w:r>
      <w:r>
        <w:rPr>
          <w:spacing w:val="-101"/>
        </w:rPr>
        <w:t> </w:t>
      </w:r>
      <w:r>
        <w:rPr/>
        <w:t>资本公积</w:t>
      </w:r>
      <w:r>
        <w:rPr>
          <w:b w:val="0"/>
          <w:bCs w:val="0"/>
        </w:rPr>
      </w:r>
    </w:p>
    <w:p>
      <w:pPr>
        <w:pStyle w:val="BodyText"/>
        <w:tabs>
          <w:tab w:pos="1199" w:val="left" w:leader="none"/>
        </w:tabs>
        <w:spacing w:line="240" w:lineRule="auto" w:before="58"/>
        <w:ind w:left="0" w:right="15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238"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628,373,824.22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67,749,295.18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27,697,124.40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668,425,995.00</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12,263,276.34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3,408,376.41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1,058,172.43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14,613,480.32</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640,637,100.56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71,157,671.59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28,755,296.83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683,039,475.32</w:t>
            </w:r>
          </w:p>
        </w:tc>
      </w:tr>
    </w:tbl>
    <w:p>
      <w:pPr>
        <w:spacing w:line="240" w:lineRule="auto" w:before="11"/>
        <w:rPr>
          <w:rFonts w:ascii="宋体" w:hAnsi="宋体" w:cs="宋体" w:eastAsia="宋体" w:hint="default"/>
          <w:sz w:val="18"/>
          <w:szCs w:val="18"/>
        </w:rPr>
      </w:pPr>
    </w:p>
    <w:p>
      <w:pPr>
        <w:pStyle w:val="BodyText"/>
        <w:spacing w:line="240" w:lineRule="auto" w:before="26"/>
        <w:ind w:left="277" w:right="104"/>
        <w:jc w:val="left"/>
      </w:pPr>
      <w:r>
        <w:rPr/>
        <w:t>其他说明，包括本期增减变动情况、变动原因说明：</w:t>
      </w:r>
    </w:p>
    <w:p>
      <w:pPr>
        <w:pStyle w:val="BodyText"/>
        <w:spacing w:line="240" w:lineRule="auto" w:before="115"/>
        <w:ind w:left="115" w:right="104"/>
        <w:jc w:val="left"/>
      </w:pPr>
      <w:r>
        <w:rPr/>
        <w:t>（</w:t>
      </w:r>
      <w:r>
        <w:rPr>
          <w:rFonts w:ascii="宋体" w:hAnsi="宋体" w:cs="宋体" w:eastAsia="宋体" w:hint="default"/>
        </w:rPr>
        <w:t>1</w:t>
      </w:r>
      <w:r>
        <w:rPr/>
        <w:t>）股本溢价增减变动：</w:t>
      </w:r>
    </w:p>
    <w:p>
      <w:pPr>
        <w:pStyle w:val="BodyText"/>
        <w:spacing w:line="312" w:lineRule="exact" w:before="148"/>
        <w:ind w:left="277" w:right="139" w:firstLine="424"/>
        <w:jc w:val="left"/>
      </w:pPr>
      <w:r>
        <w:rPr>
          <w:rFonts w:ascii="宋体" w:hAnsi="宋体" w:cs="宋体" w:eastAsia="宋体" w:hint="default"/>
          <w:spacing w:val="-3"/>
        </w:rPr>
        <w:t>A</w:t>
      </w:r>
      <w:r>
        <w:rPr>
          <w:spacing w:val="-3"/>
        </w:rPr>
        <w:t>、本公司本期授予激励对象限制性股票增加股本溢价</w:t>
      </w:r>
      <w:r>
        <w:rPr>
          <w:spacing w:val="-51"/>
        </w:rPr>
        <w:t> </w:t>
      </w:r>
      <w:r>
        <w:rPr>
          <w:rFonts w:ascii="宋体" w:hAnsi="宋体" w:cs="宋体" w:eastAsia="宋体" w:hint="default"/>
        </w:rPr>
        <w:t>63,549,440.00</w:t>
      </w:r>
      <w:r>
        <w:rPr>
          <w:rFonts w:ascii="宋体" w:hAnsi="宋体" w:cs="宋体" w:eastAsia="宋体" w:hint="default"/>
          <w:spacing w:val="-51"/>
        </w:rPr>
        <w:t> </w:t>
      </w:r>
      <w:r>
        <w:rPr>
          <w:spacing w:val="-12"/>
        </w:rPr>
        <w:t>元，详见附</w:t>
      </w:r>
      <w:r>
        <w:rPr/>
        <w:t> 注七、</w:t>
      </w:r>
      <w:r>
        <w:rPr>
          <w:rFonts w:ascii="宋体" w:hAnsi="宋体" w:cs="宋体" w:eastAsia="宋体" w:hint="default"/>
        </w:rPr>
        <w:t>53</w:t>
      </w:r>
      <w:r>
        <w:rPr/>
        <w:t>；</w:t>
      </w:r>
    </w:p>
    <w:p>
      <w:pPr>
        <w:pStyle w:val="BodyText"/>
        <w:spacing w:line="312" w:lineRule="exact" w:before="117"/>
        <w:ind w:left="277" w:right="253" w:firstLine="436"/>
        <w:jc w:val="left"/>
      </w:pPr>
      <w:r>
        <w:rPr>
          <w:rFonts w:ascii="宋体" w:hAnsi="宋体" w:cs="宋体" w:eastAsia="宋体" w:hint="default"/>
        </w:rPr>
        <w:t>B</w:t>
      </w:r>
      <w:r>
        <w:rPr/>
        <w:t>、本公司本期回购并注销股权激励股票减少股本溢价</w:t>
      </w:r>
      <w:r>
        <w:rPr>
          <w:spacing w:val="-60"/>
        </w:rPr>
        <w:t> </w:t>
      </w:r>
      <w:r>
        <w:rPr>
          <w:rFonts w:ascii="宋体" w:hAnsi="宋体" w:cs="宋体" w:eastAsia="宋体" w:hint="default"/>
        </w:rPr>
        <w:t>25,054,392.95</w:t>
      </w:r>
      <w:r>
        <w:rPr>
          <w:rFonts w:ascii="宋体" w:hAnsi="宋体" w:cs="宋体" w:eastAsia="宋体" w:hint="default"/>
          <w:spacing w:val="-60"/>
        </w:rPr>
        <w:t> </w:t>
      </w:r>
      <w:r>
        <w:rPr/>
        <w:t>元，详见 附注七、</w:t>
      </w:r>
      <w:r>
        <w:rPr>
          <w:rFonts w:ascii="宋体" w:hAnsi="宋体" w:cs="宋体" w:eastAsia="宋体" w:hint="default"/>
        </w:rPr>
        <w:t>53</w:t>
      </w:r>
      <w:r>
        <w:rPr/>
        <w:t>；</w:t>
      </w:r>
    </w:p>
    <w:p>
      <w:pPr>
        <w:pStyle w:val="BodyText"/>
        <w:spacing w:line="310" w:lineRule="exact" w:before="121"/>
        <w:ind w:left="277" w:right="140" w:firstLine="424"/>
        <w:jc w:val="left"/>
      </w:pPr>
      <w:r>
        <w:rPr>
          <w:rFonts w:ascii="宋体" w:hAnsi="宋体" w:cs="宋体" w:eastAsia="宋体" w:hint="default"/>
          <w:spacing w:val="-3"/>
        </w:rPr>
        <w:t>C</w:t>
      </w:r>
      <w:r>
        <w:rPr>
          <w:spacing w:val="-3"/>
        </w:rPr>
        <w:t>、本公司间接控制子公司自动系统公司</w:t>
      </w:r>
      <w:r>
        <w:rPr>
          <w:rFonts w:ascii="宋体" w:hAnsi="宋体" w:cs="宋体" w:eastAsia="宋体" w:hint="default"/>
          <w:spacing w:val="-3"/>
        </w:rPr>
        <w:t>(ASL</w:t>
      </w:r>
      <w:r>
        <w:rPr>
          <w:rFonts w:ascii="宋体" w:hAnsi="宋体" w:cs="宋体" w:eastAsia="宋体" w:hint="default"/>
          <w:spacing w:val="-49"/>
        </w:rPr>
        <w:t> </w:t>
      </w:r>
      <w:r>
        <w:rPr/>
        <w:t>公司</w:t>
      </w:r>
      <w:r>
        <w:rPr>
          <w:rFonts w:ascii="宋体" w:hAnsi="宋体" w:cs="宋体" w:eastAsia="宋体" w:hint="default"/>
        </w:rPr>
        <w:t>)</w:t>
      </w:r>
      <w:r>
        <w:rPr/>
        <w:t>激励对象已满足行权条件本期 行权相应增加股本溢价</w:t>
      </w:r>
      <w:r>
        <w:rPr>
          <w:spacing w:val="-61"/>
        </w:rPr>
        <w:t> </w:t>
      </w:r>
      <w:r>
        <w:rPr>
          <w:rFonts w:ascii="宋体" w:hAnsi="宋体" w:cs="宋体" w:eastAsia="宋体" w:hint="default"/>
        </w:rPr>
        <w:t>1,863,615.00</w:t>
      </w:r>
      <w:r>
        <w:rPr>
          <w:rFonts w:ascii="宋体" w:hAnsi="宋体" w:cs="宋体" w:eastAsia="宋体" w:hint="default"/>
          <w:spacing w:val="-60"/>
        </w:rPr>
        <w:t> </w:t>
      </w:r>
      <w:r>
        <w:rPr/>
        <w:t>元港币，扣除少数股东的影响，相应增加股本</w:t>
      </w:r>
    </w:p>
    <w:p>
      <w:pPr>
        <w:pStyle w:val="BodyText"/>
        <w:spacing w:line="284" w:lineRule="exact"/>
        <w:ind w:left="277" w:right="104"/>
        <w:jc w:val="left"/>
      </w:pPr>
      <w:r>
        <w:rPr/>
        <w:t>溢价</w:t>
      </w:r>
      <w:r>
        <w:rPr>
          <w:spacing w:val="-60"/>
        </w:rPr>
        <w:t> </w:t>
      </w:r>
      <w:r>
        <w:rPr>
          <w:rFonts w:ascii="宋体" w:hAnsi="宋体" w:cs="宋体" w:eastAsia="宋体" w:hint="default"/>
        </w:rPr>
        <w:t>982,634.70</w:t>
      </w:r>
      <w:r>
        <w:rPr>
          <w:rFonts w:ascii="宋体" w:hAnsi="宋体" w:cs="宋体" w:eastAsia="宋体" w:hint="default"/>
          <w:spacing w:val="-61"/>
        </w:rPr>
        <w:t> </w:t>
      </w:r>
      <w:r>
        <w:rPr/>
        <w:t>元人民币；</w:t>
      </w:r>
    </w:p>
    <w:p>
      <w:pPr>
        <w:spacing w:after="0" w:line="284" w:lineRule="exact"/>
        <w:jc w:val="left"/>
        <w:sectPr>
          <w:pgSz w:w="11910" w:h="16840"/>
          <w:pgMar w:header="882" w:footer="1195" w:top="1120" w:bottom="1380" w:left="1000" w:right="1640"/>
        </w:sectPr>
      </w:pPr>
    </w:p>
    <w:p>
      <w:pPr>
        <w:spacing w:line="240" w:lineRule="auto" w:before="13"/>
        <w:rPr>
          <w:rFonts w:ascii="宋体" w:hAnsi="宋体" w:cs="宋体" w:eastAsia="宋体" w:hint="default"/>
          <w:sz w:val="18"/>
          <w:szCs w:val="18"/>
        </w:rPr>
      </w:pPr>
    </w:p>
    <w:p>
      <w:pPr>
        <w:pStyle w:val="BodyText"/>
        <w:spacing w:line="237" w:lineRule="auto" w:before="28"/>
        <w:ind w:left="157" w:right="234" w:firstLine="424"/>
        <w:jc w:val="both"/>
      </w:pPr>
      <w:r>
        <w:rPr>
          <w:rFonts w:ascii="宋体" w:hAnsi="宋体" w:cs="宋体" w:eastAsia="宋体" w:hint="default"/>
          <w:spacing w:val="-10"/>
        </w:rPr>
        <w:t>D</w:t>
      </w:r>
      <w:r>
        <w:rPr>
          <w:spacing w:val="-10"/>
        </w:rPr>
        <w:t>、本公司间接控制子公司</w:t>
      </w:r>
      <w:r>
        <w:rPr>
          <w:spacing w:val="-57"/>
        </w:rPr>
        <w:t> </w:t>
      </w:r>
      <w:r>
        <w:rPr>
          <w:rFonts w:ascii="宋体" w:hAnsi="宋体" w:cs="宋体" w:eastAsia="宋体" w:hint="default"/>
        </w:rPr>
        <w:t>ASL</w:t>
      </w:r>
      <w:r>
        <w:rPr>
          <w:rFonts w:ascii="宋体" w:hAnsi="宋体" w:cs="宋体" w:eastAsia="宋体" w:hint="default"/>
          <w:spacing w:val="-57"/>
        </w:rPr>
        <w:t> </w:t>
      </w:r>
      <w:r>
        <w:rPr/>
        <w:t>公司激励对象已满足行权条件本期行权相应增加股 本</w:t>
      </w:r>
      <w:r>
        <w:rPr>
          <w:spacing w:val="-60"/>
        </w:rPr>
        <w:t> </w:t>
      </w:r>
      <w:r>
        <w:rPr>
          <w:rFonts w:ascii="宋体" w:hAnsi="宋体" w:cs="宋体" w:eastAsia="宋体" w:hint="default"/>
        </w:rPr>
        <w:t>688,600.00</w:t>
      </w:r>
      <w:r>
        <w:rPr>
          <w:rFonts w:ascii="宋体" w:hAnsi="宋体" w:cs="宋体" w:eastAsia="宋体" w:hint="default"/>
          <w:spacing w:val="-61"/>
        </w:rPr>
        <w:t> </w:t>
      </w:r>
      <w:r>
        <w:rPr/>
        <w:t>元港币，本公司持股比例变更为</w:t>
      </w:r>
      <w:r>
        <w:rPr>
          <w:spacing w:val="-60"/>
        </w:rPr>
        <w:t> </w:t>
      </w:r>
      <w:r>
        <w:rPr>
          <w:rFonts w:ascii="宋体" w:hAnsi="宋体" w:cs="宋体" w:eastAsia="宋体" w:hint="default"/>
        </w:rPr>
        <w:t>65.50%</w:t>
      </w:r>
      <w:r>
        <w:rPr/>
        <w:t>，形成未丧失控制权权益性交 易，相应减少股本溢价</w:t>
      </w:r>
      <w:r>
        <w:rPr>
          <w:spacing w:val="-61"/>
        </w:rPr>
        <w:t> </w:t>
      </w:r>
      <w:r>
        <w:rPr>
          <w:rFonts w:ascii="宋体" w:hAnsi="宋体" w:cs="宋体" w:eastAsia="宋体" w:hint="default"/>
        </w:rPr>
        <w:t>1,469,008.37</w:t>
      </w:r>
      <w:r>
        <w:rPr>
          <w:rFonts w:ascii="宋体" w:hAnsi="宋体" w:cs="宋体" w:eastAsia="宋体" w:hint="default"/>
          <w:spacing w:val="-60"/>
        </w:rPr>
        <w:t> </w:t>
      </w:r>
      <w:r>
        <w:rPr/>
        <w:t>元人民币，详见本附注九、</w:t>
      </w:r>
      <w:r>
        <w:rPr>
          <w:rFonts w:ascii="宋体" w:hAnsi="宋体" w:cs="宋体" w:eastAsia="宋体" w:hint="default"/>
        </w:rPr>
        <w:t>1</w:t>
      </w:r>
      <w:r>
        <w:rPr/>
        <w:t>（</w:t>
      </w:r>
      <w:r>
        <w:rPr>
          <w:rFonts w:ascii="宋体" w:hAnsi="宋体" w:cs="宋体" w:eastAsia="宋体" w:hint="default"/>
        </w:rPr>
        <w:t>4</w:t>
      </w:r>
      <w:r>
        <w:rPr/>
        <w:t>）；</w:t>
      </w:r>
    </w:p>
    <w:p>
      <w:pPr>
        <w:pStyle w:val="BodyText"/>
        <w:spacing w:line="237" w:lineRule="auto" w:before="121"/>
        <w:ind w:left="157" w:right="240" w:firstLine="424"/>
        <w:jc w:val="both"/>
      </w:pPr>
      <w:r>
        <w:rPr>
          <w:rFonts w:ascii="宋体" w:hAnsi="宋体" w:cs="宋体" w:eastAsia="宋体" w:hint="default"/>
        </w:rPr>
        <w:t>E</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公司对原持股比例为</w:t>
      </w:r>
      <w:r>
        <w:rPr>
          <w:spacing w:val="-60"/>
        </w:rPr>
        <w:t> </w:t>
      </w:r>
      <w:r>
        <w:rPr>
          <w:rFonts w:ascii="宋体" w:hAnsi="宋体" w:cs="宋体" w:eastAsia="宋体" w:hint="default"/>
        </w:rPr>
        <w:t>48.22%</w:t>
      </w:r>
      <w:r>
        <w:rPr/>
        <w:t>联营公司</w:t>
      </w:r>
      <w:r>
        <w:rPr>
          <w:spacing w:val="-60"/>
        </w:rPr>
        <w:t> </w:t>
      </w:r>
      <w:r>
        <w:rPr>
          <w:rFonts w:ascii="宋体" w:hAnsi="宋体" w:cs="宋体" w:eastAsia="宋体" w:hint="default"/>
        </w:rPr>
        <w:t>i-Sprint</w:t>
      </w:r>
      <w:r>
        <w:rPr/>
        <w:t>， 现持股比例变更为</w:t>
      </w:r>
      <w:r>
        <w:rPr>
          <w:spacing w:val="-61"/>
        </w:rPr>
        <w:t> </w:t>
      </w:r>
      <w:r>
        <w:rPr>
          <w:rFonts w:ascii="宋体" w:hAnsi="宋体" w:cs="宋体" w:eastAsia="宋体" w:hint="default"/>
        </w:rPr>
        <w:t>39.80%</w:t>
      </w:r>
      <w:r>
        <w:rPr/>
        <w:t>，形成权益性交易，相应增加股本溢价</w:t>
      </w:r>
      <w:r>
        <w:rPr>
          <w:spacing w:val="-60"/>
        </w:rPr>
        <w:t> </w:t>
      </w:r>
      <w:r>
        <w:rPr>
          <w:rFonts w:ascii="宋体" w:hAnsi="宋体" w:cs="宋体" w:eastAsia="宋体" w:hint="default"/>
        </w:rPr>
        <w:t>5,281,142.91</w:t>
      </w:r>
      <w:r>
        <w:rPr>
          <w:rFonts w:ascii="宋体" w:hAnsi="宋体" w:cs="宋体" w:eastAsia="宋体" w:hint="default"/>
          <w:spacing w:val="-60"/>
        </w:rPr>
        <w:t> </w:t>
      </w:r>
      <w:r>
        <w:rPr/>
        <w:t>元港 币，扣除少数股东的影响，相应增加股本溢价</w:t>
      </w:r>
      <w:r>
        <w:rPr>
          <w:spacing w:val="-61"/>
        </w:rPr>
        <w:t> </w:t>
      </w:r>
      <w:r>
        <w:rPr>
          <w:rFonts w:ascii="宋体" w:hAnsi="宋体" w:cs="宋体" w:eastAsia="宋体" w:hint="default"/>
        </w:rPr>
        <w:t>2,784,606.37</w:t>
      </w:r>
      <w:r>
        <w:rPr>
          <w:rFonts w:ascii="宋体" w:hAnsi="宋体" w:cs="宋体" w:eastAsia="宋体" w:hint="default"/>
          <w:spacing w:val="-61"/>
        </w:rPr>
        <w:t> </w:t>
      </w:r>
      <w:r>
        <w:rPr/>
        <w:t>元人民币；</w:t>
      </w:r>
    </w:p>
    <w:p>
      <w:pPr>
        <w:pStyle w:val="BodyText"/>
        <w:spacing w:line="312" w:lineRule="exact" w:before="149"/>
        <w:ind w:left="157" w:right="231" w:firstLine="424"/>
        <w:jc w:val="both"/>
      </w:pPr>
      <w:r>
        <w:rPr>
          <w:rFonts w:ascii="宋体" w:hAnsi="宋体" w:cs="宋体" w:eastAsia="宋体" w:hint="default"/>
          <w:spacing w:val="-4"/>
        </w:rPr>
        <w:t>F</w:t>
      </w:r>
      <w:r>
        <w:rPr>
          <w:spacing w:val="-4"/>
        </w:rPr>
        <w:t>、本公司直接控制子公司北京华胜天成低碳产业创业投资中心（有限合伙）本期</w:t>
      </w:r>
      <w:r>
        <w:rPr/>
        <w:t> </w:t>
      </w:r>
      <w:r>
        <w:rPr>
          <w:spacing w:val="-4"/>
        </w:rPr>
        <w:t>发生未丧失控制权的权益性交易，扣除少数股东影响，相应减少股本溢价</w:t>
      </w:r>
      <w:r>
        <w:rPr>
          <w:spacing w:val="-40"/>
        </w:rPr>
        <w:t> </w:t>
      </w:r>
      <w:r>
        <w:rPr>
          <w:rFonts w:ascii="宋体" w:hAnsi="宋体" w:cs="宋体" w:eastAsia="宋体" w:hint="default"/>
        </w:rPr>
        <w:t>898,112.84</w:t>
      </w:r>
      <w:r>
        <w:rPr>
          <w:rFonts w:ascii="宋体" w:hAnsi="宋体" w:cs="宋体" w:eastAsia="宋体" w:hint="default"/>
          <w:spacing w:val="-118"/>
        </w:rPr>
        <w:t> </w:t>
      </w:r>
      <w:r>
        <w:rPr/>
        <w:t>元；详见本附注九、</w:t>
      </w:r>
      <w:r>
        <w:rPr>
          <w:rFonts w:ascii="宋体" w:hAnsi="宋体" w:cs="宋体" w:eastAsia="宋体" w:hint="default"/>
        </w:rPr>
        <w:t>1</w:t>
      </w:r>
      <w:r>
        <w:rPr/>
        <w:t>（</w:t>
      </w:r>
      <w:r>
        <w:rPr>
          <w:rFonts w:ascii="宋体" w:hAnsi="宋体" w:cs="宋体" w:eastAsia="宋体" w:hint="default"/>
        </w:rPr>
        <w:t>4</w:t>
      </w:r>
      <w:r>
        <w:rPr/>
        <w:t>）；</w:t>
      </w:r>
    </w:p>
    <w:p>
      <w:pPr>
        <w:pStyle w:val="BodyText"/>
        <w:spacing w:line="237" w:lineRule="auto" w:before="89"/>
        <w:ind w:left="157" w:right="232" w:firstLine="424"/>
        <w:jc w:val="both"/>
      </w:pPr>
      <w:r>
        <w:rPr>
          <w:rFonts w:ascii="宋体" w:hAnsi="宋体" w:cs="宋体" w:eastAsia="宋体" w:hint="default"/>
          <w:spacing w:val="-4"/>
        </w:rPr>
        <w:t>G</w:t>
      </w:r>
      <w:r>
        <w:rPr>
          <w:spacing w:val="-4"/>
        </w:rPr>
        <w:t>、本公司对直接控制子公司北京华胜天成软件技术有限公司进行增资，持股比例</w:t>
      </w:r>
      <w:r>
        <w:rPr/>
        <w:t> 由</w:t>
      </w:r>
      <w:r>
        <w:rPr>
          <w:spacing w:val="-61"/>
        </w:rPr>
        <w:t> </w:t>
      </w:r>
      <w:r>
        <w:rPr>
          <w:rFonts w:ascii="宋体" w:hAnsi="宋体" w:cs="宋体" w:eastAsia="宋体" w:hint="default"/>
        </w:rPr>
        <w:t>98.96%</w:t>
      </w:r>
      <w:r>
        <w:rPr/>
        <w:t>变更为</w:t>
      </w:r>
      <w:r>
        <w:rPr>
          <w:spacing w:val="-61"/>
        </w:rPr>
        <w:t> </w:t>
      </w:r>
      <w:r>
        <w:rPr>
          <w:rFonts w:ascii="宋体" w:hAnsi="宋体" w:cs="宋体" w:eastAsia="宋体" w:hint="default"/>
        </w:rPr>
        <w:t>99.20%</w:t>
      </w:r>
      <w:r>
        <w:rPr/>
        <w:t>，发生未丧失控制权的权益性交易，扣除少数股东影响，相 应增加股本溢价</w:t>
      </w:r>
      <w:r>
        <w:rPr>
          <w:spacing w:val="-61"/>
        </w:rPr>
        <w:t> </w:t>
      </w:r>
      <w:r>
        <w:rPr>
          <w:rFonts w:ascii="宋体" w:hAnsi="宋体" w:cs="宋体" w:eastAsia="宋体" w:hint="default"/>
        </w:rPr>
        <w:t>432,614.11</w:t>
      </w:r>
      <w:r>
        <w:rPr>
          <w:rFonts w:ascii="宋体" w:hAnsi="宋体" w:cs="宋体" w:eastAsia="宋体" w:hint="default"/>
          <w:spacing w:val="-60"/>
        </w:rPr>
        <w:t> </w:t>
      </w:r>
      <w:r>
        <w:rPr/>
        <w:t>元；</w:t>
      </w:r>
    </w:p>
    <w:p>
      <w:pPr>
        <w:pStyle w:val="BodyText"/>
        <w:spacing w:line="312" w:lineRule="exact" w:before="146"/>
        <w:ind w:left="157" w:right="102" w:firstLine="424"/>
        <w:jc w:val="left"/>
      </w:pPr>
      <w:r>
        <w:rPr>
          <w:rFonts w:ascii="宋体" w:hAnsi="宋体" w:cs="宋体" w:eastAsia="宋体" w:hint="default"/>
        </w:rPr>
        <w:t>H</w:t>
      </w:r>
      <w:r>
        <w:rPr/>
        <w:t>、本公司间接控制子公司浙江兰德纵横网络技术股份有限公司发行新股</w:t>
      </w:r>
      <w:r>
        <w:rPr>
          <w:spacing w:val="-59"/>
        </w:rPr>
        <w:t> </w:t>
      </w:r>
      <w:r>
        <w:rPr>
          <w:rFonts w:ascii="宋体" w:hAnsi="宋体" w:cs="宋体" w:eastAsia="宋体" w:hint="default"/>
        </w:rPr>
        <w:t>555</w:t>
      </w:r>
      <w:r>
        <w:rPr>
          <w:rFonts w:ascii="宋体" w:hAnsi="宋体" w:cs="宋体" w:eastAsia="宋体" w:hint="default"/>
          <w:spacing w:val="-58"/>
        </w:rPr>
        <w:t> </w:t>
      </w:r>
      <w:r>
        <w:rPr/>
        <w:t>万， 本公司持股比例变更为</w:t>
      </w:r>
      <w:r>
        <w:rPr>
          <w:spacing w:val="-59"/>
        </w:rPr>
        <w:t> </w:t>
      </w:r>
      <w:r>
        <w:rPr>
          <w:rFonts w:ascii="宋体" w:hAnsi="宋体" w:cs="宋体" w:eastAsia="宋体" w:hint="default"/>
          <w:spacing w:val="-3"/>
        </w:rPr>
        <w:t>45.905%</w:t>
      </w:r>
      <w:r>
        <w:rPr>
          <w:spacing w:val="-3"/>
        </w:rPr>
        <w:t>，形成未丧失控制权的权益性交易</w:t>
      </w:r>
      <w:r>
        <w:rPr>
          <w:spacing w:val="-58"/>
        </w:rPr>
        <w:t> </w:t>
      </w:r>
      <w:r>
        <w:rPr>
          <w:rFonts w:ascii="宋体" w:hAnsi="宋体" w:cs="宋体" w:eastAsia="宋体" w:hint="default"/>
        </w:rPr>
        <w:t>278,506.71</w:t>
      </w:r>
      <w:r>
        <w:rPr>
          <w:rFonts w:ascii="宋体" w:hAnsi="宋体" w:cs="宋体" w:eastAsia="宋体" w:hint="default"/>
          <w:spacing w:val="-58"/>
        </w:rPr>
        <w:t> </w:t>
      </w:r>
      <w:r>
        <w:rPr>
          <w:spacing w:val="-18"/>
        </w:rPr>
        <w:t>元，扣</w:t>
      </w:r>
      <w:r>
        <w:rPr>
          <w:spacing w:val="-115"/>
        </w:rPr>
        <w:t> </w:t>
      </w:r>
      <w:r>
        <w:rPr>
          <w:spacing w:val="-115"/>
        </w:rPr>
      </w:r>
      <w:r>
        <w:rPr/>
        <w:t>除少数股东的影响，相应减少股本溢价</w:t>
      </w:r>
      <w:r>
        <w:rPr>
          <w:spacing w:val="-60"/>
        </w:rPr>
        <w:t> </w:t>
      </w:r>
      <w:r>
        <w:rPr>
          <w:rFonts w:ascii="宋体" w:hAnsi="宋体" w:cs="宋体" w:eastAsia="宋体" w:hint="default"/>
        </w:rPr>
        <w:t>275,610.24</w:t>
      </w:r>
      <w:r>
        <w:rPr>
          <w:rFonts w:ascii="宋体" w:hAnsi="宋体" w:cs="宋体" w:eastAsia="宋体" w:hint="default"/>
          <w:spacing w:val="-60"/>
        </w:rPr>
        <w:t> </w:t>
      </w:r>
      <w:r>
        <w:rPr/>
        <w:t>元，详见本附注九、</w:t>
      </w:r>
      <w:r>
        <w:rPr>
          <w:rFonts w:ascii="宋体" w:hAnsi="宋体" w:cs="宋体" w:eastAsia="宋体" w:hint="default"/>
        </w:rPr>
        <w:t>1</w:t>
      </w:r>
      <w:r>
        <w:rPr/>
        <w:t>（</w:t>
      </w:r>
      <w:r>
        <w:rPr>
          <w:rFonts w:ascii="宋体" w:hAnsi="宋体" w:cs="宋体" w:eastAsia="宋体" w:hint="default"/>
        </w:rPr>
        <w:t>4</w:t>
      </w:r>
      <w:r>
        <w:rPr/>
        <w:t>）。</w:t>
      </w:r>
    </w:p>
    <w:p>
      <w:pPr>
        <w:pStyle w:val="BodyText"/>
        <w:spacing w:line="240" w:lineRule="auto" w:before="87"/>
        <w:ind w:left="157" w:right="102"/>
        <w:jc w:val="left"/>
      </w:pPr>
      <w:r>
        <w:rPr/>
        <w:t>（</w:t>
      </w:r>
      <w:r>
        <w:rPr>
          <w:rFonts w:ascii="宋体" w:hAnsi="宋体" w:cs="宋体" w:eastAsia="宋体" w:hint="default"/>
        </w:rPr>
        <w:t>2</w:t>
      </w:r>
      <w:r>
        <w:rPr/>
        <w:t>）其他资本公积增减变动：</w:t>
      </w:r>
    </w:p>
    <w:p>
      <w:pPr>
        <w:pStyle w:val="BodyText"/>
        <w:spacing w:line="312" w:lineRule="exact" w:before="148"/>
        <w:ind w:left="157" w:right="234" w:firstLine="424"/>
        <w:jc w:val="both"/>
      </w:pPr>
      <w:r>
        <w:rPr>
          <w:rFonts w:ascii="宋体" w:hAnsi="宋体" w:cs="宋体" w:eastAsia="宋体" w:hint="default"/>
          <w:spacing w:val="-10"/>
        </w:rPr>
        <w:t>A</w:t>
      </w:r>
      <w:r>
        <w:rPr>
          <w:spacing w:val="-10"/>
        </w:rPr>
        <w:t>、本公司间接控制子公司</w:t>
      </w:r>
      <w:r>
        <w:rPr>
          <w:spacing w:val="-57"/>
        </w:rPr>
        <w:t> </w:t>
      </w:r>
      <w:r>
        <w:rPr>
          <w:rFonts w:ascii="宋体" w:hAnsi="宋体" w:cs="宋体" w:eastAsia="宋体" w:hint="default"/>
        </w:rPr>
        <w:t>ASL</w:t>
      </w:r>
      <w:r>
        <w:rPr>
          <w:rFonts w:ascii="宋体" w:hAnsi="宋体" w:cs="宋体" w:eastAsia="宋体" w:hint="default"/>
          <w:spacing w:val="-57"/>
        </w:rPr>
        <w:t> </w:t>
      </w:r>
      <w:r>
        <w:rPr/>
        <w:t>公司本期授予激励对象限制性股票相应减少其他资 本公积</w:t>
      </w:r>
      <w:r>
        <w:rPr>
          <w:spacing w:val="-61"/>
        </w:rPr>
        <w:t> </w:t>
      </w:r>
      <w:r>
        <w:rPr>
          <w:rFonts w:ascii="宋体" w:hAnsi="宋体" w:cs="宋体" w:eastAsia="宋体" w:hint="default"/>
        </w:rPr>
        <w:t>1,863,615.00</w:t>
      </w:r>
      <w:r>
        <w:rPr>
          <w:rFonts w:ascii="宋体" w:hAnsi="宋体" w:cs="宋体" w:eastAsia="宋体" w:hint="default"/>
          <w:spacing w:val="-60"/>
        </w:rPr>
        <w:t> </w:t>
      </w:r>
      <w:r>
        <w:rPr/>
        <w:t>元，扣除属于少数股东的影响，相应减少其他资本公积</w:t>
      </w:r>
    </w:p>
    <w:p>
      <w:pPr>
        <w:pStyle w:val="BodyText"/>
        <w:spacing w:line="281" w:lineRule="exact"/>
        <w:ind w:left="157" w:right="102"/>
        <w:jc w:val="left"/>
      </w:pPr>
      <w:r>
        <w:rPr>
          <w:rFonts w:ascii="宋体" w:hAnsi="宋体" w:cs="宋体" w:eastAsia="宋体" w:hint="default"/>
        </w:rPr>
        <w:t>982,634.70</w:t>
      </w:r>
      <w:r>
        <w:rPr>
          <w:rFonts w:ascii="宋体" w:hAnsi="宋体" w:cs="宋体" w:eastAsia="宋体" w:hint="default"/>
          <w:spacing w:val="-61"/>
        </w:rPr>
        <w:t> </w:t>
      </w:r>
      <w:r>
        <w:rPr/>
        <w:t>元；</w:t>
      </w:r>
    </w:p>
    <w:p>
      <w:pPr>
        <w:pStyle w:val="BodyText"/>
        <w:spacing w:line="313" w:lineRule="exact" w:before="118"/>
        <w:ind w:left="582" w:right="102"/>
        <w:jc w:val="left"/>
      </w:pPr>
      <w:r>
        <w:rPr>
          <w:rFonts w:ascii="宋体" w:hAnsi="宋体" w:cs="宋体" w:eastAsia="宋体" w:hint="default"/>
        </w:rPr>
        <w:t>B</w:t>
      </w:r>
      <w:r>
        <w:rPr/>
        <w:t>、本公司本期授予激励对象限制性股票，形成股权激励费用</w:t>
      </w:r>
      <w:r>
        <w:rPr>
          <w:spacing w:val="-60"/>
        </w:rPr>
        <w:t> </w:t>
      </w:r>
      <w:r>
        <w:rPr>
          <w:rFonts w:ascii="宋体" w:hAnsi="宋体" w:cs="宋体" w:eastAsia="宋体" w:hint="default"/>
        </w:rPr>
        <w:t>2,495,165.55</w:t>
      </w:r>
      <w:r>
        <w:rPr>
          <w:rFonts w:ascii="宋体" w:hAnsi="宋体" w:cs="宋体" w:eastAsia="宋体" w:hint="default"/>
          <w:spacing w:val="-60"/>
        </w:rPr>
        <w:t> </w:t>
      </w:r>
      <w:r>
        <w:rPr/>
        <w:t>元，</w:t>
      </w:r>
    </w:p>
    <w:p>
      <w:pPr>
        <w:pStyle w:val="BodyText"/>
        <w:spacing w:line="328" w:lineRule="auto"/>
        <w:ind w:left="582" w:right="102" w:hanging="425"/>
        <w:jc w:val="left"/>
      </w:pPr>
      <w:r>
        <w:rPr/>
        <w:t>扣除少数股东影响，相应增加其他资本公积</w:t>
      </w:r>
      <w:r>
        <w:rPr>
          <w:spacing w:val="-60"/>
        </w:rPr>
        <w:t> </w:t>
      </w:r>
      <w:r>
        <w:rPr>
          <w:rFonts w:ascii="宋体" w:hAnsi="宋体" w:cs="宋体" w:eastAsia="宋体" w:hint="default"/>
        </w:rPr>
        <w:t>2,345,388.54</w:t>
      </w:r>
      <w:r>
        <w:rPr>
          <w:rFonts w:ascii="宋体" w:hAnsi="宋体" w:cs="宋体" w:eastAsia="宋体" w:hint="default"/>
          <w:spacing w:val="-60"/>
        </w:rPr>
        <w:t> </w:t>
      </w:r>
      <w:r>
        <w:rPr/>
        <w:t>元； </w:t>
      </w:r>
      <w:r>
        <w:rPr>
          <w:rFonts w:ascii="宋体" w:hAnsi="宋体" w:cs="宋体" w:eastAsia="宋体" w:hint="default"/>
          <w:spacing w:val="-4"/>
        </w:rPr>
        <w:t>C</w:t>
      </w:r>
      <w:r>
        <w:rPr>
          <w:spacing w:val="-4"/>
        </w:rPr>
        <w:t>、本期因间接控制子公司浙江兰德纵横网络技术股份有限公司实施股权激励，形</w:t>
      </w:r>
    </w:p>
    <w:p>
      <w:pPr>
        <w:pStyle w:val="BodyText"/>
        <w:spacing w:line="222" w:lineRule="exact"/>
        <w:ind w:left="157" w:right="102"/>
        <w:jc w:val="left"/>
      </w:pPr>
      <w:r>
        <w:rPr/>
        <w:t>成股权激励费用</w:t>
      </w:r>
      <w:r>
        <w:rPr>
          <w:spacing w:val="-61"/>
        </w:rPr>
        <w:t> </w:t>
      </w:r>
      <w:r>
        <w:rPr>
          <w:rFonts w:ascii="宋体" w:hAnsi="宋体" w:cs="宋体" w:eastAsia="宋体" w:hint="default"/>
        </w:rPr>
        <w:t>1,704,856.83</w:t>
      </w:r>
      <w:r>
        <w:rPr>
          <w:rFonts w:ascii="宋体" w:hAnsi="宋体" w:cs="宋体" w:eastAsia="宋体" w:hint="default"/>
          <w:spacing w:val="-60"/>
        </w:rPr>
        <w:t> </w:t>
      </w:r>
      <w:r>
        <w:rPr/>
        <w:t>元，扣除少数股东的影响，相应增加其他资本公积</w:t>
      </w:r>
    </w:p>
    <w:p>
      <w:pPr>
        <w:pStyle w:val="BodyText"/>
        <w:spacing w:line="313" w:lineRule="exact"/>
        <w:ind w:left="157" w:right="102"/>
        <w:jc w:val="left"/>
      </w:pPr>
      <w:r>
        <w:rPr>
          <w:rFonts w:ascii="宋体" w:hAnsi="宋体" w:cs="宋体" w:eastAsia="宋体" w:hint="default"/>
        </w:rPr>
        <w:t>1,062,987.87</w:t>
      </w:r>
      <w:r>
        <w:rPr>
          <w:rFonts w:ascii="宋体" w:hAnsi="宋体" w:cs="宋体" w:eastAsia="宋体" w:hint="default"/>
          <w:spacing w:val="-61"/>
        </w:rPr>
        <w:t> </w:t>
      </w:r>
      <w:r>
        <w:rPr/>
        <w:t>元人民币；</w:t>
      </w:r>
    </w:p>
    <w:p>
      <w:pPr>
        <w:pStyle w:val="BodyText"/>
        <w:spacing w:line="237" w:lineRule="auto" w:before="120"/>
        <w:ind w:left="157" w:right="217" w:firstLine="424"/>
        <w:jc w:val="left"/>
      </w:pPr>
      <w:r>
        <w:rPr>
          <w:rFonts w:ascii="宋体" w:hAnsi="宋体" w:cs="宋体" w:eastAsia="宋体" w:hint="default"/>
        </w:rPr>
        <w:t>D</w:t>
      </w:r>
      <w:r>
        <w:rPr/>
        <w:t>、本公司因间接控制子公司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公司实施股权激励相应减少其他资本公积 </w:t>
      </w:r>
      <w:r>
        <w:rPr>
          <w:rFonts w:ascii="宋体" w:hAnsi="宋体" w:cs="宋体" w:eastAsia="宋体" w:hint="default"/>
        </w:rPr>
        <w:t>110,392.03</w:t>
      </w:r>
      <w:r>
        <w:rPr>
          <w:rFonts w:ascii="宋体" w:hAnsi="宋体" w:cs="宋体" w:eastAsia="宋体" w:hint="default"/>
          <w:spacing w:val="-57"/>
        </w:rPr>
        <w:t> </w:t>
      </w:r>
      <w:r>
        <w:rPr>
          <w:spacing w:val="-5"/>
        </w:rPr>
        <w:t>元港币，扣除少数股东的影响，相应减少其他资本公积</w:t>
      </w:r>
      <w:r>
        <w:rPr>
          <w:spacing w:val="-55"/>
        </w:rPr>
        <w:t> </w:t>
      </w:r>
      <w:r>
        <w:rPr>
          <w:rFonts w:ascii="宋体" w:hAnsi="宋体" w:cs="宋体" w:eastAsia="宋体" w:hint="default"/>
        </w:rPr>
        <w:t>58,206.79</w:t>
      </w:r>
      <w:r>
        <w:rPr>
          <w:rFonts w:ascii="宋体" w:hAnsi="宋体" w:cs="宋体" w:eastAsia="宋体" w:hint="default"/>
          <w:spacing w:val="-56"/>
        </w:rPr>
        <w:t> </w:t>
      </w:r>
      <w:r>
        <w:rPr/>
        <w:t>元人民 币；</w:t>
      </w:r>
    </w:p>
    <w:p>
      <w:pPr>
        <w:pStyle w:val="BodyText"/>
        <w:spacing w:line="237" w:lineRule="auto" w:before="121"/>
        <w:ind w:left="157" w:right="229" w:firstLine="424"/>
        <w:jc w:val="left"/>
      </w:pPr>
      <w:r>
        <w:rPr>
          <w:rFonts w:ascii="宋体" w:hAnsi="宋体" w:cs="宋体" w:eastAsia="宋体" w:hint="default"/>
        </w:rPr>
        <w:t>E</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公司股权激励失效导致减少其他资本公积 </w:t>
      </w:r>
      <w:r>
        <w:rPr>
          <w:rFonts w:ascii="宋体" w:hAnsi="宋体" w:cs="宋体" w:eastAsia="宋体" w:hint="default"/>
        </w:rPr>
        <w:t>32,869.00</w:t>
      </w:r>
      <w:r>
        <w:rPr>
          <w:rFonts w:ascii="宋体" w:hAnsi="宋体" w:cs="宋体" w:eastAsia="宋体" w:hint="default"/>
          <w:spacing w:val="-61"/>
        </w:rPr>
        <w:t> </w:t>
      </w:r>
      <w:r>
        <w:rPr/>
        <w:t>元港币，扣除少数股东的影响，相应减少其他资本公积</w:t>
      </w:r>
      <w:r>
        <w:rPr>
          <w:spacing w:val="-59"/>
        </w:rPr>
        <w:t> </w:t>
      </w:r>
      <w:r>
        <w:rPr>
          <w:rFonts w:ascii="宋体" w:hAnsi="宋体" w:cs="宋体" w:eastAsia="宋体" w:hint="default"/>
        </w:rPr>
        <w:t>17,330.94</w:t>
      </w:r>
      <w:r>
        <w:rPr>
          <w:rFonts w:ascii="宋体" w:hAnsi="宋体" w:cs="宋体" w:eastAsia="宋体" w:hint="default"/>
          <w:spacing w:val="-60"/>
        </w:rPr>
        <w:t> </w:t>
      </w:r>
      <w:r>
        <w:rPr/>
        <w:t>元人民 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120" w:right="1560"/>
        </w:sectPr>
      </w:pPr>
    </w:p>
    <w:p>
      <w:pPr>
        <w:pStyle w:val="Heading2"/>
        <w:spacing w:line="240" w:lineRule="auto"/>
        <w:ind w:left="157" w:right="-19"/>
        <w:jc w:val="left"/>
        <w:rPr>
          <w:b w:val="0"/>
          <w:bCs w:val="0"/>
        </w:rPr>
      </w:pPr>
      <w:r>
        <w:rPr>
          <w:rFonts w:ascii="宋体" w:hAnsi="宋体" w:cs="宋体" w:eastAsia="宋体" w:hint="default"/>
        </w:rPr>
        <w:t>56</w:t>
      </w:r>
      <w:r>
        <w:rPr/>
        <w:t>、</w:t>
      </w:r>
      <w:r>
        <w:rPr>
          <w:spacing w:val="-102"/>
        </w:rPr>
        <w:t> </w:t>
      </w:r>
      <w:r>
        <w:rPr/>
        <w:t>库存股</w:t>
      </w:r>
      <w:r>
        <w:rPr>
          <w:b w:val="0"/>
          <w:bCs w:val="0"/>
        </w:rPr>
      </w:r>
    </w:p>
    <w:p>
      <w:pPr>
        <w:pStyle w:val="BodyText"/>
        <w:spacing w:line="240" w:lineRule="auto" w:before="58"/>
        <w:ind w:left="15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357" w:val="left" w:leader="none"/>
        </w:tabs>
        <w:spacing w:line="240" w:lineRule="auto"/>
        <w:ind w:left="157" w:right="0"/>
        <w:jc w:val="left"/>
      </w:pPr>
      <w:r>
        <w:rPr/>
        <w:t>单位：元</w:t>
        <w:tab/>
        <w:t>币种：人民币</w:t>
      </w:r>
    </w:p>
    <w:p>
      <w:pPr>
        <w:spacing w:after="0" w:line="240" w:lineRule="auto"/>
        <w:jc w:val="left"/>
        <w:sectPr>
          <w:type w:val="continuous"/>
          <w:pgSz w:w="11910" w:h="16840"/>
          <w:pgMar w:top="1120" w:bottom="1380" w:left="1120" w:right="1560"/>
          <w:cols w:num="2" w:equalWidth="0">
            <w:col w:w="1958" w:space="4235"/>
            <w:col w:w="3037"/>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83"/>
        <w:gridCol w:w="1774"/>
        <w:gridCol w:w="1805"/>
        <w:gridCol w:w="1814"/>
        <w:gridCol w:w="1820"/>
      </w:tblGrid>
      <w:tr>
        <w:trPr>
          <w:trHeight w:val="288" w:hRule="exact"/>
        </w:trPr>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3"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28,932,781.95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67,829,440.00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28,932,781.95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67,829,440.00</w:t>
            </w:r>
          </w:p>
        </w:tc>
      </w:tr>
      <w:tr>
        <w:trPr>
          <w:trHeight w:val="288" w:hRule="exact"/>
        </w:trPr>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28,932,781.95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67,829,440.00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28,932,781.95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67,829,440.00</w:t>
            </w:r>
          </w:p>
        </w:tc>
      </w:tr>
    </w:tbl>
    <w:p>
      <w:pPr>
        <w:pStyle w:val="BodyText"/>
        <w:spacing w:line="272" w:lineRule="exact"/>
        <w:ind w:left="157" w:right="102"/>
        <w:jc w:val="left"/>
      </w:pPr>
      <w:r>
        <w:rPr/>
        <w:t>其他说明，包括本期增减变动情况、变动原因说明：</w:t>
      </w:r>
    </w:p>
    <w:p>
      <w:pPr>
        <w:pStyle w:val="BodyText"/>
        <w:spacing w:line="312" w:lineRule="exact"/>
        <w:ind w:left="157" w:right="102"/>
        <w:jc w:val="left"/>
      </w:pPr>
      <w:r>
        <w:rPr/>
        <w:t>本期增减变动详见本附注七、</w:t>
      </w:r>
      <w:r>
        <w:rPr>
          <w:rFonts w:ascii="宋体" w:hAnsi="宋体" w:cs="宋体" w:eastAsia="宋体" w:hint="default"/>
        </w:rPr>
        <w:t>53</w:t>
      </w:r>
      <w:r>
        <w:rPr/>
        <w:t>；</w:t>
      </w:r>
    </w:p>
    <w:p>
      <w:pPr>
        <w:spacing w:after="0" w:line="312" w:lineRule="exact"/>
        <w:jc w:val="left"/>
        <w:sectPr>
          <w:type w:val="continuous"/>
          <w:pgSz w:w="11910" w:h="16840"/>
          <w:pgMar w:top="1120" w:bottom="1380" w:left="112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3"/>
          <w:pgSz w:w="11910" w:h="16840"/>
          <w:pgMar w:footer="1195" w:header="882" w:top="1120" w:bottom="1380" w:left="760" w:right="1460"/>
        </w:sectPr>
      </w:pPr>
    </w:p>
    <w:p>
      <w:pPr>
        <w:pStyle w:val="Heading2"/>
        <w:spacing w:line="240" w:lineRule="auto"/>
        <w:ind w:left="517" w:right="-18"/>
        <w:jc w:val="left"/>
        <w:rPr>
          <w:b w:val="0"/>
          <w:bCs w:val="0"/>
        </w:rPr>
      </w:pPr>
      <w:r>
        <w:rPr>
          <w:rFonts w:ascii="宋体" w:hAnsi="宋体" w:cs="宋体" w:eastAsia="宋体" w:hint="default"/>
        </w:rPr>
        <w:t>57</w:t>
      </w:r>
      <w:r>
        <w:rPr/>
        <w:t>、</w:t>
      </w:r>
      <w:r>
        <w:rPr>
          <w:spacing w:val="-103"/>
        </w:rPr>
        <w:t> </w:t>
      </w:r>
      <w:r>
        <w:rPr/>
        <w:t>其他综合收益</w:t>
      </w:r>
      <w:r>
        <w:rPr>
          <w:b w:val="0"/>
          <w:bCs w:val="0"/>
        </w:rPr>
      </w:r>
    </w:p>
    <w:p>
      <w:pPr>
        <w:pStyle w:val="BodyText"/>
        <w:spacing w:line="240" w:lineRule="auto" w:before="58"/>
        <w:ind w:left="5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717" w:val="left" w:leader="none"/>
        </w:tabs>
        <w:spacing w:line="240" w:lineRule="auto"/>
        <w:ind w:left="517" w:right="0"/>
        <w:jc w:val="left"/>
      </w:pPr>
      <w:r>
        <w:rPr/>
        <w:t>单位：元</w:t>
        <w:tab/>
        <w:t>币种：人民币</w:t>
      </w:r>
    </w:p>
    <w:p>
      <w:pPr>
        <w:spacing w:after="0" w:line="240" w:lineRule="auto"/>
        <w:jc w:val="left"/>
        <w:sectPr>
          <w:type w:val="continuous"/>
          <w:pgSz w:w="11910" w:h="16840"/>
          <w:pgMar w:top="1120" w:bottom="1380" w:left="760" w:right="1460"/>
          <w:cols w:num="2" w:equalWidth="0">
            <w:col w:w="2466" w:space="3727"/>
            <w:col w:w="349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11"/>
        <w:gridCol w:w="1645"/>
        <w:gridCol w:w="1222"/>
        <w:gridCol w:w="787"/>
        <w:gridCol w:w="615"/>
        <w:gridCol w:w="1222"/>
        <w:gridCol w:w="1345"/>
        <w:gridCol w:w="1308"/>
      </w:tblGrid>
      <w:tr>
        <w:trPr>
          <w:trHeight w:val="226" w:hRule="exact"/>
        </w:trPr>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6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667" w:right="663"/>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190" w:type="dxa"/>
            <w:gridSpan w:val="5"/>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3"/>
              <w:jc w:val="center"/>
              <w:rPr>
                <w:rFonts w:ascii="宋体" w:hAnsi="宋体" w:cs="宋体" w:eastAsia="宋体" w:hint="default"/>
                <w:sz w:val="15"/>
                <w:szCs w:val="15"/>
              </w:rPr>
            </w:pPr>
            <w:r>
              <w:rPr>
                <w:rFonts w:ascii="宋体" w:hAnsi="宋体" w:cs="宋体" w:eastAsia="宋体" w:hint="default"/>
                <w:sz w:val="15"/>
                <w:szCs w:val="15"/>
              </w:rPr>
              <w:t>本期发生金额</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496" w:right="497"/>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1176" w:hRule="exact"/>
        </w:trPr>
        <w:tc>
          <w:tcPr>
            <w:tcW w:w="1311" w:type="dxa"/>
            <w:vMerge/>
            <w:tcBorders>
              <w:left w:val="single" w:sz="4" w:space="0" w:color="000000"/>
              <w:bottom w:val="single" w:sz="4" w:space="0" w:color="000000"/>
              <w:right w:val="single" w:sz="4" w:space="0" w:color="000000"/>
            </w:tcBorders>
          </w:tcPr>
          <w:p>
            <w:pPr/>
          </w:p>
        </w:tc>
        <w:tc>
          <w:tcPr>
            <w:tcW w:w="1645"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6" w:right="154" w:hanging="224"/>
              <w:jc w:val="left"/>
              <w:rPr>
                <w:rFonts w:ascii="宋体" w:hAnsi="宋体" w:cs="宋体" w:eastAsia="宋体" w:hint="default"/>
                <w:sz w:val="15"/>
                <w:szCs w:val="15"/>
              </w:rPr>
            </w:pPr>
            <w:r>
              <w:rPr>
                <w:rFonts w:ascii="宋体" w:hAnsi="宋体" w:cs="宋体" w:eastAsia="宋体" w:hint="default"/>
                <w:sz w:val="15"/>
                <w:szCs w:val="15"/>
              </w:rPr>
              <w:t>本期所得税前</w:t>
            </w:r>
            <w:r>
              <w:rPr>
                <w:rFonts w:ascii="宋体" w:hAnsi="宋体" w:cs="宋体" w:eastAsia="宋体" w:hint="default"/>
                <w:w w:val="100"/>
                <w:sz w:val="15"/>
                <w:szCs w:val="15"/>
              </w:rPr>
              <w:t> </w:t>
            </w:r>
            <w:r>
              <w:rPr>
                <w:rFonts w:ascii="宋体" w:hAnsi="宋体" w:cs="宋体" w:eastAsia="宋体" w:hint="default"/>
                <w:sz w:val="15"/>
                <w:szCs w:val="15"/>
              </w:rPr>
              <w:t>发生额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0" w:right="0" w:hanging="60"/>
              <w:jc w:val="both"/>
              <w:rPr>
                <w:rFonts w:ascii="宋体" w:hAnsi="宋体" w:cs="宋体" w:eastAsia="宋体" w:hint="default"/>
                <w:sz w:val="15"/>
                <w:szCs w:val="15"/>
              </w:rPr>
            </w:pPr>
            <w:r>
              <w:rPr>
                <w:rFonts w:ascii="宋体" w:hAnsi="宋体" w:cs="宋体" w:eastAsia="宋体" w:hint="default"/>
                <w:spacing w:val="-8"/>
                <w:sz w:val="15"/>
                <w:szCs w:val="15"/>
              </w:rPr>
              <w:t>减：前期</w:t>
            </w:r>
          </w:p>
          <w:p>
            <w:pPr>
              <w:pStyle w:val="TableParagraph"/>
              <w:spacing w:line="240" w:lineRule="auto"/>
              <w:ind w:left="160" w:right="161"/>
              <w:jc w:val="both"/>
              <w:rPr>
                <w:rFonts w:ascii="宋体" w:hAnsi="宋体" w:cs="宋体" w:eastAsia="宋体" w:hint="default"/>
                <w:sz w:val="15"/>
                <w:szCs w:val="15"/>
              </w:rPr>
            </w:pPr>
            <w:r>
              <w:rPr>
                <w:rFonts w:ascii="宋体" w:hAnsi="宋体" w:cs="宋体" w:eastAsia="宋体" w:hint="default"/>
                <w:sz w:val="15"/>
                <w:szCs w:val="15"/>
              </w:rPr>
              <w:t>计入其</w:t>
            </w:r>
            <w:r>
              <w:rPr>
                <w:rFonts w:ascii="宋体" w:hAnsi="宋体" w:cs="宋体" w:eastAsia="宋体" w:hint="default"/>
                <w:spacing w:val="-72"/>
                <w:sz w:val="15"/>
                <w:szCs w:val="15"/>
              </w:rPr>
              <w:t> </w:t>
            </w:r>
            <w:r>
              <w:rPr>
                <w:rFonts w:ascii="宋体" w:hAnsi="宋体" w:cs="宋体" w:eastAsia="宋体" w:hint="default"/>
                <w:sz w:val="15"/>
                <w:szCs w:val="15"/>
              </w:rPr>
              <w:t>他综合</w:t>
            </w:r>
            <w:r>
              <w:rPr>
                <w:rFonts w:ascii="宋体" w:hAnsi="宋体" w:cs="宋体" w:eastAsia="宋体" w:hint="default"/>
                <w:spacing w:val="-72"/>
                <w:sz w:val="15"/>
                <w:szCs w:val="15"/>
              </w:rPr>
              <w:t> </w:t>
            </w:r>
            <w:r>
              <w:rPr>
                <w:rFonts w:ascii="宋体" w:hAnsi="宋体" w:cs="宋体" w:eastAsia="宋体" w:hint="default"/>
                <w:sz w:val="15"/>
                <w:szCs w:val="15"/>
              </w:rPr>
              <w:t>收益当</w:t>
            </w:r>
            <w:r>
              <w:rPr>
                <w:rFonts w:ascii="宋体" w:hAnsi="宋体" w:cs="宋体" w:eastAsia="宋体" w:hint="default"/>
                <w:spacing w:val="-72"/>
                <w:sz w:val="15"/>
                <w:szCs w:val="15"/>
              </w:rPr>
              <w:t> </w:t>
            </w:r>
            <w:r>
              <w:rPr>
                <w:rFonts w:ascii="宋体" w:hAnsi="宋体" w:cs="宋体" w:eastAsia="宋体" w:hint="default"/>
                <w:sz w:val="15"/>
                <w:szCs w:val="15"/>
              </w:rPr>
              <w:t>期转入</w:t>
            </w:r>
            <w:r>
              <w:rPr>
                <w:rFonts w:ascii="宋体" w:hAnsi="宋体" w:cs="宋体" w:eastAsia="宋体" w:hint="default"/>
                <w:spacing w:val="-72"/>
                <w:sz w:val="15"/>
                <w:szCs w:val="15"/>
              </w:rPr>
              <w:t> </w:t>
            </w:r>
            <w:r>
              <w:rPr>
                <w:rFonts w:ascii="宋体" w:hAnsi="宋体" w:cs="宋体" w:eastAsia="宋体" w:hint="default"/>
                <w:sz w:val="15"/>
                <w:szCs w:val="15"/>
              </w:rPr>
              <w:t>损益</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1" w:right="99" w:hanging="48"/>
              <w:jc w:val="left"/>
              <w:rPr>
                <w:rFonts w:ascii="宋体" w:hAnsi="宋体" w:cs="宋体" w:eastAsia="宋体" w:hint="default"/>
                <w:sz w:val="15"/>
                <w:szCs w:val="15"/>
              </w:rPr>
            </w:pPr>
            <w:r>
              <w:rPr>
                <w:rFonts w:ascii="宋体" w:hAnsi="宋体" w:cs="宋体" w:eastAsia="宋体" w:hint="default"/>
                <w:spacing w:val="-18"/>
                <w:sz w:val="15"/>
                <w:szCs w:val="15"/>
              </w:rPr>
              <w:t>减：所</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得税</w:t>
            </w:r>
            <w:r>
              <w:rPr>
                <w:rFonts w:ascii="宋体" w:hAnsi="宋体" w:cs="宋体" w:eastAsia="宋体" w:hint="default"/>
                <w:w w:val="100"/>
                <w:sz w:val="15"/>
                <w:szCs w:val="15"/>
              </w:rPr>
              <w:t> </w:t>
            </w:r>
            <w:r>
              <w:rPr>
                <w:rFonts w:ascii="宋体" w:hAnsi="宋体" w:cs="宋体" w:eastAsia="宋体" w:hint="default"/>
                <w:sz w:val="15"/>
                <w:szCs w:val="15"/>
              </w:rPr>
              <w:t>费用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3" w:right="154" w:hanging="300"/>
              <w:jc w:val="left"/>
              <w:rPr>
                <w:rFonts w:ascii="宋体" w:hAnsi="宋体" w:cs="宋体" w:eastAsia="宋体" w:hint="default"/>
                <w:sz w:val="15"/>
                <w:szCs w:val="15"/>
              </w:rPr>
            </w:pPr>
            <w:r>
              <w:rPr>
                <w:rFonts w:ascii="宋体" w:hAnsi="宋体" w:cs="宋体" w:eastAsia="宋体" w:hint="default"/>
                <w:sz w:val="15"/>
                <w:szCs w:val="15"/>
              </w:rPr>
              <w:t>税后归属于母</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5" w:right="140" w:hanging="377"/>
              <w:jc w:val="left"/>
              <w:rPr>
                <w:rFonts w:ascii="宋体" w:hAnsi="宋体" w:cs="宋体" w:eastAsia="宋体" w:hint="default"/>
                <w:sz w:val="15"/>
                <w:szCs w:val="15"/>
              </w:rPr>
            </w:pPr>
            <w:r>
              <w:rPr>
                <w:rFonts w:ascii="宋体" w:hAnsi="宋体" w:cs="宋体" w:eastAsia="宋体" w:hint="default"/>
                <w:sz w:val="15"/>
                <w:szCs w:val="15"/>
              </w:rPr>
              <w:t>税后归属于少数</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股东</w:t>
            </w:r>
          </w:p>
        </w:tc>
        <w:tc>
          <w:tcPr>
            <w:tcW w:w="1308" w:type="dxa"/>
            <w:vMerge/>
            <w:tcBorders>
              <w:left w:val="single" w:sz="4" w:space="0" w:color="000000"/>
              <w:bottom w:val="single" w:sz="4" w:space="0" w:color="000000"/>
              <w:right w:val="single" w:sz="4" w:space="0" w:color="000000"/>
            </w:tcBorders>
          </w:tcPr>
          <w:p>
            <w:pPr/>
          </w:p>
        </w:tc>
      </w:tr>
      <w:tr>
        <w:trPr>
          <w:trHeight w:val="59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一、以后不能重</w:t>
            </w:r>
          </w:p>
          <w:p>
            <w:pPr>
              <w:pStyle w:val="TableParagraph"/>
              <w:spacing w:line="240" w:lineRule="auto"/>
              <w:ind w:left="100" w:right="144"/>
              <w:jc w:val="left"/>
              <w:rPr>
                <w:rFonts w:ascii="宋体" w:hAnsi="宋体" w:cs="宋体" w:eastAsia="宋体" w:hint="default"/>
                <w:sz w:val="15"/>
                <w:szCs w:val="15"/>
              </w:rPr>
            </w:pPr>
            <w:r>
              <w:rPr>
                <w:rFonts w:ascii="宋体" w:hAnsi="宋体" w:cs="宋体" w:eastAsia="宋体" w:hint="default"/>
                <w:sz w:val="15"/>
                <w:szCs w:val="15"/>
              </w:rPr>
              <w:t>分类进损益的其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他综合收益</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r>
      <w:tr>
        <w:trPr>
          <w:trHeight w:val="78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其中：重新计算</w:t>
            </w:r>
          </w:p>
          <w:p>
            <w:pPr>
              <w:pStyle w:val="TableParagraph"/>
              <w:spacing w:line="240" w:lineRule="auto"/>
              <w:ind w:left="100" w:right="144"/>
              <w:jc w:val="both"/>
              <w:rPr>
                <w:rFonts w:ascii="宋体" w:hAnsi="宋体" w:cs="宋体" w:eastAsia="宋体" w:hint="default"/>
                <w:sz w:val="15"/>
                <w:szCs w:val="15"/>
              </w:rPr>
            </w:pPr>
            <w:r>
              <w:rPr>
                <w:rFonts w:ascii="宋体" w:hAnsi="宋体" w:cs="宋体" w:eastAsia="宋体" w:hint="default"/>
                <w:sz w:val="15"/>
                <w:szCs w:val="15"/>
              </w:rPr>
              <w:t>设定受益计划净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负债和净资产的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变动</w:t>
            </w: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firstLine="151"/>
              <w:jc w:val="left"/>
              <w:rPr>
                <w:rFonts w:ascii="宋体" w:hAnsi="宋体" w:cs="宋体" w:eastAsia="宋体" w:hint="default"/>
                <w:sz w:val="15"/>
                <w:szCs w:val="15"/>
              </w:rPr>
            </w:pPr>
            <w:r>
              <w:rPr>
                <w:rFonts w:ascii="宋体" w:hAnsi="宋体" w:cs="宋体" w:eastAsia="宋体" w:hint="default"/>
                <w:sz w:val="15"/>
                <w:szCs w:val="15"/>
              </w:rPr>
              <w:t>权益法下在被</w:t>
            </w:r>
          </w:p>
          <w:p>
            <w:pPr>
              <w:pStyle w:val="TableParagraph"/>
              <w:spacing w:line="240" w:lineRule="auto"/>
              <w:ind w:left="100" w:right="144"/>
              <w:jc w:val="both"/>
              <w:rPr>
                <w:rFonts w:ascii="宋体" w:hAnsi="宋体" w:cs="宋体" w:eastAsia="宋体" w:hint="default"/>
                <w:sz w:val="15"/>
                <w:szCs w:val="15"/>
              </w:rPr>
            </w:pPr>
            <w:r>
              <w:rPr>
                <w:rFonts w:ascii="宋体" w:hAnsi="宋体" w:cs="宋体" w:eastAsia="宋体" w:hint="default"/>
                <w:sz w:val="15"/>
                <w:szCs w:val="15"/>
              </w:rPr>
              <w:t>投资单位不能重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分类进损益的其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他综合收益中享</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有的份额</w:t>
            </w: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311"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11"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二、以后将重分</w:t>
            </w:r>
          </w:p>
          <w:p>
            <w:pPr>
              <w:pStyle w:val="TableParagraph"/>
              <w:spacing w:line="240" w:lineRule="auto"/>
              <w:ind w:left="100" w:right="144"/>
              <w:jc w:val="left"/>
              <w:rPr>
                <w:rFonts w:ascii="宋体" w:hAnsi="宋体" w:cs="宋体" w:eastAsia="宋体" w:hint="default"/>
                <w:sz w:val="15"/>
                <w:szCs w:val="15"/>
              </w:rPr>
            </w:pPr>
            <w:r>
              <w:rPr>
                <w:rFonts w:ascii="宋体" w:hAnsi="宋体" w:cs="宋体" w:eastAsia="宋体" w:hint="default"/>
                <w:sz w:val="15"/>
                <w:szCs w:val="15"/>
              </w:rPr>
              <w:t>类进损益的其他</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综合收益</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8" w:right="0"/>
              <w:jc w:val="left"/>
              <w:rPr>
                <w:rFonts w:ascii="宋体" w:hAnsi="宋体" w:cs="宋体" w:eastAsia="宋体" w:hint="default"/>
                <w:sz w:val="15"/>
                <w:szCs w:val="15"/>
              </w:rPr>
            </w:pPr>
            <w:r>
              <w:rPr>
                <w:rFonts w:ascii="宋体"/>
                <w:sz w:val="15"/>
              </w:rPr>
              <w:t>-51,603,784.39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32,628,547.56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25,459,718.62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7,168,828.94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-26,144,065.77</w:t>
            </w:r>
          </w:p>
        </w:tc>
      </w:tr>
      <w:tr>
        <w:trPr>
          <w:trHeight w:val="98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其中：权益法下</w:t>
            </w:r>
          </w:p>
          <w:p>
            <w:pPr>
              <w:pStyle w:val="TableParagraph"/>
              <w:spacing w:line="240" w:lineRule="auto"/>
              <w:ind w:left="100" w:right="144"/>
              <w:jc w:val="both"/>
              <w:rPr>
                <w:rFonts w:ascii="宋体" w:hAnsi="宋体" w:cs="宋体" w:eastAsia="宋体" w:hint="default"/>
                <w:sz w:val="15"/>
                <w:szCs w:val="15"/>
              </w:rPr>
            </w:pPr>
            <w:r>
              <w:rPr>
                <w:rFonts w:ascii="宋体" w:hAnsi="宋体" w:cs="宋体" w:eastAsia="宋体" w:hint="default"/>
                <w:sz w:val="15"/>
                <w:szCs w:val="15"/>
              </w:rPr>
              <w:t>在被投资单位以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后将重分类进损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益的其他综合收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益中享有的份额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-107,067.63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62,855.11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41,170.10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21,685.01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-65,897.53</w:t>
            </w:r>
          </w:p>
        </w:tc>
      </w:tr>
      <w:tr>
        <w:trPr>
          <w:trHeight w:val="59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firstLine="151"/>
              <w:jc w:val="left"/>
              <w:rPr>
                <w:rFonts w:ascii="宋体" w:hAnsi="宋体" w:cs="宋体" w:eastAsia="宋体" w:hint="default"/>
                <w:sz w:val="15"/>
                <w:szCs w:val="15"/>
              </w:rPr>
            </w:pPr>
            <w:r>
              <w:rPr>
                <w:rFonts w:ascii="宋体" w:hAnsi="宋体" w:cs="宋体" w:eastAsia="宋体" w:hint="default"/>
                <w:sz w:val="15"/>
                <w:szCs w:val="15"/>
              </w:rPr>
              <w:t>可供出售金融</w:t>
            </w:r>
          </w:p>
          <w:p>
            <w:pPr>
              <w:pStyle w:val="TableParagraph"/>
              <w:spacing w:line="240" w:lineRule="auto"/>
              <w:ind w:left="100" w:right="144"/>
              <w:jc w:val="left"/>
              <w:rPr>
                <w:rFonts w:ascii="宋体" w:hAnsi="宋体" w:cs="宋体" w:eastAsia="宋体" w:hint="default"/>
                <w:sz w:val="15"/>
                <w:szCs w:val="15"/>
              </w:rPr>
            </w:pPr>
            <w:r>
              <w:rPr>
                <w:rFonts w:ascii="宋体" w:hAnsi="宋体" w:cs="宋体" w:eastAsia="宋体" w:hint="default"/>
                <w:sz w:val="15"/>
                <w:szCs w:val="15"/>
              </w:rPr>
              <w:t>资产公允价值变</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动损益</w:t>
            </w: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firstLine="151"/>
              <w:jc w:val="left"/>
              <w:rPr>
                <w:rFonts w:ascii="宋体" w:hAnsi="宋体" w:cs="宋体" w:eastAsia="宋体" w:hint="default"/>
                <w:sz w:val="15"/>
                <w:szCs w:val="15"/>
              </w:rPr>
            </w:pPr>
            <w:r>
              <w:rPr>
                <w:rFonts w:ascii="宋体" w:hAnsi="宋体" w:cs="宋体" w:eastAsia="宋体" w:hint="default"/>
                <w:sz w:val="15"/>
                <w:szCs w:val="15"/>
              </w:rPr>
              <w:t>持有至到期投</w:t>
            </w:r>
          </w:p>
          <w:p>
            <w:pPr>
              <w:pStyle w:val="TableParagraph"/>
              <w:spacing w:line="240" w:lineRule="auto"/>
              <w:ind w:left="100" w:right="144"/>
              <w:jc w:val="both"/>
              <w:rPr>
                <w:rFonts w:ascii="宋体" w:hAnsi="宋体" w:cs="宋体" w:eastAsia="宋体" w:hint="default"/>
                <w:sz w:val="15"/>
                <w:szCs w:val="15"/>
              </w:rPr>
            </w:pPr>
            <w:r>
              <w:rPr>
                <w:rFonts w:ascii="宋体" w:hAnsi="宋体" w:cs="宋体" w:eastAsia="宋体" w:hint="default"/>
                <w:sz w:val="15"/>
                <w:szCs w:val="15"/>
              </w:rPr>
              <w:t>资重分类为可供</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出售金融资产损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w:t>
            </w: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firstLine="151"/>
              <w:jc w:val="left"/>
              <w:rPr>
                <w:rFonts w:ascii="宋体" w:hAnsi="宋体" w:cs="宋体" w:eastAsia="宋体" w:hint="default"/>
                <w:sz w:val="15"/>
                <w:szCs w:val="15"/>
              </w:rPr>
            </w:pPr>
            <w:r>
              <w:rPr>
                <w:rFonts w:ascii="宋体" w:hAnsi="宋体" w:cs="宋体" w:eastAsia="宋体" w:hint="default"/>
                <w:sz w:val="15"/>
                <w:szCs w:val="15"/>
              </w:rPr>
              <w:t>现金流量套期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损益的有效部分</w:t>
            </w: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2" w:right="0"/>
              <w:jc w:val="left"/>
              <w:rPr>
                <w:rFonts w:ascii="宋体" w:hAnsi="宋体" w:cs="宋体" w:eastAsia="宋体" w:hint="default"/>
                <w:sz w:val="15"/>
                <w:szCs w:val="15"/>
              </w:rPr>
            </w:pPr>
            <w:r>
              <w:rPr>
                <w:rFonts w:ascii="宋体" w:hAnsi="宋体" w:cs="宋体" w:eastAsia="宋体" w:hint="default"/>
                <w:sz w:val="15"/>
                <w:szCs w:val="15"/>
              </w:rPr>
              <w:t>外币财务报表</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折算差额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-51,496,716.76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32,565,692.45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25,418,548.52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7,147,143.93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-26,078,168.24</w:t>
            </w:r>
          </w:p>
        </w:tc>
      </w:tr>
      <w:tr>
        <w:trPr>
          <w:trHeight w:val="204" w:hRule="exact"/>
        </w:trPr>
        <w:tc>
          <w:tcPr>
            <w:tcW w:w="1311"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11"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其他综合收益合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计</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-51,603,784.39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32,628,547.56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25,459,718.62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7,168,828.94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-26,144,065.77</w:t>
            </w:r>
          </w:p>
        </w:tc>
      </w:tr>
    </w:tbl>
    <w:p>
      <w:pPr>
        <w:spacing w:line="240" w:lineRule="auto" w:before="5"/>
        <w:rPr>
          <w:rFonts w:ascii="宋体" w:hAnsi="宋体" w:cs="宋体" w:eastAsia="宋体" w:hint="default"/>
          <w:sz w:val="23"/>
          <w:szCs w:val="23"/>
        </w:rPr>
      </w:pPr>
    </w:p>
    <w:p>
      <w:pPr>
        <w:pStyle w:val="BodyText"/>
        <w:spacing w:line="310" w:lineRule="exact" w:before="58"/>
        <w:ind w:left="517" w:right="69"/>
        <w:jc w:val="left"/>
      </w:pPr>
      <w:r>
        <w:rPr/>
        <w:t>其他说明，包括对现金流量套期损益的有效部分转为被套期项目初始确认金额调整：</w:t>
      </w:r>
      <w:r>
        <w:rPr>
          <w:spacing w:val="-63"/>
        </w:rPr>
        <w:t> </w:t>
      </w:r>
      <w:r>
        <w:rPr>
          <w:spacing w:val="-63"/>
        </w:rPr>
      </w:r>
      <w:r>
        <w:rPr/>
        <w:t>无</w:t>
      </w:r>
    </w:p>
    <w:p>
      <w:pPr>
        <w:spacing w:line="240" w:lineRule="auto" w:before="9"/>
        <w:rPr>
          <w:rFonts w:ascii="宋体" w:hAnsi="宋体" w:cs="宋体" w:eastAsia="宋体" w:hint="default"/>
          <w:sz w:val="30"/>
          <w:szCs w:val="30"/>
        </w:rPr>
      </w:pPr>
    </w:p>
    <w:p>
      <w:pPr>
        <w:pStyle w:val="Heading2"/>
        <w:spacing w:line="240" w:lineRule="auto" w:before="0"/>
        <w:ind w:left="517" w:right="69"/>
        <w:jc w:val="left"/>
        <w:rPr>
          <w:b w:val="0"/>
          <w:bCs w:val="0"/>
        </w:rPr>
      </w:pPr>
      <w:r>
        <w:rPr>
          <w:rFonts w:ascii="宋体" w:hAnsi="宋体" w:cs="宋体" w:eastAsia="宋体" w:hint="default"/>
        </w:rPr>
        <w:t>58</w:t>
      </w:r>
      <w:r>
        <w:rPr/>
        <w:t>、</w:t>
      </w:r>
      <w:r>
        <w:rPr>
          <w:spacing w:val="-101"/>
        </w:rPr>
        <w:t> </w:t>
      </w:r>
      <w:r>
        <w:rPr/>
        <w:t>专项储备</w:t>
      </w:r>
      <w:r>
        <w:rPr>
          <w:b w:val="0"/>
          <w:bCs w:val="0"/>
        </w:rPr>
      </w:r>
    </w:p>
    <w:p>
      <w:pPr>
        <w:pStyle w:val="BodyText"/>
        <w:spacing w:line="240" w:lineRule="auto" w:before="55"/>
        <w:ind w:left="517" w:right="69"/>
        <w:jc w:val="left"/>
      </w:pPr>
      <w:r>
        <w:rPr/>
        <w:t>□适用</w:t>
      </w:r>
      <w:r>
        <w:rPr>
          <w:spacing w:val="-1"/>
        </w:rPr>
        <w:t> </w:t>
      </w:r>
      <w:r>
        <w:rPr/>
        <w:t>√不适用</w:t>
      </w:r>
    </w:p>
    <w:p>
      <w:pPr>
        <w:spacing w:line="240" w:lineRule="auto" w:before="4"/>
        <w:rPr>
          <w:rFonts w:ascii="宋体" w:hAnsi="宋体" w:cs="宋体" w:eastAsia="宋体" w:hint="default"/>
          <w:sz w:val="26"/>
          <w:szCs w:val="26"/>
        </w:rPr>
      </w:pPr>
    </w:p>
    <w:p>
      <w:pPr>
        <w:pStyle w:val="Heading2"/>
        <w:spacing w:line="240" w:lineRule="auto"/>
        <w:ind w:left="517" w:right="69"/>
        <w:jc w:val="left"/>
        <w:rPr>
          <w:b w:val="0"/>
          <w:bCs w:val="0"/>
        </w:rPr>
      </w:pPr>
      <w:r>
        <w:rPr>
          <w:rFonts w:ascii="宋体" w:hAnsi="宋体" w:cs="宋体" w:eastAsia="宋体" w:hint="default"/>
        </w:rPr>
        <w:t>59</w:t>
      </w:r>
      <w:r>
        <w:rPr/>
        <w:t>、</w:t>
      </w:r>
      <w:r>
        <w:rPr>
          <w:spacing w:val="-101"/>
        </w:rPr>
        <w:t> </w:t>
      </w:r>
      <w:r>
        <w:rPr/>
        <w:t>盈余公积</w:t>
      </w:r>
      <w:r>
        <w:rPr>
          <w:b w:val="0"/>
          <w:bCs w:val="0"/>
        </w:rPr>
      </w:r>
    </w:p>
    <w:p>
      <w:pPr>
        <w:pStyle w:val="BodyText"/>
        <w:tabs>
          <w:tab w:pos="1199" w:val="left" w:leader="none"/>
        </w:tabs>
        <w:spacing w:line="240" w:lineRule="auto" w:before="55"/>
        <w:ind w:left="0" w:right="3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478"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143,808,147.91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6,742,848.28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w w:val="100"/>
                <w:sz w:val="21"/>
              </w:rPr>
              <w:t>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150,550,996.19</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760" w:right="146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0"/>
              <w:jc w:val="right"/>
              <w:rPr>
                <w:rFonts w:ascii="宋体" w:hAnsi="宋体" w:cs="宋体" w:eastAsia="宋体" w:hint="default"/>
                <w:sz w:val="21"/>
                <w:szCs w:val="21"/>
              </w:rPr>
            </w:pPr>
            <w:r>
              <w:rPr>
                <w:rFonts w:ascii="宋体"/>
                <w:spacing w:val="-1"/>
                <w:sz w:val="21"/>
              </w:rPr>
              <w:t>32,391,282.92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2"/>
              <w:jc w:val="right"/>
              <w:rPr>
                <w:rFonts w:ascii="宋体" w:hAnsi="宋体" w:cs="宋体" w:eastAsia="宋体" w:hint="default"/>
                <w:sz w:val="21"/>
                <w:szCs w:val="21"/>
              </w:rPr>
            </w:pPr>
            <w:r>
              <w:rPr>
                <w:rFonts w:ascii="宋体"/>
                <w:w w:val="100"/>
                <w:sz w:val="21"/>
              </w:rPr>
              <w:t>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w w:val="100"/>
                <w:sz w:val="21"/>
              </w:rPr>
              <w:t>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0"/>
              <w:jc w:val="right"/>
              <w:rPr>
                <w:rFonts w:ascii="宋体" w:hAnsi="宋体" w:cs="宋体" w:eastAsia="宋体" w:hint="default"/>
                <w:sz w:val="21"/>
                <w:szCs w:val="21"/>
              </w:rPr>
            </w:pPr>
            <w:r>
              <w:rPr>
                <w:rFonts w:ascii="宋体"/>
                <w:spacing w:val="-1"/>
                <w:sz w:val="21"/>
              </w:rPr>
              <w:t>32,391,282.92</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176,199,430.83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6,742,848.28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w w:val="100"/>
                <w:sz w:val="21"/>
              </w:rPr>
              <w:t>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182,942,279.11</w:t>
            </w:r>
          </w:p>
        </w:tc>
      </w:tr>
    </w:tbl>
    <w:p>
      <w:pPr>
        <w:spacing w:line="240" w:lineRule="auto" w:before="5"/>
        <w:rPr>
          <w:rFonts w:ascii="宋体" w:hAnsi="宋体" w:cs="宋体" w:eastAsia="宋体" w:hint="default"/>
          <w:sz w:val="23"/>
          <w:szCs w:val="23"/>
        </w:rPr>
      </w:pPr>
    </w:p>
    <w:p>
      <w:pPr>
        <w:pStyle w:val="BodyText"/>
        <w:spacing w:line="283" w:lineRule="auto" w:before="26"/>
        <w:ind w:left="157" w:right="3049"/>
        <w:jc w:val="left"/>
      </w:pPr>
      <w:r>
        <w:rPr/>
        <w:t>盈余公积说明，包括本期增减变动情况、变动原因说明： 无</w:t>
      </w:r>
    </w:p>
    <w:p>
      <w:pPr>
        <w:spacing w:line="240" w:lineRule="auto" w:before="11"/>
        <w:rPr>
          <w:rFonts w:ascii="宋体" w:hAnsi="宋体" w:cs="宋体" w:eastAsia="宋体" w:hint="default"/>
          <w:sz w:val="22"/>
          <w:szCs w:val="22"/>
        </w:rPr>
      </w:pPr>
    </w:p>
    <w:p>
      <w:pPr>
        <w:pStyle w:val="Heading2"/>
        <w:spacing w:line="240" w:lineRule="auto"/>
        <w:ind w:left="157" w:right="102"/>
        <w:jc w:val="left"/>
        <w:rPr>
          <w:b w:val="0"/>
          <w:bCs w:val="0"/>
        </w:rPr>
      </w:pPr>
      <w:r>
        <w:rPr>
          <w:rFonts w:ascii="宋体" w:hAnsi="宋体" w:cs="宋体" w:eastAsia="宋体" w:hint="default"/>
        </w:rPr>
        <w:t>60</w:t>
      </w:r>
      <w:r>
        <w:rPr/>
        <w:t>、</w:t>
      </w:r>
      <w:r>
        <w:rPr>
          <w:spacing w:val="-102"/>
        </w:rPr>
        <w:t> </w:t>
      </w:r>
      <w:r>
        <w:rPr/>
        <w:t>未分配利润</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31"/>
        <w:gridCol w:w="2777"/>
        <w:gridCol w:w="2689"/>
      </w:tblGrid>
      <w:tr>
        <w:trPr>
          <w:trHeight w:val="28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937,991,781.97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880,598,946.55</w:t>
            </w:r>
          </w:p>
        </w:tc>
      </w:tr>
      <w:tr>
        <w:trPr>
          <w:trHeight w:val="55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3,874,805.86</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937,991,781.97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884,473,752.41</w:t>
            </w:r>
          </w:p>
        </w:tc>
      </w:tr>
      <w:tr>
        <w:trPr>
          <w:trHeight w:val="55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51,770,171.12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95,133,561.09</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6,742,848.28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8,143,278.49</w:t>
            </w:r>
          </w:p>
        </w:tc>
      </w:tr>
      <w:tr>
        <w:trPr>
          <w:trHeight w:val="28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39,521,620.73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35,059,502.54</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-17,330.94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-1,587,249.50</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943,514,815.02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937,991,781.97</w:t>
            </w:r>
          </w:p>
        </w:tc>
      </w:tr>
    </w:tbl>
    <w:p>
      <w:pPr>
        <w:spacing w:line="240" w:lineRule="auto" w:before="5"/>
        <w:rPr>
          <w:rFonts w:ascii="宋体" w:hAnsi="宋体" w:cs="宋体" w:eastAsia="宋体" w:hint="default"/>
          <w:sz w:val="23"/>
          <w:szCs w:val="23"/>
        </w:rPr>
      </w:pPr>
    </w:p>
    <w:p>
      <w:pPr>
        <w:pStyle w:val="BodyText"/>
        <w:tabs>
          <w:tab w:pos="9028" w:val="left" w:leader="none"/>
        </w:tabs>
        <w:spacing w:line="261" w:lineRule="auto" w:before="26"/>
        <w:ind w:left="157" w:right="178"/>
        <w:jc w:val="left"/>
      </w:pPr>
      <w:r>
        <w:rPr/>
        <w:t>调整期初未分配利润明细： </w:t>
      </w:r>
      <w:r>
        <w:rPr>
          <w:rFonts w:ascii="宋体" w:hAnsi="宋体" w:cs="宋体" w:eastAsia="宋体" w:hint="default"/>
        </w:rPr>
        <w:t>1</w:t>
      </w:r>
      <w:r>
        <w:rPr/>
        <w:t>、由于《企业会计准则》及其相关新规定进行追溯调整，影响期初未分配利润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FF"/>
        </w:rPr>
        <w:t> </w:t>
        <w:tab/>
      </w:r>
      <w:r>
        <w:rPr>
          <w:rFonts w:ascii="Times New Roman" w:hAnsi="Times New Roman" w:cs="Times New Roman" w:eastAsia="Times New Roman" w:hint="default"/>
          <w:w w:val="28"/>
          <w:u w:val="single" w:color="0000FF"/>
        </w:rPr>
        <w:t> </w:t>
      </w:r>
      <w:r>
        <w:rPr>
          <w:rFonts w:ascii="Times New Roman" w:hAnsi="Times New Roman" w:cs="Times New Roman" w:eastAsia="Times New Roman" w:hint="default"/>
          <w:u w:val="single" w:color="0000FF"/>
        </w:rPr>
      </w:r>
      <w:r>
        <w:rPr>
          <w:rFonts w:ascii="Times New Roman" w:hAnsi="Times New Roman" w:cs="Times New Roman" w:eastAsia="Times New Roman" w:hint="default"/>
        </w:rPr>
      </w:r>
      <w:r>
        <w:rPr>
          <w:rFonts w:ascii="Times New Roman" w:hAnsi="Times New Roman" w:cs="Times New Roman" w:eastAsia="Times New Roman" w:hint="default"/>
        </w:rPr>
        <w:t> </w:t>
      </w:r>
      <w:r>
        <w:rPr/>
        <w:t>元。</w:t>
      </w:r>
    </w:p>
    <w:p>
      <w:pPr>
        <w:pStyle w:val="BodyText"/>
        <w:tabs>
          <w:tab w:pos="5613" w:val="left" w:leader="none"/>
        </w:tabs>
        <w:spacing w:line="288" w:lineRule="exact"/>
        <w:ind w:left="157" w:right="102"/>
        <w:jc w:val="left"/>
      </w:pPr>
      <w:r>
        <w:rPr>
          <w:rFonts w:ascii="宋体" w:hAnsi="宋体" w:cs="宋体" w:eastAsia="宋体" w:hint="default"/>
        </w:rPr>
        <w:t>2</w:t>
      </w:r>
      <w:r>
        <w:rPr/>
        <w:t>、由于会计政策变更，影响期初未分配利润</w:t>
      </w:r>
      <w:r>
        <w:rPr>
          <w:rFonts w:ascii="Times New Roman" w:hAnsi="Times New Roman" w:cs="Times New Roman" w:eastAsia="Times New Roman" w:hint="default"/>
        </w:rPr>
      </w:r>
      <w:r>
        <w:rPr>
          <w:rFonts w:ascii="Times New Roman" w:hAnsi="Times New Roman" w:cs="Times New Roman" w:eastAsia="Times New Roman" w:hint="default"/>
          <w:u w:val="single" w:color="0000FF"/>
        </w:rPr>
        <w:t> </w:t>
        <w:tab/>
      </w:r>
      <w:r>
        <w:rPr>
          <w:rFonts w:ascii="Times New Roman" w:hAnsi="Times New Roman" w:cs="Times New Roman" w:eastAsia="Times New Roman" w:hint="default"/>
        </w:rPr>
      </w:r>
      <w:r>
        <w:rPr/>
        <w:t>元。</w:t>
      </w:r>
    </w:p>
    <w:p>
      <w:pPr>
        <w:pStyle w:val="BodyText"/>
        <w:tabs>
          <w:tab w:pos="6093" w:val="left" w:leader="none"/>
        </w:tabs>
        <w:spacing w:line="311" w:lineRule="exact"/>
        <w:ind w:left="157" w:right="102"/>
        <w:jc w:val="left"/>
      </w:pPr>
      <w:r>
        <w:rPr>
          <w:rFonts w:ascii="宋体" w:hAnsi="宋体" w:cs="宋体" w:eastAsia="宋体" w:hint="default"/>
        </w:rPr>
        <w:t>3</w:t>
      </w:r>
      <w:r>
        <w:rPr/>
        <w:t>、由于重大会计差错更正，影响期初未分配利润</w:t>
      </w:r>
      <w:r>
        <w:rPr>
          <w:rFonts w:ascii="Times New Roman" w:hAnsi="Times New Roman" w:cs="Times New Roman" w:eastAsia="Times New Roman" w:hint="default"/>
        </w:rPr>
      </w:r>
      <w:r>
        <w:rPr>
          <w:rFonts w:ascii="Times New Roman" w:hAnsi="Times New Roman" w:cs="Times New Roman" w:eastAsia="Times New Roman" w:hint="default"/>
          <w:u w:val="single" w:color="0000FF"/>
        </w:rPr>
        <w:t> </w:t>
        <w:tab/>
      </w:r>
      <w:r>
        <w:rPr>
          <w:rFonts w:ascii="Times New Roman" w:hAnsi="Times New Roman" w:cs="Times New Roman" w:eastAsia="Times New Roman" w:hint="default"/>
        </w:rPr>
      </w:r>
      <w:r>
        <w:rPr/>
        <w:t>元。</w:t>
      </w:r>
    </w:p>
    <w:p>
      <w:pPr>
        <w:pStyle w:val="BodyText"/>
        <w:tabs>
          <w:tab w:pos="7293" w:val="left" w:leader="none"/>
        </w:tabs>
        <w:spacing w:line="312" w:lineRule="exact"/>
        <w:ind w:left="157" w:right="102"/>
        <w:jc w:val="left"/>
      </w:pPr>
      <w:r>
        <w:rPr>
          <w:rFonts w:ascii="宋体" w:hAnsi="宋体" w:cs="宋体" w:eastAsia="宋体" w:hint="default"/>
        </w:rPr>
        <w:t>4</w:t>
      </w:r>
      <w:r>
        <w:rPr/>
        <w:t>、由于同一控制导致的合并范围变更，影响期初未分配利润</w:t>
      </w:r>
      <w:r>
        <w:rPr>
          <w:rFonts w:ascii="Times New Roman" w:hAnsi="Times New Roman" w:cs="Times New Roman" w:eastAsia="Times New Roman" w:hint="default"/>
        </w:rPr>
      </w:r>
      <w:r>
        <w:rPr>
          <w:rFonts w:ascii="Times New Roman" w:hAnsi="Times New Roman" w:cs="Times New Roman" w:eastAsia="Times New Roman" w:hint="default"/>
          <w:u w:val="single" w:color="0000FF"/>
        </w:rPr>
        <w:t> </w:t>
        <w:tab/>
      </w:r>
      <w:r>
        <w:rPr>
          <w:rFonts w:ascii="Times New Roman" w:hAnsi="Times New Roman" w:cs="Times New Roman" w:eastAsia="Times New Roman" w:hint="default"/>
        </w:rPr>
      </w:r>
      <w:r>
        <w:rPr/>
        <w:t>元。</w:t>
      </w:r>
    </w:p>
    <w:p>
      <w:pPr>
        <w:pStyle w:val="BodyText"/>
        <w:tabs>
          <w:tab w:pos="4892" w:val="left" w:leader="none"/>
        </w:tabs>
        <w:spacing w:line="310" w:lineRule="exact" w:before="31"/>
        <w:ind w:left="157" w:right="3786"/>
        <w:jc w:val="left"/>
      </w:pPr>
      <w:r>
        <w:rPr>
          <w:rFonts w:ascii="宋体" w:hAnsi="宋体" w:cs="宋体" w:eastAsia="宋体" w:hint="default"/>
        </w:rPr>
        <w:t>5</w:t>
      </w:r>
      <w:r>
        <w:rPr/>
        <w:t>、其他调整合计影响期初未分配利润</w:t>
      </w:r>
      <w:r>
        <w:rPr>
          <w:rFonts w:ascii="Times New Roman" w:hAnsi="Times New Roman" w:cs="Times New Roman" w:eastAsia="Times New Roman" w:hint="default"/>
        </w:rPr>
      </w:r>
      <w:r>
        <w:rPr>
          <w:rFonts w:ascii="Times New Roman" w:hAnsi="Times New Roman" w:cs="Times New Roman" w:eastAsia="Times New Roman" w:hint="default"/>
          <w:u w:val="single" w:color="0000FF"/>
        </w:rPr>
        <w:t> </w:t>
        <w:tab/>
      </w:r>
      <w:r>
        <w:rPr>
          <w:rFonts w:ascii="Times New Roman" w:hAnsi="Times New Roman" w:cs="Times New Roman" w:eastAsia="Times New Roman" w:hint="default"/>
        </w:rPr>
      </w:r>
      <w:r>
        <w:rPr/>
        <w:t>元。 说明：其他转入详见本附注七、</w:t>
      </w:r>
      <w:r>
        <w:rPr>
          <w:rFonts w:ascii="宋体" w:hAnsi="宋体" w:cs="宋体" w:eastAsia="宋体" w:hint="default"/>
        </w:rPr>
        <w:t>55</w:t>
      </w:r>
      <w:r>
        <w:rPr/>
        <w:t>（</w:t>
      </w:r>
      <w:r>
        <w:rPr>
          <w:rFonts w:ascii="宋体" w:hAnsi="宋体" w:cs="宋体" w:eastAsia="宋体" w:hint="default"/>
        </w:rPr>
        <w:t>2</w:t>
      </w:r>
      <w:r>
        <w:rPr/>
        <w:t>）</w:t>
      </w:r>
      <w:r>
        <w:rPr>
          <w:rFonts w:ascii="宋体" w:hAnsi="宋体" w:cs="宋体" w:eastAsia="宋体" w:hint="default"/>
        </w:rPr>
        <w:t>E</w:t>
      </w:r>
      <w:r>
        <w:rPr/>
        <w:t>。</w:t>
      </w:r>
    </w:p>
    <w:p>
      <w:pPr>
        <w:spacing w:line="240" w:lineRule="auto" w:before="2"/>
        <w:rPr>
          <w:rFonts w:ascii="宋体" w:hAnsi="宋体" w:cs="宋体" w:eastAsia="宋体" w:hint="default"/>
          <w:sz w:val="24"/>
          <w:szCs w:val="24"/>
        </w:rPr>
      </w:pPr>
    </w:p>
    <w:p>
      <w:pPr>
        <w:pStyle w:val="Heading2"/>
        <w:spacing w:line="240" w:lineRule="auto"/>
        <w:ind w:left="157" w:right="102"/>
        <w:jc w:val="left"/>
        <w:rPr>
          <w:b w:val="0"/>
          <w:bCs w:val="0"/>
        </w:rPr>
      </w:pPr>
      <w:r>
        <w:rPr>
          <w:rFonts w:ascii="宋体" w:hAnsi="宋体" w:cs="宋体" w:eastAsia="宋体" w:hint="default"/>
        </w:rPr>
        <w:t>61</w:t>
      </w:r>
      <w:r>
        <w:rPr/>
        <w:t>、</w:t>
      </w:r>
      <w:r>
        <w:rPr>
          <w:spacing w:val="-103"/>
        </w:rPr>
        <w:t> </w:t>
      </w:r>
      <w:r>
        <w:rPr/>
        <w:t>营业收入和营业成本</w:t>
      </w:r>
      <w:r>
        <w:rPr>
          <w:b w:val="0"/>
          <w:bCs w:val="0"/>
        </w:rPr>
      </w:r>
    </w:p>
    <w:p>
      <w:pPr>
        <w:pStyle w:val="BodyText"/>
        <w:tabs>
          <w:tab w:pos="1199" w:val="left" w:leader="none"/>
        </w:tabs>
        <w:spacing w:line="240" w:lineRule="auto" w:before="55"/>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4,779,251,943.49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3,976,657,293.53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4,266,047,522.84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3,473,886,065.23</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13,731,102.89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785,115.77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12,496,982.73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1,900,664.91</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4,792,983,046.38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3,977,442,409.30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4,278,544,505.57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3,475,786,730.14</w:t>
            </w:r>
          </w:p>
        </w:tc>
      </w:tr>
    </w:tbl>
    <w:p>
      <w:pPr>
        <w:spacing w:line="240" w:lineRule="auto" w:before="3"/>
        <w:rPr>
          <w:rFonts w:ascii="宋体" w:hAnsi="宋体" w:cs="宋体" w:eastAsia="宋体" w:hint="default"/>
          <w:sz w:val="23"/>
          <w:szCs w:val="23"/>
        </w:rPr>
      </w:pPr>
    </w:p>
    <w:p>
      <w:pPr>
        <w:pStyle w:val="BodyText"/>
        <w:spacing w:line="240" w:lineRule="auto" w:before="26"/>
        <w:ind w:left="157" w:right="102"/>
        <w:jc w:val="left"/>
      </w:pPr>
      <w:r>
        <w:rPr/>
        <w:t>（</w:t>
      </w:r>
      <w:r>
        <w:rPr>
          <w:rFonts w:ascii="宋体" w:hAnsi="宋体" w:cs="宋体" w:eastAsia="宋体" w:hint="default"/>
        </w:rPr>
        <w:t>1</w:t>
      </w:r>
      <w:r>
        <w:rPr/>
        <w:t>）主营业务（分业）</w:t>
      </w:r>
    </w:p>
    <w:p>
      <w:pPr>
        <w:spacing w:after="0" w:line="240" w:lineRule="auto"/>
        <w:jc w:val="left"/>
        <w:sectPr>
          <w:footerReference w:type="default" r:id="rId64"/>
          <w:pgSz w:w="11910" w:h="16840"/>
          <w:pgMar w:footer="1195" w:header="882" w:top="1120" w:bottom="1380" w:left="1120" w:right="1560"/>
          <w:pgNumType w:start="151"/>
        </w:sectPr>
      </w:pPr>
    </w:p>
    <w:p>
      <w:pPr>
        <w:spacing w:line="240" w:lineRule="auto" w:before="13"/>
        <w:rPr>
          <w:rFonts w:ascii="宋体" w:hAnsi="宋体" w:cs="宋体" w:eastAsia="宋体" w:hint="default"/>
          <w:sz w:val="18"/>
          <w:szCs w:val="18"/>
        </w:rPr>
      </w:pPr>
    </w:p>
    <w:p>
      <w:pPr>
        <w:pStyle w:val="BodyText"/>
        <w:spacing w:line="240" w:lineRule="auto" w:before="26"/>
        <w:ind w:left="0" w:right="654"/>
        <w:jc w:val="right"/>
      </w:pPr>
      <w:r>
        <w:rPr/>
        <w:t>单位：元币种：人民币</w:t>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812"/>
        <w:gridCol w:w="1911"/>
        <w:gridCol w:w="1911"/>
        <w:gridCol w:w="1910"/>
        <w:gridCol w:w="1909"/>
      </w:tblGrid>
      <w:tr>
        <w:trPr>
          <w:trHeight w:val="338"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b/>
                <w:bCs/>
                <w:sz w:val="21"/>
                <w:szCs w:val="21"/>
              </w:rPr>
              <w:t>业务名称</w:t>
            </w:r>
            <w:r>
              <w:rPr>
                <w:rFonts w:ascii="宋体" w:hAnsi="宋体" w:cs="宋体" w:eastAsia="宋体" w:hint="default"/>
                <w:sz w:val="21"/>
                <w:szCs w:val="21"/>
              </w:rPr>
            </w:r>
          </w:p>
        </w:tc>
        <w:tc>
          <w:tcPr>
            <w:tcW w:w="3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5" w:hRule="exact"/>
        </w:trPr>
        <w:tc>
          <w:tcPr>
            <w:tcW w:w="1812" w:type="dxa"/>
            <w:vMerge/>
            <w:tcBorders>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5"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6"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3,157,372,535.47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2,736,889,561.52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3,006,585,647.72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2,618,543,649.90</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7" w:right="0" w:hanging="315"/>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系统产品及</w:t>
            </w:r>
          </w:p>
          <w:p>
            <w:pPr>
              <w:pStyle w:val="TableParagraph"/>
              <w:spacing w:line="274" w:lineRule="exact"/>
              <w:ind w:left="437" w:right="0"/>
              <w:jc w:val="left"/>
              <w:rPr>
                <w:rFonts w:ascii="宋体" w:hAnsi="宋体" w:cs="宋体" w:eastAsia="宋体" w:hint="default"/>
                <w:sz w:val="21"/>
                <w:szCs w:val="21"/>
              </w:rPr>
            </w:pPr>
            <w:r>
              <w:rPr>
                <w:rFonts w:ascii="宋体" w:hAnsi="宋体" w:cs="宋体" w:eastAsia="宋体" w:hint="default"/>
                <w:sz w:val="21"/>
                <w:szCs w:val="21"/>
              </w:rPr>
              <w:t>系统集成服务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2,597,715,693.66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2,291,434,191.90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2,357,540,829.21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2,148,731,307.89</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软件及软件开发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559,656,841.81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445,455,369.62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649,044,818.51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469,812,342.01</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专业服务收入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1,332,902,041.63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983,864,498.86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1,146,379,606.33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792,878,424.54</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金融服务类收入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288,977,366.39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255,903,233.15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113,082,268.79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62,463,990.79</w:t>
            </w:r>
          </w:p>
        </w:tc>
      </w:tr>
      <w:tr>
        <w:trPr>
          <w:trHeight w:val="3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b/>
                <w:sz w:val="21"/>
              </w:rPr>
              <w:t>4,779,251,943.49</w:t>
            </w:r>
            <w:r>
              <w:rPr>
                <w:rFonts w:ascii="宋体"/>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b/>
                <w:sz w:val="21"/>
              </w:rPr>
              <w:t>3,976,657,293.53</w:t>
            </w:r>
            <w:r>
              <w:rPr>
                <w:rFonts w:ascii="宋体"/>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4"/>
              <w:jc w:val="right"/>
              <w:rPr>
                <w:rFonts w:ascii="宋体" w:hAnsi="宋体" w:cs="宋体" w:eastAsia="宋体" w:hint="default"/>
                <w:sz w:val="21"/>
                <w:szCs w:val="21"/>
              </w:rPr>
            </w:pPr>
            <w:r>
              <w:rPr>
                <w:rFonts w:ascii="宋体"/>
                <w:b/>
                <w:sz w:val="21"/>
              </w:rPr>
              <w:t>4,266,047,522.84</w:t>
            </w:r>
            <w:r>
              <w:rPr>
                <w:rFonts w:ascii="宋体"/>
                <w:sz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b/>
                <w:sz w:val="21"/>
              </w:rPr>
              <w:t>3,473,886,065.23</w:t>
            </w:r>
            <w:r>
              <w:rPr>
                <w:rFonts w:ascii="宋体"/>
                <w:sz w:val="21"/>
              </w:rPr>
            </w:r>
          </w:p>
        </w:tc>
      </w:tr>
    </w:tbl>
    <w:p>
      <w:pPr>
        <w:pStyle w:val="BodyText"/>
        <w:spacing w:line="240" w:lineRule="auto" w:before="19"/>
        <w:ind w:left="517" w:right="5380"/>
        <w:jc w:val="left"/>
      </w:pPr>
      <w:r>
        <w:rPr/>
        <w:t>（</w:t>
      </w:r>
      <w:r>
        <w:rPr>
          <w:rFonts w:ascii="宋体" w:hAnsi="宋体" w:cs="宋体" w:eastAsia="宋体" w:hint="default"/>
        </w:rPr>
        <w:t>2</w:t>
      </w:r>
      <w:r>
        <w:rPr/>
        <w:t>）主营业务（分地区）</w:t>
      </w:r>
    </w:p>
    <w:p>
      <w:pPr>
        <w:pStyle w:val="BodyText"/>
        <w:tabs>
          <w:tab w:pos="1199" w:val="left" w:leader="none"/>
        </w:tabs>
        <w:spacing w:line="240" w:lineRule="auto" w:before="58"/>
        <w:ind w:left="0" w:right="534"/>
        <w:jc w:val="right"/>
      </w:pPr>
      <w:r>
        <w:rPr/>
        <w:t>单位：元</w:t>
        <w:tab/>
        <w:t>币种：人民币</w:t>
      </w:r>
    </w:p>
    <w:p>
      <w:pPr>
        <w:spacing w:line="240" w:lineRule="auto" w:before="4"/>
        <w:rPr>
          <w:rFonts w:ascii="宋体" w:hAnsi="宋体" w:cs="宋体" w:eastAsia="宋体" w:hint="default"/>
          <w:sz w:val="7"/>
          <w:szCs w:val="7"/>
        </w:rPr>
      </w:pPr>
    </w:p>
    <w:tbl>
      <w:tblPr>
        <w:tblW w:w="0" w:type="auto"/>
        <w:jc w:val="left"/>
        <w:tblInd w:w="399" w:type="dxa"/>
        <w:tblLayout w:type="fixed"/>
        <w:tblCellMar>
          <w:top w:w="0" w:type="dxa"/>
          <w:left w:w="0" w:type="dxa"/>
          <w:bottom w:w="0" w:type="dxa"/>
          <w:right w:w="0" w:type="dxa"/>
        </w:tblCellMar>
        <w:tblLook w:val="01E0"/>
      </w:tblPr>
      <w:tblGrid>
        <w:gridCol w:w="1560"/>
        <w:gridCol w:w="1940"/>
        <w:gridCol w:w="1911"/>
        <w:gridCol w:w="2107"/>
        <w:gridCol w:w="1839"/>
      </w:tblGrid>
      <w:tr>
        <w:trPr>
          <w:trHeight w:val="341"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3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1" w:hRule="exact"/>
        </w:trPr>
        <w:tc>
          <w:tcPr>
            <w:tcW w:w="1560" w:type="dxa"/>
            <w:vMerge/>
            <w:tcBorders>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2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9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Arial" w:hAnsi="Arial" w:cs="Arial" w:eastAsia="Arial" w:hint="default"/>
                <w:sz w:val="24"/>
                <w:szCs w:val="24"/>
              </w:rPr>
            </w:pPr>
            <w:r>
              <w:rPr>
                <w:rFonts w:ascii="Arial"/>
                <w:spacing w:val="-1"/>
                <w:w w:val="80"/>
                <w:sz w:val="24"/>
              </w:rPr>
              <w:t>2,475,305,009.43</w:t>
            </w:r>
            <w:r>
              <w:rPr>
                <w:rFonts w:ascii="Arial"/>
                <w:spacing w:val="-1"/>
                <w:sz w:val="24"/>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1,992,853,021.18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Arial" w:hAnsi="Arial" w:cs="Arial" w:eastAsia="Arial" w:hint="default"/>
                <w:sz w:val="24"/>
                <w:szCs w:val="24"/>
              </w:rPr>
            </w:pPr>
            <w:r>
              <w:rPr>
                <w:rFonts w:ascii="Arial"/>
                <w:spacing w:val="-1"/>
                <w:w w:val="80"/>
                <w:sz w:val="24"/>
              </w:rPr>
              <w:t>2,111,564,390.41</w:t>
            </w:r>
            <w:r>
              <w:rPr>
                <w:rFonts w:ascii="Arial"/>
                <w:spacing w:val="-1"/>
                <w:sz w:val="24"/>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Arial" w:hAnsi="Arial" w:cs="Arial" w:eastAsia="Arial" w:hint="default"/>
                <w:sz w:val="24"/>
                <w:szCs w:val="24"/>
              </w:rPr>
            </w:pPr>
            <w:r>
              <w:rPr>
                <w:rFonts w:ascii="Arial"/>
                <w:spacing w:val="-1"/>
                <w:w w:val="80"/>
                <w:sz w:val="24"/>
              </w:rPr>
              <w:t>1,680,182,579.13</w:t>
            </w:r>
            <w:r>
              <w:rPr>
                <w:rFonts w:ascii="Arial"/>
                <w:spacing w:val="-1"/>
                <w:sz w:val="24"/>
              </w:rPr>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Arial" w:hAnsi="Arial" w:cs="Arial" w:eastAsia="Arial" w:hint="default"/>
                <w:sz w:val="24"/>
                <w:szCs w:val="24"/>
              </w:rPr>
            </w:pPr>
            <w:r>
              <w:rPr>
                <w:rFonts w:ascii="Arial"/>
                <w:spacing w:val="-1"/>
                <w:w w:val="80"/>
                <w:sz w:val="24"/>
              </w:rPr>
              <w:t>341,891,786.06</w:t>
            </w:r>
            <w:r>
              <w:rPr>
                <w:rFonts w:ascii="Arial"/>
                <w:spacing w:val="-1"/>
                <w:sz w:val="24"/>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283,990,581.70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Arial" w:hAnsi="Arial" w:cs="Arial" w:eastAsia="Arial" w:hint="default"/>
                <w:sz w:val="24"/>
                <w:szCs w:val="24"/>
              </w:rPr>
            </w:pPr>
            <w:r>
              <w:rPr>
                <w:rFonts w:ascii="Arial"/>
                <w:spacing w:val="-1"/>
                <w:w w:val="80"/>
                <w:sz w:val="24"/>
              </w:rPr>
              <w:t>251,450,615.36</w:t>
            </w:r>
            <w:r>
              <w:rPr>
                <w:rFonts w:ascii="Arial"/>
                <w:spacing w:val="-1"/>
                <w:sz w:val="24"/>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Arial" w:hAnsi="Arial" w:cs="Arial" w:eastAsia="Arial" w:hint="default"/>
                <w:sz w:val="24"/>
                <w:szCs w:val="24"/>
              </w:rPr>
            </w:pPr>
            <w:r>
              <w:rPr>
                <w:rFonts w:ascii="Arial"/>
                <w:spacing w:val="-1"/>
                <w:w w:val="80"/>
                <w:sz w:val="24"/>
              </w:rPr>
              <w:t>171,468,646.05</w:t>
            </w:r>
            <w:r>
              <w:rPr>
                <w:rFonts w:ascii="Arial"/>
                <w:spacing w:val="-1"/>
                <w:sz w:val="24"/>
              </w:rPr>
            </w:r>
          </w:p>
        </w:tc>
      </w:tr>
      <w:tr>
        <w:trPr>
          <w:trHeight w:val="2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Arial" w:hAnsi="Arial" w:cs="Arial" w:eastAsia="Arial" w:hint="default"/>
                <w:sz w:val="24"/>
                <w:szCs w:val="24"/>
              </w:rPr>
            </w:pPr>
            <w:r>
              <w:rPr>
                <w:rFonts w:ascii="Arial"/>
                <w:spacing w:val="-1"/>
                <w:w w:val="80"/>
                <w:sz w:val="24"/>
              </w:rPr>
              <w:t>256,581,078.28</w:t>
            </w:r>
            <w:r>
              <w:rPr>
                <w:rFonts w:ascii="Arial"/>
                <w:spacing w:val="-1"/>
                <w:sz w:val="24"/>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208,447,122.49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6"/>
              <w:jc w:val="right"/>
              <w:rPr>
                <w:rFonts w:ascii="Arial" w:hAnsi="Arial" w:cs="Arial" w:eastAsia="Arial" w:hint="default"/>
                <w:sz w:val="24"/>
                <w:szCs w:val="24"/>
              </w:rPr>
            </w:pPr>
            <w:r>
              <w:rPr>
                <w:rFonts w:ascii="Arial"/>
                <w:spacing w:val="-1"/>
                <w:w w:val="80"/>
                <w:sz w:val="24"/>
              </w:rPr>
              <w:t>223,163,238.64</w:t>
            </w:r>
            <w:r>
              <w:rPr>
                <w:rFonts w:ascii="Arial"/>
                <w:spacing w:val="-1"/>
                <w:sz w:val="24"/>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Arial" w:hAnsi="Arial" w:cs="Arial" w:eastAsia="Arial" w:hint="default"/>
                <w:sz w:val="24"/>
                <w:szCs w:val="24"/>
              </w:rPr>
            </w:pPr>
            <w:r>
              <w:rPr>
                <w:rFonts w:ascii="Arial"/>
                <w:spacing w:val="-1"/>
                <w:w w:val="80"/>
                <w:sz w:val="24"/>
              </w:rPr>
              <w:t>167,036,580.58</w:t>
            </w:r>
            <w:r>
              <w:rPr>
                <w:rFonts w:ascii="Arial"/>
                <w:spacing w:val="-1"/>
                <w:sz w:val="24"/>
              </w:rPr>
            </w:r>
          </w:p>
        </w:tc>
      </w:tr>
      <w:tr>
        <w:trPr>
          <w:trHeight w:val="3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西区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Arial" w:hAnsi="Arial" w:cs="Arial" w:eastAsia="Arial" w:hint="default"/>
                <w:sz w:val="24"/>
                <w:szCs w:val="24"/>
              </w:rPr>
            </w:pPr>
            <w:r>
              <w:rPr>
                <w:rFonts w:ascii="Arial"/>
                <w:spacing w:val="-1"/>
                <w:w w:val="80"/>
                <w:sz w:val="24"/>
              </w:rPr>
              <w:t>495,306,314.48</w:t>
            </w:r>
            <w:r>
              <w:rPr>
                <w:rFonts w:ascii="Arial"/>
                <w:spacing w:val="-1"/>
                <w:sz w:val="24"/>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416,469,747.79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6"/>
              <w:jc w:val="right"/>
              <w:rPr>
                <w:rFonts w:ascii="Arial" w:hAnsi="Arial" w:cs="Arial" w:eastAsia="Arial" w:hint="default"/>
                <w:sz w:val="24"/>
                <w:szCs w:val="24"/>
              </w:rPr>
            </w:pPr>
            <w:r>
              <w:rPr>
                <w:rFonts w:ascii="Arial"/>
                <w:spacing w:val="-1"/>
                <w:w w:val="80"/>
                <w:sz w:val="24"/>
              </w:rPr>
              <w:t>553,985,821.14</w:t>
            </w:r>
            <w:r>
              <w:rPr>
                <w:rFonts w:ascii="Arial"/>
                <w:spacing w:val="-1"/>
                <w:sz w:val="24"/>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Arial" w:hAnsi="Arial" w:cs="Arial" w:eastAsia="Arial" w:hint="default"/>
                <w:sz w:val="24"/>
                <w:szCs w:val="24"/>
              </w:rPr>
            </w:pPr>
            <w:r>
              <w:rPr>
                <w:rFonts w:ascii="Arial"/>
                <w:spacing w:val="-1"/>
                <w:w w:val="80"/>
                <w:sz w:val="24"/>
              </w:rPr>
              <w:t>442,308,312.34</w:t>
            </w:r>
            <w:r>
              <w:rPr>
                <w:rFonts w:ascii="Arial"/>
                <w:spacing w:val="-1"/>
                <w:sz w:val="24"/>
              </w:rPr>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港澳台及东南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亚地区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Arial" w:hAnsi="Arial" w:cs="Arial" w:eastAsia="Arial" w:hint="default"/>
                <w:sz w:val="24"/>
                <w:szCs w:val="24"/>
              </w:rPr>
            </w:pPr>
            <w:r>
              <w:rPr>
                <w:rFonts w:ascii="Arial"/>
                <w:spacing w:val="-1"/>
                <w:w w:val="80"/>
                <w:sz w:val="24"/>
              </w:rPr>
              <w:t>1,210,167,755.24</w:t>
            </w:r>
            <w:r>
              <w:rPr>
                <w:rFonts w:ascii="Arial"/>
                <w:spacing w:val="-1"/>
                <w:sz w:val="24"/>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1,074,896,820.37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6"/>
              <w:jc w:val="right"/>
              <w:rPr>
                <w:rFonts w:ascii="Arial" w:hAnsi="Arial" w:cs="Arial" w:eastAsia="Arial" w:hint="default"/>
                <w:sz w:val="24"/>
                <w:szCs w:val="24"/>
              </w:rPr>
            </w:pPr>
            <w:r>
              <w:rPr>
                <w:rFonts w:ascii="Arial"/>
                <w:spacing w:val="-1"/>
                <w:w w:val="80"/>
                <w:sz w:val="24"/>
              </w:rPr>
              <w:t>1,125,883,457.29</w:t>
            </w:r>
            <w:r>
              <w:rPr>
                <w:rFonts w:ascii="Arial"/>
                <w:spacing w:val="-1"/>
                <w:sz w:val="24"/>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Arial" w:hAnsi="Arial" w:cs="Arial" w:eastAsia="Arial" w:hint="default"/>
                <w:sz w:val="24"/>
                <w:szCs w:val="24"/>
              </w:rPr>
            </w:pPr>
            <w:r>
              <w:rPr>
                <w:rFonts w:ascii="Arial"/>
                <w:spacing w:val="-1"/>
                <w:w w:val="80"/>
                <w:sz w:val="24"/>
              </w:rPr>
              <w:t>1,012,889,947.13</w:t>
            </w:r>
            <w:r>
              <w:rPr>
                <w:rFonts w:ascii="Arial"/>
                <w:spacing w:val="-1"/>
                <w:sz w:val="24"/>
              </w:rPr>
            </w:r>
          </w:p>
        </w:tc>
      </w:tr>
      <w:tr>
        <w:trPr>
          <w:trHeight w:val="3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Arial" w:hAnsi="Arial" w:cs="Arial" w:eastAsia="Arial" w:hint="default"/>
                <w:sz w:val="24"/>
                <w:szCs w:val="24"/>
              </w:rPr>
            </w:pPr>
            <w:r>
              <w:rPr>
                <w:rFonts w:ascii="Arial"/>
                <w:b/>
                <w:spacing w:val="-1"/>
                <w:w w:val="80"/>
                <w:sz w:val="24"/>
              </w:rPr>
              <w:t>4,779,251,943.49</w:t>
            </w:r>
            <w:r>
              <w:rPr>
                <w:rFonts w:ascii="Arial"/>
                <w:spacing w:val="-1"/>
                <w:sz w:val="24"/>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2"/>
              <w:jc w:val="right"/>
              <w:rPr>
                <w:rFonts w:ascii="宋体" w:hAnsi="宋体" w:cs="宋体" w:eastAsia="宋体" w:hint="default"/>
                <w:sz w:val="21"/>
                <w:szCs w:val="21"/>
              </w:rPr>
            </w:pPr>
            <w:r>
              <w:rPr>
                <w:rFonts w:ascii="宋体"/>
                <w:b/>
                <w:sz w:val="21"/>
              </w:rPr>
              <w:t>3,976,657,293.53</w:t>
            </w:r>
            <w:r>
              <w:rPr>
                <w:rFonts w:ascii="宋体"/>
                <w:sz w:val="21"/>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Arial" w:hAnsi="Arial" w:cs="Arial" w:eastAsia="Arial" w:hint="default"/>
                <w:sz w:val="24"/>
                <w:szCs w:val="24"/>
              </w:rPr>
            </w:pPr>
            <w:r>
              <w:rPr>
                <w:rFonts w:ascii="Arial"/>
                <w:b/>
                <w:spacing w:val="-1"/>
                <w:w w:val="80"/>
                <w:sz w:val="24"/>
              </w:rPr>
              <w:t>4,266,047,522.84</w:t>
            </w:r>
            <w:r>
              <w:rPr>
                <w:rFonts w:ascii="Arial"/>
                <w:spacing w:val="-1"/>
                <w:sz w:val="24"/>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Arial" w:hAnsi="Arial" w:cs="Arial" w:eastAsia="Arial" w:hint="default"/>
                <w:sz w:val="24"/>
                <w:szCs w:val="24"/>
              </w:rPr>
            </w:pPr>
            <w:r>
              <w:rPr>
                <w:rFonts w:ascii="Arial"/>
                <w:b/>
                <w:spacing w:val="-1"/>
                <w:w w:val="80"/>
                <w:sz w:val="24"/>
              </w:rPr>
              <w:t>3,473,886,065.23</w:t>
            </w:r>
            <w:r>
              <w:rPr>
                <w:rFonts w:ascii="Arial"/>
                <w:spacing w:val="-1"/>
                <w:sz w:val="24"/>
              </w:rPr>
            </w:r>
          </w:p>
        </w:tc>
      </w:tr>
    </w:tbl>
    <w:p>
      <w:pPr>
        <w:spacing w:line="240" w:lineRule="auto" w:before="10"/>
        <w:rPr>
          <w:rFonts w:ascii="宋体" w:hAnsi="宋体" w:cs="宋体" w:eastAsia="宋体" w:hint="default"/>
          <w:sz w:val="27"/>
          <w:szCs w:val="27"/>
        </w:rPr>
      </w:pPr>
    </w:p>
    <w:p>
      <w:pPr>
        <w:pStyle w:val="Heading2"/>
        <w:spacing w:line="240" w:lineRule="auto"/>
        <w:ind w:left="517" w:right="5380"/>
        <w:jc w:val="left"/>
        <w:rPr>
          <w:b w:val="0"/>
          <w:bCs w:val="0"/>
        </w:rPr>
      </w:pPr>
      <w:r>
        <w:rPr>
          <w:rFonts w:ascii="宋体" w:hAnsi="宋体" w:cs="宋体" w:eastAsia="宋体" w:hint="default"/>
        </w:rPr>
        <w:t>62</w:t>
      </w:r>
      <w:r>
        <w:rPr/>
        <w:t>、</w:t>
      </w:r>
      <w:r>
        <w:rPr>
          <w:spacing w:val="-102"/>
        </w:rPr>
        <w:t> </w:t>
      </w:r>
      <w:r>
        <w:rPr/>
        <w:t>营业税金及附加</w:t>
      </w:r>
      <w:r>
        <w:rPr>
          <w:b w:val="0"/>
          <w:bCs w:val="0"/>
        </w:rPr>
      </w:r>
    </w:p>
    <w:p>
      <w:pPr>
        <w:pStyle w:val="BodyText"/>
        <w:tabs>
          <w:tab w:pos="1199" w:val="left" w:leader="none"/>
        </w:tabs>
        <w:spacing w:line="240" w:lineRule="auto" w:before="58"/>
        <w:ind w:left="0" w:right="5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478" w:type="dxa"/>
        <w:tblLayout w:type="fixed"/>
        <w:tblCellMar>
          <w:top w:w="0" w:type="dxa"/>
          <w:left w:w="0" w:type="dxa"/>
          <w:bottom w:w="0" w:type="dxa"/>
          <w:right w:w="0" w:type="dxa"/>
        </w:tblCellMar>
        <w:tblLook w:val="01E0"/>
      </w:tblPr>
      <w:tblGrid>
        <w:gridCol w:w="2859"/>
        <w:gridCol w:w="3020"/>
        <w:gridCol w:w="3017"/>
      </w:tblGrid>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10,636,865.45</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6,187,103.74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4,596,775.67</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7,088,108.96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3,811,444.70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5,271,563.86</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68,452.80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24,359.63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19,113,538.62</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18,571,136.19</w:t>
            </w:r>
          </w:p>
        </w:tc>
      </w:tr>
    </w:tbl>
    <w:p>
      <w:pPr>
        <w:spacing w:line="240" w:lineRule="auto" w:before="5"/>
        <w:rPr>
          <w:rFonts w:ascii="宋体" w:hAnsi="宋体" w:cs="宋体" w:eastAsia="宋体" w:hint="default"/>
          <w:sz w:val="23"/>
          <w:szCs w:val="23"/>
        </w:rPr>
      </w:pPr>
    </w:p>
    <w:p>
      <w:pPr>
        <w:pStyle w:val="BodyText"/>
        <w:spacing w:line="283" w:lineRule="auto" w:before="26"/>
        <w:ind w:left="517" w:right="3829"/>
        <w:jc w:val="left"/>
      </w:pPr>
      <w:r>
        <w:rPr/>
        <w:t>其他说明： 各项营业税金及附加的计缴标准详见附注六、税项。</w:t>
      </w:r>
    </w:p>
    <w:p>
      <w:pPr>
        <w:spacing w:line="240" w:lineRule="auto" w:before="11"/>
        <w:rPr>
          <w:rFonts w:ascii="宋体" w:hAnsi="宋体" w:cs="宋体" w:eastAsia="宋体" w:hint="default"/>
          <w:sz w:val="22"/>
          <w:szCs w:val="22"/>
        </w:rPr>
      </w:pPr>
    </w:p>
    <w:p>
      <w:pPr>
        <w:pStyle w:val="Heading2"/>
        <w:spacing w:line="240" w:lineRule="auto"/>
        <w:ind w:left="517" w:right="5380"/>
        <w:jc w:val="left"/>
        <w:rPr>
          <w:b w:val="0"/>
          <w:bCs w:val="0"/>
        </w:rPr>
      </w:pPr>
      <w:r>
        <w:rPr>
          <w:rFonts w:ascii="宋体" w:hAnsi="宋体" w:cs="宋体" w:eastAsia="宋体" w:hint="default"/>
        </w:rPr>
        <w:t>63</w:t>
      </w:r>
      <w:r>
        <w:rPr/>
        <w:t>、</w:t>
      </w:r>
      <w:r>
        <w:rPr>
          <w:spacing w:val="-101"/>
        </w:rPr>
        <w:t> </w:t>
      </w:r>
      <w:r>
        <w:rPr/>
        <w:t>销售费用</w:t>
      </w:r>
      <w:r>
        <w:rPr>
          <w:b w:val="0"/>
          <w:bCs w:val="0"/>
        </w:rPr>
      </w:r>
    </w:p>
    <w:p>
      <w:pPr>
        <w:pStyle w:val="BodyText"/>
        <w:tabs>
          <w:tab w:pos="1199" w:val="left" w:leader="none"/>
        </w:tabs>
        <w:spacing w:line="240" w:lineRule="auto" w:before="58"/>
        <w:ind w:left="0" w:right="5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人工成本费用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210,639,058.84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236,545,417.78</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摊销及折旧</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26,550,076.53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24,185,143.34</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股权激励摊销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608,828.30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0.00</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交通差旅费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23,315,111.87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24,397,786.17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交际应酬费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16,285,342.52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19,008,881.83</w:t>
            </w:r>
          </w:p>
        </w:tc>
      </w:tr>
    </w:tbl>
    <w:p>
      <w:pPr>
        <w:spacing w:after="0" w:line="274" w:lineRule="exact"/>
        <w:jc w:val="right"/>
        <w:rPr>
          <w:rFonts w:ascii="宋体" w:hAnsi="宋体" w:cs="宋体" w:eastAsia="宋体" w:hint="default"/>
          <w:sz w:val="24"/>
          <w:szCs w:val="24"/>
        </w:rPr>
        <w:sectPr>
          <w:pgSz w:w="11910" w:h="16840"/>
          <w:pgMar w:header="882" w:footer="1195" w:top="1120" w:bottom="1380" w:left="760" w:right="12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技术服务及咨询费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11,005,470.48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14,105,257.51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其他日常费用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69,012,484.66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60,336,699.27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357,416,373.20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378,579,185.90</w:t>
            </w:r>
          </w:p>
        </w:tc>
      </w:tr>
    </w:tbl>
    <w:p>
      <w:pPr>
        <w:pStyle w:val="BodyText"/>
        <w:spacing w:line="240" w:lineRule="auto" w:before="19"/>
        <w:ind w:left="217" w:right="2569"/>
        <w:jc w:val="left"/>
      </w:pPr>
      <w:r>
        <w:rPr/>
        <w:t>其他说明：无</w:t>
      </w:r>
    </w:p>
    <w:p>
      <w:pPr>
        <w:spacing w:line="240" w:lineRule="auto" w:before="0"/>
        <w:rPr>
          <w:rFonts w:ascii="宋体" w:hAnsi="宋体" w:cs="宋体" w:eastAsia="宋体" w:hint="default"/>
          <w:sz w:val="20"/>
          <w:szCs w:val="20"/>
        </w:rPr>
      </w:pPr>
    </w:p>
    <w:p>
      <w:pPr>
        <w:pStyle w:val="Heading2"/>
        <w:spacing w:line="240" w:lineRule="auto" w:before="166"/>
        <w:ind w:right="2569"/>
        <w:jc w:val="left"/>
        <w:rPr>
          <w:b w:val="0"/>
          <w:bCs w:val="0"/>
        </w:rPr>
      </w:pPr>
      <w:r>
        <w:rPr>
          <w:rFonts w:ascii="宋体" w:hAnsi="宋体" w:cs="宋体" w:eastAsia="宋体" w:hint="default"/>
        </w:rPr>
        <w:t>64</w:t>
      </w:r>
      <w:r>
        <w:rPr/>
        <w:t>、</w:t>
      </w:r>
      <w:r>
        <w:rPr>
          <w:spacing w:val="-101"/>
        </w:rPr>
        <w:t> </w:t>
      </w:r>
      <w:r>
        <w:rPr/>
        <w:t>管理费用</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人工成本费用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143,223,212.72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128,929,404.58</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摊销及折旧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38,000,987.55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18,139,815.60</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股权激励摊销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3,113,276.41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0.00</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技术服务及咨询费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42,889,342.21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34,570,840.65</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5,751,904.40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6,338,162.83</w:t>
            </w:r>
          </w:p>
        </w:tc>
      </w:tr>
      <w:tr>
        <w:trPr>
          <w:trHeight w:val="319"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交际应酬费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3,305,427.50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5,403,314.42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其他日常费用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64,294,639.27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64,374,724.73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300,578,790.06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257,756,262.81</w:t>
            </w:r>
          </w:p>
        </w:tc>
      </w:tr>
    </w:tbl>
    <w:p>
      <w:pPr>
        <w:spacing w:line="240" w:lineRule="auto" w:before="10"/>
        <w:rPr>
          <w:rFonts w:ascii="宋体" w:hAnsi="宋体" w:cs="宋体" w:eastAsia="宋体" w:hint="default"/>
          <w:sz w:val="18"/>
          <w:szCs w:val="18"/>
        </w:rPr>
      </w:pPr>
    </w:p>
    <w:p>
      <w:pPr>
        <w:pStyle w:val="BodyText"/>
        <w:spacing w:line="240" w:lineRule="auto" w:before="26"/>
        <w:ind w:left="217" w:right="2569"/>
        <w:jc w:val="left"/>
      </w:pPr>
      <w:r>
        <w:rPr/>
        <w:t>其他说明：无</w:t>
      </w:r>
    </w:p>
    <w:p>
      <w:pPr>
        <w:spacing w:line="240" w:lineRule="auto" w:before="1"/>
        <w:rPr>
          <w:rFonts w:ascii="宋体" w:hAnsi="宋体" w:cs="宋体" w:eastAsia="宋体" w:hint="default"/>
          <w:sz w:val="26"/>
          <w:szCs w:val="26"/>
        </w:rPr>
      </w:pPr>
    </w:p>
    <w:p>
      <w:pPr>
        <w:pStyle w:val="Heading2"/>
        <w:spacing w:line="240" w:lineRule="auto"/>
        <w:ind w:right="2569"/>
        <w:jc w:val="left"/>
        <w:rPr>
          <w:b w:val="0"/>
          <w:bCs w:val="0"/>
        </w:rPr>
      </w:pPr>
      <w:r>
        <w:rPr>
          <w:rFonts w:ascii="宋体" w:hAnsi="宋体" w:cs="宋体" w:eastAsia="宋体" w:hint="default"/>
        </w:rPr>
        <w:t>65</w:t>
      </w:r>
      <w:r>
        <w:rPr/>
        <w:t>、</w:t>
      </w:r>
      <w:r>
        <w:rPr>
          <w:spacing w:val="-101"/>
        </w:rPr>
        <w:t> </w:t>
      </w:r>
      <w:r>
        <w:rPr/>
        <w:t>财务费用</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75,113,780.81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82,735,522.96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利息资本化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-6,383,741.34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-3,855,845.76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-14,500,295.42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-17,397,334.82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-674,626.53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5,786,053.48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18,200,875.81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8,659,736.61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-5,346,092.00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71,755,993.33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70,582,040.47</w:t>
            </w:r>
          </w:p>
        </w:tc>
      </w:tr>
    </w:tbl>
    <w:p>
      <w:pPr>
        <w:pStyle w:val="BodyText"/>
        <w:spacing w:line="273" w:lineRule="exact"/>
        <w:ind w:left="217" w:right="2569"/>
        <w:jc w:val="left"/>
      </w:pPr>
      <w:r>
        <w:rPr/>
        <w:t>其他说明：</w:t>
      </w:r>
    </w:p>
    <w:p>
      <w:pPr>
        <w:pStyle w:val="BodyText"/>
        <w:spacing w:line="310" w:lineRule="exact" w:before="31"/>
        <w:ind w:left="217" w:right="221"/>
        <w:jc w:val="left"/>
      </w:pPr>
      <w:r>
        <w:rPr>
          <w:spacing w:val="-2"/>
        </w:rPr>
        <w:t>利息资本化金额已计入在建工程。本期用于计算确定借款费用资本化金额的年资本化</w:t>
      </w:r>
      <w:r>
        <w:rPr>
          <w:spacing w:val="-94"/>
        </w:rPr>
        <w:t> </w:t>
      </w:r>
      <w:r>
        <w:rPr>
          <w:spacing w:val="-94"/>
        </w:rPr>
      </w:r>
      <w:r>
        <w:rPr/>
        <w:t>率为</w:t>
      </w:r>
      <w:r>
        <w:rPr>
          <w:spacing w:val="-61"/>
        </w:rPr>
        <w:t> </w:t>
      </w:r>
      <w:r>
        <w:rPr>
          <w:rFonts w:ascii="宋体" w:hAnsi="宋体" w:cs="宋体" w:eastAsia="宋体" w:hint="default"/>
        </w:rPr>
        <w:t>6.0137%</w:t>
      </w:r>
      <w:r>
        <w:rPr/>
        <w:t>。</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2"/>
        <w:spacing w:line="240" w:lineRule="auto"/>
        <w:ind w:right="-18"/>
        <w:jc w:val="left"/>
        <w:rPr>
          <w:b w:val="0"/>
          <w:bCs w:val="0"/>
        </w:rPr>
      </w:pPr>
      <w:r>
        <w:rPr>
          <w:rFonts w:ascii="宋体" w:hAnsi="宋体" w:cs="宋体" w:eastAsia="宋体" w:hint="default"/>
        </w:rPr>
        <w:t>66</w:t>
      </w:r>
      <w:r>
        <w:rPr/>
        <w:t>、</w:t>
      </w:r>
      <w:r>
        <w:rPr>
          <w:spacing w:val="-103"/>
        </w:rPr>
        <w:t> </w:t>
      </w:r>
      <w:r>
        <w:rPr/>
        <w:t>资产减值损失</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166" w:space="4027"/>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45,823,060.70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29,822,848.98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-514,100.21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-6,687,300.20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2" w:right="0"/>
              <w:jc w:val="left"/>
              <w:rPr>
                <w:rFonts w:ascii="宋体" w:hAnsi="宋体" w:cs="宋体" w:eastAsia="宋体" w:hint="default"/>
                <w:sz w:val="21"/>
                <w:szCs w:val="21"/>
              </w:rPr>
            </w:pPr>
            <w:r>
              <w:rPr>
                <w:rFonts w:ascii="宋体"/>
                <w:sz w:val="21"/>
              </w:rPr>
              <w:t>45,308,960.49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23,135,548.78</w:t>
            </w:r>
          </w:p>
        </w:tc>
      </w:tr>
    </w:tbl>
    <w:p>
      <w:pPr>
        <w:pStyle w:val="BodyText"/>
        <w:spacing w:line="240" w:lineRule="auto" w:before="19"/>
        <w:ind w:left="217" w:right="2569"/>
        <w:jc w:val="left"/>
      </w:pPr>
      <w:r>
        <w:rPr/>
        <w:t>其他说明：无</w:t>
      </w:r>
    </w:p>
    <w:p>
      <w:pPr>
        <w:spacing w:line="240" w:lineRule="auto" w:before="11"/>
        <w:rPr>
          <w:rFonts w:ascii="宋体" w:hAnsi="宋体" w:cs="宋体" w:eastAsia="宋体" w:hint="default"/>
          <w:sz w:val="32"/>
          <w:szCs w:val="32"/>
        </w:rPr>
      </w:pPr>
    </w:p>
    <w:p>
      <w:pPr>
        <w:pStyle w:val="Heading2"/>
        <w:spacing w:line="240" w:lineRule="auto" w:before="0"/>
        <w:ind w:right="2569"/>
        <w:jc w:val="left"/>
        <w:rPr>
          <w:b w:val="0"/>
          <w:bCs w:val="0"/>
        </w:rPr>
      </w:pPr>
      <w:r>
        <w:rPr>
          <w:rFonts w:ascii="宋体" w:hAnsi="宋体" w:cs="宋体" w:eastAsia="宋体" w:hint="default"/>
        </w:rPr>
        <w:t>67</w:t>
      </w:r>
      <w:r>
        <w:rPr/>
        <w:t>、</w:t>
      </w:r>
      <w:r>
        <w:rPr>
          <w:spacing w:val="-103"/>
        </w:rPr>
        <w:t> </w:t>
      </w:r>
      <w:r>
        <w:rPr/>
        <w:t>公允价值变动收益</w:t>
      </w:r>
      <w:r>
        <w:rPr>
          <w:b w:val="0"/>
          <w:bCs w:val="0"/>
        </w:rPr>
      </w:r>
    </w:p>
    <w:p>
      <w:pPr>
        <w:pStyle w:val="BodyText"/>
        <w:spacing w:line="240" w:lineRule="auto" w:before="56"/>
        <w:ind w:left="217" w:right="25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60" w:right="1560"/>
        </w:sectPr>
      </w:pPr>
    </w:p>
    <w:p>
      <w:pPr>
        <w:pStyle w:val="Heading2"/>
        <w:spacing w:line="240" w:lineRule="auto"/>
        <w:ind w:right="-19"/>
        <w:jc w:val="left"/>
        <w:rPr>
          <w:b w:val="0"/>
          <w:bCs w:val="0"/>
        </w:rPr>
      </w:pPr>
      <w:r>
        <w:rPr>
          <w:rFonts w:ascii="宋体" w:hAnsi="宋体" w:cs="宋体" w:eastAsia="宋体" w:hint="default"/>
        </w:rPr>
        <w:t>68</w:t>
      </w:r>
      <w:r>
        <w:rPr/>
        <w:t>、</w:t>
      </w:r>
      <w:r>
        <w:rPr>
          <w:spacing w:val="-101"/>
        </w:rPr>
        <w:t> </w:t>
      </w:r>
      <w:r>
        <w:rPr/>
        <w:t>投资收益</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18" w:space="4175"/>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-7,336,733.00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-17,535,094.58</w:t>
            </w:r>
          </w:p>
        </w:tc>
      </w:tr>
      <w:tr>
        <w:trPr>
          <w:trHeight w:val="28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Arial" w:hAnsi="Arial" w:cs="Arial" w:eastAsia="Arial" w:hint="default"/>
                <w:sz w:val="24"/>
                <w:szCs w:val="24"/>
              </w:rPr>
            </w:pPr>
            <w:r>
              <w:rPr>
                <w:rFonts w:ascii="Arial"/>
                <w:spacing w:val="-1"/>
                <w:w w:val="80"/>
                <w:sz w:val="24"/>
              </w:rPr>
              <w:t>-45,167,707.66</w:t>
            </w:r>
            <w:r>
              <w:rPr>
                <w:rFonts w:ascii="Arial"/>
                <w:spacing w:val="-1"/>
                <w:sz w:val="24"/>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-464,823.67</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Arial" w:hAnsi="Arial" w:cs="Arial" w:eastAsia="Arial" w:hint="default"/>
                <w:sz w:val="24"/>
                <w:szCs w:val="24"/>
              </w:rPr>
            </w:pPr>
            <w:r>
              <w:rPr>
                <w:rFonts w:ascii="Arial"/>
                <w:spacing w:val="-1"/>
                <w:w w:val="80"/>
                <w:sz w:val="24"/>
              </w:rPr>
              <w:t>66,139,116.00</w:t>
            </w:r>
            <w:r>
              <w:rPr>
                <w:rFonts w:ascii="Arial"/>
                <w:spacing w:val="-1"/>
                <w:sz w:val="24"/>
              </w:rPr>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23,360,220.63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35,857,295.22</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购买日之前原持有股权按公允价值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162,228.66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14,126,693.51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22,173,621.79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-337,355.52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51,121,589.48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39,855,871.90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83" w:lineRule="auto" w:before="166"/>
        <w:ind w:left="217" w:right="2569" w:firstLine="0"/>
        <w:jc w:val="left"/>
        <w:rPr>
          <w:rFonts w:ascii="宋体" w:hAnsi="宋体" w:cs="宋体" w:eastAsia="宋体" w:hint="default"/>
          <w:sz w:val="24"/>
          <w:szCs w:val="24"/>
        </w:rPr>
      </w:pPr>
      <w:r>
        <w:rPr>
          <w:rFonts w:ascii="宋体" w:hAnsi="宋体" w:cs="宋体" w:eastAsia="宋体" w:hint="default"/>
          <w:sz w:val="24"/>
          <w:szCs w:val="24"/>
        </w:rPr>
        <w:t>其他说明：本期不存在投资收益汇回有重大限制的投资收益。 </w:t>
      </w:r>
      <w:r>
        <w:rPr>
          <w:rFonts w:ascii="宋体" w:hAnsi="宋体" w:cs="宋体" w:eastAsia="宋体" w:hint="default"/>
          <w:b/>
          <w:bCs/>
          <w:sz w:val="24"/>
          <w:szCs w:val="24"/>
        </w:rPr>
        <w:t>69</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营业外收入</w:t>
      </w:r>
      <w:r>
        <w:rPr>
          <w:rFonts w:ascii="宋体" w:hAnsi="宋体" w:cs="宋体" w:eastAsia="宋体" w:hint="default"/>
          <w:sz w:val="24"/>
          <w:szCs w:val="24"/>
        </w:rPr>
      </w:r>
    </w:p>
    <w:p>
      <w:pPr>
        <w:pStyle w:val="BodyText"/>
        <w:tabs>
          <w:tab w:pos="1199" w:val="left" w:leader="none"/>
        </w:tabs>
        <w:spacing w:line="240" w:lineRule="auto" w:before="15"/>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计入当期非经常性损益</w:t>
            </w:r>
          </w:p>
        </w:tc>
      </w:tr>
    </w:tbl>
    <w:p>
      <w:pPr>
        <w:spacing w:after="0" w:line="24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215,608.92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1,167,400.57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215,608.92</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185,547.68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164,274.43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185,547.68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30,061.24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1,003,126.14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30,061.24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163,158.04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163,158.04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35,732,393.58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18,251,883.68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27,120,486.84</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2,529,051.88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850,204.16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2,529,051.88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并或有对价调整</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990,066.75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2,709,528.09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990,066.75</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1,575,396.11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3,083,570.57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1,575,396.11</w:t>
            </w:r>
            <w:r>
              <w:rPr>
                <w:rFonts w:ascii="Arial"/>
                <w:sz w:val="21"/>
              </w:rPr>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41,205,675.28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26,062,587.07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32,593,768.54</w:t>
            </w:r>
          </w:p>
        </w:tc>
      </w:tr>
    </w:tbl>
    <w:p>
      <w:pPr>
        <w:pStyle w:val="BodyText"/>
        <w:spacing w:line="274" w:lineRule="exact"/>
        <w:ind w:left="217" w:right="2569"/>
        <w:jc w:val="left"/>
      </w:pPr>
      <w:r>
        <w:rPr/>
        <w:t>说明：</w:t>
      </w:r>
    </w:p>
    <w:p>
      <w:pPr>
        <w:pStyle w:val="BodyText"/>
        <w:spacing w:line="312" w:lineRule="exact" w:before="148"/>
        <w:ind w:left="217" w:right="219" w:firstLine="480"/>
        <w:jc w:val="left"/>
        <w:rPr>
          <w:rFonts w:ascii="宋体" w:hAnsi="宋体" w:cs="宋体" w:eastAsia="宋体" w:hint="default"/>
        </w:rPr>
      </w:pPr>
      <w:r>
        <w:rPr>
          <w:spacing w:val="-2"/>
        </w:rPr>
        <w:t>本公司之间接控制子公司子公司摩卡软件（天津）有限公司与上海浦东发展银行</w:t>
      </w:r>
      <w:r>
        <w:rPr/>
        <w:t> </w:t>
      </w:r>
      <w:r>
        <w:rPr>
          <w:spacing w:val="-5"/>
        </w:rPr>
        <w:t>股份有限公司天津分行签订借款合同，借款期限为</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17</w:t>
      </w:r>
    </w:p>
    <w:p>
      <w:pPr>
        <w:pStyle w:val="BodyText"/>
        <w:spacing w:line="281" w:lineRule="exact"/>
        <w:ind w:left="217" w:right="102"/>
        <w:jc w:val="left"/>
      </w:pPr>
      <w:r>
        <w:rPr>
          <w:spacing w:val="-14"/>
        </w:rPr>
        <w:t>日，借款金额 </w:t>
      </w:r>
      <w:r>
        <w:rPr>
          <w:rFonts w:ascii="宋体" w:hAnsi="宋体" w:cs="宋体" w:eastAsia="宋体" w:hint="default"/>
        </w:rPr>
        <w:t>3,393,604.00</w:t>
      </w:r>
      <w:r>
        <w:rPr>
          <w:rFonts w:ascii="宋体" w:hAnsi="宋体" w:cs="宋体" w:eastAsia="宋体" w:hint="default"/>
          <w:spacing w:val="-91"/>
        </w:rPr>
        <w:t> </w:t>
      </w:r>
      <w:r>
        <w:rPr>
          <w:spacing w:val="-4"/>
        </w:rPr>
        <w:t>元，该借款由天津高新国创科技发展有限公司提供保证。</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before="168"/>
        <w:ind w:left="217" w:right="-6" w:firstLine="0"/>
        <w:jc w:val="left"/>
        <w:rPr>
          <w:rFonts w:ascii="宋体" w:hAnsi="宋体" w:cs="宋体" w:eastAsia="宋体" w:hint="default"/>
          <w:sz w:val="21"/>
          <w:szCs w:val="21"/>
        </w:rPr>
      </w:pPr>
      <w:r>
        <w:rPr>
          <w:rFonts w:ascii="宋体" w:hAnsi="宋体" w:cs="宋体" w:eastAsia="宋体" w:hint="default"/>
          <w:spacing w:val="-1"/>
          <w:sz w:val="21"/>
          <w:szCs w:val="21"/>
        </w:rPr>
        <w:t>计入当期</w:t>
      </w:r>
      <w:r>
        <w:rPr>
          <w:rFonts w:ascii="宋体" w:hAnsi="宋体" w:cs="宋体" w:eastAsia="宋体" w:hint="default"/>
          <w:spacing w:val="-1"/>
          <w:sz w:val="24"/>
          <w:szCs w:val="24"/>
        </w:rPr>
        <w:t>损益</w:t>
      </w:r>
      <w:r>
        <w:rPr>
          <w:rFonts w:ascii="宋体" w:hAnsi="宋体" w:cs="宋体" w:eastAsia="宋体" w:hint="default"/>
          <w:spacing w:val="-1"/>
          <w:sz w:val="21"/>
          <w:szCs w:val="21"/>
        </w:rPr>
        <w:t>的政府补助</w:t>
      </w:r>
    </w:p>
    <w:p>
      <w:pPr>
        <w:spacing w:before="1"/>
        <w:ind w:left="217" w:right="-6"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3"/>
          <w:szCs w:val="33"/>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591" w:space="3601"/>
            <w:col w:w="3098"/>
          </w:cols>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291"/>
        <w:gridCol w:w="1844"/>
        <w:gridCol w:w="1702"/>
        <w:gridCol w:w="2060"/>
      </w:tblGrid>
      <w:tr>
        <w:trPr>
          <w:trHeight w:val="56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87"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7"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中小型企业业务支撑与供应链金融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云服务平台示范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12,824,846.21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与资产和收益相关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税收返回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8,611,906.74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15,656,341.41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产业支持资金补助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3,393,603.97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电信针对性营销系统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与资产和收益相关</w:t>
            </w:r>
          </w:p>
        </w:tc>
      </w:tr>
      <w:tr>
        <w:trPr>
          <w:trHeight w:val="557"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云计算关键支撑软件研发与产业化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（平台安全软件）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与资产和收益相关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杭州高新区房租补贴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工业和信息化部</w:t>
            </w:r>
            <w:r>
              <w:rPr>
                <w:rFonts w:ascii="宋体" w:hAnsi="宋体" w:cs="宋体" w:eastAsia="宋体" w:hint="default"/>
                <w:sz w:val="21"/>
                <w:szCs w:val="21"/>
              </w:rPr>
              <w:t>-</w:t>
            </w:r>
            <w:r>
              <w:rPr>
                <w:rFonts w:ascii="宋体" w:hAnsi="宋体" w:cs="宋体" w:eastAsia="宋体" w:hint="default"/>
                <w:sz w:val="21"/>
                <w:szCs w:val="21"/>
              </w:rPr>
              <w:t>电子信息产业发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展基金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与资产和收益相关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TeamSec</w:t>
            </w:r>
            <w:r>
              <w:rPr>
                <w:rFonts w:ascii="宋体" w:hAnsi="宋体" w:cs="宋体" w:eastAsia="宋体" w:hint="default"/>
                <w:spacing w:val="-78"/>
                <w:sz w:val="21"/>
                <w:szCs w:val="21"/>
              </w:rPr>
              <w:t> </w:t>
            </w:r>
            <w:r>
              <w:rPr>
                <w:rFonts w:ascii="宋体" w:hAnsi="宋体" w:cs="宋体" w:eastAsia="宋体" w:hint="default"/>
                <w:sz w:val="21"/>
                <w:szCs w:val="21"/>
              </w:rPr>
              <w:t>内网安全管理平台</w:t>
            </w:r>
            <w:r>
              <w:rPr>
                <w:rFonts w:ascii="宋体" w:hAnsi="宋体" w:cs="宋体" w:eastAsia="宋体" w:hint="default"/>
                <w:spacing w:val="-78"/>
                <w:sz w:val="21"/>
                <w:szCs w:val="21"/>
              </w:rPr>
              <w:t> </w:t>
            </w:r>
            <w:r>
              <w:rPr>
                <w:rFonts w:ascii="宋体" w:hAnsi="宋体" w:cs="宋体" w:eastAsia="宋体" w:hint="default"/>
                <w:sz w:val="21"/>
                <w:szCs w:val="21"/>
              </w:rPr>
              <w:t>ISP</w:t>
            </w:r>
            <w:r>
              <w:rPr>
                <w:rFonts w:ascii="宋体" w:hAnsi="宋体" w:cs="宋体" w:eastAsia="宋体" w:hint="default"/>
                <w:spacing w:val="-81"/>
                <w:sz w:val="21"/>
                <w:szCs w:val="21"/>
              </w:rPr>
              <w:t> </w:t>
            </w:r>
            <w:r>
              <w:rPr>
                <w:rFonts w:ascii="宋体" w:hAnsi="宋体" w:cs="宋体" w:eastAsia="宋体" w:hint="default"/>
                <w:sz w:val="21"/>
                <w:szCs w:val="21"/>
              </w:rPr>
              <w:t>项目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无偿资助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与资产和收益相关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软件企业专项资金补助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年市工业统筹资金信息软件和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电子商务资助资金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469,400.00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海淀区人民政府办公室房租补贴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730,000.00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天津开发区科技发展金专项资助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天河区财政局商业元数据管理平台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天河区</w:t>
            </w:r>
            <w:r>
              <w:rPr>
                <w:rFonts w:ascii="宋体" w:hAnsi="宋体" w:cs="宋体" w:eastAsia="宋体" w:hint="default"/>
                <w:spacing w:val="-65"/>
                <w:sz w:val="21"/>
                <w:szCs w:val="21"/>
              </w:rPr>
              <w:t> </w:t>
            </w:r>
            <w:r>
              <w:rPr>
                <w:rFonts w:ascii="宋体" w:hAnsi="宋体" w:cs="宋体" w:eastAsia="宋体" w:hint="default"/>
                <w:sz w:val="21"/>
                <w:szCs w:val="21"/>
              </w:rPr>
              <w:t>2015</w:t>
            </w:r>
            <w:r>
              <w:rPr>
                <w:rFonts w:ascii="宋体" w:hAnsi="宋体" w:cs="宋体" w:eastAsia="宋体" w:hint="default"/>
                <w:spacing w:val="-67"/>
                <w:sz w:val="21"/>
                <w:szCs w:val="21"/>
              </w:rPr>
              <w:t> </w:t>
            </w:r>
            <w:r>
              <w:rPr>
                <w:rFonts w:ascii="宋体" w:hAnsi="宋体" w:cs="宋体" w:eastAsia="宋体" w:hint="default"/>
                <w:sz w:val="21"/>
                <w:szCs w:val="21"/>
              </w:rPr>
              <w:t>年中小企业发展专项资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291"/>
        <w:gridCol w:w="1844"/>
        <w:gridCol w:w="1702"/>
        <w:gridCol w:w="2060"/>
      </w:tblGrid>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基于云计算的</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运维服务</w:t>
            </w:r>
            <w:r>
              <w:rPr>
                <w:rFonts w:ascii="宋体" w:hAnsi="宋体" w:cs="宋体" w:eastAsia="宋体" w:hint="default"/>
                <w:sz w:val="21"/>
                <w:szCs w:val="21"/>
              </w:rPr>
              <w:t>-</w:t>
            </w:r>
            <w:r>
              <w:rPr>
                <w:rFonts w:ascii="宋体" w:hAnsi="宋体" w:cs="宋体" w:eastAsia="宋体" w:hint="default"/>
                <w:sz w:val="21"/>
                <w:szCs w:val="21"/>
              </w:rPr>
              <w:t>云悦服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165,102.04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与资产和收益相关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成网条件下城轨交通运输组织关键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技术与系统研制项目补助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151,494.26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123,492.27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588,040.36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中关村科技园风险补贴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1,437,500.00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年科技服务业促进专项支持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中关村科技企业家协会补助款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国家知识产权专利资助金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4,550.00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35,732,393.58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18,251,883.68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27"/>
          <w:szCs w:val="27"/>
        </w:rPr>
      </w:pPr>
    </w:p>
    <w:p>
      <w:pPr>
        <w:pStyle w:val="BodyText"/>
        <w:spacing w:line="240" w:lineRule="auto" w:before="26"/>
        <w:ind w:left="217" w:right="2569"/>
        <w:jc w:val="left"/>
      </w:pPr>
      <w:r>
        <w:rPr/>
        <w:t>其他说明：无</w:t>
      </w:r>
    </w:p>
    <w:p>
      <w:pPr>
        <w:spacing w:line="240" w:lineRule="auto" w:before="0"/>
        <w:rPr>
          <w:rFonts w:ascii="宋体" w:hAnsi="宋体" w:cs="宋体" w:eastAsia="宋体" w:hint="default"/>
          <w:sz w:val="20"/>
          <w:szCs w:val="20"/>
        </w:rPr>
      </w:pPr>
    </w:p>
    <w:p>
      <w:pPr>
        <w:pStyle w:val="Heading2"/>
        <w:spacing w:line="240" w:lineRule="auto" w:before="166"/>
        <w:ind w:right="2569"/>
        <w:jc w:val="left"/>
        <w:rPr>
          <w:b w:val="0"/>
          <w:bCs w:val="0"/>
        </w:rPr>
      </w:pPr>
      <w:r>
        <w:rPr>
          <w:rFonts w:ascii="宋体" w:hAnsi="宋体" w:cs="宋体" w:eastAsia="宋体" w:hint="default"/>
        </w:rPr>
        <w:t>70</w:t>
      </w:r>
      <w:r>
        <w:rPr/>
        <w:t>、</w:t>
      </w:r>
      <w:r>
        <w:rPr>
          <w:spacing w:val="-102"/>
        </w:rPr>
        <w:t> </w:t>
      </w:r>
      <w:r>
        <w:rPr/>
        <w:t>营业外支出</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734,377.18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318,124.14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734,377.18</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734,377.18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318,124.14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734,377.18</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924.16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330,094.54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924.16</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7,627,065.31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2,178,397.62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7,627,065.31</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25,780.18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708,846.71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25,780.18</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4,577.80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20,975.77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385,204.98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20,975.77</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8,409,222.60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3,925,245.79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8,409,222.60</w:t>
            </w:r>
          </w:p>
        </w:tc>
      </w:tr>
    </w:tbl>
    <w:p>
      <w:pPr>
        <w:pStyle w:val="BodyText"/>
        <w:spacing w:line="240" w:lineRule="auto" w:before="19"/>
        <w:ind w:left="217" w:right="2569"/>
        <w:jc w:val="left"/>
      </w:pPr>
      <w:r>
        <w:rPr/>
        <w:t>其他说明：无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2"/>
        <w:spacing w:line="283" w:lineRule="auto" w:before="166"/>
        <w:ind w:right="-18"/>
        <w:jc w:val="left"/>
        <w:rPr>
          <w:b w:val="0"/>
          <w:bCs w:val="0"/>
        </w:rPr>
      </w:pPr>
      <w:r>
        <w:rPr>
          <w:rFonts w:ascii="宋体" w:hAnsi="宋体" w:cs="宋体" w:eastAsia="宋体" w:hint="default"/>
        </w:rPr>
        <w:t>71</w:t>
      </w:r>
      <w:r>
        <w:rPr/>
        <w:t>、</w:t>
      </w:r>
      <w:r>
        <w:rPr>
          <w:spacing w:val="-101"/>
        </w:rPr>
        <w:t> </w:t>
      </w:r>
      <w:r>
        <w:rPr/>
        <w:t>所得税费用</w:t>
      </w:r>
      <w:r>
        <w:rPr>
          <w:w w:val="99"/>
        </w:rPr>
        <w:t> </w:t>
      </w:r>
      <w:r>
        <w:rPr>
          <w:rFonts w:ascii="宋体" w:hAnsi="宋体" w:cs="宋体" w:eastAsia="宋体" w:hint="default"/>
        </w:rPr>
        <w:t>(1)</w:t>
      </w:r>
      <w:r>
        <w:rPr>
          <w:rFonts w:ascii="宋体" w:hAnsi="宋体" w:cs="宋体" w:eastAsia="宋体" w:hint="default"/>
          <w:spacing w:val="-62"/>
        </w:rPr>
        <w:t> </w:t>
      </w:r>
      <w:r>
        <w:rPr/>
        <w:t>所得税费用表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1"/>
          <w:szCs w:val="21"/>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87" w:space="4106"/>
            <w:col w:w="3097"/>
          </w:cols>
        </w:sectPr>
      </w:pP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19,129,520.41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19,936,682.35</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-20,156,138.83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-9,278,203.18</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-1,026,618.42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10,658,479.17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Heading2"/>
        <w:spacing w:line="240" w:lineRule="auto"/>
        <w:ind w:left="157" w:right="138"/>
        <w:jc w:val="left"/>
        <w:rPr>
          <w:b w:val="0"/>
          <w:bCs w:val="0"/>
        </w:rPr>
      </w:pPr>
      <w:r>
        <w:rPr>
          <w:rFonts w:ascii="宋体" w:hAnsi="宋体" w:cs="宋体" w:eastAsia="宋体" w:hint="default"/>
        </w:rPr>
        <w:t>(2)</w:t>
      </w:r>
      <w:r>
        <w:rPr>
          <w:rFonts w:ascii="宋体" w:hAnsi="宋体" w:cs="宋体" w:eastAsia="宋体" w:hint="default"/>
          <w:spacing w:val="-62"/>
        </w:rPr>
        <w:t> </w:t>
      </w:r>
      <w:r>
        <w:rPr/>
        <w:t>会计利润与所得税费用调整过程：</w:t>
      </w:r>
      <w:r>
        <w:rPr>
          <w:b w:val="0"/>
          <w:bCs w:val="0"/>
        </w:rPr>
      </w:r>
    </w:p>
    <w:p>
      <w:pPr>
        <w:pStyle w:val="BodyText"/>
        <w:tabs>
          <w:tab w:pos="1199" w:val="left" w:leader="none"/>
        </w:tabs>
        <w:spacing w:line="240" w:lineRule="auto" w:before="58"/>
        <w:ind w:left="0" w:right="15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302"/>
        <w:gridCol w:w="4592"/>
      </w:tblGrid>
      <w:tr>
        <w:trPr>
          <w:trHeight w:val="32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2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105,285,023.54</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15,792,753.53</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-13,070,786.64</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200,759.52</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-203,647.85</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6,714,939.75</w:t>
            </w:r>
          </w:p>
        </w:tc>
      </w:tr>
      <w:tr>
        <w:trPr>
          <w:trHeight w:val="63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-1,868,557.16</w:t>
            </w:r>
          </w:p>
        </w:tc>
      </w:tr>
      <w:tr>
        <w:trPr>
          <w:trHeight w:val="63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14,405,243.27</w:t>
            </w:r>
          </w:p>
        </w:tc>
      </w:tr>
      <w:tr>
        <w:trPr>
          <w:trHeight w:val="326"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权益法核算的合营企业和联营企业损益</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345,100.65</w:t>
            </w:r>
          </w:p>
        </w:tc>
      </w:tr>
      <w:tr>
        <w:trPr>
          <w:trHeight w:val="326"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税率变动对期初递延所得税余额的影响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-10,308,833.57</w:t>
            </w:r>
          </w:p>
        </w:tc>
      </w:tr>
      <w:tr>
        <w:trPr>
          <w:trHeight w:val="638"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研究开发费加成扣除的纳税影</w:t>
            </w:r>
            <w:r>
              <w:rPr>
                <w:rFonts w:ascii="宋体" w:hAnsi="宋体" w:cs="宋体" w:eastAsia="宋体" w:hint="default"/>
                <w:spacing w:val="-101"/>
                <w:sz w:val="24"/>
                <w:szCs w:val="24"/>
              </w:rPr>
              <w:t>响</w:t>
            </w:r>
            <w:r>
              <w:rPr>
                <w:rFonts w:ascii="宋体" w:hAnsi="宋体" w:cs="宋体" w:eastAsia="宋体" w:hint="default"/>
                <w:sz w:val="24"/>
                <w:szCs w:val="24"/>
              </w:rPr>
              <w:t>（</w:t>
            </w:r>
            <w:r>
              <w:rPr>
                <w:rFonts w:ascii="宋体" w:hAnsi="宋体" w:cs="宋体" w:eastAsia="宋体" w:hint="default"/>
                <w:spacing w:val="-101"/>
                <w:sz w:val="24"/>
                <w:szCs w:val="24"/>
              </w:rPr>
              <w:t>以</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-10,473,693.74</w:t>
            </w:r>
          </w:p>
        </w:tc>
      </w:tr>
      <w:tr>
        <w:trPr>
          <w:trHeight w:val="324"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-2,559,896.18</w:t>
            </w:r>
          </w:p>
        </w:tc>
      </w:tr>
      <w:tr>
        <w:trPr>
          <w:trHeight w:val="329"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-1,026,618.42</w:t>
            </w:r>
          </w:p>
        </w:tc>
      </w:tr>
    </w:tbl>
    <w:p>
      <w:pPr>
        <w:pStyle w:val="BodyText"/>
        <w:spacing w:line="240" w:lineRule="auto" w:before="19"/>
        <w:ind w:left="157" w:right="138"/>
        <w:jc w:val="left"/>
      </w:pPr>
      <w:r>
        <w:rPr/>
        <w:t>其他说明：无</w:t>
      </w:r>
    </w:p>
    <w:p>
      <w:pPr>
        <w:spacing w:line="240" w:lineRule="auto" w:before="9"/>
        <w:rPr>
          <w:rFonts w:ascii="宋体" w:hAnsi="宋体" w:cs="宋体" w:eastAsia="宋体" w:hint="default"/>
          <w:sz w:val="32"/>
          <w:szCs w:val="32"/>
        </w:rPr>
      </w:pPr>
    </w:p>
    <w:p>
      <w:pPr>
        <w:spacing w:line="283" w:lineRule="auto" w:before="0"/>
        <w:ind w:left="157" w:right="7022" w:firstLine="0"/>
        <w:jc w:val="left"/>
        <w:rPr>
          <w:rFonts w:ascii="宋体" w:hAnsi="宋体" w:cs="宋体" w:eastAsia="宋体" w:hint="default"/>
          <w:sz w:val="24"/>
          <w:szCs w:val="24"/>
        </w:rPr>
      </w:pPr>
      <w:r>
        <w:rPr>
          <w:rFonts w:ascii="宋体" w:hAnsi="宋体" w:cs="宋体" w:eastAsia="宋体" w:hint="default"/>
          <w:b/>
          <w:bCs/>
          <w:sz w:val="24"/>
          <w:szCs w:val="24"/>
        </w:rPr>
        <w:t>72</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详见附注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20" w:right="1640"/>
        </w:sectPr>
      </w:pPr>
    </w:p>
    <w:p>
      <w:pPr>
        <w:pStyle w:val="Heading2"/>
        <w:spacing w:line="240" w:lineRule="auto"/>
        <w:ind w:left="157" w:right="0"/>
        <w:jc w:val="left"/>
        <w:rPr>
          <w:b w:val="0"/>
          <w:bCs w:val="0"/>
        </w:rPr>
      </w:pPr>
      <w:r>
        <w:rPr>
          <w:rFonts w:ascii="宋体" w:hAnsi="宋体" w:cs="宋体" w:eastAsia="宋体" w:hint="default"/>
        </w:rPr>
        <w:t>73</w:t>
      </w:r>
      <w:r>
        <w:rPr/>
        <w:t>、</w:t>
      </w:r>
      <w:r>
        <w:rPr>
          <w:spacing w:val="-102"/>
        </w:rPr>
        <w:t> </w:t>
      </w:r>
      <w:r>
        <w:rPr/>
        <w:t>现金流量表项目</w:t>
      </w:r>
      <w:r>
        <w:rPr>
          <w:b w:val="0"/>
          <w:bCs w:val="0"/>
        </w:rPr>
      </w:r>
    </w:p>
    <w:p>
      <w:pPr>
        <w:pStyle w:val="Heading2"/>
        <w:tabs>
          <w:tab w:pos="857" w:val="left" w:leader="none"/>
        </w:tabs>
        <w:spacing w:line="240" w:lineRule="auto" w:before="58"/>
        <w:ind w:left="157" w:right="0"/>
        <w:jc w:val="left"/>
        <w:rPr>
          <w:b w:val="0"/>
          <w:bCs w:val="0"/>
        </w:rPr>
      </w:pPr>
      <w:r>
        <w:rPr>
          <w:rFonts w:ascii="宋体" w:hAnsi="宋体" w:cs="宋体" w:eastAsia="宋体" w:hint="default"/>
        </w:rPr>
        <w:t>(1).</w:t>
        <w:tab/>
      </w:r>
      <w:r>
        <w:rPr>
          <w:w w:val="95"/>
        </w:rPr>
        <w:t>收到的其他与经营活动有关的现金：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357" w:val="left" w:leader="none"/>
        </w:tabs>
        <w:spacing w:line="240" w:lineRule="auto"/>
        <w:ind w:left="157" w:right="0"/>
        <w:jc w:val="left"/>
      </w:pPr>
      <w:r>
        <w:rPr/>
        <w:t>单位：元</w:t>
        <w:tab/>
        <w:t>币种：人民币</w:t>
      </w:r>
    </w:p>
    <w:p>
      <w:pPr>
        <w:spacing w:after="0" w:line="240" w:lineRule="auto"/>
        <w:jc w:val="left"/>
        <w:sectPr>
          <w:type w:val="continuous"/>
          <w:pgSz w:w="11910" w:h="16840"/>
          <w:pgMar w:top="1120" w:bottom="1380" w:left="1120" w:right="1640"/>
          <w:cols w:num="2" w:equalWidth="0">
            <w:col w:w="4712" w:space="1481"/>
            <w:col w:w="2957"/>
          </w:cols>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780"/>
        <w:gridCol w:w="2768"/>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使用受到限制的货币资金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4,665,220.96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17,544,503.77</w:t>
            </w:r>
          </w:p>
        </w:tc>
      </w:tr>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往来款及其他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14,993,229.69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15,721,963.18</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3,314,434.62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2,595,542.27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收回押金及保证金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453,144.38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7,585,547.65</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所得税退税</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2,469,755.37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23,426,029.65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45,917,312.24</w:t>
            </w:r>
          </w:p>
        </w:tc>
      </w:tr>
    </w:tbl>
    <w:p>
      <w:pPr>
        <w:spacing w:line="240" w:lineRule="auto" w:before="5"/>
        <w:rPr>
          <w:rFonts w:ascii="宋体" w:hAnsi="宋体" w:cs="宋体" w:eastAsia="宋体" w:hint="default"/>
          <w:sz w:val="23"/>
          <w:szCs w:val="23"/>
        </w:rPr>
      </w:pPr>
    </w:p>
    <w:p>
      <w:pPr>
        <w:pStyle w:val="BodyText"/>
        <w:spacing w:line="240" w:lineRule="auto" w:before="26"/>
        <w:ind w:left="157" w:right="138"/>
        <w:jc w:val="left"/>
      </w:pPr>
      <w:r>
        <w:rPr/>
        <w:t>收到的其他与经营活动有关的现金说明：无</w:t>
      </w:r>
    </w:p>
    <w:p>
      <w:pPr>
        <w:spacing w:line="240" w:lineRule="auto" w:before="0"/>
        <w:rPr>
          <w:rFonts w:ascii="宋体" w:hAnsi="宋体" w:cs="宋体" w:eastAsia="宋体" w:hint="default"/>
          <w:sz w:val="20"/>
          <w:szCs w:val="20"/>
        </w:rPr>
      </w:pPr>
    </w:p>
    <w:p>
      <w:pPr>
        <w:pStyle w:val="Heading2"/>
        <w:tabs>
          <w:tab w:pos="857" w:val="left" w:leader="none"/>
        </w:tabs>
        <w:spacing w:line="240" w:lineRule="auto" w:before="166"/>
        <w:ind w:left="157" w:right="138"/>
        <w:jc w:val="left"/>
        <w:rPr>
          <w:b w:val="0"/>
          <w:bCs w:val="0"/>
        </w:rPr>
      </w:pPr>
      <w:r>
        <w:rPr>
          <w:rFonts w:ascii="宋体" w:hAnsi="宋体" w:cs="宋体" w:eastAsia="宋体" w:hint="default"/>
        </w:rPr>
        <w:t>(2).</w:t>
        <w:tab/>
      </w:r>
      <w:r>
        <w:rPr/>
        <w:t>支付的其他与经营活动有关的现金：</w:t>
      </w:r>
      <w:r>
        <w:rPr>
          <w:b w:val="0"/>
          <w:bCs w:val="0"/>
        </w:rPr>
      </w:r>
    </w:p>
    <w:p>
      <w:pPr>
        <w:pStyle w:val="BodyText"/>
        <w:tabs>
          <w:tab w:pos="1199" w:val="left" w:leader="none"/>
        </w:tabs>
        <w:spacing w:line="240" w:lineRule="auto" w:before="58"/>
        <w:ind w:left="0" w:right="15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760"/>
        <w:gridCol w:w="2787"/>
      </w:tblGrid>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77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78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使用受到限制的货币资金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61" w:right="0"/>
              <w:jc w:val="left"/>
              <w:rPr>
                <w:rFonts w:ascii="宋体" w:hAnsi="宋体" w:cs="宋体" w:eastAsia="宋体" w:hint="default"/>
                <w:sz w:val="24"/>
                <w:szCs w:val="24"/>
              </w:rPr>
            </w:pPr>
            <w:r>
              <w:rPr>
                <w:rFonts w:ascii="宋体"/>
                <w:sz w:val="24"/>
              </w:rPr>
              <w:t>12,677,797.59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87" w:right="0"/>
              <w:jc w:val="left"/>
              <w:rPr>
                <w:rFonts w:ascii="宋体" w:hAnsi="宋体" w:cs="宋体" w:eastAsia="宋体" w:hint="default"/>
                <w:sz w:val="24"/>
                <w:szCs w:val="24"/>
              </w:rPr>
            </w:pPr>
            <w:r>
              <w:rPr>
                <w:rFonts w:ascii="宋体"/>
                <w:sz w:val="24"/>
              </w:rPr>
              <w:t>10,060,450.74</w:t>
            </w:r>
          </w:p>
        </w:tc>
      </w:tr>
    </w:tbl>
    <w:p>
      <w:pPr>
        <w:spacing w:after="0" w:line="276" w:lineRule="exact"/>
        <w:jc w:val="left"/>
        <w:rPr>
          <w:rFonts w:ascii="宋体" w:hAnsi="宋体" w:cs="宋体" w:eastAsia="宋体" w:hint="default"/>
          <w:sz w:val="24"/>
          <w:szCs w:val="24"/>
        </w:rPr>
        <w:sectPr>
          <w:type w:val="continuous"/>
          <w:pgSz w:w="11910" w:h="16840"/>
          <w:pgMar w:top="1120" w:bottom="1380" w:left="1120" w:right="164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349"/>
        <w:gridCol w:w="2760"/>
        <w:gridCol w:w="2787"/>
      </w:tblGrid>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往来款及其他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24,073,009.72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12,517,844.66</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付现费用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225,375,673.86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215,000,168.97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支付押金及保证金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12,576,580.24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7,846,497.09</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274,703,061.41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245,424,961.46</w:t>
            </w:r>
          </w:p>
        </w:tc>
      </w:tr>
    </w:tbl>
    <w:p>
      <w:pPr>
        <w:pStyle w:val="BodyText"/>
        <w:spacing w:line="240" w:lineRule="auto" w:before="19"/>
        <w:ind w:left="157" w:right="138"/>
        <w:jc w:val="left"/>
      </w:pPr>
      <w:r>
        <w:rPr/>
        <w:t>支付的其他与经营活动有关的现金说明：无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2"/>
        <w:tabs>
          <w:tab w:pos="884" w:val="left" w:leader="none"/>
        </w:tabs>
        <w:spacing w:line="240" w:lineRule="auto"/>
        <w:ind w:left="157" w:right="138"/>
        <w:jc w:val="left"/>
        <w:rPr>
          <w:b w:val="0"/>
          <w:bCs w:val="0"/>
        </w:rPr>
      </w:pPr>
      <w:r>
        <w:rPr>
          <w:rFonts w:ascii="宋体" w:hAnsi="宋体" w:cs="宋体" w:eastAsia="宋体" w:hint="default"/>
        </w:rPr>
        <w:t>(3).</w:t>
        <w:tab/>
      </w:r>
      <w:r>
        <w:rPr/>
        <w:t>收到的其他与投资活动有关的现金</w:t>
      </w:r>
      <w:r>
        <w:rPr>
          <w:b w:val="0"/>
          <w:bCs w:val="0"/>
        </w:rPr>
      </w:r>
    </w:p>
    <w:p>
      <w:pPr>
        <w:pStyle w:val="BodyText"/>
        <w:tabs>
          <w:tab w:pos="1199" w:val="left" w:leader="none"/>
        </w:tabs>
        <w:spacing w:line="240" w:lineRule="auto" w:before="55"/>
        <w:ind w:left="0" w:right="153"/>
        <w:jc w:val="right"/>
      </w:pPr>
      <w:r>
        <w:rPr/>
        <w:t>单位：元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864"/>
        <w:gridCol w:w="2684"/>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15,038,350.98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17,397,334.82</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收到资产相关政府补助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38,000,000.00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20,349,622.65</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收回借款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312,005.00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收回项目合作款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35,516,002.00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现金折扣</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5,346,092.00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融资保证金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29,838,730.60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使用受到限制的货币资金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16,500,000.00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88,866,357.98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89,431,780.07</w:t>
            </w:r>
          </w:p>
        </w:tc>
      </w:tr>
    </w:tbl>
    <w:p>
      <w:pPr>
        <w:pStyle w:val="BodyText"/>
        <w:spacing w:line="240" w:lineRule="auto" w:before="19"/>
        <w:ind w:left="157" w:right="138"/>
        <w:jc w:val="left"/>
      </w:pPr>
      <w:r>
        <w:rPr/>
        <w:t>收到的其他与投资活动有关的现金说明：无</w:t>
      </w:r>
    </w:p>
    <w:p>
      <w:pPr>
        <w:spacing w:line="240" w:lineRule="auto" w:before="0"/>
        <w:rPr>
          <w:rFonts w:ascii="宋体" w:hAnsi="宋体" w:cs="宋体" w:eastAsia="宋体" w:hint="default"/>
          <w:sz w:val="20"/>
          <w:szCs w:val="20"/>
        </w:rPr>
      </w:pPr>
    </w:p>
    <w:p>
      <w:pPr>
        <w:pStyle w:val="Heading2"/>
        <w:tabs>
          <w:tab w:pos="884" w:val="left" w:leader="none"/>
        </w:tabs>
        <w:spacing w:line="240" w:lineRule="auto" w:before="166"/>
        <w:ind w:left="157" w:right="138"/>
        <w:jc w:val="left"/>
        <w:rPr>
          <w:b w:val="0"/>
          <w:bCs w:val="0"/>
        </w:rPr>
      </w:pPr>
      <w:r>
        <w:rPr>
          <w:rFonts w:ascii="宋体" w:hAnsi="宋体" w:cs="宋体" w:eastAsia="宋体" w:hint="default"/>
        </w:rPr>
        <w:t>(4).</w:t>
        <w:tab/>
      </w:r>
      <w:r>
        <w:rPr/>
        <w:t>支付的其他与投资活动有关的现金</w:t>
      </w:r>
      <w:r>
        <w:rPr>
          <w:b w:val="0"/>
          <w:bCs w:val="0"/>
        </w:rPr>
      </w:r>
    </w:p>
    <w:p>
      <w:pPr>
        <w:pStyle w:val="BodyText"/>
        <w:tabs>
          <w:tab w:pos="1199" w:val="left" w:leader="none"/>
        </w:tabs>
        <w:spacing w:line="240" w:lineRule="auto" w:before="58"/>
        <w:ind w:left="0" w:right="15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864"/>
        <w:gridCol w:w="2684"/>
      </w:tblGrid>
      <w:tr>
        <w:trPr>
          <w:trHeight w:val="32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持有待售的货币资金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847,845.72</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支付借款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90,000,000.00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307,265.01</w:t>
            </w:r>
          </w:p>
        </w:tc>
      </w:tr>
      <w:tr>
        <w:trPr>
          <w:trHeight w:val="331"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支付项目合作款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22"/>
              <w:jc w:val="right"/>
              <w:rPr>
                <w:rFonts w:ascii="宋体" w:hAnsi="宋体" w:cs="宋体" w:eastAsia="宋体" w:hint="default"/>
                <w:sz w:val="24"/>
                <w:szCs w:val="24"/>
              </w:rPr>
            </w:pPr>
            <w:r>
              <w:rPr>
                <w:rFonts w:ascii="宋体"/>
                <w:sz w:val="24"/>
              </w:rPr>
              <w:t>27,800,000.00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55,516,002.00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117,800,000.00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56,671,112.73</w:t>
            </w:r>
          </w:p>
        </w:tc>
      </w:tr>
    </w:tbl>
    <w:p>
      <w:pPr>
        <w:pStyle w:val="BodyText"/>
        <w:spacing w:line="240" w:lineRule="auto" w:before="19"/>
        <w:ind w:left="157" w:right="138"/>
        <w:jc w:val="left"/>
      </w:pPr>
      <w:r>
        <w:rPr/>
        <w:t>支付的其他与投资活动有关的现金说明：无</w:t>
      </w:r>
    </w:p>
    <w:p>
      <w:pPr>
        <w:spacing w:line="240" w:lineRule="auto" w:before="0"/>
        <w:rPr>
          <w:rFonts w:ascii="宋体" w:hAnsi="宋体" w:cs="宋体" w:eastAsia="宋体" w:hint="default"/>
          <w:sz w:val="20"/>
          <w:szCs w:val="20"/>
        </w:rPr>
      </w:pPr>
    </w:p>
    <w:p>
      <w:pPr>
        <w:pStyle w:val="Heading2"/>
        <w:tabs>
          <w:tab w:pos="997" w:val="left" w:leader="none"/>
        </w:tabs>
        <w:spacing w:line="240" w:lineRule="auto" w:before="169"/>
        <w:ind w:left="157" w:right="138"/>
        <w:jc w:val="left"/>
        <w:rPr>
          <w:b w:val="0"/>
          <w:bCs w:val="0"/>
        </w:rPr>
      </w:pPr>
      <w:r>
        <w:rPr>
          <w:rFonts w:ascii="宋体" w:hAnsi="宋体" w:cs="宋体" w:eastAsia="宋体" w:hint="default"/>
        </w:rPr>
        <w:t>(5).</w:t>
        <w:tab/>
      </w:r>
      <w:r>
        <w:rPr/>
        <w:t>收到的其他与筹资活动有关的现金</w:t>
      </w:r>
      <w:r>
        <w:rPr>
          <w:b w:val="0"/>
          <w:bCs w:val="0"/>
        </w:rPr>
      </w:r>
    </w:p>
    <w:p>
      <w:pPr>
        <w:pStyle w:val="BodyText"/>
        <w:tabs>
          <w:tab w:pos="1199" w:val="left" w:leader="none"/>
        </w:tabs>
        <w:spacing w:line="240" w:lineRule="auto" w:before="55"/>
        <w:ind w:left="0" w:right="15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864"/>
        <w:gridCol w:w="2684"/>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收到借入款项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12,141,890.12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12,141,890.12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0.00</w:t>
            </w:r>
          </w:p>
        </w:tc>
      </w:tr>
    </w:tbl>
    <w:p>
      <w:pPr>
        <w:pStyle w:val="BodyText"/>
        <w:spacing w:line="240" w:lineRule="auto" w:before="19"/>
        <w:ind w:left="157" w:right="138"/>
        <w:jc w:val="left"/>
      </w:pPr>
      <w:r>
        <w:rPr/>
        <w:t>收到的其他与筹资活动有关的现金说明：无</w:t>
      </w:r>
    </w:p>
    <w:p>
      <w:pPr>
        <w:spacing w:line="240" w:lineRule="auto" w:before="0"/>
        <w:rPr>
          <w:rFonts w:ascii="宋体" w:hAnsi="宋体" w:cs="宋体" w:eastAsia="宋体" w:hint="default"/>
          <w:sz w:val="20"/>
          <w:szCs w:val="20"/>
        </w:rPr>
      </w:pPr>
    </w:p>
    <w:p>
      <w:pPr>
        <w:pStyle w:val="Heading2"/>
        <w:tabs>
          <w:tab w:pos="997" w:val="left" w:leader="none"/>
        </w:tabs>
        <w:spacing w:line="240" w:lineRule="auto" w:before="168"/>
        <w:ind w:left="157" w:right="138"/>
        <w:jc w:val="left"/>
        <w:rPr>
          <w:b w:val="0"/>
          <w:bCs w:val="0"/>
        </w:rPr>
      </w:pPr>
      <w:r>
        <w:rPr>
          <w:rFonts w:ascii="宋体" w:hAnsi="宋体" w:cs="宋体" w:eastAsia="宋体" w:hint="default"/>
        </w:rPr>
        <w:t>(6).</w:t>
        <w:tab/>
      </w:r>
      <w:r>
        <w:rPr/>
        <w:t>支付的其他与筹资活动有关的现金</w:t>
      </w:r>
      <w:r>
        <w:rPr>
          <w:b w:val="0"/>
          <w:bCs w:val="0"/>
        </w:rPr>
      </w:r>
    </w:p>
    <w:p>
      <w:pPr>
        <w:pStyle w:val="BodyText"/>
        <w:tabs>
          <w:tab w:pos="1199" w:val="left" w:leader="none"/>
        </w:tabs>
        <w:spacing w:line="240" w:lineRule="auto" w:before="55"/>
        <w:ind w:left="0" w:right="15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864"/>
        <w:gridCol w:w="2684"/>
      </w:tblGrid>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64" w:right="0"/>
              <w:jc w:val="left"/>
              <w:rPr>
                <w:rFonts w:ascii="宋体" w:hAnsi="宋体" w:cs="宋体" w:eastAsia="宋体" w:hint="default"/>
                <w:sz w:val="24"/>
                <w:szCs w:val="24"/>
              </w:rPr>
            </w:pPr>
            <w:r>
              <w:rPr>
                <w:rFonts w:ascii="宋体"/>
                <w:sz w:val="24"/>
              </w:rPr>
              <w:t>18,200,875.81</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07" w:right="0"/>
              <w:jc w:val="left"/>
              <w:rPr>
                <w:rFonts w:ascii="宋体" w:hAnsi="宋体" w:cs="宋体" w:eastAsia="宋体" w:hint="default"/>
                <w:sz w:val="24"/>
                <w:szCs w:val="24"/>
              </w:rPr>
            </w:pPr>
            <w:r>
              <w:rPr>
                <w:rFonts w:ascii="宋体"/>
                <w:sz w:val="24"/>
              </w:rPr>
              <w:t>8,659,736.61</w:t>
            </w:r>
          </w:p>
        </w:tc>
      </w:tr>
    </w:tbl>
    <w:p>
      <w:pPr>
        <w:spacing w:after="0" w:line="274" w:lineRule="exact"/>
        <w:jc w:val="left"/>
        <w:rPr>
          <w:rFonts w:ascii="宋体" w:hAnsi="宋体" w:cs="宋体" w:eastAsia="宋体" w:hint="default"/>
          <w:sz w:val="24"/>
          <w:szCs w:val="24"/>
        </w:rPr>
        <w:sectPr>
          <w:pgSz w:w="11910" w:h="16840"/>
          <w:pgMar w:header="882" w:footer="1195" w:top="1120" w:bottom="1380" w:left="1120" w:right="1640"/>
        </w:sectPr>
      </w:pPr>
    </w:p>
    <w:p>
      <w:pPr>
        <w:spacing w:line="240" w:lineRule="auto" w:before="0"/>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3349"/>
        <w:gridCol w:w="2864"/>
        <w:gridCol w:w="2684"/>
      </w:tblGrid>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回购款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27,315,493.73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32,934,749.30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使用受到限制的货币资金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31,748,375.00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限制性股票分红款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240,460.12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299,906.87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45,756,829.66</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73,642,767.78</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60"/>
        </w:sectPr>
      </w:pPr>
    </w:p>
    <w:p>
      <w:pPr>
        <w:spacing w:line="283" w:lineRule="auto" w:before="19"/>
        <w:ind w:left="217" w:right="-20" w:firstLine="0"/>
        <w:jc w:val="left"/>
        <w:rPr>
          <w:rFonts w:ascii="宋体" w:hAnsi="宋体" w:cs="宋体" w:eastAsia="宋体" w:hint="default"/>
          <w:sz w:val="24"/>
          <w:szCs w:val="24"/>
        </w:rPr>
      </w:pPr>
      <w:r>
        <w:rPr>
          <w:rFonts w:ascii="宋体" w:hAnsi="宋体" w:cs="宋体" w:eastAsia="宋体" w:hint="default"/>
          <w:sz w:val="24"/>
          <w:szCs w:val="24"/>
        </w:rPr>
        <w:t>支付的其他与筹资活动有关的现金说明：无 </w:t>
      </w:r>
      <w:r>
        <w:rPr>
          <w:rFonts w:ascii="宋体" w:hAnsi="宋体" w:cs="宋体" w:eastAsia="宋体" w:hint="default"/>
          <w:b/>
          <w:bCs/>
          <w:sz w:val="24"/>
          <w:szCs w:val="24"/>
        </w:rPr>
        <w:t>74</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pStyle w:val="Heading2"/>
        <w:spacing w:line="240" w:lineRule="auto" w:before="12"/>
        <w:ind w:right="-20"/>
        <w:jc w:val="left"/>
        <w:rPr>
          <w:b w:val="0"/>
          <w:bCs w:val="0"/>
        </w:rPr>
      </w:pPr>
      <w:r>
        <w:rPr>
          <w:rFonts w:ascii="宋体" w:hAnsi="宋体" w:cs="宋体" w:eastAsia="宋体" w:hint="default"/>
        </w:rPr>
        <w:t>(1)</w:t>
      </w:r>
      <w:r>
        <w:rPr>
          <w:rFonts w:ascii="宋体" w:hAnsi="宋体" w:cs="宋体" w:eastAsia="宋体" w:hint="default"/>
          <w:spacing w:val="-61"/>
        </w:rPr>
        <w:t> </w:t>
      </w:r>
      <w:r>
        <w:rPr/>
        <w:t>现金流量表补充资料</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7" w:val="left" w:leader="none"/>
        </w:tabs>
        <w:spacing w:line="240" w:lineRule="auto" w:before="191"/>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778" w:space="1415"/>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911"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74" w:lineRule="exact"/>
              <w:ind w:left="893"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．将净利润调节为经营活动现</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金流量：</w:t>
            </w:r>
            <w:r>
              <w:rPr>
                <w:rFonts w:ascii="宋体" w:hAnsi="宋体" w:cs="宋体" w:eastAsia="宋体" w:hint="default"/>
                <w:sz w:val="24"/>
                <w:szCs w:val="24"/>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106,311,641.96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105,468,335.29</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45,308,960.49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23,135,548.78</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固定资产折旧、油气资产折耗、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35,681,315.69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23,204,771.43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49,381,742.30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38,564,681.21</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1,472,115.43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1,016,989.24</w:t>
            </w:r>
          </w:p>
        </w:tc>
      </w:tr>
      <w:tr>
        <w:trPr>
          <w:trHeight w:val="94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pacing w:val="-7"/>
                <w:sz w:val="24"/>
                <w:szCs w:val="24"/>
              </w:rPr>
              <w:t>长期资产的损失（收益以“－”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518,768.26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-849,276.43</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72,430,619.86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67,023,905.88</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投资损失（收益以“－”号填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-51,121,589.48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-39,855,871.90</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-19,866,436.85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-8,555,307.71</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-289,701.98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-688,522.86</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35,176,197.77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-148,718,504.92</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-394,722,557.39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169,541,608.11</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459,455,202.15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39,715,607.17</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-8,012,576.63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7,484,053.03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331,723,701.58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276,488,016.32</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和筹资活动：</w:t>
            </w:r>
            <w:r>
              <w:rPr>
                <w:rFonts w:ascii="宋体" w:hAnsi="宋体" w:cs="宋体" w:eastAsia="宋体" w:hint="default"/>
                <w:sz w:val="24"/>
                <w:szCs w:val="24"/>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sz w:val="24"/>
                <w:szCs w:val="24"/>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1,507,607,456.78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1,656,283,956.88</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1,656,283,956.88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1,274,847,964.37</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0.00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0.00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-148,676,500.10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381,435,992.51</w:t>
            </w:r>
          </w:p>
        </w:tc>
      </w:tr>
    </w:tbl>
    <w:p>
      <w:pPr>
        <w:pStyle w:val="BodyText"/>
        <w:spacing w:line="240" w:lineRule="auto" w:before="80"/>
        <w:ind w:left="217" w:right="221"/>
        <w:jc w:val="left"/>
      </w:pPr>
      <w:r>
        <w:rPr>
          <w:w w:val="95"/>
        </w:rPr>
        <w:t>说明：公司销售商品收到的银行承兑汇票背书转让金额为 </w:t>
      </w:r>
      <w:r>
        <w:rPr>
          <w:rFonts w:ascii="Arial" w:hAnsi="Arial" w:cs="Arial" w:eastAsia="Arial" w:hint="default"/>
          <w:w w:val="95"/>
        </w:rPr>
        <w:t>20,826,647.46</w:t>
      </w:r>
      <w:r>
        <w:rPr>
          <w:rFonts w:ascii="Arial" w:hAnsi="Arial" w:cs="Arial" w:eastAsia="Arial" w:hint="default"/>
          <w:spacing w:val="62"/>
          <w:w w:val="95"/>
        </w:rPr>
        <w:t> </w:t>
      </w:r>
      <w:r>
        <w:rPr>
          <w:rFonts w:ascii="宋体" w:hAnsi="宋体" w:cs="宋体" w:eastAsia="宋体" w:hint="default"/>
          <w:w w:val="95"/>
        </w:rPr>
        <w:t>元</w:t>
      </w:r>
      <w:r>
        <w:rPr>
          <w:w w:val="95"/>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5"/>
          <w:pgSz w:w="11910" w:h="16840"/>
          <w:pgMar w:footer="1195" w:header="882" w:top="1120" w:bottom="1380" w:left="1060" w:right="156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62"/>
        </w:rPr>
        <w:t> </w:t>
      </w:r>
      <w:r>
        <w:rPr/>
        <w:t>本期支付的取得子公司的现金净额</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256" w:space="1937"/>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12,770,000.00</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其中：杭州沃趣网络科技有限公司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9,770,000.00</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南京拓维致胜信息科技有限公司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3,000,000.00</w:t>
            </w:r>
          </w:p>
        </w:tc>
      </w:tr>
      <w:tr>
        <w:trPr>
          <w:trHeight w:val="327"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1,960,849.30</w:t>
            </w:r>
          </w:p>
        </w:tc>
      </w:tr>
      <w:tr>
        <w:trPr>
          <w:trHeight w:val="324"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其中：杭州沃趣网络科技有限公司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810,699.06</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南京拓维致胜信息科技有限公司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1,150,150.24</w:t>
            </w:r>
          </w:p>
        </w:tc>
      </w:tr>
      <w:tr>
        <w:trPr>
          <w:trHeight w:val="63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加：以前期间发生的企业合并于本期支付的现金或现金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5,250,033.25</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其中：摩卡软件（天津）有限公司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5,250,033.25</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16,059,183.95</w:t>
            </w:r>
          </w:p>
        </w:tc>
      </w:tr>
    </w:tbl>
    <w:p>
      <w:pPr>
        <w:spacing w:line="240" w:lineRule="auto" w:before="10"/>
        <w:rPr>
          <w:rFonts w:ascii="宋体" w:hAnsi="宋体" w:cs="宋体" w:eastAsia="宋体" w:hint="default"/>
          <w:sz w:val="18"/>
          <w:szCs w:val="18"/>
        </w:rPr>
      </w:pPr>
    </w:p>
    <w:p>
      <w:pPr>
        <w:pStyle w:val="BodyText"/>
        <w:spacing w:line="240" w:lineRule="auto" w:before="26"/>
        <w:ind w:left="217" w:right="2569"/>
        <w:jc w:val="left"/>
      </w:pPr>
      <w:r>
        <w:rPr/>
        <w:t>其他说明</w:t>
      </w:r>
      <w:r>
        <w:rPr>
          <w:rFonts w:ascii="宋体" w:hAnsi="宋体" w:cs="宋体" w:eastAsia="宋体" w:hint="default"/>
        </w:rPr>
        <w:t>:</w:t>
      </w:r>
      <w:r>
        <w:rPr/>
        <w:t>无</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60" w:right="156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62"/>
        </w:rPr>
        <w:t> </w:t>
      </w:r>
      <w:r>
        <w:rPr/>
        <w:t>本期收到的处置子公司的现金净额</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256" w:space="1937"/>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84,447,786.00</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其中：杭州沃趣网络科技有限公司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富昇控股有限公司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77,494,836.00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3,952,950.00</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北京华胜天成股权投资中心（有限合伙）</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51,350,544.26</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其中：杭州沃趣网络科技有限公司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43,942,308.65</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富昇控股有限公司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4,901,619.77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1,875,450.48</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北京华胜天成股权投资中心（有限合伙</w:t>
            </w:r>
            <w:r>
              <w:rPr>
                <w:rFonts w:ascii="宋体" w:hAnsi="宋体" w:cs="宋体" w:eastAsia="宋体" w:hint="default"/>
                <w:sz w:val="21"/>
                <w:szCs w:val="21"/>
              </w:rPr>
              <w:t>)</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631,165.36</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324"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33,097,241.74</w:t>
            </w:r>
          </w:p>
        </w:tc>
      </w:tr>
    </w:tbl>
    <w:p>
      <w:pPr>
        <w:spacing w:line="240" w:lineRule="auto" w:before="10"/>
        <w:rPr>
          <w:rFonts w:ascii="宋体" w:hAnsi="宋体" w:cs="宋体" w:eastAsia="宋体" w:hint="default"/>
          <w:sz w:val="18"/>
          <w:szCs w:val="18"/>
        </w:rPr>
      </w:pPr>
    </w:p>
    <w:p>
      <w:pPr>
        <w:pStyle w:val="BodyText"/>
        <w:spacing w:line="240" w:lineRule="auto" w:before="26"/>
        <w:ind w:left="217" w:right="2569"/>
        <w:jc w:val="left"/>
        <w:rPr>
          <w:rFonts w:ascii="宋体" w:hAnsi="宋体" w:cs="宋体" w:eastAsia="宋体" w:hint="default"/>
        </w:rPr>
      </w:pPr>
      <w:r>
        <w:rPr/>
        <w:t>其他说明</w:t>
      </w:r>
      <w:r>
        <w:rPr>
          <w:rFonts w:ascii="宋体" w:hAnsi="宋体" w:cs="宋体" w:eastAsia="宋体" w:hint="default"/>
        </w:rPr>
        <w:t>:</w:t>
      </w:r>
    </w:p>
    <w:p>
      <w:pPr>
        <w:spacing w:line="240" w:lineRule="auto" w:before="1"/>
        <w:rPr>
          <w:rFonts w:ascii="宋体" w:hAnsi="宋体" w:cs="宋体" w:eastAsia="宋体" w:hint="default"/>
          <w:sz w:val="26"/>
          <w:szCs w:val="26"/>
        </w:rPr>
      </w:pPr>
    </w:p>
    <w:p>
      <w:pPr>
        <w:pStyle w:val="Heading2"/>
        <w:spacing w:line="240" w:lineRule="auto"/>
        <w:ind w:right="2569"/>
        <w:jc w:val="left"/>
        <w:rPr>
          <w:b w:val="0"/>
          <w:bCs w:val="0"/>
        </w:rPr>
      </w:pPr>
      <w:r>
        <w:rPr>
          <w:rFonts w:ascii="宋体" w:hAnsi="宋体" w:cs="宋体" w:eastAsia="宋体" w:hint="default"/>
        </w:rPr>
        <w:t>(4)</w:t>
      </w:r>
      <w:r>
        <w:rPr>
          <w:rFonts w:ascii="宋体" w:hAnsi="宋体" w:cs="宋体" w:eastAsia="宋体" w:hint="default"/>
          <w:spacing w:val="-63"/>
        </w:rPr>
        <w:t> </w:t>
      </w:r>
      <w:r>
        <w:rPr/>
        <w:t>现金和现金等价物的构成</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8"/>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1,507,607,456.78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1,656,283,956.88</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677,363.94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555,835.95</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1,506,930,092.84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1,655,728,120.93</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1,507,607,456.78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1,656,283,956.88</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left="217" w:right="2569"/>
        <w:jc w:val="left"/>
      </w:pPr>
      <w:r>
        <w:rPr/>
        <w:t>其他说明：无</w:t>
      </w:r>
    </w:p>
    <w:p>
      <w:pPr>
        <w:spacing w:line="240" w:lineRule="auto" w:before="9"/>
        <w:rPr>
          <w:rFonts w:ascii="宋体" w:hAnsi="宋体" w:cs="宋体" w:eastAsia="宋体" w:hint="default"/>
          <w:sz w:val="32"/>
          <w:szCs w:val="32"/>
        </w:rPr>
      </w:pPr>
    </w:p>
    <w:p>
      <w:pPr>
        <w:spacing w:line="261" w:lineRule="auto" w:before="0"/>
        <w:ind w:left="217" w:right="1609" w:firstLine="0"/>
        <w:jc w:val="left"/>
        <w:rPr>
          <w:rFonts w:ascii="宋体" w:hAnsi="宋体" w:cs="宋体" w:eastAsia="宋体" w:hint="default"/>
          <w:sz w:val="24"/>
          <w:szCs w:val="24"/>
        </w:rPr>
      </w:pPr>
      <w:r>
        <w:rPr>
          <w:rFonts w:ascii="宋体" w:hAnsi="宋体" w:cs="宋体" w:eastAsia="宋体" w:hint="default"/>
          <w:b/>
          <w:bCs/>
          <w:sz w:val="24"/>
          <w:szCs w:val="24"/>
        </w:rPr>
        <w:t>75</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说明对上年期末余额进行调整的“其他”项目名称及调整金额等事项： 无</w:t>
      </w: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66"/>
          <w:pgSz w:w="11910" w:h="16840"/>
          <w:pgMar w:footer="1195" w:header="882" w:top="1120" w:bottom="1380" w:left="1060" w:right="1560"/>
          <w:pgNumType w:start="161"/>
        </w:sectPr>
      </w:pPr>
    </w:p>
    <w:p>
      <w:pPr>
        <w:pStyle w:val="Heading2"/>
        <w:spacing w:line="240" w:lineRule="auto"/>
        <w:ind w:right="-18"/>
        <w:jc w:val="left"/>
        <w:rPr>
          <w:b w:val="0"/>
          <w:bCs w:val="0"/>
        </w:rPr>
      </w:pPr>
      <w:r>
        <w:rPr>
          <w:rFonts w:ascii="宋体" w:hAnsi="宋体" w:cs="宋体" w:eastAsia="宋体" w:hint="default"/>
        </w:rPr>
        <w:t>76</w:t>
      </w:r>
      <w:r>
        <w:rPr/>
        <w:t>、</w:t>
      </w:r>
      <w:r>
        <w:rPr>
          <w:spacing w:val="-102"/>
        </w:rPr>
        <w:t> </w:t>
      </w:r>
      <w:r>
        <w:rPr/>
        <w:t>所有权或使用权受到限制的资产</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095" w:space="2098"/>
            <w:col w:w="3097"/>
          </w:cols>
        </w:sectPr>
      </w:pPr>
    </w:p>
    <w:p>
      <w:pPr>
        <w:spacing w:line="240" w:lineRule="auto" w:before="10"/>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157"/>
        <w:gridCol w:w="3046"/>
        <w:gridCol w:w="2693"/>
      </w:tblGrid>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30"/>
              <w:jc w:val="right"/>
              <w:rPr>
                <w:rFonts w:ascii="宋体" w:hAnsi="宋体" w:cs="宋体" w:eastAsia="宋体" w:hint="default"/>
                <w:sz w:val="24"/>
                <w:szCs w:val="24"/>
              </w:rPr>
            </w:pPr>
            <w:r>
              <w:rPr>
                <w:rFonts w:ascii="宋体" w:hAnsi="宋体" w:cs="宋体" w:eastAsia="宋体" w:hint="default"/>
                <w:sz w:val="24"/>
                <w:szCs w:val="24"/>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6"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0"/>
              <w:jc w:val="left"/>
              <w:rPr>
                <w:rFonts w:ascii="宋体" w:hAnsi="宋体" w:cs="宋体" w:eastAsia="宋体" w:hint="default"/>
                <w:sz w:val="24"/>
                <w:szCs w:val="24"/>
              </w:rPr>
            </w:pPr>
            <w:r>
              <w:rPr>
                <w:rFonts w:ascii="宋体" w:hAnsi="宋体" w:cs="宋体" w:eastAsia="宋体" w:hint="default"/>
                <w:sz w:val="24"/>
                <w:szCs w:val="24"/>
              </w:rPr>
              <w:t>受限原因</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33,349,318.59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60,464,960.36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抵押担保</w:t>
            </w:r>
          </w:p>
        </w:tc>
      </w:tr>
      <w:tr>
        <w:trPr>
          <w:trHeight w:val="324"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327"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2"/>
              <w:jc w:val="right"/>
              <w:rPr>
                <w:rFonts w:ascii="宋体" w:hAnsi="宋体" w:cs="宋体" w:eastAsia="宋体" w:hint="default"/>
                <w:sz w:val="24"/>
                <w:szCs w:val="24"/>
              </w:rPr>
            </w:pPr>
            <w:r>
              <w:rPr>
                <w:rFonts w:ascii="宋体"/>
                <w:sz w:val="24"/>
              </w:rPr>
              <w:t>11,332,524.16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 w:right="0"/>
              <w:jc w:val="left"/>
              <w:rPr>
                <w:rFonts w:ascii="宋体" w:hAnsi="宋体" w:cs="宋体" w:eastAsia="宋体" w:hint="default"/>
                <w:sz w:val="24"/>
                <w:szCs w:val="24"/>
              </w:rPr>
            </w:pPr>
            <w:r>
              <w:rPr>
                <w:rFonts w:ascii="宋体" w:hAnsi="宋体" w:cs="宋体" w:eastAsia="宋体" w:hint="default"/>
                <w:sz w:val="24"/>
                <w:szCs w:val="24"/>
              </w:rPr>
              <w:t>抵押担保</w:t>
            </w:r>
          </w:p>
        </w:tc>
      </w:tr>
      <w:tr>
        <w:trPr>
          <w:trHeight w:val="32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330"/>
              <w:jc w:val="right"/>
              <w:rPr>
                <w:rFonts w:ascii="宋体" w:hAnsi="宋体" w:cs="宋体" w:eastAsia="宋体" w:hint="default"/>
                <w:sz w:val="24"/>
                <w:szCs w:val="24"/>
              </w:rPr>
            </w:pPr>
            <w:r>
              <w:rPr>
                <w:rFonts w:ascii="宋体" w:hAnsi="宋体" w:cs="宋体" w:eastAsia="宋体" w:hint="default"/>
                <w:sz w:val="24"/>
                <w:szCs w:val="24"/>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105,146,803.11</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sz w:val="24"/>
              </w:rPr>
              <w:t>/</w:t>
            </w:r>
          </w:p>
        </w:tc>
      </w:tr>
    </w:tbl>
    <w:p>
      <w:pPr>
        <w:spacing w:after="0" w:line="276" w:lineRule="exact"/>
        <w:jc w:val="center"/>
        <w:rPr>
          <w:rFonts w:ascii="宋体" w:hAnsi="宋体" w:cs="宋体" w:eastAsia="宋体" w:hint="default"/>
          <w:sz w:val="24"/>
          <w:szCs w:val="24"/>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spacing w:line="240" w:lineRule="auto" w:before="26"/>
        <w:ind w:left="217" w:right="2569"/>
        <w:jc w:val="left"/>
      </w:pPr>
      <w:r>
        <w:rPr/>
        <w:t>其他说明：无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060" w:right="1560"/>
        </w:sectPr>
      </w:pPr>
    </w:p>
    <w:p>
      <w:pPr>
        <w:pStyle w:val="Heading2"/>
        <w:spacing w:line="240" w:lineRule="auto"/>
        <w:ind w:right="-17"/>
        <w:jc w:val="left"/>
        <w:rPr>
          <w:b w:val="0"/>
          <w:bCs w:val="0"/>
        </w:rPr>
      </w:pPr>
      <w:r>
        <w:rPr>
          <w:rFonts w:ascii="宋体" w:hAnsi="宋体" w:cs="宋体" w:eastAsia="宋体" w:hint="default"/>
        </w:rPr>
        <w:t>77</w:t>
      </w:r>
      <w:r>
        <w:rPr/>
        <w:t>、</w:t>
      </w:r>
      <w:r>
        <w:rPr>
          <w:spacing w:val="-102"/>
        </w:rPr>
        <w:t> </w:t>
      </w:r>
      <w:r>
        <w:rPr/>
        <w:t>外币货币性项目</w:t>
      </w:r>
      <w:r>
        <w:rPr>
          <w:b w:val="0"/>
          <w:bCs w:val="0"/>
        </w:rPr>
      </w:r>
    </w:p>
    <w:p>
      <w:pPr>
        <w:pStyle w:val="BodyText"/>
        <w:spacing w:line="240" w:lineRule="auto" w:before="58"/>
        <w:ind w:left="217" w:right="-17"/>
        <w:jc w:val="left"/>
      </w:pPr>
      <w:r>
        <w:rPr/>
        <w:t>√适用</w:t>
      </w:r>
      <w:r>
        <w:rPr>
          <w:spacing w:val="-1"/>
        </w:rPr>
        <w:t> </w:t>
      </w:r>
      <w:r>
        <w:rPr/>
        <w:t>□不适用</w:t>
      </w:r>
    </w:p>
    <w:p>
      <w:pPr>
        <w:tabs>
          <w:tab w:pos="917" w:val="left" w:leader="none"/>
        </w:tabs>
        <w:spacing w:before="55"/>
        <w:ind w:left="217" w:right="-17"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1"/>
          <w:szCs w:val="21"/>
        </w:rPr>
        <w:t>外币货币性项目</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7"/>
        <w:ind w:left="217" w:right="0"/>
        <w:jc w:val="left"/>
      </w:pPr>
      <w:r>
        <w:rPr/>
        <w:t>单位：元</w:t>
      </w:r>
    </w:p>
    <w:p>
      <w:pPr>
        <w:spacing w:after="0" w:line="240" w:lineRule="auto"/>
        <w:jc w:val="left"/>
        <w:sectPr>
          <w:type w:val="continuous"/>
          <w:pgSz w:w="11910" w:h="16840"/>
          <w:pgMar w:top="1120" w:bottom="1380" w:left="1060" w:right="1560"/>
          <w:cols w:num="2" w:equalWidth="0">
            <w:col w:w="2637" w:space="5237"/>
            <w:col w:w="141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63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9" w:right="0"/>
              <w:jc w:val="left"/>
              <w:rPr>
                <w:rFonts w:ascii="宋体" w:hAnsi="宋体" w:cs="宋体" w:eastAsia="宋体" w:hint="default"/>
                <w:sz w:val="24"/>
                <w:szCs w:val="24"/>
              </w:rPr>
            </w:pPr>
            <w:r>
              <w:rPr>
                <w:rFonts w:ascii="宋体" w:hAnsi="宋体" w:cs="宋体" w:eastAsia="宋体" w:hint="default"/>
                <w:sz w:val="24"/>
                <w:szCs w:val="24"/>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2" w:right="0"/>
              <w:jc w:val="left"/>
              <w:rPr>
                <w:rFonts w:ascii="宋体" w:hAnsi="宋体" w:cs="宋体" w:eastAsia="宋体" w:hint="default"/>
                <w:sz w:val="24"/>
                <w:szCs w:val="24"/>
              </w:rPr>
            </w:pPr>
            <w:r>
              <w:rPr>
                <w:rFonts w:ascii="宋体" w:hAnsi="宋体" w:cs="宋体" w:eastAsia="宋体" w:hint="default"/>
                <w:sz w:val="24"/>
                <w:szCs w:val="24"/>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期末折算人民币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货币资金</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Arial" w:hAnsi="Arial" w:cs="Arial" w:eastAsia="Arial" w:hint="default"/>
                <w:sz w:val="24"/>
                <w:szCs w:val="24"/>
              </w:rPr>
            </w:pPr>
            <w:r>
              <w:rPr>
                <w:rFonts w:ascii="Arial"/>
                <w:b/>
                <w:spacing w:val="-1"/>
                <w:w w:val="80"/>
                <w:sz w:val="24"/>
              </w:rPr>
              <w:t>253,193,949.54</w:t>
            </w:r>
            <w:r>
              <w:rPr>
                <w:rFonts w:ascii="Arial"/>
                <w:spacing w:val="-1"/>
                <w:sz w:val="24"/>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17,362,464.66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112,744,900.52</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146,173,563.34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122,464,211.37</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1,023,305.43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0.8133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832,254.31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49,194,906.00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0.1970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9,691,396.48</w:t>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41,474,079.27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0.1799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7,461,186.86</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应收账款</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Arial" w:hAnsi="Arial" w:cs="Arial" w:eastAsia="Arial" w:hint="default"/>
                <w:sz w:val="24"/>
                <w:szCs w:val="24"/>
              </w:rPr>
            </w:pPr>
            <w:r>
              <w:rPr>
                <w:rFonts w:ascii="Arial"/>
                <w:b/>
                <w:spacing w:val="-1"/>
                <w:w w:val="80"/>
                <w:sz w:val="24"/>
              </w:rPr>
              <w:t>521,661,114.83</w:t>
            </w:r>
            <w:r>
              <w:rPr>
                <w:rFonts w:ascii="Arial"/>
                <w:spacing w:val="-1"/>
                <w:sz w:val="24"/>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20,678,676.64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134,279,054.63</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434,302,723.42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363,858,821.68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34,091,342.01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0.1970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6,715,994.38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17,357,201.16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0.8133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14,116,611.70</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14,956,267.04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0.1799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2,690,632.44</w:t>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应收票据</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Arial" w:hAnsi="Arial" w:cs="Arial" w:eastAsia="Arial" w:hint="default"/>
                <w:sz w:val="24"/>
                <w:szCs w:val="24"/>
              </w:rPr>
            </w:pPr>
            <w:r>
              <w:rPr>
                <w:rFonts w:ascii="Arial"/>
                <w:b/>
                <w:spacing w:val="-1"/>
                <w:w w:val="80"/>
                <w:sz w:val="24"/>
              </w:rPr>
              <w:t>27,663,034.71</w:t>
            </w:r>
            <w:r>
              <w:rPr>
                <w:rFonts w:ascii="Arial"/>
                <w:spacing w:val="-1"/>
                <w:sz w:val="24"/>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4,260,046.00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27,663,034.71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其他应收款</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Arial" w:hAnsi="Arial" w:cs="Arial" w:eastAsia="Arial" w:hint="default"/>
                <w:sz w:val="24"/>
                <w:szCs w:val="24"/>
              </w:rPr>
            </w:pPr>
            <w:r>
              <w:rPr>
                <w:rFonts w:ascii="Arial"/>
                <w:b/>
                <w:spacing w:val="-1"/>
                <w:w w:val="80"/>
                <w:sz w:val="24"/>
              </w:rPr>
              <w:t>13,594,856.64</w:t>
            </w:r>
            <w:r>
              <w:rPr>
                <w:rFonts w:ascii="Arial"/>
                <w:spacing w:val="-1"/>
                <w:sz w:val="24"/>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109,802.78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713,015.33</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10,992,629.12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9,209,624.68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13,199,773.78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0.1799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2,374,639.30</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3,313,718.42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0.1970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652,802.53</w:t>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792,788.39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0.8133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644,774.80</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长期应收款</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
              <w:jc w:val="right"/>
              <w:rPr>
                <w:rFonts w:ascii="宋体" w:hAnsi="宋体" w:cs="宋体" w:eastAsia="宋体" w:hint="default"/>
                <w:sz w:val="24"/>
                <w:szCs w:val="24"/>
              </w:rPr>
            </w:pPr>
            <w:r>
              <w:rPr>
                <w:rFonts w:ascii="宋体"/>
                <w:b/>
                <w:w w:val="95"/>
                <w:sz w:val="24"/>
              </w:rPr>
              <w:t>6,855,466.74</w:t>
            </w:r>
            <w:r>
              <w:rPr>
                <w:rFonts w:ascii="宋体"/>
                <w:sz w:val="24"/>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38,107,096.94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0.1799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6,855,466.74</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短期借款</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b/>
                <w:w w:val="95"/>
                <w:sz w:val="24"/>
              </w:rPr>
              <w:t>112,023,827.75</w:t>
            </w:r>
            <w:r>
              <w:rPr>
                <w:rFonts w:ascii="宋体"/>
                <w:sz w:val="24"/>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14,671,034.21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95,267,827.75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16,756,000.00</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应付账款</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Arial" w:hAnsi="Arial" w:cs="Arial" w:eastAsia="Arial" w:hint="default"/>
                <w:sz w:val="24"/>
                <w:szCs w:val="24"/>
              </w:rPr>
            </w:pPr>
            <w:r>
              <w:rPr>
                <w:rFonts w:ascii="Arial"/>
                <w:b/>
                <w:spacing w:val="-1"/>
                <w:w w:val="80"/>
                <w:sz w:val="24"/>
              </w:rPr>
              <w:t>69,952,788.23</w:t>
            </w:r>
            <w:r>
              <w:rPr>
                <w:rFonts w:ascii="Arial"/>
                <w:spacing w:val="-1"/>
                <w:sz w:val="24"/>
              </w:rPr>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8,755,611.24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56,855,437.15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65,494.26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54,871.09</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46,505,896.19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0.1799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8,366,410.72</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20,912,000.98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0.1970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4,119,664.19</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641,392.00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0.8133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521,644.11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644,915.93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0.0539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34,760.97</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其他应付款</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b/>
                <w:w w:val="95"/>
                <w:sz w:val="24"/>
              </w:rPr>
              <w:t>8,086,492.97</w:t>
            </w:r>
            <w:r>
              <w:rPr>
                <w:rFonts w:ascii="宋体"/>
                <w:sz w:val="24"/>
              </w:rPr>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42,234.74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274,255.51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8,152,319.22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6,830,013.04</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3,746,488.47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0.1799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673,993.28</w:t>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994,956.01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0.1970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196,006.33</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137,986.98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0.8133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112,224.81</w:t>
            </w:r>
          </w:p>
        </w:tc>
      </w:tr>
    </w:tbl>
    <w:p>
      <w:pPr>
        <w:spacing w:line="240" w:lineRule="auto" w:before="5"/>
        <w:rPr>
          <w:rFonts w:ascii="宋体" w:hAnsi="宋体" w:cs="宋体" w:eastAsia="宋体" w:hint="default"/>
          <w:sz w:val="23"/>
          <w:szCs w:val="23"/>
        </w:rPr>
      </w:pPr>
    </w:p>
    <w:p>
      <w:pPr>
        <w:pStyle w:val="BodyText"/>
        <w:spacing w:line="283" w:lineRule="auto" w:before="26"/>
        <w:ind w:left="217" w:right="7849"/>
        <w:jc w:val="left"/>
      </w:pPr>
      <w:r>
        <w:rPr/>
        <w:t>其他说明： 无</w:t>
      </w:r>
    </w:p>
    <w:p>
      <w:pPr>
        <w:spacing w:line="240" w:lineRule="auto" w:before="10"/>
        <w:rPr>
          <w:rFonts w:ascii="宋体" w:hAnsi="宋体" w:cs="宋体" w:eastAsia="宋体" w:hint="default"/>
          <w:sz w:val="24"/>
          <w:szCs w:val="24"/>
        </w:rPr>
      </w:pPr>
    </w:p>
    <w:p>
      <w:pPr>
        <w:pStyle w:val="Heading2"/>
        <w:tabs>
          <w:tab w:pos="917" w:val="left" w:leader="none"/>
        </w:tabs>
        <w:spacing w:line="240" w:lineRule="auto" w:before="0"/>
        <w:ind w:left="637" w:right="235" w:hanging="420"/>
        <w:jc w:val="left"/>
        <w:rPr>
          <w:b w:val="0"/>
          <w:bCs w:val="0"/>
        </w:rPr>
      </w:pPr>
      <w:r>
        <w:rPr>
          <w:rFonts w:ascii="宋体" w:hAnsi="宋体" w:cs="宋体" w:eastAsia="宋体" w:hint="default"/>
          <w:spacing w:val="1"/>
          <w:w w:val="99"/>
        </w:rPr>
        <w:t>(2).</w:t>
        <w:tab/>
      </w:r>
      <w:r>
        <w:rPr>
          <w:spacing w:val="-7"/>
          <w:w w:val="99"/>
          <w:sz w:val="21"/>
          <w:szCs w:val="21"/>
        </w:rPr>
        <w:t>境外</w:t>
      </w:r>
      <w:r>
        <w:rPr>
          <w:spacing w:val="-7"/>
          <w:w w:val="99"/>
        </w:rPr>
        <w:t>经营实体说明，包括对于重要的境外经营实体，应披露其境外主要经营地、</w:t>
      </w:r>
      <w:r>
        <w:rPr>
          <w:spacing w:val="-91"/>
          <w:w w:val="99"/>
        </w:rPr>
        <w:t> </w:t>
      </w:r>
      <w:r>
        <w:rPr>
          <w:spacing w:val="-91"/>
          <w:w w:val="99"/>
        </w:rPr>
      </w:r>
      <w:r>
        <w:rPr/>
        <w:t>记账本位币及选择依据，记账本位币发生变化的还应披露原因。</w:t>
      </w:r>
      <w:r>
        <w:rPr>
          <w:b w:val="0"/>
          <w:bCs w:val="0"/>
        </w:rPr>
      </w:r>
    </w:p>
    <w:p>
      <w:pPr>
        <w:pStyle w:val="BodyText"/>
        <w:spacing w:line="312" w:lineRule="exact" w:before="58"/>
        <w:ind w:left="217" w:right="2569"/>
        <w:jc w:val="left"/>
      </w:pPr>
      <w:r>
        <w:rPr/>
        <w:t>√适用</w:t>
      </w:r>
      <w:r>
        <w:rPr>
          <w:spacing w:val="-1"/>
        </w:rPr>
        <w:t> </w:t>
      </w:r>
      <w:r>
        <w:rPr/>
        <w:t>□不适用</w:t>
      </w:r>
    </w:p>
    <w:p>
      <w:pPr>
        <w:pStyle w:val="BodyText"/>
        <w:spacing w:line="312" w:lineRule="exact" w:before="28"/>
        <w:ind w:left="217" w:right="98" w:firstLine="480"/>
        <w:jc w:val="left"/>
      </w:pPr>
      <w:r>
        <w:rPr/>
        <w:t>本公司重要境外经营实体</w:t>
      </w:r>
      <w:r>
        <w:rPr>
          <w:spacing w:val="-52"/>
        </w:rPr>
        <w:t> </w:t>
      </w:r>
      <w:r>
        <w:rPr>
          <w:rFonts w:ascii="宋体" w:hAnsi="宋体" w:cs="宋体" w:eastAsia="宋体" w:hint="default"/>
          <w:spacing w:val="-3"/>
        </w:rPr>
        <w:t>AutomatedSystemHoldingLimited</w:t>
      </w:r>
      <w:r>
        <w:rPr>
          <w:spacing w:val="-3"/>
        </w:rPr>
        <w:t>，主要经营地为香港，</w:t>
      </w:r>
      <w:r>
        <w:rPr/>
        <w:t> 记账本位币为港币，本报告期记账本位币未发生变化。</w:t>
      </w:r>
    </w:p>
    <w:p>
      <w:pPr>
        <w:spacing w:line="240" w:lineRule="auto" w:before="12"/>
        <w:rPr>
          <w:rFonts w:ascii="宋体" w:hAnsi="宋体" w:cs="宋体" w:eastAsia="宋体" w:hint="default"/>
          <w:sz w:val="25"/>
          <w:szCs w:val="25"/>
        </w:rPr>
      </w:pPr>
    </w:p>
    <w:p>
      <w:pPr>
        <w:pStyle w:val="Heading2"/>
        <w:spacing w:line="240" w:lineRule="auto" w:before="0"/>
        <w:ind w:right="2569"/>
        <w:jc w:val="left"/>
        <w:rPr>
          <w:b w:val="0"/>
          <w:bCs w:val="0"/>
        </w:rPr>
      </w:pPr>
      <w:r>
        <w:rPr>
          <w:rFonts w:ascii="宋体" w:hAnsi="宋体" w:cs="宋体" w:eastAsia="宋体" w:hint="default"/>
        </w:rPr>
        <w:t>78</w:t>
      </w:r>
      <w:r>
        <w:rPr/>
        <w:t>、</w:t>
      </w:r>
      <w:r>
        <w:rPr>
          <w:spacing w:val="-99"/>
        </w:rPr>
        <w:t> </w:t>
      </w:r>
      <w:r>
        <w:rPr/>
        <w:t>套期</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85" w:lineRule="auto" w:before="0"/>
        <w:ind w:right="8063"/>
        <w:jc w:val="left"/>
        <w:rPr>
          <w:rFonts w:ascii="宋体" w:hAnsi="宋体" w:cs="宋体" w:eastAsia="宋体" w:hint="default"/>
          <w:b w:val="0"/>
          <w:bCs w:val="0"/>
        </w:rPr>
      </w:pPr>
      <w:r>
        <w:rPr>
          <w:rFonts w:ascii="宋体" w:hAnsi="宋体" w:cs="宋体" w:eastAsia="宋体" w:hint="default"/>
        </w:rPr>
        <w:t>79</w:t>
      </w:r>
      <w:r>
        <w:rPr/>
        <w:t>、</w:t>
      </w:r>
      <w:r>
        <w:rPr>
          <w:spacing w:val="-100"/>
        </w:rPr>
        <w:t> </w:t>
      </w:r>
      <w:r>
        <w:rPr/>
        <w:t>其他</w:t>
      </w:r>
      <w:r>
        <w:rPr>
          <w:spacing w:val="2"/>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tabs>
          <w:tab w:pos="1057" w:val="left" w:leader="none"/>
        </w:tabs>
        <w:spacing w:line="283" w:lineRule="auto"/>
        <w:ind w:right="990"/>
        <w:jc w:val="left"/>
        <w:rPr>
          <w:b w:val="0"/>
          <w:bCs w:val="0"/>
        </w:rPr>
      </w:pPr>
      <w:r>
        <w:rPr/>
        <w:t>八、</w:t>
        <w:tab/>
        <w:t>合并范围的变更</w:t>
      </w:r>
      <w:r>
        <w:rPr>
          <w:w w:val="99"/>
        </w:rPr>
        <w:t> </w:t>
      </w:r>
      <w:r>
        <w:rPr>
          <w:rFonts w:ascii="宋体" w:hAnsi="宋体" w:cs="宋体" w:eastAsia="宋体" w:hint="default"/>
        </w:rPr>
        <w:t>1</w:t>
      </w:r>
      <w:r>
        <w:rPr/>
        <w:t>、</w:t>
      </w:r>
      <w:r>
        <w:rPr>
          <w:spacing w:val="-66"/>
        </w:rPr>
        <w:t> </w:t>
      </w:r>
      <w:r>
        <w:rPr/>
        <w:t>非同一控制下企业合并</w:t>
      </w:r>
      <w:r>
        <w:rPr>
          <w:b w:val="0"/>
          <w:bCs w:val="0"/>
        </w:rPr>
      </w:r>
    </w:p>
    <w:p>
      <w:pPr>
        <w:pStyle w:val="BodyText"/>
        <w:spacing w:line="240" w:lineRule="auto" w:before="14"/>
        <w:ind w:left="217" w:right="990"/>
        <w:jc w:val="left"/>
      </w:pPr>
      <w:r>
        <w:rPr/>
        <w:t>√适用</w:t>
      </w:r>
      <w:r>
        <w:rPr>
          <w:spacing w:val="-1"/>
        </w:rPr>
        <w:t> </w:t>
      </w:r>
      <w:r>
        <w:rPr/>
        <w:t>□不适用</w:t>
      </w:r>
    </w:p>
    <w:p>
      <w:pPr>
        <w:tabs>
          <w:tab w:pos="874" w:val="left" w:leader="none"/>
        </w:tabs>
        <w:spacing w:before="61"/>
        <w:ind w:left="217" w:right="-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本期发生的非同一控制下企业合并</w:t>
      </w:r>
      <w:r>
        <w:rPr>
          <w:rFonts w:ascii="宋体" w:hAnsi="宋体" w:cs="宋体" w:eastAsia="宋体" w:hint="default"/>
          <w:spacing w:val="-1"/>
          <w:sz w:val="21"/>
          <w:szCs w:val="21"/>
        </w:rPr>
      </w:r>
    </w:p>
    <w:p>
      <w:pPr>
        <w:pStyle w:val="BodyText"/>
        <w:spacing w:line="240" w:lineRule="auto" w:before="52"/>
        <w:ind w:left="217" w:right="99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7" w:val="left" w:leader="none"/>
        </w:tabs>
        <w:spacing w:line="240" w:lineRule="auto" w:before="212"/>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039" w:space="2154"/>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46"/>
        <w:gridCol w:w="1025"/>
        <w:gridCol w:w="1388"/>
        <w:gridCol w:w="756"/>
        <w:gridCol w:w="610"/>
        <w:gridCol w:w="1116"/>
        <w:gridCol w:w="828"/>
        <w:gridCol w:w="1385"/>
        <w:gridCol w:w="1296"/>
      </w:tblGrid>
      <w:tr>
        <w:trPr>
          <w:trHeight w:val="970" w:hRule="exact"/>
        </w:trPr>
        <w:tc>
          <w:tcPr>
            <w:tcW w:w="646" w:type="dxa"/>
            <w:tcBorders>
              <w:top w:val="single" w:sz="6" w:space="0" w:color="000000"/>
              <w:left w:val="single" w:sz="4" w:space="0" w:color="000000"/>
              <w:bottom w:val="single" w:sz="6" w:space="0" w:color="000000"/>
              <w:right w:val="single" w:sz="6" w:space="0" w:color="000000"/>
            </w:tcBorders>
          </w:tcPr>
          <w:p>
            <w:pPr>
              <w:pStyle w:val="TableParagraph"/>
              <w:spacing w:line="237" w:lineRule="auto" w:before="99"/>
              <w:ind w:left="137" w:right="134"/>
              <w:jc w:val="both"/>
              <w:rPr>
                <w:rFonts w:ascii="宋体" w:hAnsi="宋体" w:cs="宋体" w:eastAsia="宋体" w:hint="default"/>
                <w:sz w:val="18"/>
                <w:szCs w:val="18"/>
              </w:rPr>
            </w:pPr>
            <w:r>
              <w:rPr>
                <w:rFonts w:ascii="宋体" w:hAnsi="宋体" w:cs="宋体" w:eastAsia="宋体" w:hint="default"/>
                <w:sz w:val="18"/>
                <w:szCs w:val="18"/>
              </w:rPr>
              <w:t>被购 买方 名称</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23" w:right="144"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20"/>
              <w:ind w:left="98" w:right="101"/>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14"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15" w:right="119"/>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34" w:right="137"/>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46" w:right="142"/>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96"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99"/>
              <w:ind w:left="100" w:right="101"/>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649" w:hRule="exact"/>
        </w:trPr>
        <w:tc>
          <w:tcPr>
            <w:tcW w:w="646"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南京</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拓维 致胜 信息 科技 有限 公司</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2015/7/29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3,000,000.00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2015/10/30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both"/>
              <w:rPr>
                <w:rFonts w:ascii="宋体" w:hAnsi="宋体" w:cs="宋体" w:eastAsia="宋体" w:hint="default"/>
                <w:sz w:val="18"/>
                <w:szCs w:val="18"/>
              </w:rPr>
            </w:pPr>
            <w:r>
              <w:rPr>
                <w:rFonts w:ascii="宋体" w:hAnsi="宋体" w:cs="宋体" w:eastAsia="宋体" w:hint="default"/>
                <w:sz w:val="18"/>
                <w:szCs w:val="18"/>
              </w:rPr>
              <w:t>股权变</w:t>
            </w:r>
          </w:p>
          <w:p>
            <w:pPr>
              <w:pStyle w:val="TableParagraph"/>
              <w:spacing w:line="237" w:lineRule="auto"/>
              <w:ind w:left="98" w:right="173"/>
              <w:jc w:val="both"/>
              <w:rPr>
                <w:rFonts w:ascii="宋体" w:hAnsi="宋体" w:cs="宋体" w:eastAsia="宋体" w:hint="default"/>
                <w:sz w:val="18"/>
                <w:szCs w:val="18"/>
              </w:rPr>
            </w:pPr>
            <w:r>
              <w:rPr>
                <w:rFonts w:ascii="宋体" w:hAnsi="宋体" w:cs="宋体" w:eastAsia="宋体" w:hint="default"/>
                <w:sz w:val="18"/>
                <w:szCs w:val="18"/>
              </w:rPr>
              <w:t>更手续 办理完 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0.00</w:t>
            </w:r>
          </w:p>
        </w:tc>
        <w:tc>
          <w:tcPr>
            <w:tcW w:w="129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3,417.85</w:t>
            </w:r>
          </w:p>
        </w:tc>
      </w:tr>
      <w:tr>
        <w:trPr>
          <w:trHeight w:val="1414" w:hRule="exact"/>
        </w:trPr>
        <w:tc>
          <w:tcPr>
            <w:tcW w:w="646"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沃趣 网络 科技 有限 公司</w:t>
            </w:r>
          </w:p>
        </w:tc>
        <w:tc>
          <w:tcPr>
            <w:tcW w:w="1025"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26,270,000.00</w:t>
            </w:r>
          </w:p>
        </w:tc>
        <w:tc>
          <w:tcPr>
            <w:tcW w:w="75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月</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2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98" w:right="0"/>
              <w:jc w:val="both"/>
              <w:rPr>
                <w:rFonts w:ascii="宋体" w:hAnsi="宋体" w:cs="宋体" w:eastAsia="宋体" w:hint="default"/>
                <w:sz w:val="18"/>
                <w:szCs w:val="18"/>
              </w:rPr>
            </w:pPr>
            <w:r>
              <w:rPr>
                <w:rFonts w:ascii="宋体" w:hAnsi="宋体" w:cs="宋体" w:eastAsia="宋体" w:hint="default"/>
                <w:sz w:val="18"/>
                <w:szCs w:val="18"/>
              </w:rPr>
              <w:t>股权变</w:t>
            </w:r>
          </w:p>
          <w:p>
            <w:pPr>
              <w:pStyle w:val="TableParagraph"/>
              <w:spacing w:line="237" w:lineRule="auto"/>
              <w:ind w:left="98" w:right="173"/>
              <w:jc w:val="both"/>
              <w:rPr>
                <w:rFonts w:ascii="宋体" w:hAnsi="宋体" w:cs="宋体" w:eastAsia="宋体" w:hint="default"/>
                <w:sz w:val="18"/>
                <w:szCs w:val="18"/>
              </w:rPr>
            </w:pPr>
            <w:r>
              <w:rPr>
                <w:rFonts w:ascii="宋体" w:hAnsi="宋体" w:cs="宋体" w:eastAsia="宋体" w:hint="default"/>
                <w:sz w:val="18"/>
                <w:szCs w:val="18"/>
              </w:rPr>
              <w:t>更手续 办理完 毕</w:t>
            </w:r>
          </w:p>
        </w:tc>
        <w:tc>
          <w:tcPr>
            <w:tcW w:w="138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35,006,246.83</w:t>
            </w:r>
          </w:p>
        </w:tc>
        <w:tc>
          <w:tcPr>
            <w:tcW w:w="129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6,685,841.90</w:t>
            </w:r>
          </w:p>
        </w:tc>
      </w:tr>
    </w:tbl>
    <w:p>
      <w:pPr>
        <w:spacing w:after="0" w:line="205" w:lineRule="exact"/>
        <w:jc w:val="right"/>
        <w:rPr>
          <w:rFonts w:ascii="宋体" w:hAnsi="宋体" w:cs="宋体" w:eastAsia="宋体" w:hint="default"/>
          <w:sz w:val="18"/>
          <w:szCs w:val="18"/>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spacing w:line="240" w:lineRule="auto" w:before="26"/>
        <w:ind w:left="217" w:right="0"/>
        <w:jc w:val="both"/>
      </w:pPr>
      <w:r>
        <w:rPr/>
        <w:t>其他说明：</w:t>
      </w:r>
    </w:p>
    <w:p>
      <w:pPr>
        <w:pStyle w:val="BodyText"/>
        <w:spacing w:line="237" w:lineRule="auto" w:before="60"/>
        <w:ind w:left="217" w:right="234"/>
        <w:jc w:val="both"/>
      </w:pPr>
      <w:r>
        <w:rPr>
          <w:rFonts w:ascii="宋体" w:hAnsi="宋体" w:cs="宋体" w:eastAsia="宋体" w:hint="default"/>
        </w:rPr>
        <w:t>A</w:t>
      </w:r>
      <w:r>
        <w:rPr/>
        <w:t>、本公司之直接控制子公司南京华胜天成信息技术有限公司，于</w:t>
      </w:r>
      <w:r>
        <w:rPr>
          <w:spacing w:val="-83"/>
        </w:rPr>
        <w:t> </w:t>
      </w:r>
      <w:r>
        <w:rPr>
          <w:rFonts w:ascii="宋体" w:hAnsi="宋体" w:cs="宋体" w:eastAsia="宋体" w:hint="default"/>
        </w:rPr>
        <w:t>2015</w:t>
      </w:r>
      <w:r>
        <w:rPr>
          <w:rFonts w:ascii="宋体" w:hAnsi="宋体" w:cs="宋体" w:eastAsia="宋体" w:hint="default"/>
          <w:spacing w:val="-83"/>
        </w:rPr>
        <w:t> </w:t>
      </w:r>
      <w:r>
        <w:rPr/>
        <w:t>年与南京拓维 </w:t>
      </w:r>
      <w:r>
        <w:rPr>
          <w:spacing w:val="-2"/>
        </w:rPr>
        <w:t>致胜信息科技有限公司之原股东签订股权转让协议。根据协议，南京华胜天成信息技</w:t>
      </w:r>
      <w:r>
        <w:rPr>
          <w:spacing w:val="-94"/>
        </w:rPr>
        <w:t> </w:t>
      </w:r>
      <w:r>
        <w:rPr>
          <w:spacing w:val="-94"/>
        </w:rPr>
      </w:r>
      <w:r>
        <w:rPr/>
        <w:t>术有限公司向南京拓维致胜信息科技有限公司之原股东支付人民币</w:t>
      </w:r>
      <w:r>
        <w:rPr>
          <w:spacing w:val="-60"/>
        </w:rPr>
        <w:t> </w:t>
      </w:r>
      <w:r>
        <w:rPr>
          <w:rFonts w:ascii="宋体" w:hAnsi="宋体" w:cs="宋体" w:eastAsia="宋体" w:hint="default"/>
        </w:rPr>
        <w:t>300</w:t>
      </w:r>
      <w:r>
        <w:rPr>
          <w:rFonts w:ascii="宋体" w:hAnsi="宋体" w:cs="宋体" w:eastAsia="宋体" w:hint="default"/>
          <w:spacing w:val="-60"/>
        </w:rPr>
        <w:t> </w:t>
      </w:r>
      <w:r>
        <w:rPr>
          <w:spacing w:val="-8"/>
        </w:rPr>
        <w:t>万元，作为受</w:t>
      </w:r>
    </w:p>
    <w:p>
      <w:pPr>
        <w:pStyle w:val="BodyText"/>
        <w:spacing w:line="310" w:lineRule="exact" w:before="30"/>
        <w:ind w:left="212" w:right="231" w:firstLine="4"/>
        <w:jc w:val="both"/>
      </w:pPr>
      <w:r>
        <w:rPr/>
        <w:t>让其他股东</w:t>
      </w:r>
      <w:r>
        <w:rPr>
          <w:spacing w:val="-59"/>
        </w:rPr>
        <w:t> </w:t>
      </w:r>
      <w:r>
        <w:rPr>
          <w:rFonts w:ascii="宋体" w:hAnsi="宋体" w:cs="宋体" w:eastAsia="宋体" w:hint="default"/>
        </w:rPr>
        <w:t>100%</w:t>
      </w:r>
      <w:r>
        <w:rPr/>
        <w:t>股权所支付的价款；并于</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t>日完成工商登记变更。本 次变更后，南京华胜天成对南京拓维致胜持股</w:t>
      </w:r>
      <w:r>
        <w:rPr>
          <w:spacing w:val="-60"/>
        </w:rPr>
        <w:t> </w:t>
      </w:r>
      <w:r>
        <w:rPr>
          <w:rFonts w:ascii="宋体" w:hAnsi="宋体" w:cs="宋体" w:eastAsia="宋体" w:hint="default"/>
        </w:rPr>
        <w:t>100%</w:t>
      </w:r>
      <w:r>
        <w:rPr/>
        <w:t>。</w:t>
      </w:r>
    </w:p>
    <w:p>
      <w:pPr>
        <w:pStyle w:val="BodyText"/>
        <w:spacing w:line="312" w:lineRule="exact" w:before="120"/>
        <w:ind w:left="217" w:right="113" w:hanging="5"/>
        <w:jc w:val="both"/>
      </w:pPr>
      <w:r>
        <w:rPr>
          <w:rFonts w:ascii="宋体" w:hAnsi="宋体" w:cs="宋体" w:eastAsia="宋体" w:hint="default"/>
        </w:rPr>
        <w:t>B</w:t>
      </w:r>
      <w:r>
        <w:rPr/>
        <w:t>、本公司之子公司北京华胜天成软件技术有限公司，于</w:t>
      </w:r>
      <w:r>
        <w:rPr>
          <w:spacing w:val="-71"/>
        </w:rPr>
        <w:t> </w:t>
      </w:r>
      <w:r>
        <w:rPr>
          <w:rFonts w:ascii="宋体" w:hAnsi="宋体" w:cs="宋体" w:eastAsia="宋体" w:hint="default"/>
        </w:rPr>
        <w:t>2015</w:t>
      </w:r>
      <w:r>
        <w:rPr>
          <w:rFonts w:ascii="宋体" w:hAnsi="宋体" w:cs="宋体" w:eastAsia="宋体" w:hint="default"/>
          <w:spacing w:val="-71"/>
        </w:rPr>
        <w:t> </w:t>
      </w:r>
      <w:r>
        <w:rPr/>
        <w:t>年与杭州沃趣网络科技 有限公司之原股东签订股权转让协议。根据协议，北京华胜天成软件技术有限公司以 </w:t>
      </w:r>
      <w:r>
        <w:rPr>
          <w:rFonts w:ascii="宋体" w:hAnsi="宋体" w:cs="宋体" w:eastAsia="宋体" w:hint="default"/>
        </w:rPr>
        <w:t>977 </w:t>
      </w:r>
      <w:r>
        <w:rPr/>
        <w:t>万人民币的对价向杭州沃趣网络科技有限公司原股东收购其持有的</w:t>
      </w:r>
      <w:r>
        <w:rPr>
          <w:spacing w:val="-72"/>
        </w:rPr>
        <w:t> </w:t>
      </w:r>
      <w:r>
        <w:rPr>
          <w:rFonts w:ascii="宋体" w:hAnsi="宋体" w:cs="宋体" w:eastAsia="宋体" w:hint="default"/>
          <w:spacing w:val="2"/>
        </w:rPr>
        <w:t>27.91%</w:t>
      </w:r>
      <w:r>
        <w:rPr>
          <w:spacing w:val="2"/>
        </w:rPr>
        <w:t>股份；</w:t>
      </w:r>
      <w:r>
        <w:rPr/>
      </w:r>
    </w:p>
    <w:p>
      <w:pPr>
        <w:pStyle w:val="BodyText"/>
        <w:spacing w:line="280" w:lineRule="exact"/>
        <w:ind w:left="217" w:right="0"/>
        <w:jc w:val="both"/>
      </w:pPr>
      <w:r>
        <w:rPr/>
        <w:t>同时，以人民币</w:t>
      </w:r>
      <w:r>
        <w:rPr>
          <w:spacing w:val="-61"/>
        </w:rPr>
        <w:t> </w:t>
      </w:r>
      <w:r>
        <w:rPr>
          <w:rFonts w:ascii="宋体" w:hAnsi="宋体" w:cs="宋体" w:eastAsia="宋体" w:hint="default"/>
        </w:rPr>
        <w:t>1650</w:t>
      </w:r>
      <w:r>
        <w:rPr>
          <w:rFonts w:ascii="宋体" w:hAnsi="宋体" w:cs="宋体" w:eastAsia="宋体" w:hint="default"/>
          <w:spacing w:val="-60"/>
        </w:rPr>
        <w:t> </w:t>
      </w:r>
      <w:r>
        <w:rPr/>
        <w:t>万元认购公司人民币</w:t>
      </w:r>
      <w:r>
        <w:rPr>
          <w:spacing w:val="-60"/>
        </w:rPr>
        <w:t> </w:t>
      </w:r>
      <w:r>
        <w:rPr>
          <w:rFonts w:ascii="宋体" w:hAnsi="宋体" w:cs="宋体" w:eastAsia="宋体" w:hint="default"/>
        </w:rPr>
        <w:t>238</w:t>
      </w:r>
      <w:r>
        <w:rPr>
          <w:rFonts w:ascii="宋体" w:hAnsi="宋体" w:cs="宋体" w:eastAsia="宋体" w:hint="default"/>
          <w:spacing w:val="-60"/>
        </w:rPr>
        <w:t> </w:t>
      </w:r>
      <w:r>
        <w:rPr/>
        <w:t>万元的新增注册资本。本次变更后，</w:t>
      </w:r>
    </w:p>
    <w:p>
      <w:pPr>
        <w:pStyle w:val="BodyText"/>
        <w:spacing w:line="312" w:lineRule="exact"/>
        <w:ind w:left="217" w:right="0"/>
        <w:jc w:val="both"/>
        <w:rPr>
          <w:rFonts w:ascii="宋体" w:hAnsi="宋体" w:cs="宋体" w:eastAsia="宋体" w:hint="default"/>
        </w:rPr>
      </w:pPr>
      <w:r>
        <w:rPr/>
        <w:t>北京华胜天成软件技术有限公司对杭州沃趣网络科技有限公司持股</w:t>
      </w:r>
      <w:r>
        <w:rPr>
          <w:spacing w:val="-60"/>
        </w:rPr>
        <w:t> </w:t>
      </w:r>
      <w:r>
        <w:rPr>
          <w:rFonts w:ascii="宋体" w:hAnsi="宋体" w:cs="宋体" w:eastAsia="宋体" w:hint="default"/>
        </w:rPr>
        <w:t>51%</w:t>
      </w:r>
      <w:r>
        <w:rPr/>
        <w:t>。并于</w:t>
      </w:r>
      <w:r>
        <w:rPr>
          <w:spacing w:val="-60"/>
        </w:rPr>
        <w:t> </w:t>
      </w:r>
      <w:r>
        <w:rPr>
          <w:rFonts w:ascii="宋体" w:hAnsi="宋体" w:cs="宋体" w:eastAsia="宋体" w:hint="default"/>
        </w:rPr>
        <w:t>2015</w:t>
      </w:r>
    </w:p>
    <w:p>
      <w:pPr>
        <w:pStyle w:val="BodyText"/>
        <w:spacing w:line="313" w:lineRule="exact"/>
        <w:ind w:left="217" w:right="0"/>
        <w:jc w:val="both"/>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1"/>
        </w:rPr>
        <w:t> </w:t>
      </w:r>
      <w:r>
        <w:rPr>
          <w:rFonts w:ascii="宋体" w:hAnsi="宋体" w:cs="宋体" w:eastAsia="宋体" w:hint="default"/>
        </w:rPr>
        <w:t>9</w:t>
      </w:r>
      <w:r>
        <w:rPr>
          <w:rFonts w:ascii="宋体" w:hAnsi="宋体" w:cs="宋体" w:eastAsia="宋体" w:hint="default"/>
          <w:spacing w:val="-60"/>
        </w:rPr>
        <w:t> </w:t>
      </w:r>
      <w:r>
        <w:rPr/>
        <w:t>日完成工商登记变更。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060" w:right="1560"/>
        </w:sectPr>
      </w:pPr>
    </w:p>
    <w:p>
      <w:pPr>
        <w:tabs>
          <w:tab w:pos="874" w:val="left" w:leader="none"/>
        </w:tabs>
        <w:spacing w:before="36"/>
        <w:ind w:left="217" w:right="-17"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合并成本及商誉</w:t>
      </w:r>
      <w:r>
        <w:rPr>
          <w:rFonts w:ascii="宋体" w:hAnsi="宋体" w:cs="宋体" w:eastAsia="宋体" w:hint="default"/>
          <w:sz w:val="21"/>
          <w:szCs w:val="21"/>
        </w:rPr>
      </w:r>
    </w:p>
    <w:p>
      <w:pPr>
        <w:pStyle w:val="BodyText"/>
        <w:spacing w:line="240" w:lineRule="auto" w:before="50"/>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354" w:space="3839"/>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01"/>
        <w:gridCol w:w="2648"/>
        <w:gridCol w:w="2801"/>
      </w:tblGrid>
      <w:tr>
        <w:trPr>
          <w:trHeight w:val="55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南京拓维致胜信息科技有</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杭州沃趣网络科技有限公司</w:t>
            </w: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26,270,000.00</w:t>
            </w:r>
          </w:p>
        </w:tc>
      </w:tr>
      <w:tr>
        <w:trPr>
          <w:trHeight w:val="28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648"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648"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648"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648"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648"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648"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26,270,000.00</w:t>
            </w:r>
          </w:p>
        </w:tc>
      </w:tr>
      <w:tr>
        <w:trPr>
          <w:trHeight w:val="55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2,365,150.24</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11,525,989.33</w:t>
            </w:r>
          </w:p>
        </w:tc>
      </w:tr>
      <w:tr>
        <w:trPr>
          <w:trHeight w:val="559" w:hRule="exact"/>
        </w:trPr>
        <w:tc>
          <w:tcPr>
            <w:tcW w:w="36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264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634,849.76</w:t>
            </w:r>
          </w:p>
        </w:tc>
        <w:tc>
          <w:tcPr>
            <w:tcW w:w="2801"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14,744,010.67</w:t>
            </w:r>
          </w:p>
        </w:tc>
      </w:tr>
    </w:tbl>
    <w:p>
      <w:pPr>
        <w:spacing w:line="240" w:lineRule="auto" w:before="11"/>
        <w:rPr>
          <w:rFonts w:ascii="宋体" w:hAnsi="宋体" w:cs="宋体" w:eastAsia="宋体" w:hint="default"/>
          <w:sz w:val="18"/>
          <w:szCs w:val="18"/>
        </w:rPr>
      </w:pPr>
    </w:p>
    <w:p>
      <w:pPr>
        <w:pStyle w:val="BodyText"/>
        <w:spacing w:line="310" w:lineRule="exact" w:before="58"/>
        <w:ind w:left="217" w:right="2809"/>
        <w:jc w:val="left"/>
      </w:pPr>
      <w:r>
        <w:rPr/>
        <w:t>合并成本公允价值的确定方法、或有对价及其变动的说明： 无</w:t>
      </w:r>
    </w:p>
    <w:p>
      <w:pPr>
        <w:spacing w:line="240" w:lineRule="auto" w:before="13"/>
        <w:rPr>
          <w:rFonts w:ascii="宋体" w:hAnsi="宋体" w:cs="宋体" w:eastAsia="宋体" w:hint="default"/>
          <w:sz w:val="23"/>
          <w:szCs w:val="23"/>
        </w:rPr>
      </w:pPr>
    </w:p>
    <w:p>
      <w:pPr>
        <w:pStyle w:val="BodyText"/>
        <w:spacing w:line="310" w:lineRule="exact"/>
        <w:ind w:left="217" w:right="6169"/>
        <w:jc w:val="left"/>
      </w:pPr>
      <w:r>
        <w:rPr/>
        <w:t>大额商誉形成的主要原因： 无</w:t>
      </w:r>
    </w:p>
    <w:p>
      <w:pPr>
        <w:spacing w:line="240" w:lineRule="auto" w:before="1"/>
        <w:rPr>
          <w:rFonts w:ascii="宋体" w:hAnsi="宋体" w:cs="宋体" w:eastAsia="宋体" w:hint="default"/>
          <w:sz w:val="26"/>
          <w:szCs w:val="26"/>
        </w:rPr>
      </w:pPr>
    </w:p>
    <w:p>
      <w:pPr>
        <w:pStyle w:val="BodyText"/>
        <w:spacing w:line="261" w:lineRule="auto"/>
        <w:ind w:left="217" w:right="219"/>
        <w:jc w:val="left"/>
      </w:pPr>
      <w:r>
        <w:rPr/>
        <w:t>其他说明： </w:t>
      </w:r>
      <w:r>
        <w:rPr>
          <w:rFonts w:ascii="宋体" w:hAnsi="宋体" w:cs="宋体" w:eastAsia="宋体" w:hint="default"/>
        </w:rPr>
        <w:t>A</w:t>
      </w:r>
      <w:r>
        <w:rPr/>
        <w:t>、收购南京拓维致胜信息科技有限公司，业经北京国融兴华资产评估有限责任公司 </w:t>
      </w:r>
      <w:r>
        <w:rPr>
          <w:spacing w:val="-7"/>
        </w:rPr>
        <w:t>进行评估，并于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04</w:t>
      </w:r>
      <w:r>
        <w:rPr>
          <w:rFonts w:ascii="宋体" w:hAnsi="宋体" w:cs="宋体" w:eastAsia="宋体" w:hint="default"/>
          <w:spacing w:val="-60"/>
        </w:rPr>
        <w:t> </w:t>
      </w:r>
      <w:r>
        <w:rPr/>
        <w:t>日出具了国融兴华评报字</w:t>
      </w:r>
      <w:r>
        <w:rPr>
          <w:rFonts w:ascii="宋体" w:hAnsi="宋体" w:cs="宋体" w:eastAsia="宋体" w:hint="default"/>
        </w:rPr>
        <w:t>[2015]</w:t>
      </w:r>
      <w:r>
        <w:rPr/>
        <w:t>第</w:t>
      </w:r>
      <w:r>
        <w:rPr>
          <w:spacing w:val="-60"/>
        </w:rPr>
        <w:t> </w:t>
      </w:r>
      <w:r>
        <w:rPr>
          <w:rFonts w:ascii="宋体" w:hAnsi="宋体" w:cs="宋体" w:eastAsia="宋体" w:hint="default"/>
        </w:rPr>
        <w:t>010474</w:t>
      </w:r>
      <w:r>
        <w:rPr>
          <w:rFonts w:ascii="宋体" w:hAnsi="宋体" w:cs="宋体" w:eastAsia="宋体" w:hint="default"/>
          <w:spacing w:val="-60"/>
        </w:rPr>
        <w:t> </w:t>
      </w:r>
      <w:r>
        <w:rPr/>
        <w:t>号可辨认</w:t>
      </w:r>
    </w:p>
    <w:p>
      <w:pPr>
        <w:pStyle w:val="BodyText"/>
        <w:spacing w:line="310" w:lineRule="exact" w:before="8"/>
        <w:ind w:left="217" w:right="221"/>
        <w:jc w:val="left"/>
      </w:pPr>
      <w:r>
        <w:rPr>
          <w:spacing w:val="-2"/>
        </w:rPr>
        <w:t>资产公允价值资产评估报告书。根据该评估报告确定本次收购股权的可辨认净资产的</w:t>
      </w:r>
      <w:r>
        <w:rPr>
          <w:spacing w:val="-94"/>
        </w:rPr>
        <w:t> </w:t>
      </w:r>
      <w:r>
        <w:rPr>
          <w:spacing w:val="-94"/>
        </w:rPr>
      </w:r>
      <w:r>
        <w:rPr/>
        <w:t>公允价值为人民币</w:t>
      </w:r>
      <w:r>
        <w:rPr>
          <w:spacing w:val="-61"/>
        </w:rPr>
        <w:t> </w:t>
      </w:r>
      <w:r>
        <w:rPr>
          <w:rFonts w:ascii="宋体" w:hAnsi="宋体" w:cs="宋体" w:eastAsia="宋体" w:hint="default"/>
        </w:rPr>
        <w:t>2,365,150.24</w:t>
      </w:r>
      <w:r>
        <w:rPr>
          <w:rFonts w:ascii="宋体" w:hAnsi="宋体" w:cs="宋体" w:eastAsia="宋体" w:hint="default"/>
          <w:spacing w:val="-60"/>
        </w:rPr>
        <w:t> </w:t>
      </w:r>
      <w:r>
        <w:rPr/>
        <w:t>元。</w:t>
      </w:r>
    </w:p>
    <w:p>
      <w:pPr>
        <w:spacing w:after="0" w:line="310" w:lineRule="exact"/>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spacing w:line="312" w:lineRule="exact" w:before="56"/>
        <w:ind w:right="169"/>
        <w:jc w:val="left"/>
      </w:pPr>
      <w:r>
        <w:rPr>
          <w:rFonts w:ascii="宋体" w:hAnsi="宋体" w:cs="宋体" w:eastAsia="宋体" w:hint="default"/>
        </w:rPr>
        <w:t>B</w:t>
      </w:r>
      <w:r>
        <w:rPr/>
        <w:t>、收购杭州沃趣网络科技有限公司，业经北京国融兴华资产评估有限责任公司进行 评估，并于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日出具了国融兴华评报字</w:t>
      </w:r>
      <w:r>
        <w:rPr>
          <w:rFonts w:ascii="宋体" w:hAnsi="宋体" w:cs="宋体" w:eastAsia="宋体" w:hint="default"/>
        </w:rPr>
        <w:t>[2015]</w:t>
      </w:r>
      <w:r>
        <w:rPr/>
        <w:t>第</w:t>
      </w:r>
      <w:r>
        <w:rPr>
          <w:spacing w:val="-60"/>
        </w:rPr>
        <w:t> </w:t>
      </w:r>
      <w:r>
        <w:rPr>
          <w:rFonts w:ascii="宋体" w:hAnsi="宋体" w:cs="宋体" w:eastAsia="宋体" w:hint="default"/>
        </w:rPr>
        <w:t>010031</w:t>
      </w:r>
      <w:r>
        <w:rPr>
          <w:rFonts w:ascii="宋体" w:hAnsi="宋体" w:cs="宋体" w:eastAsia="宋体" w:hint="default"/>
          <w:spacing w:val="-60"/>
        </w:rPr>
        <w:t> </w:t>
      </w:r>
      <w:r>
        <w:rPr/>
        <w:t>号公允价值分</w:t>
      </w:r>
    </w:p>
    <w:p>
      <w:pPr>
        <w:pStyle w:val="BodyText"/>
        <w:spacing w:line="280" w:lineRule="exact"/>
        <w:ind w:right="0"/>
        <w:jc w:val="left"/>
      </w:pPr>
      <w:r>
        <w:rPr/>
        <w:t>摊项目评估报告书，评估基准日为</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日。根据该评估报告考虑递延所</w:t>
      </w:r>
    </w:p>
    <w:p>
      <w:pPr>
        <w:pStyle w:val="BodyText"/>
        <w:spacing w:line="312" w:lineRule="exact"/>
        <w:ind w:right="0"/>
        <w:jc w:val="left"/>
      </w:pPr>
      <w:r>
        <w:rPr/>
        <w:t>得税的影响、及本次增资影响，本次收购股权的可辨认净资产的公允价值为人民币</w:t>
      </w:r>
    </w:p>
    <w:p>
      <w:pPr>
        <w:pStyle w:val="BodyText"/>
        <w:spacing w:line="330" w:lineRule="exact"/>
        <w:ind w:right="0"/>
        <w:jc w:val="left"/>
      </w:pPr>
      <w:r>
        <w:rPr>
          <w:rFonts w:ascii="Arial" w:hAnsi="Arial" w:cs="Arial" w:eastAsia="Arial" w:hint="default"/>
          <w:w w:val="85"/>
        </w:rPr>
        <w:t>11,525,989.33</w:t>
      </w:r>
      <w:r>
        <w:rPr>
          <w:rFonts w:ascii="Arial" w:hAnsi="Arial" w:cs="Arial" w:eastAsia="Arial" w:hint="default"/>
          <w:spacing w:val="27"/>
          <w:w w:val="85"/>
        </w:rPr>
        <w:t> </w:t>
      </w:r>
      <w:r>
        <w:rPr>
          <w:w w:val="85"/>
        </w:rPr>
        <w:t>元。</w:t>
      </w:r>
    </w:p>
    <w:p>
      <w:pPr>
        <w:spacing w:line="240" w:lineRule="auto" w:before="12"/>
        <w:rPr>
          <w:rFonts w:ascii="宋体" w:hAnsi="宋体" w:cs="宋体" w:eastAsia="宋体" w:hint="default"/>
          <w:sz w:val="35"/>
          <w:szCs w:val="35"/>
        </w:rPr>
      </w:pPr>
    </w:p>
    <w:p>
      <w:pPr>
        <w:pStyle w:val="Heading2"/>
        <w:spacing w:line="240" w:lineRule="auto" w:before="0"/>
        <w:ind w:left="137" w:right="0"/>
        <w:jc w:val="left"/>
        <w:rPr>
          <w:b w:val="0"/>
          <w:bCs w:val="0"/>
        </w:rPr>
      </w:pPr>
      <w:r>
        <w:rPr>
          <w:rFonts w:ascii="宋体" w:hAnsi="宋体" w:cs="宋体" w:eastAsia="宋体" w:hint="default"/>
        </w:rPr>
        <w:t>(3).</w:t>
      </w:r>
      <w:r>
        <w:rPr>
          <w:rFonts w:ascii="宋体" w:hAnsi="宋体" w:cs="宋体" w:eastAsia="宋体" w:hint="default"/>
          <w:spacing w:val="49"/>
        </w:rPr>
        <w:t> </w:t>
      </w:r>
      <w:r>
        <w:rPr/>
        <w:t>被购买方于</w:t>
      </w:r>
      <w:r>
        <w:rPr>
          <w:sz w:val="21"/>
          <w:szCs w:val="21"/>
        </w:rPr>
        <w:t>购买</w:t>
      </w:r>
      <w:r>
        <w:rPr/>
        <w:t>日可辨认资产、负债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spacing w:line="283" w:lineRule="auto" w:before="0"/>
        <w:ind w:left="137" w:right="1249"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50"/>
          <w:sz w:val="24"/>
          <w:szCs w:val="24"/>
        </w:rPr>
        <w:t> </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66" w:lineRule="exact"/>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Heading2"/>
        <w:spacing w:line="312" w:lineRule="exact" w:before="0"/>
        <w:ind w:left="137" w:right="100"/>
        <w:jc w:val="left"/>
        <w:rPr>
          <w:b w:val="0"/>
          <w:bCs w:val="0"/>
        </w:rPr>
      </w:pPr>
      <w:r>
        <w:rPr>
          <w:rFonts w:ascii="宋体" w:hAnsi="宋体" w:cs="宋体" w:eastAsia="宋体" w:hint="default"/>
        </w:rPr>
        <w:t>(5).</w:t>
      </w:r>
      <w:r>
        <w:rPr>
          <w:rFonts w:ascii="宋体" w:hAnsi="宋体" w:cs="宋体" w:eastAsia="宋体" w:hint="default"/>
          <w:spacing w:val="32"/>
        </w:rPr>
        <w:t> </w:t>
      </w:r>
      <w:r>
        <w:rPr/>
        <w:t>购买日或合并当期期末无法合理确定合并对价或被购买方可辨认资产、负债公</w:t>
      </w:r>
      <w:r>
        <w:rPr>
          <w:w w:val="99"/>
        </w:rPr>
        <w:t> </w:t>
      </w:r>
      <w:r>
        <w:rPr/>
        <w:t>允价值的相关说明</w:t>
      </w:r>
      <w:r>
        <w:rPr>
          <w:b w:val="0"/>
          <w:bCs w:val="0"/>
        </w:rPr>
      </w:r>
    </w:p>
    <w:p>
      <w:pPr>
        <w:pStyle w:val="BodyText"/>
        <w:spacing w:line="240" w:lineRule="auto" w:before="29"/>
        <w:ind w:right="0"/>
        <w:jc w:val="left"/>
      </w:pPr>
      <w:r>
        <w:rPr/>
        <w:t>无</w:t>
      </w:r>
    </w:p>
    <w:p>
      <w:pPr>
        <w:spacing w:line="240" w:lineRule="auto" w:before="1"/>
        <w:rPr>
          <w:rFonts w:ascii="宋体" w:hAnsi="宋体" w:cs="宋体" w:eastAsia="宋体" w:hint="default"/>
          <w:sz w:val="28"/>
          <w:szCs w:val="28"/>
        </w:rPr>
      </w:pPr>
    </w:p>
    <w:p>
      <w:pPr>
        <w:tabs>
          <w:tab w:pos="1457" w:val="left" w:leader="none"/>
        </w:tabs>
        <w:spacing w:line="261" w:lineRule="auto" w:before="0"/>
        <w:ind w:left="137" w:right="5094" w:firstLine="0"/>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pacing w:val="51"/>
          <w:sz w:val="24"/>
          <w:szCs w:val="24"/>
        </w:rPr>
        <w:t> </w:t>
      </w:r>
      <w:r>
        <w:rPr>
          <w:rFonts w:ascii="宋体" w:hAnsi="宋体" w:cs="宋体" w:eastAsia="宋体" w:hint="default"/>
          <w:b/>
          <w:bCs/>
          <w:sz w:val="24"/>
          <w:szCs w:val="24"/>
        </w:rPr>
        <w:t>其他说明：</w:t>
      </w:r>
      <w:r>
        <w:rPr>
          <w:rFonts w:ascii="宋体" w:hAnsi="宋体" w:cs="宋体" w:eastAsia="宋体" w:hint="default"/>
          <w:b/>
          <w:bCs/>
          <w:w w:val="99"/>
          <w:sz w:val="24"/>
          <w:szCs w:val="24"/>
        </w:rPr>
        <w:t> </w:t>
      </w:r>
      <w:r>
        <w:rPr>
          <w:rFonts w:ascii="宋体" w:hAnsi="宋体" w:cs="宋体" w:eastAsia="宋体" w:hint="default"/>
          <w:b/>
          <w:bCs/>
          <w:sz w:val="24"/>
          <w:szCs w:val="24"/>
        </w:rPr>
        <w:t>被购买方于购买日可辨认资产、负债</w:t>
      </w:r>
      <w:r>
        <w:rPr>
          <w:rFonts w:ascii="宋体" w:hAnsi="宋体" w:cs="宋体" w:eastAsia="宋体" w:hint="default"/>
          <w:b/>
          <w:bCs/>
          <w:w w:val="99"/>
          <w:sz w:val="24"/>
          <w:szCs w:val="24"/>
        </w:rPr>
        <w:t> </w:t>
      </w:r>
      <w:r>
        <w:rPr>
          <w:rFonts w:ascii="宋体" w:hAnsi="宋体" w:cs="宋体" w:eastAsia="宋体" w:hint="default"/>
          <w:sz w:val="24"/>
          <w:szCs w:val="24"/>
        </w:rPr>
        <w:t>单位：元</w:t>
        <w:tab/>
        <w:t>币种：人民币</w:t>
      </w:r>
    </w:p>
    <w:tbl>
      <w:tblPr>
        <w:tblW w:w="0" w:type="auto"/>
        <w:jc w:val="left"/>
        <w:tblInd w:w="132" w:type="dxa"/>
        <w:tblLayout w:type="fixed"/>
        <w:tblCellMar>
          <w:top w:w="0" w:type="dxa"/>
          <w:left w:w="0" w:type="dxa"/>
          <w:bottom w:w="0" w:type="dxa"/>
          <w:right w:w="0" w:type="dxa"/>
        </w:tblCellMar>
        <w:tblLook w:val="01E0"/>
      </w:tblPr>
      <w:tblGrid>
        <w:gridCol w:w="1411"/>
        <w:gridCol w:w="1877"/>
        <w:gridCol w:w="1608"/>
        <w:gridCol w:w="1736"/>
        <w:gridCol w:w="2158"/>
      </w:tblGrid>
      <w:tr>
        <w:trPr>
          <w:trHeight w:val="581" w:hRule="exact"/>
        </w:trPr>
        <w:tc>
          <w:tcPr>
            <w:tcW w:w="14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379" w:type="dxa"/>
            <w:gridSpan w:val="4"/>
            <w:tcBorders>
              <w:top w:val="single" w:sz="4" w:space="0" w:color="000000"/>
              <w:left w:val="single" w:sz="4" w:space="0" w:color="000000"/>
              <w:bottom w:val="single" w:sz="4" w:space="0" w:color="000000"/>
              <w:right w:val="single" w:sz="4" w:space="0" w:color="000000"/>
            </w:tcBorders>
          </w:tcPr>
          <w:p>
            <w:pPr>
              <w:pStyle w:val="TableParagraph"/>
              <w:tabs>
                <w:tab w:pos="4006" w:val="left" w:leader="none"/>
              </w:tabs>
              <w:spacing w:line="240" w:lineRule="auto" w:before="114"/>
              <w:ind w:left="103" w:right="0"/>
              <w:jc w:val="left"/>
              <w:rPr>
                <w:rFonts w:ascii="宋体" w:hAnsi="宋体" w:cs="宋体" w:eastAsia="宋体" w:hint="default"/>
                <w:sz w:val="21"/>
                <w:szCs w:val="21"/>
              </w:rPr>
            </w:pPr>
            <w:r>
              <w:rPr>
                <w:rFonts w:ascii="宋体" w:hAnsi="宋体" w:cs="宋体" w:eastAsia="宋体" w:hint="default"/>
                <w:b/>
                <w:bCs/>
                <w:spacing w:val="-1"/>
                <w:sz w:val="21"/>
                <w:szCs w:val="21"/>
              </w:rPr>
              <w:t>南京拓维致胜信息科技有限公司</w:t>
              <w:tab/>
              <w:t>杭州沃趣网络科技有限公司</w:t>
            </w:r>
            <w:r>
              <w:rPr>
                <w:rFonts w:ascii="宋体" w:hAnsi="宋体" w:cs="宋体" w:eastAsia="宋体" w:hint="default"/>
                <w:spacing w:val="-1"/>
                <w:sz w:val="21"/>
                <w:szCs w:val="21"/>
              </w:rPr>
            </w:r>
          </w:p>
        </w:tc>
      </w:tr>
      <w:tr>
        <w:trPr>
          <w:trHeight w:val="295" w:hRule="exact"/>
        </w:trPr>
        <w:tc>
          <w:tcPr>
            <w:tcW w:w="1411" w:type="dxa"/>
            <w:vMerge/>
            <w:tcBorders>
              <w:left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r>
      <w:tr>
        <w:trPr>
          <w:trHeight w:val="310" w:hRule="exact"/>
        </w:trPr>
        <w:tc>
          <w:tcPr>
            <w:tcW w:w="1411"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9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2,160,650.24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2,160,650.24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21,489,741.84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4,987,398.09</w:t>
            </w:r>
          </w:p>
        </w:tc>
      </w:tr>
      <w:tr>
        <w:trPr>
          <w:trHeight w:val="29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204,500.00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181,088.85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4,241,734.25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982,914.15</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其中：无形资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3,270,000.00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0.00</w:t>
            </w:r>
          </w:p>
        </w:tc>
      </w:tr>
      <w:tr>
        <w:trPr>
          <w:trHeight w:val="55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其中：固定资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204,500.00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181,088.85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505,165.00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515,758.97</w:t>
            </w:r>
          </w:p>
        </w:tc>
      </w:tr>
      <w:tr>
        <w:trPr>
          <w:trHeight w:val="581"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98"/>
              <w:jc w:val="left"/>
              <w:rPr>
                <w:rFonts w:ascii="宋体" w:hAnsi="宋体" w:cs="宋体" w:eastAsia="宋体" w:hint="default"/>
                <w:sz w:val="21"/>
                <w:szCs w:val="21"/>
              </w:rPr>
            </w:pPr>
            <w:r>
              <w:rPr>
                <w:rFonts w:ascii="宋体" w:hAnsi="宋体" w:cs="宋体" w:eastAsia="宋体" w:hint="default"/>
                <w:spacing w:val="-12"/>
                <w:sz w:val="21"/>
                <w:szCs w:val="21"/>
              </w:rPr>
              <w:t>其中：递延所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得税资产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z w:val="21"/>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z w:val="21"/>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466,569.25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467,155.18</w:t>
            </w:r>
          </w:p>
        </w:tc>
      </w:tr>
      <w:tr>
        <w:trPr>
          <w:trHeight w:val="29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2,291,247.02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2,291,247.02</w:t>
            </w:r>
          </w:p>
        </w:tc>
      </w:tr>
      <w:tr>
        <w:trPr>
          <w:trHeight w:val="29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840,250.00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22,750.00</w:t>
            </w:r>
          </w:p>
        </w:tc>
      </w:tr>
      <w:tr>
        <w:trPr>
          <w:trHeight w:val="29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2,365,150.24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2,341,739.09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22,599,979.07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3,656,315.22</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减：少数股东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11,073,989.74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1,791,594.46</w:t>
            </w:r>
          </w:p>
        </w:tc>
      </w:tr>
      <w:tr>
        <w:trPr>
          <w:trHeight w:val="557"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2,365,150.24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2,341,739.09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11,525,989.33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1,864,720.76</w:t>
            </w:r>
          </w:p>
        </w:tc>
      </w:tr>
    </w:tbl>
    <w:p>
      <w:pPr>
        <w:spacing w:after="0" w:line="240" w:lineRule="auto"/>
        <w:jc w:val="right"/>
        <w:rPr>
          <w:rFonts w:ascii="宋体" w:hAnsi="宋体" w:cs="宋体" w:eastAsia="宋体" w:hint="default"/>
          <w:sz w:val="21"/>
          <w:szCs w:val="21"/>
        </w:rPr>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pStyle w:val="Heading2"/>
        <w:spacing w:line="240" w:lineRule="auto"/>
        <w:ind w:left="137" w:right="0"/>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7" w:right="0"/>
        <w:jc w:val="left"/>
        <w:rPr>
          <w:b w:val="0"/>
          <w:bCs w:val="0"/>
        </w:rPr>
      </w:pPr>
      <w:r>
        <w:rPr>
          <w:rFonts w:ascii="宋体" w:hAnsi="宋体" w:cs="宋体" w:eastAsia="宋体" w:hint="default"/>
        </w:rPr>
        <w:t>3</w:t>
      </w:r>
      <w:r>
        <w:rPr/>
        <w:t>、</w:t>
      </w:r>
      <w:r>
        <w:rPr>
          <w:spacing w:val="-64"/>
        </w:rPr>
        <w:t> </w:t>
      </w:r>
      <w:r>
        <w:rPr/>
        <w:t>反向购买</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pgSz w:w="11910" w:h="16840"/>
          <w:pgMar w:header="882" w:footer="1195" w:top="1120" w:bottom="1380" w:left="114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283" w:lineRule="auto" w:before="26"/>
        <w:ind w:left="137" w:right="3529"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p>
    <w:p>
      <w:pPr>
        <w:pStyle w:val="BodyText"/>
        <w:spacing w:line="268" w:lineRule="exact"/>
        <w:ind w:right="0"/>
        <w:jc w:val="both"/>
      </w:pPr>
      <w:r>
        <w:rPr/>
        <w:t>√适用□不适用</w:t>
      </w:r>
    </w:p>
    <w:p>
      <w:pPr>
        <w:pStyle w:val="BodyText"/>
        <w:spacing w:line="313" w:lineRule="exact"/>
        <w:ind w:right="0"/>
        <w:jc w:val="both"/>
      </w:pPr>
      <w:r>
        <w:rPr/>
        <w:t>其说明：</w:t>
      </w:r>
    </w:p>
    <w:p>
      <w:pPr>
        <w:pStyle w:val="BodyText"/>
        <w:spacing w:line="312" w:lineRule="exact" w:before="146"/>
        <w:ind w:right="231"/>
        <w:jc w:val="both"/>
      </w:pPr>
      <w:r>
        <w:rPr>
          <w:rFonts w:ascii="宋体" w:hAnsi="宋体" w:cs="宋体" w:eastAsia="宋体" w:hint="default"/>
        </w:rPr>
        <w:t>A</w:t>
      </w:r>
      <w:r>
        <w:rPr/>
        <w:t>、本公司持有子公司北京交大思源科技有限公司</w:t>
      </w:r>
      <w:r>
        <w:rPr>
          <w:spacing w:val="-55"/>
        </w:rPr>
        <w:t> </w:t>
      </w:r>
      <w:r>
        <w:rPr>
          <w:rFonts w:ascii="宋体" w:hAnsi="宋体" w:cs="宋体" w:eastAsia="宋体" w:hint="default"/>
        </w:rPr>
        <w:t>60%</w:t>
      </w:r>
      <w:r>
        <w:rPr/>
        <w:t>股权，本期以人民币</w:t>
      </w:r>
      <w:r>
        <w:rPr>
          <w:spacing w:val="-55"/>
        </w:rPr>
        <w:t> </w:t>
      </w:r>
      <w:r>
        <w:rPr>
          <w:rFonts w:ascii="宋体" w:hAnsi="宋体" w:cs="宋体" w:eastAsia="宋体" w:hint="default"/>
        </w:rPr>
        <w:t>790.59</w:t>
      </w:r>
      <w:r>
        <w:rPr>
          <w:rFonts w:ascii="宋体" w:hAnsi="宋体" w:cs="宋体" w:eastAsia="宋体" w:hint="default"/>
          <w:spacing w:val="-56"/>
        </w:rPr>
        <w:t> </w:t>
      </w:r>
      <w:r>
        <w:rPr/>
        <w:t>万 元为对价将其转让给王斌。此交易于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10</w:t>
      </w:r>
      <w:r>
        <w:rPr>
          <w:rFonts w:ascii="宋体" w:hAnsi="宋体" w:cs="宋体" w:eastAsia="宋体" w:hint="default"/>
          <w:spacing w:val="-48"/>
        </w:rPr>
        <w:t> </w:t>
      </w:r>
      <w:r>
        <w:rPr/>
        <w:t>日完成，变更后，本公司对北 京交大思源科技有限公司不再持股；</w:t>
      </w:r>
    </w:p>
    <w:p>
      <w:pPr>
        <w:pStyle w:val="BodyText"/>
        <w:spacing w:line="237" w:lineRule="auto" w:before="92"/>
        <w:ind w:right="234"/>
        <w:jc w:val="both"/>
      </w:pPr>
      <w:r>
        <w:rPr>
          <w:rFonts w:ascii="宋体" w:hAnsi="宋体" w:cs="宋体" w:eastAsia="宋体" w:hint="default"/>
          <w:spacing w:val="-2"/>
        </w:rPr>
        <w:t>B</w:t>
      </w:r>
      <w:r>
        <w:rPr>
          <w:spacing w:val="-2"/>
        </w:rPr>
        <w:t>、本公司持有北京华胜天成股权投资中心（有限合伙）</w:t>
      </w:r>
      <w:r>
        <w:rPr>
          <w:rFonts w:ascii="宋体" w:hAnsi="宋体" w:cs="宋体" w:eastAsia="宋体" w:hint="default"/>
          <w:spacing w:val="-2"/>
        </w:rPr>
        <w:t>70%</w:t>
      </w:r>
      <w:r>
        <w:rPr>
          <w:spacing w:val="-2"/>
        </w:rPr>
        <w:t>股权，本公司之间接控股</w:t>
      </w:r>
      <w:r>
        <w:rPr>
          <w:spacing w:val="-90"/>
        </w:rPr>
        <w:t> </w:t>
      </w:r>
      <w:r>
        <w:rPr>
          <w:spacing w:val="-90"/>
        </w:rPr>
      </w:r>
      <w:r>
        <w:rPr>
          <w:spacing w:val="-2"/>
        </w:rPr>
        <w:t>子公司北京华胜天成创业投资管理有限公司持有北京华胜天成股权投资中心（有限合</w:t>
      </w:r>
      <w:r>
        <w:rPr>
          <w:spacing w:val="-94"/>
        </w:rPr>
        <w:t> </w:t>
      </w:r>
      <w:r>
        <w:rPr>
          <w:spacing w:val="-94"/>
        </w:rPr>
      </w:r>
      <w:r>
        <w:rPr/>
        <w:t>伙）</w:t>
      </w:r>
      <w:r>
        <w:rPr>
          <w:rFonts w:ascii="宋体" w:hAnsi="宋体" w:cs="宋体" w:eastAsia="宋体" w:hint="default"/>
        </w:rPr>
        <w:t>30%</w:t>
      </w:r>
      <w:r>
        <w:rPr/>
        <w:t>股权，本期以人民币 </w:t>
      </w:r>
      <w:r>
        <w:rPr>
          <w:rFonts w:ascii="宋体" w:hAnsi="宋体" w:cs="宋体" w:eastAsia="宋体" w:hint="default"/>
        </w:rPr>
        <w:t>300</w:t>
      </w:r>
      <w:r>
        <w:rPr>
          <w:rFonts w:ascii="宋体" w:hAnsi="宋体" w:cs="宋体" w:eastAsia="宋体" w:hint="default"/>
          <w:spacing w:val="-49"/>
        </w:rPr>
        <w:t> </w:t>
      </w:r>
      <w:r>
        <w:rPr/>
        <w:t>万元为对价将其分别转让给朱军、北京华胜天成投</w:t>
      </w:r>
    </w:p>
    <w:p>
      <w:pPr>
        <w:pStyle w:val="BodyText"/>
        <w:spacing w:line="237" w:lineRule="auto" w:before="1"/>
        <w:ind w:right="98"/>
        <w:jc w:val="left"/>
      </w:pPr>
      <w:r>
        <w:rPr>
          <w:spacing w:val="-5"/>
        </w:rPr>
        <w:t>资基金管理有限公司和北京恒域建辉投资管理有限公司。此交易于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6"/>
        </w:rPr>
        <w:t> </w:t>
      </w:r>
      <w:r>
        <w:rPr>
          <w:rFonts w:ascii="宋体" w:hAnsi="宋体" w:cs="宋体" w:eastAsia="宋体" w:hint="default"/>
        </w:rPr>
        <w:t>11</w:t>
      </w:r>
      <w:r>
        <w:rPr>
          <w:rFonts w:ascii="宋体" w:hAnsi="宋体" w:cs="宋体" w:eastAsia="宋体" w:hint="default"/>
          <w:spacing w:val="-66"/>
        </w:rPr>
        <w:t> </w:t>
      </w:r>
      <w:r>
        <w:rPr/>
        <w:t>月完成， 变更后，本公司通过间接控股子公司北京华胜天成投资基金管理有限公司对北京华胜 天成股权投资中心（有限合伙）间接持股</w:t>
      </w:r>
      <w:r>
        <w:rPr>
          <w:spacing w:val="-60"/>
        </w:rPr>
        <w:t> </w:t>
      </w:r>
      <w:r>
        <w:rPr>
          <w:rFonts w:ascii="宋体" w:hAnsi="宋体" w:cs="宋体" w:eastAsia="宋体" w:hint="default"/>
        </w:rPr>
        <w:t>20%</w:t>
      </w:r>
      <w:r>
        <w:rPr/>
        <w:t>；</w:t>
      </w:r>
    </w:p>
    <w:p>
      <w:pPr>
        <w:pStyle w:val="BodyText"/>
        <w:spacing w:line="237" w:lineRule="auto" w:before="121"/>
        <w:ind w:right="231"/>
        <w:jc w:val="both"/>
        <w:rPr>
          <w:rFonts w:ascii="宋体" w:hAnsi="宋体" w:cs="宋体" w:eastAsia="宋体" w:hint="default"/>
        </w:rPr>
      </w:pPr>
      <w:r>
        <w:rPr>
          <w:rFonts w:ascii="宋体" w:hAnsi="宋体" w:cs="宋体" w:eastAsia="宋体" w:hint="default"/>
          <w:spacing w:val="-7"/>
        </w:rPr>
        <w:t>C</w:t>
      </w:r>
      <w:r>
        <w:rPr>
          <w:spacing w:val="-7"/>
        </w:rPr>
        <w:t>、本公子直接控股子公司华胜天成科技（香港）有限公司持有富昇控股有限公司</w:t>
      </w:r>
      <w:r>
        <w:rPr>
          <w:spacing w:val="-37"/>
        </w:rPr>
        <w:t> </w:t>
      </w:r>
      <w:r>
        <w:rPr>
          <w:rFonts w:ascii="宋体" w:hAnsi="宋体" w:cs="宋体" w:eastAsia="宋体" w:hint="default"/>
        </w:rPr>
        <w:t>100%</w:t>
      </w:r>
      <w:r>
        <w:rPr>
          <w:rFonts w:ascii="宋体" w:hAnsi="宋体" w:cs="宋体" w:eastAsia="宋体" w:hint="default"/>
          <w:spacing w:val="-118"/>
        </w:rPr>
        <w:t> </w:t>
      </w:r>
      <w:r>
        <w:rPr>
          <w:rFonts w:ascii="宋体" w:hAnsi="宋体" w:cs="宋体" w:eastAsia="宋体" w:hint="default"/>
          <w:spacing w:val="-118"/>
        </w:rPr>
      </w:r>
      <w:r>
        <w:rPr>
          <w:spacing w:val="13"/>
        </w:rPr>
        <w:t>股权，本期以 </w:t>
      </w:r>
      <w:r>
        <w:rPr>
          <w:rFonts w:ascii="宋体" w:hAnsi="宋体" w:cs="宋体" w:eastAsia="宋体" w:hint="default"/>
        </w:rPr>
        <w:t>24,837,690.41 </w:t>
      </w:r>
      <w:r>
        <w:rPr>
          <w:spacing w:val="14"/>
        </w:rPr>
        <w:t>美元为对价转让富昇控股有限公司</w:t>
      </w:r>
      <w:r>
        <w:rPr>
          <w:spacing w:val="58"/>
        </w:rPr>
        <w:t> </w:t>
      </w:r>
      <w:r>
        <w:rPr>
          <w:rFonts w:ascii="宋体" w:hAnsi="宋体" w:cs="宋体" w:eastAsia="宋体" w:hint="default"/>
          <w:spacing w:val="7"/>
        </w:rPr>
        <w:t>100%</w:t>
      </w:r>
      <w:r>
        <w:rPr>
          <w:spacing w:val="7"/>
        </w:rPr>
        <w:t>的股权给</w:t>
      </w:r>
      <w:r>
        <w:rPr/>
        <w:t> </w:t>
      </w:r>
      <w:r>
        <w:rPr>
          <w:rFonts w:ascii="宋体" w:hAnsi="宋体" w:cs="宋体" w:eastAsia="宋体" w:hint="default"/>
        </w:rPr>
        <w:t>WESTMINSTERELECTRONICRESOURCES(SINGAPORE)PTE.LTD.</w:t>
      </w:r>
      <w:r>
        <w:rPr/>
        <w:t>。此交易于</w:t>
      </w:r>
      <w:r>
        <w:rPr>
          <w:spacing w:val="-58"/>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27</w:t>
      </w:r>
    </w:p>
    <w:p>
      <w:pPr>
        <w:pStyle w:val="BodyText"/>
        <w:spacing w:line="312" w:lineRule="exact"/>
        <w:ind w:right="0"/>
        <w:jc w:val="both"/>
      </w:pPr>
      <w:r>
        <w:rPr/>
        <w:t>日完成，变更后，华胜天成科技（香港）有限公司对富昇控股有限公司不再持股；</w:t>
      </w:r>
    </w:p>
    <w:p>
      <w:pPr>
        <w:pStyle w:val="BodyText"/>
        <w:spacing w:line="237" w:lineRule="auto" w:before="118"/>
        <w:ind w:right="233"/>
        <w:jc w:val="both"/>
      </w:pPr>
      <w:r>
        <w:rPr>
          <w:rFonts w:ascii="宋体" w:hAnsi="宋体" w:cs="宋体" w:eastAsia="宋体" w:hint="default"/>
        </w:rPr>
        <w:t>D</w:t>
      </w:r>
      <w:r>
        <w:rPr/>
        <w:t>、本公司之子公司北京华胜天成软件技术有限公司于本期</w:t>
      </w:r>
      <w:r>
        <w:rPr>
          <w:spacing w:val="-40"/>
        </w:rPr>
        <w:t> </w:t>
      </w:r>
      <w:r>
        <w:rPr>
          <w:rFonts w:ascii="宋体" w:hAnsi="宋体" w:cs="宋体" w:eastAsia="宋体" w:hint="default"/>
        </w:rPr>
        <w:t>1</w:t>
      </w:r>
      <w:r>
        <w:rPr>
          <w:rFonts w:ascii="宋体" w:hAnsi="宋体" w:cs="宋体" w:eastAsia="宋体" w:hint="default"/>
          <w:spacing w:val="-41"/>
        </w:rPr>
        <w:t> </w:t>
      </w:r>
      <w:r>
        <w:rPr/>
        <w:t>月</w:t>
      </w:r>
      <w:r>
        <w:rPr>
          <w:spacing w:val="-44"/>
        </w:rPr>
        <w:t> </w:t>
      </w:r>
      <w:r>
        <w:rPr>
          <w:rFonts w:ascii="宋体" w:hAnsi="宋体" w:cs="宋体" w:eastAsia="宋体" w:hint="default"/>
        </w:rPr>
        <w:t>9</w:t>
      </w:r>
      <w:r>
        <w:rPr>
          <w:rFonts w:ascii="宋体" w:hAnsi="宋体" w:cs="宋体" w:eastAsia="宋体" w:hint="default"/>
          <w:spacing w:val="-44"/>
        </w:rPr>
        <w:t> </w:t>
      </w:r>
      <w:r>
        <w:rPr/>
        <w:t>日投资杭州沃趣网 络科技有限公司，出资金额</w:t>
      </w:r>
      <w:r>
        <w:rPr>
          <w:spacing w:val="-48"/>
        </w:rPr>
        <w:t> </w:t>
      </w:r>
      <w:r>
        <w:rPr>
          <w:rFonts w:ascii="宋体" w:hAnsi="宋体" w:cs="宋体" w:eastAsia="宋体" w:hint="default"/>
        </w:rPr>
        <w:t>26,270,000.00</w:t>
      </w:r>
      <w:r>
        <w:rPr>
          <w:rFonts w:ascii="宋体" w:hAnsi="宋体" w:cs="宋体" w:eastAsia="宋体" w:hint="default"/>
          <w:spacing w:val="-48"/>
        </w:rPr>
        <w:t> </w:t>
      </w:r>
      <w:r>
        <w:rPr/>
        <w:t>元，投资比例为</w:t>
      </w:r>
      <w:r>
        <w:rPr>
          <w:spacing w:val="-48"/>
        </w:rPr>
        <w:t> </w:t>
      </w:r>
      <w:r>
        <w:rPr>
          <w:rFonts w:ascii="宋体" w:hAnsi="宋体" w:cs="宋体" w:eastAsia="宋体" w:hint="default"/>
        </w:rPr>
        <w:t>51%</w:t>
      </w:r>
      <w:r>
        <w:rPr/>
        <w:t>；</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日因杭州 </w:t>
      </w:r>
      <w:r>
        <w:rPr>
          <w:spacing w:val="-2"/>
        </w:rPr>
        <w:t>沃趣网络科技有限公司新增加投资者北京中域昭拓股权投资中心（有限合伙），本公</w:t>
      </w:r>
      <w:r>
        <w:rPr>
          <w:spacing w:val="-95"/>
        </w:rPr>
        <w:t> </w:t>
      </w:r>
      <w:r>
        <w:rPr>
          <w:spacing w:val="-95"/>
        </w:rPr>
      </w:r>
      <w:r>
        <w:rPr/>
        <w:t>司持股比例降至</w:t>
      </w:r>
      <w:r>
        <w:rPr>
          <w:spacing w:val="-61"/>
        </w:rPr>
        <w:t> </w:t>
      </w:r>
      <w:r>
        <w:rPr>
          <w:rFonts w:ascii="宋体" w:hAnsi="宋体" w:cs="宋体" w:eastAsia="宋体" w:hint="default"/>
        </w:rPr>
        <w:t>40.80%</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312" w:lineRule="exact"/>
        <w:ind w:right="0"/>
        <w:jc w:val="both"/>
      </w:pPr>
      <w:r>
        <w:rPr/>
        <w:t>是否存在通过多次交易分步处置对子公司投资且在本期丧失控制权的情形</w:t>
      </w:r>
    </w:p>
    <w:p>
      <w:pPr>
        <w:pStyle w:val="BodyText"/>
        <w:spacing w:line="312" w:lineRule="exact"/>
        <w:ind w:right="0"/>
        <w:jc w:val="both"/>
      </w:pPr>
      <w:r>
        <w:rPr/>
        <w:t>√适用□不适用</w:t>
      </w:r>
    </w:p>
    <w:p>
      <w:pPr>
        <w:spacing w:line="240" w:lineRule="auto" w:before="9"/>
        <w:rPr>
          <w:rFonts w:ascii="宋体" w:hAnsi="宋体" w:cs="宋体" w:eastAsia="宋体" w:hint="default"/>
          <w:sz w:val="23"/>
          <w:szCs w:val="23"/>
        </w:rPr>
      </w:pPr>
    </w:p>
    <w:p>
      <w:pPr>
        <w:pStyle w:val="BodyText"/>
        <w:spacing w:line="312" w:lineRule="exact"/>
        <w:ind w:right="0"/>
        <w:jc w:val="both"/>
      </w:pPr>
      <w:r>
        <w:rPr/>
        <w:t>一揽子交易</w:t>
      </w:r>
    </w:p>
    <w:p>
      <w:pPr>
        <w:pStyle w:val="BodyText"/>
        <w:spacing w:line="312" w:lineRule="exact"/>
        <w:ind w:right="0"/>
        <w:jc w:val="both"/>
      </w:pPr>
      <w:r>
        <w:rPr/>
        <w:t>□适用</w:t>
      </w:r>
      <w:r>
        <w:rPr>
          <w:spacing w:val="-1"/>
        </w:rPr>
        <w:t> </w:t>
      </w:r>
      <w:r>
        <w:rPr/>
        <w:t>√不适用</w:t>
      </w:r>
    </w:p>
    <w:p>
      <w:pPr>
        <w:spacing w:after="0" w:line="312" w:lineRule="exact"/>
        <w:jc w:val="both"/>
        <w:sectPr>
          <w:pgSz w:w="11910" w:h="16840"/>
          <w:pgMar w:header="882" w:footer="1195" w:top="1120" w:bottom="1380" w:left="1140" w:right="1560"/>
        </w:sectPr>
      </w:pPr>
    </w:p>
    <w:p>
      <w:pPr>
        <w:pStyle w:val="BodyText"/>
        <w:spacing w:line="312" w:lineRule="exact" w:before="111"/>
        <w:ind w:left="144" w:right="-17"/>
        <w:jc w:val="left"/>
      </w:pPr>
      <w:r>
        <w:rPr/>
        <w:t>非一揽子交易</w:t>
      </w:r>
    </w:p>
    <w:p>
      <w:pPr>
        <w:pStyle w:val="BodyText"/>
        <w:spacing w:line="312" w:lineRule="exact"/>
        <w:ind w:left="144"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32"/>
          <w:szCs w:val="32"/>
        </w:rPr>
      </w:pPr>
    </w:p>
    <w:p>
      <w:pPr>
        <w:pStyle w:val="BodyText"/>
        <w:tabs>
          <w:tab w:pos="1223" w:val="left" w:leader="none"/>
        </w:tabs>
        <w:spacing w:line="240" w:lineRule="auto"/>
        <w:ind w:left="14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headerReference w:type="default" r:id="rId67"/>
          <w:footerReference w:type="default" r:id="rId68"/>
          <w:pgSz w:w="16840" w:h="11910" w:orient="landscape"/>
          <w:pgMar w:header="882" w:footer="1195" w:top="1120" w:bottom="1380" w:left="1380" w:right="1320"/>
          <w:pgNumType w:start="168"/>
          <w:cols w:num="2" w:equalWidth="0">
            <w:col w:w="1945" w:space="9529"/>
            <w:col w:w="2666"/>
          </w:cols>
        </w:sectPr>
      </w:pPr>
    </w:p>
    <w:p>
      <w:pPr>
        <w:spacing w:line="240" w:lineRule="auto" w:before="12"/>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545"/>
        <w:gridCol w:w="850"/>
        <w:gridCol w:w="1044"/>
        <w:gridCol w:w="754"/>
        <w:gridCol w:w="615"/>
        <w:gridCol w:w="1135"/>
        <w:gridCol w:w="850"/>
        <w:gridCol w:w="521"/>
        <w:gridCol w:w="893"/>
        <w:gridCol w:w="1181"/>
        <w:gridCol w:w="1044"/>
        <w:gridCol w:w="1047"/>
        <w:gridCol w:w="1044"/>
        <w:gridCol w:w="1190"/>
        <w:gridCol w:w="1174"/>
      </w:tblGrid>
      <w:tr>
        <w:trPr>
          <w:trHeight w:val="1409"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86" w:right="87"/>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股权处置 时点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股权处置价 款</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44" w:firstLine="9"/>
              <w:jc w:val="left"/>
              <w:rPr>
                <w:rFonts w:ascii="宋体" w:hAnsi="宋体" w:cs="宋体" w:eastAsia="宋体" w:hint="default"/>
                <w:sz w:val="18"/>
                <w:szCs w:val="18"/>
              </w:rPr>
            </w:pPr>
            <w:r>
              <w:rPr>
                <w:rFonts w:ascii="宋体" w:hAnsi="宋体" w:cs="宋体" w:eastAsia="宋体" w:hint="default"/>
                <w:sz w:val="18"/>
                <w:szCs w:val="18"/>
              </w:rPr>
              <w:t>股权处置 </w:t>
            </w:r>
            <w:r>
              <w:rPr>
                <w:rFonts w:ascii="宋体" w:hAnsi="宋体" w:cs="宋体" w:eastAsia="宋体" w:hint="default"/>
                <w:spacing w:val="-6"/>
                <w:sz w:val="18"/>
                <w:szCs w:val="18"/>
              </w:rPr>
              <w:t>比例（</w:t>
            </w:r>
            <w:r>
              <w:rPr>
                <w:rFonts w:ascii="宋体" w:hAnsi="宋体" w:cs="宋体" w:eastAsia="宋体" w:hint="default"/>
                <w:spacing w:val="-6"/>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 w:right="2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处置价款与处</w:t>
            </w:r>
          </w:p>
          <w:p>
            <w:pPr>
              <w:pStyle w:val="TableParagraph"/>
              <w:spacing w:line="237" w:lineRule="auto"/>
              <w:ind w:left="24" w:right="19"/>
              <w:jc w:val="center"/>
              <w:rPr>
                <w:rFonts w:ascii="宋体" w:hAnsi="宋体" w:cs="宋体" w:eastAsia="宋体" w:hint="default"/>
                <w:sz w:val="18"/>
                <w:szCs w:val="18"/>
              </w:rPr>
            </w:pPr>
            <w:r>
              <w:rPr>
                <w:rFonts w:ascii="宋体" w:hAnsi="宋体" w:cs="宋体" w:eastAsia="宋体" w:hint="default"/>
                <w:sz w:val="18"/>
                <w:szCs w:val="18"/>
              </w:rPr>
              <w:t>置投资对应的 合并财务报表 层面享有该子 公司净资产份 额的差额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2" w:right="55"/>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both"/>
              <w:rPr>
                <w:rFonts w:ascii="宋体" w:hAnsi="宋体" w:cs="宋体" w:eastAsia="宋体" w:hint="default"/>
                <w:sz w:val="18"/>
                <w:szCs w:val="18"/>
              </w:rPr>
            </w:pPr>
            <w:r>
              <w:rPr>
                <w:rFonts w:ascii="宋体" w:hAnsi="宋体" w:cs="宋体" w:eastAsia="宋体" w:hint="default"/>
                <w:sz w:val="18"/>
                <w:szCs w:val="18"/>
              </w:rPr>
              <w:t>丧失</w:t>
            </w:r>
          </w:p>
          <w:p>
            <w:pPr>
              <w:pStyle w:val="TableParagraph"/>
              <w:spacing w:line="237" w:lineRule="auto"/>
              <w:ind w:left="76" w:right="72"/>
              <w:jc w:val="both"/>
              <w:rPr>
                <w:rFonts w:ascii="宋体" w:hAnsi="宋体" w:cs="宋体" w:eastAsia="宋体" w:hint="default"/>
                <w:sz w:val="18"/>
                <w:szCs w:val="18"/>
              </w:rPr>
            </w:pPr>
            <w:r>
              <w:rPr>
                <w:rFonts w:ascii="宋体" w:hAnsi="宋体" w:cs="宋体" w:eastAsia="宋体" w:hint="default"/>
                <w:sz w:val="18"/>
                <w:szCs w:val="18"/>
              </w:rPr>
              <w:t>控制 权时 点的 确定 依据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84" w:right="77"/>
              <w:jc w:val="center"/>
              <w:rPr>
                <w:rFonts w:ascii="宋体" w:hAnsi="宋体" w:cs="宋体" w:eastAsia="宋体" w:hint="default"/>
                <w:sz w:val="18"/>
                <w:szCs w:val="18"/>
              </w:rPr>
            </w:pPr>
            <w:r>
              <w:rPr>
                <w:rFonts w:ascii="宋体" w:hAnsi="宋体" w:cs="宋体" w:eastAsia="宋体" w:hint="default"/>
                <w:sz w:val="18"/>
                <w:szCs w:val="18"/>
              </w:rPr>
              <w:t>丧失控制 权之日剩 余股权的 比例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8" w:right="41"/>
              <w:jc w:val="both"/>
              <w:rPr>
                <w:rFonts w:ascii="宋体" w:hAnsi="宋体" w:cs="宋体" w:eastAsia="宋体" w:hint="default"/>
                <w:sz w:val="18"/>
                <w:szCs w:val="18"/>
              </w:rPr>
            </w:pPr>
            <w:r>
              <w:rPr>
                <w:rFonts w:ascii="宋体" w:hAnsi="宋体" w:cs="宋体" w:eastAsia="宋体" w:hint="default"/>
                <w:sz w:val="18"/>
                <w:szCs w:val="18"/>
              </w:rPr>
              <w:t>合并财务报表 中与该子公司 相关的商誉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67" w:right="65"/>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69" w:right="65"/>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67" w:right="65"/>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50" w:right="48"/>
              <w:jc w:val="center"/>
              <w:rPr>
                <w:rFonts w:ascii="宋体" w:hAnsi="宋体" w:cs="宋体" w:eastAsia="宋体" w:hint="default"/>
                <w:sz w:val="18"/>
                <w:szCs w:val="18"/>
              </w:rPr>
            </w:pPr>
            <w:r>
              <w:rPr>
                <w:rFonts w:ascii="宋体" w:hAnsi="宋体" w:cs="宋体" w:eastAsia="宋体" w:hint="default"/>
                <w:sz w:val="18"/>
                <w:szCs w:val="18"/>
              </w:rPr>
              <w:t>丧失控制权之 日剩余股权公 允价值的确定 方法及主要假 设</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3" w:right="39"/>
              <w:jc w:val="center"/>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 转入投资损益 的金额</w:t>
            </w:r>
          </w:p>
        </w:tc>
      </w:tr>
      <w:tr>
        <w:trPr>
          <w:trHeight w:val="141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85"/>
                <w:sz w:val="18"/>
                <w:szCs w:val="18"/>
              </w:rPr>
              <w:t> </w:t>
            </w:r>
            <w:r>
              <w:rPr>
                <w:rFonts w:ascii="宋体" w:hAnsi="宋体" w:cs="宋体" w:eastAsia="宋体" w:hint="default"/>
                <w:sz w:val="18"/>
                <w:szCs w:val="18"/>
              </w:rPr>
              <w:t>京</w:t>
            </w:r>
          </w:p>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85"/>
                <w:sz w:val="18"/>
                <w:szCs w:val="18"/>
              </w:rPr>
              <w:t> </w:t>
            </w:r>
            <w:r>
              <w:rPr>
                <w:rFonts w:ascii="宋体" w:hAnsi="宋体" w:cs="宋体" w:eastAsia="宋体" w:hint="default"/>
                <w:sz w:val="18"/>
                <w:szCs w:val="18"/>
              </w:rPr>
              <w:t>大</w:t>
            </w:r>
          </w:p>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t>思</w:t>
            </w:r>
            <w:r>
              <w:rPr>
                <w:rFonts w:ascii="宋体" w:hAnsi="宋体" w:cs="宋体" w:eastAsia="宋体" w:hint="default"/>
                <w:spacing w:val="85"/>
                <w:sz w:val="18"/>
                <w:szCs w:val="18"/>
              </w:rPr>
              <w:t> </w:t>
            </w:r>
            <w:r>
              <w:rPr>
                <w:rFonts w:ascii="宋体" w:hAnsi="宋体" w:cs="宋体" w:eastAsia="宋体" w:hint="default"/>
                <w:sz w:val="18"/>
                <w:szCs w:val="18"/>
              </w:rPr>
              <w:t>源</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85"/>
                <w:sz w:val="18"/>
                <w:szCs w:val="18"/>
              </w:rPr>
              <w:t> </w:t>
            </w:r>
            <w:r>
              <w:rPr>
                <w:rFonts w:ascii="宋体" w:hAnsi="宋体" w:cs="宋体" w:eastAsia="宋体" w:hint="default"/>
                <w:sz w:val="18"/>
                <w:szCs w:val="18"/>
              </w:rPr>
              <w:t>技</w:t>
            </w:r>
          </w:p>
          <w:p>
            <w:pPr>
              <w:pStyle w:val="TableParagraph"/>
              <w:spacing w:line="232" w:lineRule="exact" w:before="24"/>
              <w:ind w:left="-1"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3"/>
              <w:jc w:val="center"/>
              <w:rPr>
                <w:rFonts w:ascii="Times New Roman" w:hAnsi="Times New Roman" w:cs="Times New Roman" w:eastAsia="Times New Roman" w:hint="default"/>
                <w:sz w:val="18"/>
                <w:szCs w:val="18"/>
              </w:rPr>
            </w:pPr>
            <w:r>
              <w:rPr>
                <w:rFonts w:ascii="Times New Roman"/>
                <w:sz w:val="18"/>
              </w:rPr>
              <w:t>2015-12-10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Times New Roman" w:hAnsi="Times New Roman" w:cs="Times New Roman" w:eastAsia="Times New Roman" w:hint="default"/>
                <w:sz w:val="18"/>
                <w:szCs w:val="18"/>
              </w:rPr>
            </w:pPr>
            <w:r>
              <w:rPr>
                <w:rFonts w:ascii="Times New Roman"/>
                <w:spacing w:val="-1"/>
                <w:sz w:val="18"/>
              </w:rPr>
              <w:t>7,505,900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Times New Roman" w:hAnsi="Times New Roman" w:cs="Times New Roman" w:eastAsia="Times New Roman" w:hint="default"/>
                <w:sz w:val="18"/>
                <w:szCs w:val="18"/>
              </w:rPr>
            </w:pPr>
            <w:r>
              <w:rPr>
                <w:rFonts w:ascii="Times New Roman"/>
                <w:sz w:val="18"/>
              </w:rPr>
              <w:t>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6"/>
              <w:jc w:val="left"/>
              <w:rPr>
                <w:rFonts w:ascii="宋体" w:hAnsi="宋体" w:cs="宋体" w:eastAsia="宋体" w:hint="default"/>
                <w:sz w:val="18"/>
                <w:szCs w:val="18"/>
              </w:rPr>
            </w:pPr>
            <w:r>
              <w:rPr>
                <w:rFonts w:ascii="宋体" w:hAnsi="宋体" w:cs="宋体" w:eastAsia="宋体" w:hint="default"/>
                <w:spacing w:val="22"/>
                <w:sz w:val="18"/>
                <w:szCs w:val="18"/>
              </w:rPr>
              <w:t>出售子</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Times New Roman" w:hAnsi="Times New Roman" w:cs="Times New Roman" w:eastAsia="Times New Roman" w:hint="default"/>
                <w:sz w:val="18"/>
                <w:szCs w:val="18"/>
              </w:rPr>
            </w:pPr>
            <w:r>
              <w:rPr>
                <w:rFonts w:ascii="Times New Roman"/>
                <w:spacing w:val="-1"/>
                <w:sz w:val="18"/>
              </w:rPr>
              <w:t>178,870.48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5"/>
              <w:jc w:val="center"/>
              <w:rPr>
                <w:rFonts w:ascii="Times New Roman" w:hAnsi="Times New Roman" w:cs="Times New Roman" w:eastAsia="Times New Roman" w:hint="default"/>
                <w:sz w:val="18"/>
                <w:szCs w:val="18"/>
              </w:rPr>
            </w:pPr>
            <w:r>
              <w:rPr>
                <w:rFonts w:ascii="Times New Roman"/>
                <w:sz w:val="18"/>
              </w:rPr>
              <w:t>2015-12-10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3"/>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1"/>
                <w:sz w:val="18"/>
                <w:szCs w:val="18"/>
              </w:rPr>
              <w:t> </w:t>
            </w:r>
            <w:r>
              <w:rPr>
                <w:rFonts w:ascii="宋体" w:hAnsi="宋体" w:cs="宋体" w:eastAsia="宋体" w:hint="default"/>
                <w:sz w:val="18"/>
                <w:szCs w:val="18"/>
              </w:rPr>
              <w:t>权</w:t>
            </w:r>
          </w:p>
          <w:p>
            <w:pPr>
              <w:pStyle w:val="TableParagraph"/>
              <w:spacing w:line="232" w:lineRule="exact" w:before="23"/>
              <w:ind w:left="2" w:right="-3"/>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1"/>
                <w:sz w:val="18"/>
                <w:szCs w:val="18"/>
              </w:rPr>
              <w:t> </w:t>
            </w:r>
            <w:r>
              <w:rPr>
                <w:rFonts w:ascii="宋体" w:hAnsi="宋体" w:cs="宋体" w:eastAsia="宋体" w:hint="default"/>
                <w:sz w:val="18"/>
                <w:szCs w:val="18"/>
              </w:rPr>
              <w:t>割</w:t>
            </w:r>
            <w:r>
              <w:rPr>
                <w:rFonts w:ascii="宋体" w:hAnsi="宋体" w:cs="宋体" w:eastAsia="宋体" w:hint="default"/>
                <w:sz w:val="18"/>
                <w:szCs w:val="18"/>
              </w:rPr>
              <w:t> 完毕</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pacing w:val="-1"/>
                <w:sz w:val="18"/>
              </w:rPr>
              <w:t>372,152.33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11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85"/>
                <w:sz w:val="18"/>
                <w:szCs w:val="18"/>
              </w:rPr>
              <w:t> </w:t>
            </w:r>
            <w:r>
              <w:rPr>
                <w:rFonts w:ascii="宋体" w:hAnsi="宋体" w:cs="宋体" w:eastAsia="宋体" w:hint="default"/>
                <w:sz w:val="18"/>
                <w:szCs w:val="18"/>
              </w:rPr>
              <w:t>京</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85"/>
                <w:sz w:val="18"/>
                <w:szCs w:val="18"/>
              </w:rPr>
              <w:t> </w:t>
            </w:r>
            <w:r>
              <w:rPr>
                <w:rFonts w:ascii="宋体" w:hAnsi="宋体" w:cs="宋体" w:eastAsia="宋体" w:hint="default"/>
                <w:sz w:val="18"/>
                <w:szCs w:val="18"/>
              </w:rPr>
              <w:t>胜</w:t>
            </w:r>
          </w:p>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85"/>
                <w:sz w:val="18"/>
                <w:szCs w:val="18"/>
              </w:rPr>
              <w:t> </w:t>
            </w:r>
            <w:r>
              <w:rPr>
                <w:rFonts w:ascii="宋体" w:hAnsi="宋体" w:cs="宋体" w:eastAsia="宋体" w:hint="default"/>
                <w:sz w:val="18"/>
                <w:szCs w:val="18"/>
              </w:rPr>
              <w:t>成</w:t>
            </w:r>
          </w:p>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5"/>
                <w:sz w:val="18"/>
                <w:szCs w:val="18"/>
              </w:rPr>
              <w:t> </w:t>
            </w:r>
            <w:r>
              <w:rPr>
                <w:rFonts w:ascii="宋体" w:hAnsi="宋体" w:cs="宋体" w:eastAsia="宋体" w:hint="default"/>
                <w:sz w:val="18"/>
                <w:szCs w:val="18"/>
              </w:rPr>
              <w:t>权</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5"/>
                <w:sz w:val="18"/>
                <w:szCs w:val="18"/>
              </w:rPr>
              <w:t> </w:t>
            </w:r>
            <w:r>
              <w:rPr>
                <w:rFonts w:ascii="宋体" w:hAnsi="宋体" w:cs="宋体" w:eastAsia="宋体" w:hint="default"/>
                <w:sz w:val="18"/>
                <w:szCs w:val="18"/>
              </w:rPr>
              <w:t>资</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85"/>
                <w:sz w:val="18"/>
                <w:szCs w:val="18"/>
              </w:rPr>
              <w:t> </w:t>
            </w:r>
            <w:r>
              <w:rPr>
                <w:rFonts w:ascii="宋体" w:hAnsi="宋体" w:cs="宋体" w:eastAsia="宋体" w:hint="default"/>
                <w:sz w:val="18"/>
                <w:szCs w:val="18"/>
              </w:rPr>
              <w:t>心</w:t>
            </w:r>
          </w:p>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有</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85"/>
                <w:sz w:val="18"/>
                <w:szCs w:val="18"/>
              </w:rPr>
              <w:t> </w:t>
            </w:r>
            <w:r>
              <w:rPr>
                <w:rFonts w:ascii="宋体" w:hAnsi="宋体" w:cs="宋体" w:eastAsia="宋体" w:hint="default"/>
                <w:sz w:val="18"/>
                <w:szCs w:val="18"/>
              </w:rPr>
              <w:t>合</w:t>
            </w:r>
            <w:r>
              <w:rPr>
                <w:rFonts w:ascii="宋体" w:hAnsi="宋体" w:cs="宋体" w:eastAsia="宋体" w:hint="default"/>
                <w:sz w:val="18"/>
                <w:szCs w:val="18"/>
              </w:rPr>
              <w:t> 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5"/>
              <w:jc w:val="center"/>
              <w:rPr>
                <w:rFonts w:ascii="Times New Roman" w:hAnsi="Times New Roman" w:cs="Times New Roman" w:eastAsia="Times New Roman" w:hint="default"/>
                <w:sz w:val="18"/>
                <w:szCs w:val="18"/>
              </w:rPr>
            </w:pPr>
            <w:r>
              <w:rPr>
                <w:rFonts w:ascii="Times New Roman"/>
                <w:spacing w:val="-2"/>
                <w:sz w:val="18"/>
              </w:rPr>
              <w:t>2015-11-31</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3,000,000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right"/>
              <w:rPr>
                <w:rFonts w:ascii="Times New Roman" w:hAnsi="Times New Roman" w:cs="Times New Roman" w:eastAsia="Times New Roman" w:hint="default"/>
                <w:sz w:val="18"/>
                <w:szCs w:val="18"/>
              </w:rPr>
            </w:pPr>
            <w:r>
              <w:rPr>
                <w:rFonts w:ascii="Times New Roman"/>
                <w:sz w:val="18"/>
              </w:rPr>
              <w:t>80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6"/>
              <w:jc w:val="left"/>
              <w:rPr>
                <w:rFonts w:ascii="宋体" w:hAnsi="宋体" w:cs="宋体" w:eastAsia="宋体" w:hint="default"/>
                <w:sz w:val="18"/>
                <w:szCs w:val="18"/>
              </w:rPr>
            </w:pPr>
            <w:r>
              <w:rPr>
                <w:rFonts w:ascii="宋体" w:hAnsi="宋体" w:cs="宋体" w:eastAsia="宋体" w:hint="default"/>
                <w:spacing w:val="22"/>
                <w:sz w:val="18"/>
                <w:szCs w:val="18"/>
              </w:rPr>
              <w:t>出售子</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Times New Roman" w:hAnsi="Times New Roman" w:cs="Times New Roman" w:eastAsia="Times New Roman" w:hint="default"/>
                <w:sz w:val="18"/>
                <w:szCs w:val="18"/>
              </w:rPr>
            </w:pPr>
            <w:r>
              <w:rPr>
                <w:rFonts w:ascii="Times New Roman"/>
                <w:spacing w:val="-1"/>
                <w:sz w:val="18"/>
              </w:rPr>
              <w:t>-5,732.29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pacing w:val="-2"/>
                <w:sz w:val="18"/>
              </w:rPr>
              <w:t>2015-11-31</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3"/>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1"/>
                <w:sz w:val="18"/>
                <w:szCs w:val="18"/>
              </w:rPr>
              <w:t> </w:t>
            </w:r>
            <w:r>
              <w:rPr>
                <w:rFonts w:ascii="宋体" w:hAnsi="宋体" w:cs="宋体" w:eastAsia="宋体" w:hint="default"/>
                <w:sz w:val="18"/>
                <w:szCs w:val="18"/>
              </w:rPr>
              <w:t>权</w:t>
            </w:r>
          </w:p>
          <w:p>
            <w:pPr>
              <w:pStyle w:val="TableParagraph"/>
              <w:spacing w:line="232" w:lineRule="exact" w:before="24"/>
              <w:ind w:left="2" w:right="-3"/>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1"/>
                <w:sz w:val="18"/>
                <w:szCs w:val="18"/>
              </w:rPr>
              <w:t> </w:t>
            </w:r>
            <w:r>
              <w:rPr>
                <w:rFonts w:ascii="宋体" w:hAnsi="宋体" w:cs="宋体" w:eastAsia="宋体" w:hint="default"/>
                <w:sz w:val="18"/>
                <w:szCs w:val="18"/>
              </w:rPr>
              <w:t>割</w:t>
            </w:r>
            <w:r>
              <w:rPr>
                <w:rFonts w:ascii="宋体" w:hAnsi="宋体" w:cs="宋体" w:eastAsia="宋体" w:hint="default"/>
                <w:sz w:val="18"/>
                <w:szCs w:val="18"/>
              </w:rPr>
              <w:t> 完毕</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
              <w:jc w:val="right"/>
              <w:rPr>
                <w:rFonts w:ascii="Times New Roman" w:hAnsi="Times New Roman" w:cs="Times New Roman" w:eastAsia="Times New Roman" w:hint="default"/>
                <w:sz w:val="18"/>
                <w:szCs w:val="18"/>
              </w:rPr>
            </w:pPr>
            <w:r>
              <w:rPr>
                <w:rFonts w:ascii="Times New Roman"/>
                <w:sz w:val="18"/>
              </w:rPr>
              <w:t>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601,433.07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601,433.07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16"/>
                <w:sz w:val="18"/>
                <w:szCs w:val="18"/>
              </w:rPr>
              <w:t>参考股权购买</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3"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85"/>
                <w:sz w:val="18"/>
                <w:szCs w:val="18"/>
              </w:rPr>
              <w:t> </w:t>
            </w:r>
            <w:r>
              <w:rPr>
                <w:rFonts w:ascii="宋体" w:hAnsi="宋体" w:cs="宋体" w:eastAsia="宋体" w:hint="default"/>
                <w:sz w:val="18"/>
                <w:szCs w:val="18"/>
              </w:rPr>
              <w:t>昇</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85"/>
                <w:sz w:val="18"/>
                <w:szCs w:val="18"/>
              </w:rPr>
              <w:t> </w:t>
            </w:r>
            <w:r>
              <w:rPr>
                <w:rFonts w:ascii="宋体" w:hAnsi="宋体" w:cs="宋体" w:eastAsia="宋体" w:hint="default"/>
                <w:sz w:val="18"/>
                <w:szCs w:val="18"/>
              </w:rPr>
              <w:t>股</w:t>
            </w:r>
          </w:p>
          <w:p>
            <w:pPr>
              <w:pStyle w:val="TableParagraph"/>
              <w:spacing w:line="232" w:lineRule="exact" w:before="24"/>
              <w:ind w:left="-1"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3"/>
              <w:jc w:val="center"/>
              <w:rPr>
                <w:rFonts w:ascii="Times New Roman" w:hAnsi="Times New Roman" w:cs="Times New Roman" w:eastAsia="Times New Roman" w:hint="default"/>
                <w:sz w:val="18"/>
                <w:szCs w:val="18"/>
              </w:rPr>
            </w:pPr>
            <w:r>
              <w:rPr>
                <w:rFonts w:ascii="Times New Roman"/>
                <w:sz w:val="18"/>
              </w:rPr>
              <w:t>2015-10-27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left"/>
              <w:rPr>
                <w:rFonts w:ascii="Times New Roman" w:hAnsi="Times New Roman" w:cs="Times New Roman" w:eastAsia="Times New Roman" w:hint="default"/>
                <w:sz w:val="18"/>
                <w:szCs w:val="18"/>
              </w:rPr>
            </w:pPr>
            <w:r>
              <w:rPr>
                <w:rFonts w:ascii="Times New Roman"/>
                <w:sz w:val="18"/>
              </w:rPr>
              <w:t>24,837,690.41</w:t>
            </w:r>
          </w:p>
          <w:p>
            <w:pPr>
              <w:pStyle w:val="TableParagraph"/>
              <w:spacing w:line="223" w:lineRule="exact"/>
              <w:ind w:left="674" w:right="-1"/>
              <w:jc w:val="left"/>
              <w:rPr>
                <w:rFonts w:ascii="宋体" w:hAnsi="宋体" w:cs="宋体" w:eastAsia="宋体" w:hint="default"/>
                <w:sz w:val="18"/>
                <w:szCs w:val="18"/>
              </w:rPr>
            </w:pPr>
            <w:r>
              <w:rPr>
                <w:rFonts w:ascii="宋体" w:hAnsi="宋体" w:cs="宋体" w:eastAsia="宋体" w:hint="default"/>
                <w:sz w:val="18"/>
                <w:szCs w:val="18"/>
              </w:rPr>
              <w:t>美元</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Times New Roman" w:hAnsi="Times New Roman" w:cs="Times New Roman" w:eastAsia="Times New Roman" w:hint="default"/>
                <w:sz w:val="18"/>
                <w:szCs w:val="18"/>
              </w:rPr>
            </w:pPr>
            <w:r>
              <w:rPr>
                <w:rFonts w:ascii="Times New Roman"/>
                <w:sz w:val="18"/>
              </w:rPr>
              <w:t>100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6"/>
              <w:jc w:val="left"/>
              <w:rPr>
                <w:rFonts w:ascii="宋体" w:hAnsi="宋体" w:cs="宋体" w:eastAsia="宋体" w:hint="default"/>
                <w:sz w:val="18"/>
                <w:szCs w:val="18"/>
              </w:rPr>
            </w:pPr>
            <w:r>
              <w:rPr>
                <w:rFonts w:ascii="宋体" w:hAnsi="宋体" w:cs="宋体" w:eastAsia="宋体" w:hint="default"/>
                <w:spacing w:val="22"/>
                <w:sz w:val="18"/>
                <w:szCs w:val="18"/>
              </w:rPr>
              <w:t>出售子</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Times New Roman" w:hAnsi="Times New Roman" w:cs="Times New Roman" w:eastAsia="Times New Roman" w:hint="default"/>
                <w:sz w:val="18"/>
                <w:szCs w:val="18"/>
              </w:rPr>
            </w:pPr>
            <w:r>
              <w:rPr>
                <w:rFonts w:ascii="Times New Roman"/>
                <w:spacing w:val="-1"/>
                <w:sz w:val="18"/>
              </w:rPr>
              <w:t>-44,968,693.52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5"/>
              <w:jc w:val="center"/>
              <w:rPr>
                <w:rFonts w:ascii="Times New Roman" w:hAnsi="Times New Roman" w:cs="Times New Roman" w:eastAsia="Times New Roman" w:hint="default"/>
                <w:sz w:val="18"/>
                <w:szCs w:val="18"/>
              </w:rPr>
            </w:pPr>
            <w:r>
              <w:rPr>
                <w:rFonts w:ascii="Times New Roman"/>
                <w:sz w:val="18"/>
              </w:rPr>
              <w:t>2015-10-27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3"/>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1"/>
                <w:sz w:val="18"/>
                <w:szCs w:val="18"/>
              </w:rPr>
              <w:t> </w:t>
            </w:r>
            <w:r>
              <w:rPr>
                <w:rFonts w:ascii="宋体" w:hAnsi="宋体" w:cs="宋体" w:eastAsia="宋体" w:hint="default"/>
                <w:sz w:val="18"/>
                <w:szCs w:val="18"/>
              </w:rPr>
              <w:t>权</w:t>
            </w:r>
          </w:p>
          <w:p>
            <w:pPr>
              <w:pStyle w:val="TableParagraph"/>
              <w:spacing w:line="240" w:lineRule="auto"/>
              <w:ind w:left="2" w:right="-3"/>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1"/>
                <w:sz w:val="18"/>
                <w:szCs w:val="18"/>
              </w:rPr>
              <w:t> </w:t>
            </w:r>
            <w:r>
              <w:rPr>
                <w:rFonts w:ascii="宋体" w:hAnsi="宋体" w:cs="宋体" w:eastAsia="宋体" w:hint="default"/>
                <w:sz w:val="18"/>
                <w:szCs w:val="18"/>
              </w:rPr>
              <w:t>割</w:t>
            </w:r>
            <w:r>
              <w:rPr>
                <w:rFonts w:ascii="宋体" w:hAnsi="宋体" w:cs="宋体" w:eastAsia="宋体" w:hint="default"/>
                <w:sz w:val="18"/>
                <w:szCs w:val="18"/>
              </w:rPr>
              <w:t> 完毕</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45"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85"/>
                <w:sz w:val="18"/>
                <w:szCs w:val="18"/>
              </w:rPr>
              <w:t> </w:t>
            </w:r>
            <w:r>
              <w:rPr>
                <w:rFonts w:ascii="宋体" w:hAnsi="宋体" w:cs="宋体" w:eastAsia="宋体" w:hint="default"/>
                <w:sz w:val="18"/>
                <w:szCs w:val="18"/>
              </w:rPr>
              <w:t>州</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沃</w:t>
            </w:r>
            <w:r>
              <w:rPr>
                <w:rFonts w:ascii="宋体" w:hAnsi="宋体" w:cs="宋体" w:eastAsia="宋体" w:hint="default"/>
                <w:spacing w:val="85"/>
                <w:sz w:val="18"/>
                <w:szCs w:val="18"/>
              </w:rPr>
              <w:t> </w:t>
            </w:r>
            <w:r>
              <w:rPr>
                <w:rFonts w:ascii="宋体" w:hAnsi="宋体" w:cs="宋体" w:eastAsia="宋体" w:hint="default"/>
                <w:sz w:val="18"/>
                <w:szCs w:val="18"/>
              </w:rPr>
              <w:t>趣</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85"/>
                <w:sz w:val="18"/>
                <w:szCs w:val="18"/>
              </w:rPr>
              <w:t> </w:t>
            </w:r>
            <w:r>
              <w:rPr>
                <w:rFonts w:ascii="宋体" w:hAnsi="宋体" w:cs="宋体" w:eastAsia="宋体" w:hint="default"/>
                <w:sz w:val="18"/>
                <w:szCs w:val="18"/>
              </w:rPr>
              <w:t>络</w:t>
            </w:r>
          </w:p>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85"/>
                <w:sz w:val="18"/>
                <w:szCs w:val="18"/>
              </w:rPr>
              <w:t> </w:t>
            </w:r>
            <w:r>
              <w:rPr>
                <w:rFonts w:ascii="宋体" w:hAnsi="宋体" w:cs="宋体" w:eastAsia="宋体" w:hint="default"/>
                <w:sz w:val="18"/>
                <w:szCs w:val="18"/>
              </w:rPr>
              <w:t>技</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3"/>
              <w:jc w:val="center"/>
              <w:rPr>
                <w:rFonts w:ascii="Times New Roman" w:hAnsi="Times New Roman" w:cs="Times New Roman" w:eastAsia="Times New Roman" w:hint="default"/>
                <w:sz w:val="18"/>
                <w:szCs w:val="18"/>
              </w:rPr>
            </w:pPr>
            <w:r>
              <w:rPr>
                <w:rFonts w:ascii="Times New Roman"/>
                <w:sz w:val="18"/>
              </w:rPr>
              <w:t>2015-12-31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z w:val="18"/>
              </w:rPr>
              <w:t>10.20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6"/>
              <w:jc w:val="left"/>
              <w:rPr>
                <w:rFonts w:ascii="宋体" w:hAnsi="宋体" w:cs="宋体" w:eastAsia="宋体" w:hint="default"/>
                <w:sz w:val="18"/>
                <w:szCs w:val="18"/>
              </w:rPr>
            </w:pPr>
            <w:r>
              <w:rPr>
                <w:rFonts w:ascii="宋体" w:hAnsi="宋体" w:cs="宋体" w:eastAsia="宋体" w:hint="default"/>
                <w:spacing w:val="22"/>
                <w:sz w:val="18"/>
                <w:szCs w:val="18"/>
              </w:rPr>
              <w:t>视作出</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right="-36"/>
              <w:jc w:val="left"/>
              <w:rPr>
                <w:rFonts w:ascii="宋体" w:hAnsi="宋体" w:cs="宋体" w:eastAsia="宋体" w:hint="default"/>
                <w:sz w:val="18"/>
                <w:szCs w:val="18"/>
              </w:rPr>
            </w:pPr>
            <w:r>
              <w:rPr>
                <w:rFonts w:ascii="宋体" w:hAnsi="宋体" w:cs="宋体" w:eastAsia="宋体" w:hint="default"/>
                <w:spacing w:val="22"/>
                <w:sz w:val="18"/>
                <w:szCs w:val="18"/>
              </w:rPr>
              <w:t>售子公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5"/>
              <w:jc w:val="center"/>
              <w:rPr>
                <w:rFonts w:ascii="Times New Roman" w:hAnsi="Times New Roman" w:cs="Times New Roman" w:eastAsia="Times New Roman" w:hint="default"/>
                <w:sz w:val="18"/>
                <w:szCs w:val="18"/>
              </w:rPr>
            </w:pPr>
            <w:r>
              <w:rPr>
                <w:rFonts w:ascii="Times New Roman"/>
                <w:sz w:val="18"/>
              </w:rPr>
              <w:t>2015-12-31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3"/>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61"/>
                <w:sz w:val="18"/>
                <w:szCs w:val="18"/>
              </w:rPr>
              <w:t> </w:t>
            </w:r>
            <w:r>
              <w:rPr>
                <w:rFonts w:ascii="宋体" w:hAnsi="宋体" w:cs="宋体" w:eastAsia="宋体" w:hint="default"/>
                <w:sz w:val="18"/>
                <w:szCs w:val="18"/>
              </w:rPr>
              <w:t>资</w:t>
            </w:r>
          </w:p>
          <w:p>
            <w:pPr>
              <w:pStyle w:val="TableParagraph"/>
              <w:spacing w:line="234" w:lineRule="exact"/>
              <w:ind w:left="2" w:right="-3"/>
              <w:jc w:val="left"/>
              <w:rPr>
                <w:rFonts w:ascii="宋体" w:hAnsi="宋体" w:cs="宋体" w:eastAsia="宋体" w:hint="default"/>
                <w:sz w:val="18"/>
                <w:szCs w:val="18"/>
              </w:rPr>
            </w:pPr>
            <w:r>
              <w:rPr>
                <w:rFonts w:ascii="宋体" w:hAnsi="宋体" w:cs="宋体" w:eastAsia="宋体" w:hint="default"/>
                <w:sz w:val="18"/>
                <w:szCs w:val="18"/>
              </w:rPr>
              <w:t>完</w:t>
            </w:r>
            <w:r>
              <w:rPr>
                <w:rFonts w:ascii="宋体" w:hAnsi="宋体" w:cs="宋体" w:eastAsia="宋体" w:hint="default"/>
                <w:spacing w:val="61"/>
                <w:sz w:val="18"/>
                <w:szCs w:val="18"/>
              </w:rPr>
              <w:t> </w:t>
            </w:r>
            <w:r>
              <w:rPr>
                <w:rFonts w:ascii="宋体" w:hAnsi="宋体" w:cs="宋体" w:eastAsia="宋体" w:hint="default"/>
                <w:sz w:val="18"/>
                <w:szCs w:val="18"/>
              </w:rPr>
              <w:t>成</w:t>
            </w:r>
          </w:p>
          <w:p>
            <w:pPr>
              <w:pStyle w:val="TableParagraph"/>
              <w:spacing w:line="234" w:lineRule="exact"/>
              <w:ind w:left="2" w:right="-3"/>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pacing w:val="61"/>
                <w:sz w:val="18"/>
                <w:szCs w:val="18"/>
              </w:rPr>
              <w:t> </w:t>
            </w:r>
            <w:r>
              <w:rPr>
                <w:rFonts w:ascii="宋体" w:hAnsi="宋体" w:cs="宋体" w:eastAsia="宋体" w:hint="default"/>
                <w:sz w:val="18"/>
                <w:szCs w:val="18"/>
              </w:rPr>
              <w:t>丧</w:t>
            </w:r>
          </w:p>
          <w:p>
            <w:pPr>
              <w:pStyle w:val="TableParagraph"/>
              <w:spacing w:line="233" w:lineRule="exact"/>
              <w:ind w:left="2" w:right="-3"/>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61"/>
                <w:sz w:val="18"/>
                <w:szCs w:val="18"/>
              </w:rPr>
              <w:t> </w:t>
            </w:r>
            <w:r>
              <w:rPr>
                <w:rFonts w:ascii="宋体" w:hAnsi="宋体" w:cs="宋体" w:eastAsia="宋体" w:hint="default"/>
                <w:sz w:val="18"/>
                <w:szCs w:val="18"/>
              </w:rPr>
              <w:t>半</w:t>
            </w:r>
          </w:p>
          <w:p>
            <w:pPr>
              <w:pStyle w:val="TableParagraph"/>
              <w:spacing w:line="234" w:lineRule="exact"/>
              <w:ind w:left="2" w:right="-3"/>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61"/>
                <w:sz w:val="18"/>
                <w:szCs w:val="18"/>
              </w:rPr>
              <w:t> </w:t>
            </w:r>
            <w:r>
              <w:rPr>
                <w:rFonts w:ascii="宋体" w:hAnsi="宋体" w:cs="宋体" w:eastAsia="宋体" w:hint="default"/>
                <w:sz w:val="18"/>
                <w:szCs w:val="18"/>
              </w:rPr>
              <w:t>以</w:t>
            </w:r>
          </w:p>
          <w:p>
            <w:pPr>
              <w:pStyle w:val="TableParagraph"/>
              <w:spacing w:line="232" w:lineRule="exact" w:before="24"/>
              <w:ind w:left="2" w:right="-3"/>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1"/>
                <w:sz w:val="18"/>
                <w:szCs w:val="18"/>
              </w:rPr>
              <w:t> </w:t>
            </w:r>
            <w:r>
              <w:rPr>
                <w:rFonts w:ascii="宋体" w:hAnsi="宋体" w:cs="宋体" w:eastAsia="宋体" w:hint="default"/>
                <w:sz w:val="18"/>
                <w:szCs w:val="18"/>
              </w:rPr>
              <w:t>表</w:t>
            </w:r>
            <w:r>
              <w:rPr>
                <w:rFonts w:ascii="宋体" w:hAnsi="宋体" w:cs="宋体" w:eastAsia="宋体" w:hint="default"/>
                <w:sz w:val="18"/>
                <w:szCs w:val="18"/>
              </w:rPr>
              <w:t> 决权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
              <w:jc w:val="right"/>
              <w:rPr>
                <w:rFonts w:ascii="Times New Roman" w:hAnsi="Times New Roman" w:cs="Times New Roman" w:eastAsia="Times New Roman" w:hint="default"/>
                <w:sz w:val="18"/>
                <w:szCs w:val="18"/>
              </w:rPr>
            </w:pPr>
            <w:r>
              <w:rPr>
                <w:rFonts w:ascii="Times New Roman"/>
                <w:sz w:val="18"/>
              </w:rPr>
              <w:t>48.22%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14,976,456.93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right"/>
              <w:rPr>
                <w:rFonts w:ascii="Times New Roman" w:hAnsi="Times New Roman" w:cs="Times New Roman" w:eastAsia="Times New Roman" w:hint="default"/>
                <w:sz w:val="18"/>
                <w:szCs w:val="18"/>
              </w:rPr>
            </w:pPr>
            <w:r>
              <w:rPr>
                <w:rFonts w:ascii="Times New Roman"/>
                <w:spacing w:val="-1"/>
                <w:sz w:val="18"/>
              </w:rPr>
              <w:t>29,679,779.37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53,040,000.00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23,360,220.63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17"/>
              <w:jc w:val="left"/>
              <w:rPr>
                <w:rFonts w:ascii="宋体" w:hAnsi="宋体" w:cs="宋体" w:eastAsia="宋体" w:hint="default"/>
                <w:sz w:val="18"/>
                <w:szCs w:val="18"/>
              </w:rPr>
            </w:pPr>
            <w:r>
              <w:rPr>
                <w:rFonts w:ascii="宋体" w:hAnsi="宋体" w:cs="宋体" w:eastAsia="宋体" w:hint="default"/>
                <w:spacing w:val="16"/>
                <w:sz w:val="18"/>
                <w:szCs w:val="18"/>
              </w:rPr>
              <w:t>参考股权增资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02" w:lineRule="exact"/>
        <w:jc w:val="right"/>
        <w:rPr>
          <w:rFonts w:ascii="Times New Roman" w:hAnsi="Times New Roman" w:cs="Times New Roman" w:eastAsia="Times New Roman" w:hint="default"/>
          <w:sz w:val="18"/>
          <w:szCs w:val="18"/>
        </w:rPr>
        <w:sectPr>
          <w:type w:val="continuous"/>
          <w:pgSz w:w="16840" w:h="11910" w:orient="landscape"/>
          <w:pgMar w:top="1120" w:bottom="1380" w:left="1380" w:right="1320"/>
        </w:sectPr>
      </w:pPr>
    </w:p>
    <w:p>
      <w:pPr>
        <w:pStyle w:val="BodyText"/>
        <w:spacing w:line="310" w:lineRule="exact" w:before="143"/>
        <w:ind w:left="144" w:right="6294"/>
        <w:jc w:val="left"/>
      </w:pPr>
      <w:r>
        <w:rPr/>
        <w:t>分步处置股权至丧失控制权过程中的各项交易不构成一揽子交易的原因： 无</w:t>
      </w:r>
    </w:p>
    <w:p>
      <w:pPr>
        <w:spacing w:line="240" w:lineRule="auto" w:before="13"/>
        <w:rPr>
          <w:rFonts w:ascii="宋体" w:hAnsi="宋体" w:cs="宋体" w:eastAsia="宋体" w:hint="default"/>
          <w:sz w:val="23"/>
          <w:szCs w:val="23"/>
        </w:rPr>
      </w:pPr>
    </w:p>
    <w:p>
      <w:pPr>
        <w:pStyle w:val="BodyText"/>
        <w:spacing w:line="310" w:lineRule="exact"/>
        <w:ind w:left="144" w:right="12774"/>
        <w:jc w:val="left"/>
      </w:pPr>
      <w:r>
        <w:rPr/>
        <w:t>其他说明： 无</w:t>
      </w:r>
    </w:p>
    <w:p>
      <w:pPr>
        <w:spacing w:after="0" w:line="310" w:lineRule="exact"/>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83" w:lineRule="auto" w:before="26"/>
        <w:ind w:left="137" w:right="113"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pacing w:val="-8"/>
          <w:sz w:val="24"/>
          <w:szCs w:val="24"/>
        </w:rPr>
        <w:t>说明其他原因导致的合并范围变动（如，新设子公司、清算子公司等）及其相关情况：</w:t>
      </w:r>
    </w:p>
    <w:p>
      <w:pPr>
        <w:spacing w:line="240" w:lineRule="auto" w:before="13"/>
        <w:rPr>
          <w:rFonts w:ascii="宋体" w:hAnsi="宋体" w:cs="宋体" w:eastAsia="宋体" w:hint="default"/>
          <w:sz w:val="21"/>
          <w:szCs w:val="21"/>
        </w:rPr>
      </w:pPr>
    </w:p>
    <w:tbl>
      <w:tblPr>
        <w:tblW w:w="0" w:type="auto"/>
        <w:jc w:val="left"/>
        <w:tblInd w:w="132" w:type="dxa"/>
        <w:tblLayout w:type="fixed"/>
        <w:tblCellMar>
          <w:top w:w="0" w:type="dxa"/>
          <w:left w:w="0" w:type="dxa"/>
          <w:bottom w:w="0" w:type="dxa"/>
          <w:right w:w="0" w:type="dxa"/>
        </w:tblCellMar>
        <w:tblLook w:val="01E0"/>
      </w:tblPr>
      <w:tblGrid>
        <w:gridCol w:w="8642"/>
      </w:tblGrid>
      <w:tr>
        <w:trPr>
          <w:trHeight w:val="319" w:hRule="exact"/>
        </w:trPr>
        <w:tc>
          <w:tcPr>
            <w:tcW w:w="8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年度因新设子公司合并范围变动情况如下：</w:t>
            </w:r>
          </w:p>
        </w:tc>
      </w:tr>
      <w:tr>
        <w:trPr>
          <w:trHeight w:val="322" w:hRule="exact"/>
        </w:trPr>
        <w:tc>
          <w:tcPr>
            <w:tcW w:w="86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r>
      <w:tr>
        <w:trPr>
          <w:trHeight w:val="322" w:hRule="exact"/>
        </w:trPr>
        <w:tc>
          <w:tcPr>
            <w:tcW w:w="8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北京华胜云图科技有限公司</w:t>
            </w:r>
          </w:p>
        </w:tc>
      </w:tr>
      <w:tr>
        <w:trPr>
          <w:trHeight w:val="322" w:hRule="exact"/>
        </w:trPr>
        <w:tc>
          <w:tcPr>
            <w:tcW w:w="8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南京华胜天成智慧城市技术有限公司</w:t>
            </w:r>
          </w:p>
        </w:tc>
      </w:tr>
      <w:tr>
        <w:trPr>
          <w:trHeight w:val="322" w:hRule="exact"/>
        </w:trPr>
        <w:tc>
          <w:tcPr>
            <w:tcW w:w="8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华胜信泰信息产业发展有限公司</w:t>
            </w:r>
          </w:p>
        </w:tc>
      </w:tr>
      <w:tr>
        <w:trPr>
          <w:trHeight w:val="322" w:hRule="exact"/>
        </w:trPr>
        <w:tc>
          <w:tcPr>
            <w:tcW w:w="8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南京智慧夫子庙发展有限公司</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2"/>
        <w:spacing w:line="283" w:lineRule="auto"/>
        <w:ind w:left="137" w:right="8027"/>
        <w:jc w:val="left"/>
        <w:rPr>
          <w:rFonts w:ascii="宋体" w:hAnsi="宋体" w:cs="宋体" w:eastAsia="宋体" w:hint="default"/>
          <w:b w:val="0"/>
          <w:bCs w:val="0"/>
        </w:rPr>
      </w:pPr>
      <w:r>
        <w:rPr>
          <w:rFonts w:ascii="宋体" w:hAnsi="宋体" w:cs="宋体" w:eastAsia="宋体" w:hint="default"/>
        </w:rPr>
        <w:t>6</w:t>
      </w:r>
      <w:r>
        <w:rPr/>
        <w:t>、</w:t>
      </w:r>
      <w:r>
        <w:rPr>
          <w:spacing w:val="-63"/>
        </w:rPr>
        <w:t> </w:t>
      </w:r>
      <w:r>
        <w:rPr/>
        <w:t>其他</w:t>
      </w:r>
      <w:r>
        <w:rPr>
          <w:spacing w:val="2"/>
          <w:w w:val="99"/>
        </w:rPr>
        <w:t> </w:t>
      </w:r>
      <w:r>
        <w:rPr>
          <w:rFonts w:ascii="宋体" w:hAnsi="宋体" w:cs="宋体" w:eastAsia="宋体" w:hint="default"/>
          <w:b w:val="0"/>
          <w:bCs w:val="0"/>
        </w:rPr>
        <w:t>无</w:t>
      </w:r>
    </w:p>
    <w:p>
      <w:pPr>
        <w:spacing w:after="0" w:line="283" w:lineRule="auto"/>
        <w:jc w:val="left"/>
        <w:rPr>
          <w:rFonts w:ascii="宋体" w:hAnsi="宋体" w:cs="宋体" w:eastAsia="宋体" w:hint="default"/>
        </w:rPr>
        <w:sectPr>
          <w:headerReference w:type="default" r:id="rId69"/>
          <w:footerReference w:type="default" r:id="rId70"/>
          <w:pgSz w:w="11910" w:h="16840"/>
          <w:pgMar w:header="882" w:footer="1195" w:top="1120" w:bottom="1380" w:left="1140" w:right="1680"/>
          <w:pgNumType w:start="17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tabs>
          <w:tab w:pos="1237" w:val="left" w:leader="none"/>
        </w:tabs>
        <w:spacing w:line="283" w:lineRule="auto"/>
        <w:ind w:left="397" w:right="6058"/>
        <w:jc w:val="left"/>
        <w:rPr>
          <w:b w:val="0"/>
          <w:bCs w:val="0"/>
        </w:rPr>
      </w:pPr>
      <w:r>
        <w:rPr/>
        <w:t>九、</w:t>
        <w:tab/>
        <w:t>在其他主体中的权益</w:t>
      </w:r>
      <w:r>
        <w:rPr>
          <w:w w:val="99"/>
        </w:rPr>
        <w:t> </w:t>
      </w:r>
      <w:r>
        <w:rPr>
          <w:rFonts w:ascii="宋体" w:hAnsi="宋体" w:cs="宋体" w:eastAsia="宋体" w:hint="default"/>
        </w:rPr>
        <w:t>1</w:t>
      </w:r>
      <w:r>
        <w:rPr/>
        <w:t>、</w:t>
      </w:r>
      <w:r>
        <w:rPr>
          <w:spacing w:val="-66"/>
        </w:rPr>
        <w:t> </w:t>
      </w:r>
      <w:r>
        <w:rPr/>
        <w:t>在子公司中的权益</w:t>
      </w:r>
      <w:r>
        <w:rPr>
          <w:b w:val="0"/>
          <w:bCs w:val="0"/>
        </w:rPr>
      </w:r>
    </w:p>
    <w:p>
      <w:pPr>
        <w:pStyle w:val="BodyText"/>
        <w:spacing w:line="240" w:lineRule="auto" w:before="14"/>
        <w:ind w:left="397" w:right="0"/>
        <w:jc w:val="left"/>
      </w:pPr>
      <w:r>
        <w:rPr/>
        <w:t>√适用</w:t>
      </w:r>
      <w:r>
        <w:rPr>
          <w:spacing w:val="-1"/>
        </w:rPr>
        <w:t> </w:t>
      </w:r>
      <w:r>
        <w:rPr/>
        <w:t>□不适用</w:t>
      </w:r>
    </w:p>
    <w:p>
      <w:pPr>
        <w:pStyle w:val="Heading2"/>
        <w:spacing w:line="240" w:lineRule="auto" w:before="58"/>
        <w:ind w:left="397" w:right="0"/>
        <w:jc w:val="left"/>
        <w:rPr>
          <w:b w:val="0"/>
          <w:bCs w:val="0"/>
        </w:rPr>
      </w:pPr>
      <w:r>
        <w:rPr>
          <w:rFonts w:ascii="宋体" w:hAnsi="宋体" w:cs="宋体" w:eastAsia="宋体" w:hint="default"/>
        </w:rPr>
        <w:t>(1).</w:t>
      </w:r>
      <w:r>
        <w:rPr>
          <w:rFonts w:ascii="宋体" w:hAnsi="宋体" w:cs="宋体" w:eastAsia="宋体" w:hint="default"/>
          <w:spacing w:val="36"/>
        </w:rPr>
        <w:t> </w:t>
      </w:r>
      <w:r>
        <w:rPr/>
        <w:t>企业集团的构成</w:t>
      </w:r>
      <w:r>
        <w:rPr>
          <w:b w:val="0"/>
          <w:bCs w:val="0"/>
        </w:rPr>
      </w:r>
    </w:p>
    <w:p>
      <w:pPr>
        <w:spacing w:line="240" w:lineRule="auto" w:before="4"/>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979"/>
        <w:gridCol w:w="708"/>
        <w:gridCol w:w="1130"/>
        <w:gridCol w:w="1419"/>
        <w:gridCol w:w="852"/>
        <w:gridCol w:w="994"/>
        <w:gridCol w:w="1142"/>
      </w:tblGrid>
      <w:tr>
        <w:trPr>
          <w:trHeight w:val="286" w:hRule="exact"/>
        </w:trPr>
        <w:tc>
          <w:tcPr>
            <w:tcW w:w="2979" w:type="dxa"/>
            <w:vMerge w:val="restart"/>
            <w:tcBorders>
              <w:top w:val="single" w:sz="4" w:space="0" w:color="000000"/>
              <w:left w:val="single" w:sz="4" w:space="0" w:color="000000"/>
              <w:right w:val="single" w:sz="6" w:space="0" w:color="000000"/>
            </w:tcBorders>
          </w:tcPr>
          <w:p>
            <w:pPr>
              <w:pStyle w:val="TableParagraph"/>
              <w:spacing w:line="240" w:lineRule="auto" w:before="102"/>
              <w:ind w:left="1166" w:right="1166"/>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708" w:type="dxa"/>
            <w:vMerge w:val="restart"/>
            <w:tcBorders>
              <w:top w:val="single" w:sz="4" w:space="0" w:color="000000"/>
              <w:left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40" w:lineRule="auto"/>
              <w:ind w:left="237" w:right="134" w:hanging="10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130"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9"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42" w:type="dxa"/>
            <w:vMerge w:val="restart"/>
            <w:tcBorders>
              <w:top w:val="single" w:sz="4" w:space="0" w:color="000000"/>
              <w:left w:val="single" w:sz="6" w:space="0" w:color="000000"/>
              <w:right w:val="single" w:sz="4" w:space="0" w:color="000000"/>
            </w:tcBorders>
          </w:tcPr>
          <w:p>
            <w:pPr>
              <w:pStyle w:val="TableParagraph"/>
              <w:spacing w:line="240" w:lineRule="auto" w:before="102"/>
              <w:ind w:left="352" w:right="35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545" w:hRule="exact"/>
        </w:trPr>
        <w:tc>
          <w:tcPr>
            <w:tcW w:w="2979" w:type="dxa"/>
            <w:vMerge/>
            <w:tcBorders>
              <w:left w:val="single" w:sz="4"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130"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0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7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42" w:type="dxa"/>
            <w:vMerge/>
            <w:tcBorders>
              <w:left w:val="single" w:sz="6" w:space="0" w:color="000000"/>
              <w:bottom w:val="single" w:sz="6" w:space="0" w:color="000000"/>
              <w:right w:val="single" w:sz="4" w:space="0" w:color="000000"/>
            </w:tcBorders>
          </w:tcPr>
          <w:p>
            <w:pP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华胜天成科技（香港）有限公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华胜天成科技（美国）有限公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99.20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成都华胜天成信息技术有限公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51.00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3"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北京新云东方系统科技有限责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2" w:lineRule="exact" w:before="27"/>
              <w:ind w:left="98" w:right="250"/>
              <w:jc w:val="left"/>
              <w:rPr>
                <w:rFonts w:ascii="宋体" w:hAnsi="宋体" w:cs="宋体" w:eastAsia="宋体" w:hint="default"/>
                <w:sz w:val="21"/>
                <w:szCs w:val="21"/>
              </w:rPr>
            </w:pPr>
            <w:r>
              <w:rPr>
                <w:rFonts w:ascii="宋体" w:hAnsi="宋体" w:cs="宋体" w:eastAsia="宋体" w:hint="default"/>
                <w:sz w:val="21"/>
                <w:szCs w:val="21"/>
              </w:rPr>
              <w:t>计算机整机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制造</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56.45</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华胜信泰科技有限公司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销售设备</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北京华胜天成低碳产业创业投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资中心（有限合伙）</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21.41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2.14</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pacing w:val="-51"/>
                <w:sz w:val="21"/>
                <w:szCs w:val="21"/>
              </w:rPr>
              <w:t> </w:t>
            </w:r>
            <w:r>
              <w:rPr>
                <w:rFonts w:ascii="宋体" w:hAnsi="宋体" w:cs="宋体" w:eastAsia="宋体" w:hint="default"/>
                <w:sz w:val="21"/>
                <w:szCs w:val="21"/>
              </w:rPr>
              <w:t>ITMS</w:t>
            </w:r>
            <w:r>
              <w:rPr>
                <w:rFonts w:ascii="宋体" w:hAnsi="宋体" w:cs="宋体" w:eastAsia="宋体" w:hint="default"/>
                <w:spacing w:val="-54"/>
                <w:sz w:val="21"/>
                <w:szCs w:val="21"/>
              </w:rPr>
              <w:t> </w:t>
            </w:r>
            <w:r>
              <w:rPr>
                <w:rFonts w:ascii="宋体" w:hAnsi="宋体" w:cs="宋体" w:eastAsia="宋体" w:hint="default"/>
                <w:sz w:val="21"/>
                <w:szCs w:val="21"/>
              </w:rPr>
              <w:t>国际有限公司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现代前锋软件有限公司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中国磐天集团公司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5" w:lineRule="exact"/>
              <w:ind w:left="98"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5"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2"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tabs>
                <w:tab w:pos="1363" w:val="left" w:leader="none"/>
              </w:tabs>
              <w:spacing w:line="241" w:lineRule="exact"/>
              <w:ind w:left="100" w:right="0"/>
              <w:jc w:val="left"/>
              <w:rPr>
                <w:rFonts w:ascii="宋体" w:hAnsi="宋体" w:cs="宋体" w:eastAsia="宋体" w:hint="default"/>
                <w:sz w:val="21"/>
                <w:szCs w:val="21"/>
              </w:rPr>
            </w:pPr>
            <w:r>
              <w:rPr>
                <w:rFonts w:ascii="宋体"/>
                <w:spacing w:val="-1"/>
                <w:sz w:val="21"/>
              </w:rPr>
              <w:t>Automated</w:t>
              <w:tab/>
              <w:t>Systems</w:t>
            </w:r>
          </w:p>
          <w:p>
            <w:pPr>
              <w:pStyle w:val="TableParagraph"/>
              <w:spacing w:line="273" w:lineRule="exact"/>
              <w:ind w:left="100" w:right="0"/>
              <w:jc w:val="left"/>
              <w:rPr>
                <w:rFonts w:ascii="宋体" w:hAnsi="宋体" w:cs="宋体" w:eastAsia="宋体" w:hint="default"/>
                <w:sz w:val="21"/>
                <w:szCs w:val="21"/>
              </w:rPr>
            </w:pPr>
            <w:r>
              <w:rPr>
                <w:rFonts w:ascii="宋体"/>
                <w:sz w:val="21"/>
              </w:rPr>
              <w:t>Holdings Limited</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百慕达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65.50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浙江兰德纵横网络技术有限公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45.905</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天津华胜天成信息技术有限公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北京中科通图信息技术有限公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79"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华胜蓝泰科技（天津）有限责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708" w:type="dxa"/>
            <w:tcBorders>
              <w:top w:val="single" w:sz="6" w:space="0" w:color="000000"/>
              <w:left w:val="single" w:sz="6" w:space="0" w:color="000000"/>
              <w:bottom w:val="single" w:sz="4" w:space="0" w:color="000000"/>
              <w:right w:val="single" w:sz="6" w:space="0" w:color="000000"/>
            </w:tcBorders>
          </w:tcPr>
          <w:p>
            <w:pPr/>
          </w:p>
        </w:tc>
        <w:tc>
          <w:tcPr>
            <w:tcW w:w="1130"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数据中心和解</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决方案</w:t>
            </w:r>
          </w:p>
        </w:tc>
        <w:tc>
          <w:tcPr>
            <w:tcW w:w="852" w:type="dxa"/>
            <w:tcBorders>
              <w:top w:val="single" w:sz="6" w:space="0" w:color="000000"/>
              <w:left w:val="single" w:sz="6" w:space="0" w:color="000000"/>
              <w:bottom w:val="single" w:sz="4" w:space="0" w:color="000000"/>
              <w:right w:val="single" w:sz="6" w:space="0" w:color="000000"/>
            </w:tcBorders>
          </w:tcPr>
          <w:p>
            <w:pP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51.00</w:t>
            </w:r>
          </w:p>
        </w:tc>
        <w:tc>
          <w:tcPr>
            <w:tcW w:w="1142"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4" w:lineRule="exact"/>
        <w:jc w:val="left"/>
        <w:rPr>
          <w:rFonts w:ascii="宋体" w:hAnsi="宋体" w:cs="宋体" w:eastAsia="宋体" w:hint="default"/>
          <w:sz w:val="21"/>
          <w:szCs w:val="21"/>
        </w:rPr>
        <w:sectPr>
          <w:pgSz w:w="11910" w:h="16840"/>
          <w:pgMar w:header="882" w:footer="1195" w:top="1120" w:bottom="1380" w:left="880" w:right="1560"/>
        </w:sectPr>
      </w:pPr>
    </w:p>
    <w:p>
      <w:pPr>
        <w:spacing w:line="240" w:lineRule="auto" w:before="0"/>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2979"/>
        <w:gridCol w:w="708"/>
        <w:gridCol w:w="1130"/>
        <w:gridCol w:w="1419"/>
        <w:gridCol w:w="852"/>
        <w:gridCol w:w="994"/>
        <w:gridCol w:w="1142"/>
      </w:tblGrid>
      <w:tr>
        <w:trPr>
          <w:trHeight w:val="560"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石家庄华胜正明软件技术有限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北京华胜云图科技有限公司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67.16</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北京永亚网安科技有限公司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北京华胜天成投资基金管理有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南京华胜天成计算机技术有限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南京华胜天成智慧城市技术有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南京拓维致胜信息科技有限公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2"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杭州飞杰青云信息科技有限公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研发及系统</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集成</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广州皓竹软件有限公司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天津石竹软件有限公司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297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华胜信泰信息产业发展有限公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8" w:type="dxa"/>
            <w:tcBorders>
              <w:top w:val="single" w:sz="6" w:space="0" w:color="000000"/>
              <w:left w:val="single" w:sz="6" w:space="0" w:color="000000"/>
              <w:bottom w:val="single" w:sz="4" w:space="0" w:color="000000"/>
              <w:right w:val="single" w:sz="6" w:space="0" w:color="000000"/>
            </w:tcBorders>
          </w:tcPr>
          <w:p>
            <w:pPr/>
          </w:p>
        </w:tc>
        <w:tc>
          <w:tcPr>
            <w:tcW w:w="113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专业服务</w:t>
            </w:r>
          </w:p>
        </w:tc>
        <w:tc>
          <w:tcPr>
            <w:tcW w:w="852" w:type="dxa"/>
            <w:tcBorders>
              <w:top w:val="single" w:sz="6" w:space="0" w:color="000000"/>
              <w:left w:val="single" w:sz="6" w:space="0" w:color="000000"/>
              <w:bottom w:val="single" w:sz="4" w:space="0" w:color="000000"/>
              <w:right w:val="single" w:sz="6" w:space="0" w:color="000000"/>
            </w:tcBorders>
          </w:tcPr>
          <w:p>
            <w:pP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4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11"/>
        <w:rPr>
          <w:rFonts w:ascii="宋体" w:hAnsi="宋体" w:cs="宋体" w:eastAsia="宋体" w:hint="default"/>
          <w:b/>
          <w:bCs/>
          <w:sz w:val="18"/>
          <w:szCs w:val="18"/>
        </w:rPr>
      </w:pPr>
    </w:p>
    <w:p>
      <w:pPr>
        <w:pStyle w:val="BodyText"/>
        <w:spacing w:line="240" w:lineRule="auto" w:before="26"/>
        <w:ind w:left="397" w:right="0"/>
        <w:jc w:val="left"/>
      </w:pPr>
      <w:r>
        <w:rPr/>
        <w:t>在子公司的持股比例不同于表决权比例的说明：</w:t>
      </w:r>
    </w:p>
    <w:p>
      <w:pPr>
        <w:pStyle w:val="BodyText"/>
        <w:spacing w:line="310" w:lineRule="exact" w:before="150"/>
        <w:ind w:left="397" w:right="289"/>
        <w:jc w:val="left"/>
      </w:pPr>
      <w:r>
        <w:rPr/>
        <w:t>（</w:t>
      </w:r>
      <w:r>
        <w:rPr>
          <w:rFonts w:ascii="宋体" w:hAnsi="宋体" w:cs="宋体" w:eastAsia="宋体" w:hint="default"/>
        </w:rPr>
        <w:t>1</w:t>
      </w:r>
      <w:r>
        <w:rPr/>
        <w:t>）根据公司章程，本公司在浙江兰德纵横网络技术股份有限公司董事会拥有半数 以上表决权，故纳入合并范围。</w:t>
      </w:r>
    </w:p>
    <w:p>
      <w:pPr>
        <w:pStyle w:val="BodyText"/>
        <w:spacing w:line="312" w:lineRule="exact" w:before="120"/>
        <w:ind w:left="397" w:right="0"/>
        <w:jc w:val="left"/>
      </w:pPr>
      <w:r>
        <w:rPr/>
        <w:t>（</w:t>
      </w:r>
      <w:r>
        <w:rPr>
          <w:rFonts w:ascii="宋体" w:hAnsi="宋体" w:cs="宋体" w:eastAsia="宋体" w:hint="default"/>
        </w:rPr>
        <w:t>2</w:t>
      </w:r>
      <w:r>
        <w:rPr/>
        <w:t>）根据合伙协议，本公司能够对北京华胜天成低碳产业创业投资中心的相关活动 进行决策，并可以获得可变回报，故纳入合并范围。</w:t>
      </w:r>
    </w:p>
    <w:p>
      <w:pPr>
        <w:spacing w:line="240" w:lineRule="auto" w:before="11"/>
        <w:rPr>
          <w:rFonts w:ascii="宋体" w:hAnsi="宋体" w:cs="宋体" w:eastAsia="宋体" w:hint="default"/>
          <w:sz w:val="32"/>
          <w:szCs w:val="32"/>
        </w:rPr>
      </w:pPr>
    </w:p>
    <w:p>
      <w:pPr>
        <w:pStyle w:val="BodyText"/>
        <w:spacing w:line="312" w:lineRule="exact"/>
        <w:ind w:left="397" w:right="0"/>
        <w:jc w:val="left"/>
      </w:pPr>
      <w:r>
        <w:rPr>
          <w:spacing w:val="-2"/>
        </w:rPr>
        <w:t>持有半数或以下表决权但仍控制被投资单位、以及持有半数以上表决权但不控制被投</w:t>
      </w:r>
      <w:r>
        <w:rPr>
          <w:spacing w:val="-94"/>
        </w:rPr>
        <w:t> </w:t>
      </w:r>
      <w:r>
        <w:rPr>
          <w:spacing w:val="-94"/>
        </w:rPr>
      </w:r>
      <w:r>
        <w:rPr/>
        <w:t>资单位的依据：</w:t>
      </w:r>
    </w:p>
    <w:p>
      <w:pPr>
        <w:pStyle w:val="BodyText"/>
        <w:spacing w:line="283" w:lineRule="exact"/>
        <w:ind w:left="397" w:right="0"/>
        <w:jc w:val="left"/>
      </w:pPr>
      <w:r>
        <w:rPr/>
        <w:t>无</w:t>
      </w:r>
    </w:p>
    <w:p>
      <w:pPr>
        <w:spacing w:line="240" w:lineRule="auto" w:before="12"/>
        <w:rPr>
          <w:rFonts w:ascii="宋体" w:hAnsi="宋体" w:cs="宋体" w:eastAsia="宋体" w:hint="default"/>
          <w:sz w:val="25"/>
          <w:szCs w:val="25"/>
        </w:rPr>
      </w:pPr>
    </w:p>
    <w:p>
      <w:pPr>
        <w:pStyle w:val="BodyText"/>
        <w:spacing w:line="312" w:lineRule="exact"/>
        <w:ind w:left="397" w:right="3289"/>
        <w:jc w:val="left"/>
      </w:pPr>
      <w:r>
        <w:rPr/>
        <w:t>对于纳入合并范围的重要的结构化主体，控制的依据： 无</w:t>
      </w:r>
    </w:p>
    <w:p>
      <w:pPr>
        <w:spacing w:line="240" w:lineRule="auto" w:before="9"/>
        <w:rPr>
          <w:rFonts w:ascii="宋体" w:hAnsi="宋体" w:cs="宋体" w:eastAsia="宋体" w:hint="default"/>
          <w:sz w:val="23"/>
          <w:szCs w:val="23"/>
        </w:rPr>
      </w:pPr>
    </w:p>
    <w:p>
      <w:pPr>
        <w:pStyle w:val="BodyText"/>
        <w:spacing w:line="312" w:lineRule="exact"/>
        <w:ind w:left="397" w:right="4969"/>
        <w:jc w:val="left"/>
      </w:pPr>
      <w:r>
        <w:rPr/>
        <w:t>确定公司是代理人还是委托人的依据： 无</w:t>
      </w:r>
    </w:p>
    <w:p>
      <w:pPr>
        <w:spacing w:line="240" w:lineRule="auto" w:before="9"/>
        <w:rPr>
          <w:rFonts w:ascii="宋体" w:hAnsi="宋体" w:cs="宋体" w:eastAsia="宋体" w:hint="default"/>
          <w:sz w:val="23"/>
          <w:szCs w:val="23"/>
        </w:rPr>
      </w:pPr>
    </w:p>
    <w:p>
      <w:pPr>
        <w:pStyle w:val="BodyText"/>
        <w:spacing w:line="312" w:lineRule="exact"/>
        <w:ind w:left="397" w:right="7849"/>
        <w:jc w:val="left"/>
      </w:pPr>
      <w:r>
        <w:rPr/>
        <w:t>其他说明： 无</w:t>
      </w:r>
    </w:p>
    <w:p>
      <w:pPr>
        <w:spacing w:line="240" w:lineRule="auto" w:before="12"/>
        <w:rPr>
          <w:rFonts w:ascii="宋体" w:hAnsi="宋体" w:cs="宋体" w:eastAsia="宋体" w:hint="default"/>
          <w:sz w:val="23"/>
          <w:szCs w:val="23"/>
        </w:rPr>
      </w:pPr>
    </w:p>
    <w:p>
      <w:pPr>
        <w:pStyle w:val="Heading2"/>
        <w:spacing w:line="240" w:lineRule="auto"/>
        <w:ind w:left="397" w:right="0"/>
        <w:jc w:val="left"/>
        <w:rPr>
          <w:b w:val="0"/>
          <w:bCs w:val="0"/>
        </w:rPr>
      </w:pPr>
      <w:r>
        <w:rPr>
          <w:rFonts w:ascii="宋体" w:hAnsi="宋体" w:cs="宋体" w:eastAsia="宋体" w:hint="default"/>
        </w:rPr>
        <w:t>(2).</w:t>
      </w:r>
      <w:r>
        <w:rPr>
          <w:rFonts w:ascii="宋体" w:hAnsi="宋体" w:cs="宋体" w:eastAsia="宋体" w:hint="default"/>
          <w:spacing w:val="36"/>
        </w:rPr>
        <w:t> </w:t>
      </w:r>
      <w:r>
        <w:rPr/>
        <w:t>重要的非全资子公司</w:t>
      </w:r>
      <w:r>
        <w:rPr>
          <w:b w:val="0"/>
          <w:bCs w:val="0"/>
        </w:rPr>
      </w:r>
    </w:p>
    <w:p>
      <w:pPr>
        <w:pStyle w:val="BodyText"/>
        <w:tabs>
          <w:tab w:pos="1079" w:val="left" w:leader="none"/>
        </w:tabs>
        <w:spacing w:line="240" w:lineRule="auto" w:before="58"/>
        <w:ind w:left="0" w:right="23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283" w:type="dxa"/>
        <w:tblLayout w:type="fixed"/>
        <w:tblCellMar>
          <w:top w:w="0" w:type="dxa"/>
          <w:left w:w="0" w:type="dxa"/>
          <w:bottom w:w="0" w:type="dxa"/>
          <w:right w:w="0" w:type="dxa"/>
        </w:tblCellMar>
        <w:tblLook w:val="01E0"/>
      </w:tblPr>
      <w:tblGrid>
        <w:gridCol w:w="3008"/>
        <w:gridCol w:w="1438"/>
        <w:gridCol w:w="1560"/>
        <w:gridCol w:w="1567"/>
        <w:gridCol w:w="1477"/>
      </w:tblGrid>
      <w:tr>
        <w:trPr>
          <w:trHeight w:val="252" w:hRule="exact"/>
        </w:trPr>
        <w:tc>
          <w:tcPr>
            <w:tcW w:w="3008" w:type="dxa"/>
            <w:tcBorders>
              <w:top w:val="single" w:sz="4" w:space="0" w:color="000000"/>
              <w:left w:val="single" w:sz="4"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38"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sz w:val="18"/>
                <w:szCs w:val="18"/>
              </w:rPr>
              <w:t>少数股东持股</w:t>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left="139" w:right="0"/>
              <w:jc w:val="left"/>
              <w:rPr>
                <w:rFonts w:ascii="宋体" w:hAnsi="宋体" w:cs="宋体" w:eastAsia="宋体" w:hint="default"/>
                <w:sz w:val="18"/>
                <w:szCs w:val="18"/>
              </w:rPr>
            </w:pPr>
            <w:r>
              <w:rPr>
                <w:rFonts w:ascii="宋体" w:hAnsi="宋体" w:cs="宋体" w:eastAsia="宋体" w:hint="default"/>
                <w:sz w:val="18"/>
                <w:szCs w:val="18"/>
              </w:rPr>
              <w:t>本期归属于少数</w:t>
            </w:r>
          </w:p>
        </w:tc>
        <w:tc>
          <w:tcPr>
            <w:tcW w:w="1567"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hAnsi="宋体" w:cs="宋体" w:eastAsia="宋体" w:hint="default"/>
                <w:sz w:val="18"/>
                <w:szCs w:val="18"/>
              </w:rPr>
              <w:t>本期向少数股东</w:t>
            </w:r>
          </w:p>
        </w:tc>
        <w:tc>
          <w:tcPr>
            <w:tcW w:w="1477" w:type="dxa"/>
            <w:tcBorders>
              <w:top w:val="single" w:sz="4" w:space="0" w:color="000000"/>
              <w:left w:val="single" w:sz="6" w:space="0" w:color="000000"/>
              <w:bottom w:val="single" w:sz="6"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期末少数股东权</w:t>
            </w:r>
          </w:p>
        </w:tc>
      </w:tr>
    </w:tbl>
    <w:p>
      <w:pPr>
        <w:spacing w:after="0" w:line="208" w:lineRule="exact"/>
        <w:jc w:val="left"/>
        <w:rPr>
          <w:rFonts w:ascii="宋体" w:hAnsi="宋体" w:cs="宋体" w:eastAsia="宋体" w:hint="default"/>
          <w:sz w:val="18"/>
          <w:szCs w:val="18"/>
        </w:rPr>
        <w:sectPr>
          <w:pgSz w:w="11910" w:h="16840"/>
          <w:pgMar w:header="882" w:footer="1195" w:top="1120" w:bottom="1380" w:left="88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08"/>
        <w:gridCol w:w="1438"/>
        <w:gridCol w:w="1560"/>
        <w:gridCol w:w="1567"/>
        <w:gridCol w:w="1477"/>
      </w:tblGrid>
      <w:tr>
        <w:trPr>
          <w:trHeight w:val="255" w:hRule="exact"/>
        </w:trPr>
        <w:tc>
          <w:tcPr>
            <w:tcW w:w="3008" w:type="dxa"/>
            <w:tcBorders>
              <w:top w:val="single" w:sz="4" w:space="0" w:color="000000"/>
              <w:left w:val="single" w:sz="4" w:space="0" w:color="000000"/>
              <w:bottom w:val="single" w:sz="6" w:space="0" w:color="000000"/>
              <w:right w:val="single" w:sz="6" w:space="0" w:color="000000"/>
            </w:tcBorders>
          </w:tcPr>
          <w:p>
            <w:pPr/>
          </w:p>
        </w:tc>
        <w:tc>
          <w:tcPr>
            <w:tcW w:w="1438" w:type="dxa"/>
            <w:tcBorders>
              <w:top w:val="single" w:sz="4" w:space="0" w:color="000000"/>
              <w:left w:val="single" w:sz="6" w:space="0" w:color="000000"/>
              <w:bottom w:val="single" w:sz="6" w:space="0" w:color="000000"/>
              <w:right w:val="single" w:sz="6"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比例</w:t>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06" w:lineRule="exact"/>
              <w:ind w:left="319" w:right="0"/>
              <w:jc w:val="left"/>
              <w:rPr>
                <w:rFonts w:ascii="宋体" w:hAnsi="宋体" w:cs="宋体" w:eastAsia="宋体" w:hint="default"/>
                <w:sz w:val="18"/>
                <w:szCs w:val="18"/>
              </w:rPr>
            </w:pPr>
            <w:r>
              <w:rPr>
                <w:rFonts w:ascii="宋体" w:hAnsi="宋体" w:cs="宋体" w:eastAsia="宋体" w:hint="default"/>
                <w:sz w:val="18"/>
                <w:szCs w:val="18"/>
              </w:rPr>
              <w:t>股东的损益</w:t>
            </w:r>
          </w:p>
        </w:tc>
        <w:tc>
          <w:tcPr>
            <w:tcW w:w="1567" w:type="dxa"/>
            <w:tcBorders>
              <w:top w:val="single" w:sz="4" w:space="0" w:color="000000"/>
              <w:left w:val="single" w:sz="6" w:space="0" w:color="000000"/>
              <w:bottom w:val="single" w:sz="6" w:space="0" w:color="000000"/>
              <w:right w:val="single" w:sz="6" w:space="0" w:color="000000"/>
            </w:tcBorders>
          </w:tcPr>
          <w:p>
            <w:pPr>
              <w:pStyle w:val="TableParagraph"/>
              <w:spacing w:line="206" w:lineRule="exact"/>
              <w:ind w:right="144"/>
              <w:jc w:val="right"/>
              <w:rPr>
                <w:rFonts w:ascii="宋体" w:hAnsi="宋体" w:cs="宋体" w:eastAsia="宋体" w:hint="default"/>
                <w:sz w:val="18"/>
                <w:szCs w:val="18"/>
              </w:rPr>
            </w:pPr>
            <w:r>
              <w:rPr>
                <w:rFonts w:ascii="宋体" w:hAnsi="宋体" w:cs="宋体" w:eastAsia="宋体" w:hint="default"/>
                <w:sz w:val="18"/>
                <w:szCs w:val="18"/>
              </w:rPr>
              <w:t>宣告分派的股利</w:t>
            </w:r>
          </w:p>
        </w:tc>
        <w:tc>
          <w:tcPr>
            <w:tcW w:w="1477" w:type="dxa"/>
            <w:tcBorders>
              <w:top w:val="single" w:sz="4" w:space="0" w:color="000000"/>
              <w:left w:val="single" w:sz="6" w:space="0" w:color="000000"/>
              <w:bottom w:val="single" w:sz="6" w:space="0" w:color="000000"/>
              <w:right w:val="single" w:sz="4"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hAnsi="宋体" w:cs="宋体" w:eastAsia="宋体" w:hint="default"/>
                <w:sz w:val="18"/>
                <w:szCs w:val="18"/>
              </w:rPr>
              <w:t>益余额</w:t>
            </w:r>
          </w:p>
        </w:tc>
      </w:tr>
      <w:tr>
        <w:trPr>
          <w:trHeight w:val="247"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AutomatedSystemsHoldingsLimited</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sz w:val="18"/>
              </w:rPr>
              <w:t>5,585,819.59</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-2,161,236.36</w:t>
            </w:r>
          </w:p>
        </w:tc>
        <w:tc>
          <w:tcPr>
            <w:tcW w:w="14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142,289,425.17</w:t>
            </w:r>
          </w:p>
        </w:tc>
      </w:tr>
      <w:tr>
        <w:trPr>
          <w:trHeight w:val="482"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北京新云东方系统科技有限责任公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43.55%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sz w:val="18"/>
              </w:rPr>
              <w:t>-4,505,311.20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22,353,451.05</w:t>
            </w:r>
          </w:p>
        </w:tc>
      </w:tr>
      <w:tr>
        <w:trPr>
          <w:trHeight w:val="482"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北京华胜天成低碳产业创业投资中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心</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sz w:val="18"/>
              </w:rPr>
              <w:t>46,055,210.38</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221,406,724.29</w:t>
            </w:r>
          </w:p>
        </w:tc>
      </w:tr>
      <w:tr>
        <w:trPr>
          <w:trHeight w:val="245" w:hRule="exact"/>
        </w:trPr>
        <w:tc>
          <w:tcPr>
            <w:tcW w:w="3008" w:type="dxa"/>
            <w:tcBorders>
              <w:top w:val="single" w:sz="6" w:space="0" w:color="000000"/>
              <w:left w:val="single" w:sz="4" w:space="0" w:color="000000"/>
              <w:bottom w:val="single" w:sz="4" w:space="0" w:color="000000"/>
              <w:right w:val="single" w:sz="6" w:space="0" w:color="000000"/>
            </w:tcBorders>
          </w:tcPr>
          <w:p>
            <w:pPr/>
          </w:p>
        </w:tc>
        <w:tc>
          <w:tcPr>
            <w:tcW w:w="1438" w:type="dxa"/>
            <w:tcBorders>
              <w:top w:val="single" w:sz="6" w:space="0" w:color="000000"/>
              <w:left w:val="single" w:sz="6" w:space="0" w:color="000000"/>
              <w:bottom w:val="single" w:sz="4" w:space="0" w:color="000000"/>
              <w:right w:val="single" w:sz="6" w:space="0" w:color="000000"/>
            </w:tcBorders>
          </w:tcPr>
          <w:p>
            <w:pPr/>
          </w:p>
        </w:tc>
        <w:tc>
          <w:tcPr>
            <w:tcW w:w="1560" w:type="dxa"/>
            <w:tcBorders>
              <w:top w:val="single" w:sz="6" w:space="0" w:color="000000"/>
              <w:left w:val="single" w:sz="6" w:space="0" w:color="000000"/>
              <w:bottom w:val="single" w:sz="4" w:space="0" w:color="000000"/>
              <w:right w:val="single" w:sz="6" w:space="0" w:color="000000"/>
            </w:tcBorders>
          </w:tcPr>
          <w:p>
            <w:pPr/>
          </w:p>
        </w:tc>
        <w:tc>
          <w:tcPr>
            <w:tcW w:w="1567" w:type="dxa"/>
            <w:tcBorders>
              <w:top w:val="single" w:sz="6" w:space="0" w:color="000000"/>
              <w:left w:val="single" w:sz="6" w:space="0" w:color="000000"/>
              <w:bottom w:val="single" w:sz="4" w:space="0" w:color="000000"/>
              <w:right w:val="single" w:sz="6" w:space="0" w:color="000000"/>
            </w:tcBorders>
          </w:tcPr>
          <w:p>
            <w:pPr/>
          </w:p>
        </w:tc>
        <w:tc>
          <w:tcPr>
            <w:tcW w:w="1477"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56"/>
        <w:ind w:left="217" w:right="3289"/>
        <w:jc w:val="left"/>
      </w:pPr>
      <w:r>
        <w:rPr/>
        <w:t>子公司少数股东的持股比例不同于表决权比例的说明： 无</w:t>
      </w:r>
    </w:p>
    <w:p>
      <w:pPr>
        <w:pStyle w:val="BodyText"/>
        <w:spacing w:line="280" w:lineRule="exact"/>
        <w:ind w:left="217" w:right="2569"/>
        <w:jc w:val="left"/>
      </w:pPr>
      <w:r>
        <w:rPr/>
        <w:t>其他说明：</w:t>
      </w:r>
    </w:p>
    <w:p>
      <w:pPr>
        <w:pStyle w:val="BodyText"/>
        <w:spacing w:line="313" w:lineRule="exact"/>
        <w:ind w:left="217" w:right="2569"/>
        <w:jc w:val="left"/>
      </w:pPr>
      <w:r>
        <w:rPr/>
        <w:t>无</w:t>
      </w:r>
    </w:p>
    <w:p>
      <w:pPr>
        <w:spacing w:after="0" w:line="313" w:lineRule="exact"/>
        <w:jc w:val="left"/>
        <w:sectPr>
          <w:pgSz w:w="11910" w:h="16840"/>
          <w:pgMar w:header="882" w:footer="1195" w:top="1120" w:bottom="1380" w:left="1060" w:right="1560"/>
        </w:sectPr>
      </w:pPr>
    </w:p>
    <w:p>
      <w:pPr>
        <w:spacing w:before="20"/>
        <w:ind w:left="5193" w:right="5213" w:firstLine="0"/>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left="224" w:right="0"/>
        <w:jc w:val="left"/>
        <w:rPr>
          <w:b w:val="0"/>
          <w:bCs w:val="0"/>
        </w:rPr>
      </w:pPr>
      <w:r>
        <w:rPr>
          <w:rFonts w:ascii="宋体" w:hAnsi="宋体" w:cs="宋体" w:eastAsia="宋体" w:hint="default"/>
        </w:rPr>
        <w:t>(3).</w:t>
      </w:r>
      <w:r>
        <w:rPr>
          <w:rFonts w:ascii="宋体" w:hAnsi="宋体" w:cs="宋体" w:eastAsia="宋体" w:hint="default"/>
          <w:spacing w:val="36"/>
        </w:rPr>
        <w:t> </w:t>
      </w:r>
      <w:r>
        <w:rPr/>
        <w:t>重要非全资子公司的主要财务信息</w:t>
      </w:r>
      <w:r>
        <w:rPr>
          <w:b w:val="0"/>
          <w:bCs w:val="0"/>
        </w:rPr>
      </w:r>
    </w:p>
    <w:p>
      <w:pPr>
        <w:pStyle w:val="BodyText"/>
        <w:tabs>
          <w:tab w:pos="1079" w:val="left" w:leader="none"/>
        </w:tabs>
        <w:spacing w:line="240" w:lineRule="auto" w:before="58"/>
        <w:ind w:left="0" w:right="219"/>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00"/>
        <w:gridCol w:w="1020"/>
        <w:gridCol w:w="1023"/>
        <w:gridCol w:w="1022"/>
        <w:gridCol w:w="1022"/>
        <w:gridCol w:w="965"/>
        <w:gridCol w:w="1020"/>
        <w:gridCol w:w="1022"/>
        <w:gridCol w:w="1023"/>
        <w:gridCol w:w="1022"/>
        <w:gridCol w:w="1022"/>
        <w:gridCol w:w="907"/>
        <w:gridCol w:w="1020"/>
      </w:tblGrid>
      <w:tr>
        <w:trPr>
          <w:trHeight w:val="252" w:hRule="exact"/>
        </w:trPr>
        <w:tc>
          <w:tcPr>
            <w:tcW w:w="2000" w:type="dxa"/>
            <w:vMerge w:val="restart"/>
            <w:tcBorders>
              <w:top w:val="single" w:sz="4" w:space="0" w:color="000000"/>
              <w:left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26"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073"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018"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57" w:hRule="exact"/>
        </w:trPr>
        <w:tc>
          <w:tcPr>
            <w:tcW w:w="2000" w:type="dxa"/>
            <w:vMerge/>
            <w:tcBorders>
              <w:left w:val="single" w:sz="4"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68"/>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0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403" w:hRule="exact"/>
        </w:trPr>
        <w:tc>
          <w:tcPr>
            <w:tcW w:w="2000"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AutomatedSystemsHolding</w:t>
            </w:r>
          </w:p>
          <w:p>
            <w:pPr>
              <w:pStyle w:val="TableParagraph"/>
              <w:spacing w:line="195" w:lineRule="exact"/>
              <w:ind w:left="103" w:right="0"/>
              <w:jc w:val="left"/>
              <w:rPr>
                <w:rFonts w:ascii="宋体" w:hAnsi="宋体" w:cs="宋体" w:eastAsia="宋体" w:hint="default"/>
                <w:sz w:val="15"/>
                <w:szCs w:val="15"/>
              </w:rPr>
            </w:pPr>
            <w:r>
              <w:rPr>
                <w:rFonts w:ascii="宋体"/>
                <w:sz w:val="15"/>
              </w:rPr>
              <w:t>sLimited</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3" w:right="0"/>
              <w:jc w:val="left"/>
              <w:rPr>
                <w:rFonts w:ascii="宋体" w:hAnsi="宋体" w:cs="宋体" w:eastAsia="宋体" w:hint="default"/>
                <w:sz w:val="15"/>
                <w:szCs w:val="15"/>
              </w:rPr>
            </w:pPr>
            <w:r>
              <w:rPr>
                <w:rFonts w:ascii="宋体"/>
                <w:sz w:val="15"/>
              </w:rPr>
              <w:t>653,135,60</w:t>
            </w:r>
          </w:p>
          <w:p>
            <w:pPr>
              <w:pStyle w:val="TableParagraph"/>
              <w:spacing w:line="195" w:lineRule="exact"/>
              <w:ind w:left="604" w:right="0"/>
              <w:jc w:val="left"/>
              <w:rPr>
                <w:rFonts w:ascii="宋体" w:hAnsi="宋体" w:cs="宋体" w:eastAsia="宋体" w:hint="default"/>
                <w:sz w:val="15"/>
                <w:szCs w:val="15"/>
              </w:rPr>
            </w:pPr>
            <w:r>
              <w:rPr>
                <w:rFonts w:ascii="宋体"/>
                <w:sz w:val="15"/>
              </w:rPr>
              <w:t>2.74</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140,259,77</w:t>
            </w:r>
          </w:p>
          <w:p>
            <w:pPr>
              <w:pStyle w:val="TableParagraph"/>
              <w:spacing w:line="195" w:lineRule="exact"/>
              <w:ind w:left="610" w:right="0"/>
              <w:jc w:val="left"/>
              <w:rPr>
                <w:rFonts w:ascii="宋体" w:hAnsi="宋体" w:cs="宋体" w:eastAsia="宋体" w:hint="default"/>
                <w:sz w:val="15"/>
                <w:szCs w:val="15"/>
              </w:rPr>
            </w:pPr>
            <w:r>
              <w:rPr>
                <w:rFonts w:ascii="宋体"/>
                <w:sz w:val="15"/>
              </w:rPr>
              <w:t>6.08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793,395,37</w:t>
            </w:r>
          </w:p>
          <w:p>
            <w:pPr>
              <w:pStyle w:val="TableParagraph"/>
              <w:spacing w:line="195" w:lineRule="exact"/>
              <w:ind w:left="609" w:right="0"/>
              <w:jc w:val="left"/>
              <w:rPr>
                <w:rFonts w:ascii="宋体" w:hAnsi="宋体" w:cs="宋体" w:eastAsia="宋体" w:hint="default"/>
                <w:sz w:val="15"/>
                <w:szCs w:val="15"/>
              </w:rPr>
            </w:pPr>
            <w:r>
              <w:rPr>
                <w:rFonts w:ascii="宋体"/>
                <w:sz w:val="15"/>
              </w:rPr>
              <w:t>8.82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5" w:right="0"/>
              <w:jc w:val="left"/>
              <w:rPr>
                <w:rFonts w:ascii="宋体" w:hAnsi="宋体" w:cs="宋体" w:eastAsia="宋体" w:hint="default"/>
                <w:sz w:val="15"/>
                <w:szCs w:val="15"/>
              </w:rPr>
            </w:pPr>
            <w:r>
              <w:rPr>
                <w:rFonts w:ascii="宋体"/>
                <w:sz w:val="15"/>
              </w:rPr>
              <w:t>363,713,57</w:t>
            </w:r>
          </w:p>
          <w:p>
            <w:pPr>
              <w:pStyle w:val="TableParagraph"/>
              <w:spacing w:line="195" w:lineRule="exact"/>
              <w:ind w:left="607" w:right="0"/>
              <w:jc w:val="left"/>
              <w:rPr>
                <w:rFonts w:ascii="宋体" w:hAnsi="宋体" w:cs="宋体" w:eastAsia="宋体" w:hint="default"/>
                <w:sz w:val="15"/>
                <w:szCs w:val="15"/>
              </w:rPr>
            </w:pPr>
            <w:r>
              <w:rPr>
                <w:rFonts w:ascii="宋体"/>
                <w:sz w:val="15"/>
              </w:rPr>
              <w:t>6.75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75" w:right="0"/>
              <w:jc w:val="left"/>
              <w:rPr>
                <w:rFonts w:ascii="宋体" w:hAnsi="宋体" w:cs="宋体" w:eastAsia="宋体" w:hint="default"/>
                <w:sz w:val="15"/>
                <w:szCs w:val="15"/>
              </w:rPr>
            </w:pPr>
            <w:r>
              <w:rPr>
                <w:rFonts w:ascii="宋体"/>
                <w:sz w:val="15"/>
              </w:rPr>
              <w:t>17,248,68</w:t>
            </w:r>
          </w:p>
          <w:p>
            <w:pPr>
              <w:pStyle w:val="TableParagraph"/>
              <w:spacing w:line="195" w:lineRule="exact"/>
              <w:ind w:left="549" w:right="0"/>
              <w:jc w:val="left"/>
              <w:rPr>
                <w:rFonts w:ascii="宋体" w:hAnsi="宋体" w:cs="宋体" w:eastAsia="宋体" w:hint="default"/>
                <w:sz w:val="15"/>
                <w:szCs w:val="15"/>
              </w:rPr>
            </w:pPr>
            <w:r>
              <w:rPr>
                <w:rFonts w:ascii="宋体"/>
                <w:sz w:val="15"/>
              </w:rPr>
              <w:t>5.72</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5" w:right="0"/>
              <w:jc w:val="left"/>
              <w:rPr>
                <w:rFonts w:ascii="宋体" w:hAnsi="宋体" w:cs="宋体" w:eastAsia="宋体" w:hint="default"/>
                <w:sz w:val="15"/>
                <w:szCs w:val="15"/>
              </w:rPr>
            </w:pPr>
            <w:r>
              <w:rPr>
                <w:rFonts w:ascii="宋体"/>
                <w:sz w:val="15"/>
              </w:rPr>
              <w:t>380,962,26</w:t>
            </w:r>
          </w:p>
          <w:p>
            <w:pPr>
              <w:pStyle w:val="TableParagraph"/>
              <w:spacing w:line="195" w:lineRule="exact"/>
              <w:ind w:left="607" w:right="0"/>
              <w:jc w:val="left"/>
              <w:rPr>
                <w:rFonts w:ascii="宋体" w:hAnsi="宋体" w:cs="宋体" w:eastAsia="宋体" w:hint="default"/>
                <w:sz w:val="15"/>
                <w:szCs w:val="15"/>
              </w:rPr>
            </w:pPr>
            <w:r>
              <w:rPr>
                <w:rFonts w:ascii="宋体"/>
                <w:sz w:val="15"/>
              </w:rPr>
              <w:t>2.47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590,176,39</w:t>
            </w:r>
          </w:p>
          <w:p>
            <w:pPr>
              <w:pStyle w:val="TableParagraph"/>
              <w:spacing w:line="195" w:lineRule="exact"/>
              <w:ind w:left="609" w:right="0"/>
              <w:jc w:val="left"/>
              <w:rPr>
                <w:rFonts w:ascii="宋体" w:hAnsi="宋体" w:cs="宋体" w:eastAsia="宋体" w:hint="default"/>
                <w:sz w:val="15"/>
                <w:szCs w:val="15"/>
              </w:rPr>
            </w:pPr>
            <w:r>
              <w:rPr>
                <w:rFonts w:ascii="宋体"/>
                <w:sz w:val="15"/>
              </w:rPr>
              <w:t>5.28</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142,645,31</w:t>
            </w:r>
          </w:p>
          <w:p>
            <w:pPr>
              <w:pStyle w:val="TableParagraph"/>
              <w:spacing w:line="195" w:lineRule="exact"/>
              <w:ind w:left="609" w:right="0"/>
              <w:jc w:val="left"/>
              <w:rPr>
                <w:rFonts w:ascii="宋体" w:hAnsi="宋体" w:cs="宋体" w:eastAsia="宋体" w:hint="default"/>
                <w:sz w:val="15"/>
                <w:szCs w:val="15"/>
              </w:rPr>
            </w:pPr>
            <w:r>
              <w:rPr>
                <w:rFonts w:ascii="宋体"/>
                <w:sz w:val="15"/>
              </w:rPr>
              <w:t>5.95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5" w:right="0"/>
              <w:jc w:val="left"/>
              <w:rPr>
                <w:rFonts w:ascii="宋体" w:hAnsi="宋体" w:cs="宋体" w:eastAsia="宋体" w:hint="default"/>
                <w:sz w:val="15"/>
                <w:szCs w:val="15"/>
              </w:rPr>
            </w:pPr>
            <w:r>
              <w:rPr>
                <w:rFonts w:ascii="宋体"/>
                <w:sz w:val="15"/>
              </w:rPr>
              <w:t>732,821,71</w:t>
            </w:r>
          </w:p>
          <w:p>
            <w:pPr>
              <w:pStyle w:val="TableParagraph"/>
              <w:spacing w:line="195" w:lineRule="exact"/>
              <w:ind w:left="607" w:right="0"/>
              <w:jc w:val="left"/>
              <w:rPr>
                <w:rFonts w:ascii="宋体" w:hAnsi="宋体" w:cs="宋体" w:eastAsia="宋体" w:hint="default"/>
                <w:sz w:val="15"/>
                <w:szCs w:val="15"/>
              </w:rPr>
            </w:pPr>
            <w:r>
              <w:rPr>
                <w:rFonts w:ascii="宋体"/>
                <w:sz w:val="15"/>
              </w:rPr>
              <w:t>1.23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55" w:right="0"/>
              <w:jc w:val="left"/>
              <w:rPr>
                <w:rFonts w:ascii="宋体" w:hAnsi="宋体" w:cs="宋体" w:eastAsia="宋体" w:hint="default"/>
                <w:sz w:val="15"/>
                <w:szCs w:val="15"/>
              </w:rPr>
            </w:pPr>
            <w:r>
              <w:rPr>
                <w:rFonts w:ascii="宋体"/>
                <w:sz w:val="15"/>
              </w:rPr>
              <w:t>350,587,67</w:t>
            </w:r>
          </w:p>
          <w:p>
            <w:pPr>
              <w:pStyle w:val="TableParagraph"/>
              <w:spacing w:line="195" w:lineRule="exact"/>
              <w:ind w:left="607" w:right="0"/>
              <w:jc w:val="left"/>
              <w:rPr>
                <w:rFonts w:ascii="宋体" w:hAnsi="宋体" w:cs="宋体" w:eastAsia="宋体" w:hint="default"/>
                <w:sz w:val="15"/>
                <w:szCs w:val="15"/>
              </w:rPr>
            </w:pPr>
            <w:r>
              <w:rPr>
                <w:rFonts w:ascii="宋体"/>
                <w:sz w:val="15"/>
              </w:rPr>
              <w:t>1.84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sz w:val="15"/>
              </w:rPr>
              <w:t>9,359,947</w:t>
            </w:r>
          </w:p>
          <w:p>
            <w:pPr>
              <w:pStyle w:val="TableParagraph"/>
              <w:spacing w:line="195" w:lineRule="exact"/>
              <w:ind w:left="566" w:right="0"/>
              <w:jc w:val="left"/>
              <w:rPr>
                <w:rFonts w:ascii="宋体" w:hAnsi="宋体" w:cs="宋体" w:eastAsia="宋体" w:hint="default"/>
                <w:sz w:val="15"/>
                <w:szCs w:val="15"/>
              </w:rPr>
            </w:pPr>
            <w:r>
              <w:rPr>
                <w:rFonts w:ascii="宋体"/>
                <w:sz w:val="15"/>
              </w:rPr>
              <w:t>.50</w:t>
            </w:r>
          </w:p>
        </w:tc>
        <w:tc>
          <w:tcPr>
            <w:tcW w:w="1020"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left="156" w:right="0"/>
              <w:jc w:val="left"/>
              <w:rPr>
                <w:rFonts w:ascii="宋体" w:hAnsi="宋体" w:cs="宋体" w:eastAsia="宋体" w:hint="default"/>
                <w:sz w:val="15"/>
                <w:szCs w:val="15"/>
              </w:rPr>
            </w:pPr>
            <w:r>
              <w:rPr>
                <w:rFonts w:ascii="宋体"/>
                <w:sz w:val="15"/>
              </w:rPr>
              <w:t>359,947,61</w:t>
            </w:r>
          </w:p>
          <w:p>
            <w:pPr>
              <w:pStyle w:val="TableParagraph"/>
              <w:spacing w:line="195" w:lineRule="exact"/>
              <w:ind w:left="607" w:right="0"/>
              <w:jc w:val="left"/>
              <w:rPr>
                <w:rFonts w:ascii="宋体" w:hAnsi="宋体" w:cs="宋体" w:eastAsia="宋体" w:hint="default"/>
                <w:sz w:val="15"/>
                <w:szCs w:val="15"/>
              </w:rPr>
            </w:pPr>
            <w:r>
              <w:rPr>
                <w:rFonts w:ascii="宋体"/>
                <w:sz w:val="15"/>
              </w:rPr>
              <w:t>9.34</w:t>
            </w:r>
          </w:p>
        </w:tc>
      </w:tr>
      <w:tr>
        <w:trPr>
          <w:trHeight w:val="406" w:hRule="exact"/>
        </w:trPr>
        <w:tc>
          <w:tcPr>
            <w:tcW w:w="2000" w:type="dxa"/>
            <w:tcBorders>
              <w:top w:val="single" w:sz="6" w:space="0" w:color="000000"/>
              <w:left w:val="single" w:sz="4" w:space="0" w:color="000000"/>
              <w:bottom w:val="single" w:sz="6" w:space="0" w:color="000000"/>
              <w:right w:val="single" w:sz="6"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北京新云东方系统科技有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限责任公司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8"/>
              <w:jc w:val="right"/>
              <w:rPr>
                <w:rFonts w:ascii="宋体" w:hAnsi="宋体" w:cs="宋体" w:eastAsia="宋体" w:hint="default"/>
                <w:sz w:val="15"/>
                <w:szCs w:val="15"/>
              </w:rPr>
            </w:pPr>
            <w:r>
              <w:rPr>
                <w:rFonts w:ascii="宋体"/>
                <w:spacing w:val="-1"/>
                <w:sz w:val="15"/>
              </w:rPr>
              <w:t>49,424,532</w:t>
            </w:r>
          </w:p>
          <w:p>
            <w:pPr>
              <w:pStyle w:val="TableParagraph"/>
              <w:spacing w:line="195" w:lineRule="exact"/>
              <w:ind w:right="97"/>
              <w:jc w:val="right"/>
              <w:rPr>
                <w:rFonts w:ascii="宋体" w:hAnsi="宋体" w:cs="宋体" w:eastAsia="宋体" w:hint="default"/>
                <w:sz w:val="15"/>
                <w:szCs w:val="15"/>
              </w:rPr>
            </w:pPr>
            <w:r>
              <w:rPr>
                <w:rFonts w:ascii="宋体"/>
                <w:spacing w:val="-1"/>
                <w:sz w:val="15"/>
              </w:rPr>
              <w:t>.30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pacing w:val="-1"/>
                <w:sz w:val="15"/>
              </w:rPr>
              <w:t>35,444,092</w:t>
            </w:r>
          </w:p>
          <w:p>
            <w:pPr>
              <w:pStyle w:val="TableParagraph"/>
              <w:spacing w:line="195" w:lineRule="exact"/>
              <w:ind w:right="95"/>
              <w:jc w:val="right"/>
              <w:rPr>
                <w:rFonts w:ascii="宋体" w:hAnsi="宋体" w:cs="宋体" w:eastAsia="宋体" w:hint="default"/>
                <w:sz w:val="15"/>
                <w:szCs w:val="15"/>
              </w:rPr>
            </w:pPr>
            <w:r>
              <w:rPr>
                <w:rFonts w:ascii="宋体"/>
                <w:spacing w:val="-1"/>
                <w:sz w:val="15"/>
              </w:rPr>
              <w:t>.81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5"/>
              <w:jc w:val="right"/>
              <w:rPr>
                <w:rFonts w:ascii="宋体" w:hAnsi="宋体" w:cs="宋体" w:eastAsia="宋体" w:hint="default"/>
                <w:sz w:val="15"/>
                <w:szCs w:val="15"/>
              </w:rPr>
            </w:pPr>
            <w:r>
              <w:rPr>
                <w:rFonts w:ascii="宋体"/>
                <w:spacing w:val="-1"/>
                <w:sz w:val="15"/>
              </w:rPr>
              <w:t>84,868,625</w:t>
            </w:r>
          </w:p>
          <w:p>
            <w:pPr>
              <w:pStyle w:val="TableParagraph"/>
              <w:spacing w:line="195" w:lineRule="exact"/>
              <w:ind w:right="95"/>
              <w:jc w:val="right"/>
              <w:rPr>
                <w:rFonts w:ascii="宋体" w:hAnsi="宋体" w:cs="宋体" w:eastAsia="宋体" w:hint="default"/>
                <w:sz w:val="15"/>
                <w:szCs w:val="15"/>
              </w:rPr>
            </w:pPr>
            <w:r>
              <w:rPr>
                <w:rFonts w:ascii="宋体"/>
                <w:spacing w:val="-1"/>
                <w:sz w:val="15"/>
              </w:rPr>
              <w:t>.11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8"/>
              <w:jc w:val="right"/>
              <w:rPr>
                <w:rFonts w:ascii="宋体" w:hAnsi="宋体" w:cs="宋体" w:eastAsia="宋体" w:hint="default"/>
                <w:sz w:val="15"/>
                <w:szCs w:val="15"/>
              </w:rPr>
            </w:pPr>
            <w:r>
              <w:rPr>
                <w:rFonts w:ascii="宋体"/>
                <w:spacing w:val="-1"/>
                <w:sz w:val="15"/>
              </w:rPr>
              <w:t>33,538,083</w:t>
            </w:r>
          </w:p>
          <w:p>
            <w:pPr>
              <w:pStyle w:val="TableParagraph"/>
              <w:spacing w:line="195" w:lineRule="exact"/>
              <w:ind w:right="97"/>
              <w:jc w:val="right"/>
              <w:rPr>
                <w:rFonts w:ascii="宋体" w:hAnsi="宋体" w:cs="宋体" w:eastAsia="宋体" w:hint="default"/>
                <w:sz w:val="15"/>
                <w:szCs w:val="15"/>
              </w:rPr>
            </w:pPr>
            <w:r>
              <w:rPr>
                <w:rFonts w:ascii="宋体"/>
                <w:spacing w:val="-1"/>
                <w:sz w:val="15"/>
              </w:rPr>
              <w:t>.09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5"/>
              <w:jc w:val="right"/>
              <w:rPr>
                <w:rFonts w:ascii="宋体" w:hAnsi="宋体" w:cs="宋体" w:eastAsia="宋体" w:hint="default"/>
                <w:sz w:val="15"/>
                <w:szCs w:val="15"/>
              </w:rPr>
            </w:pPr>
            <w:r>
              <w:rPr>
                <w:rFonts w:ascii="宋体"/>
                <w:spacing w:val="-1"/>
                <w:sz w:val="15"/>
              </w:rPr>
              <w:t>33,538,083</w:t>
            </w:r>
          </w:p>
          <w:p>
            <w:pPr>
              <w:pStyle w:val="TableParagraph"/>
              <w:spacing w:line="195" w:lineRule="exact"/>
              <w:ind w:right="95"/>
              <w:jc w:val="right"/>
              <w:rPr>
                <w:rFonts w:ascii="宋体" w:hAnsi="宋体" w:cs="宋体" w:eastAsia="宋体" w:hint="default"/>
                <w:sz w:val="15"/>
                <w:szCs w:val="15"/>
              </w:rPr>
            </w:pPr>
            <w:r>
              <w:rPr>
                <w:rFonts w:ascii="宋体"/>
                <w:spacing w:val="-1"/>
                <w:sz w:val="15"/>
              </w:rPr>
              <w:t>.09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5"/>
              <w:jc w:val="right"/>
              <w:rPr>
                <w:rFonts w:ascii="宋体" w:hAnsi="宋体" w:cs="宋体" w:eastAsia="宋体" w:hint="default"/>
                <w:sz w:val="15"/>
                <w:szCs w:val="15"/>
              </w:rPr>
            </w:pPr>
            <w:r>
              <w:rPr>
                <w:rFonts w:ascii="宋体"/>
                <w:spacing w:val="-1"/>
                <w:sz w:val="15"/>
              </w:rPr>
              <w:t>64,000,084</w:t>
            </w:r>
          </w:p>
          <w:p>
            <w:pPr>
              <w:pStyle w:val="TableParagraph"/>
              <w:spacing w:line="195" w:lineRule="exact"/>
              <w:ind w:right="95"/>
              <w:jc w:val="right"/>
              <w:rPr>
                <w:rFonts w:ascii="宋体" w:hAnsi="宋体" w:cs="宋体" w:eastAsia="宋体" w:hint="default"/>
                <w:sz w:val="15"/>
                <w:szCs w:val="15"/>
              </w:rPr>
            </w:pPr>
            <w:r>
              <w:rPr>
                <w:rFonts w:ascii="宋体"/>
                <w:spacing w:val="-1"/>
                <w:sz w:val="15"/>
              </w:rPr>
              <w:t>.77</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pacing w:val="-1"/>
                <w:sz w:val="15"/>
              </w:rPr>
              <w:t>7,797,849.</w:t>
            </w:r>
          </w:p>
          <w:p>
            <w:pPr>
              <w:pStyle w:val="TableParagraph"/>
              <w:spacing w:line="195" w:lineRule="exact"/>
              <w:ind w:right="94"/>
              <w:jc w:val="right"/>
              <w:rPr>
                <w:rFonts w:ascii="宋体" w:hAnsi="宋体" w:cs="宋体" w:eastAsia="宋体" w:hint="default"/>
                <w:sz w:val="15"/>
                <w:szCs w:val="15"/>
              </w:rPr>
            </w:pPr>
            <w:r>
              <w:rPr>
                <w:rFonts w:ascii="宋体"/>
                <w:sz w:val="15"/>
              </w:rPr>
              <w:t>81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8"/>
              <w:jc w:val="right"/>
              <w:rPr>
                <w:rFonts w:ascii="宋体" w:hAnsi="宋体" w:cs="宋体" w:eastAsia="宋体" w:hint="default"/>
                <w:sz w:val="15"/>
                <w:szCs w:val="15"/>
              </w:rPr>
            </w:pPr>
            <w:r>
              <w:rPr>
                <w:rFonts w:ascii="宋体"/>
                <w:spacing w:val="-1"/>
                <w:sz w:val="15"/>
              </w:rPr>
              <w:t>71,797,934</w:t>
            </w:r>
          </w:p>
          <w:p>
            <w:pPr>
              <w:pStyle w:val="TableParagraph"/>
              <w:spacing w:line="195" w:lineRule="exact"/>
              <w:ind w:right="97"/>
              <w:jc w:val="right"/>
              <w:rPr>
                <w:rFonts w:ascii="宋体" w:hAnsi="宋体" w:cs="宋体" w:eastAsia="宋体" w:hint="default"/>
                <w:sz w:val="15"/>
                <w:szCs w:val="15"/>
              </w:rPr>
            </w:pPr>
            <w:r>
              <w:rPr>
                <w:rFonts w:ascii="宋体"/>
                <w:spacing w:val="-1"/>
                <w:sz w:val="15"/>
              </w:rPr>
              <w:t>.58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98"/>
              <w:jc w:val="right"/>
              <w:rPr>
                <w:rFonts w:ascii="宋体" w:hAnsi="宋体" w:cs="宋体" w:eastAsia="宋体" w:hint="default"/>
                <w:sz w:val="15"/>
                <w:szCs w:val="15"/>
              </w:rPr>
            </w:pPr>
            <w:r>
              <w:rPr>
                <w:rFonts w:ascii="宋体"/>
                <w:spacing w:val="-1"/>
                <w:sz w:val="15"/>
              </w:rPr>
              <w:t>10,398,235</w:t>
            </w:r>
          </w:p>
          <w:p>
            <w:pPr>
              <w:pStyle w:val="TableParagraph"/>
              <w:spacing w:line="195" w:lineRule="exact"/>
              <w:ind w:right="97"/>
              <w:jc w:val="right"/>
              <w:rPr>
                <w:rFonts w:ascii="宋体" w:hAnsi="宋体" w:cs="宋体" w:eastAsia="宋体" w:hint="default"/>
                <w:sz w:val="15"/>
                <w:szCs w:val="15"/>
              </w:rPr>
            </w:pPr>
            <w:r>
              <w:rPr>
                <w:rFonts w:ascii="宋体"/>
                <w:spacing w:val="-1"/>
                <w:sz w:val="15"/>
              </w:rPr>
              <w:t>.29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0.00</w:t>
            </w:r>
          </w:p>
        </w:tc>
        <w:tc>
          <w:tcPr>
            <w:tcW w:w="1020" w:type="dxa"/>
            <w:tcBorders>
              <w:top w:val="single" w:sz="6" w:space="0" w:color="000000"/>
              <w:left w:val="single" w:sz="6" w:space="0" w:color="000000"/>
              <w:bottom w:val="single" w:sz="6" w:space="0" w:color="000000"/>
              <w:right w:val="single" w:sz="4" w:space="0" w:color="000000"/>
            </w:tcBorders>
          </w:tcPr>
          <w:p>
            <w:pPr>
              <w:pStyle w:val="TableParagraph"/>
              <w:spacing w:line="174" w:lineRule="exact"/>
              <w:ind w:right="98"/>
              <w:jc w:val="right"/>
              <w:rPr>
                <w:rFonts w:ascii="宋体" w:hAnsi="宋体" w:cs="宋体" w:eastAsia="宋体" w:hint="default"/>
                <w:sz w:val="15"/>
                <w:szCs w:val="15"/>
              </w:rPr>
            </w:pPr>
            <w:r>
              <w:rPr>
                <w:rFonts w:ascii="宋体"/>
                <w:spacing w:val="-1"/>
                <w:sz w:val="15"/>
              </w:rPr>
              <w:t>10,398,235</w:t>
            </w:r>
          </w:p>
          <w:p>
            <w:pPr>
              <w:pStyle w:val="TableParagraph"/>
              <w:spacing w:line="195" w:lineRule="exact"/>
              <w:ind w:right="97"/>
              <w:jc w:val="right"/>
              <w:rPr>
                <w:rFonts w:ascii="宋体" w:hAnsi="宋体" w:cs="宋体" w:eastAsia="宋体" w:hint="default"/>
                <w:sz w:val="15"/>
                <w:szCs w:val="15"/>
              </w:rPr>
            </w:pPr>
            <w:r>
              <w:rPr>
                <w:rFonts w:ascii="宋体"/>
                <w:spacing w:val="-1"/>
                <w:sz w:val="15"/>
              </w:rPr>
              <w:t>.29</w:t>
            </w:r>
          </w:p>
        </w:tc>
      </w:tr>
      <w:tr>
        <w:trPr>
          <w:trHeight w:val="401" w:hRule="exact"/>
        </w:trPr>
        <w:tc>
          <w:tcPr>
            <w:tcW w:w="2000" w:type="dxa"/>
            <w:tcBorders>
              <w:top w:val="single" w:sz="6" w:space="0" w:color="000000"/>
              <w:left w:val="single" w:sz="4" w:space="0" w:color="000000"/>
              <w:bottom w:val="single" w:sz="4"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北京华胜天成低碳产业创</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业投资中心</w:t>
            </w:r>
          </w:p>
        </w:tc>
        <w:tc>
          <w:tcPr>
            <w:tcW w:w="1020"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53" w:right="0"/>
              <w:jc w:val="left"/>
              <w:rPr>
                <w:rFonts w:ascii="宋体" w:hAnsi="宋体" w:cs="宋体" w:eastAsia="宋体" w:hint="default"/>
                <w:sz w:val="15"/>
                <w:szCs w:val="15"/>
              </w:rPr>
            </w:pPr>
            <w:r>
              <w:rPr>
                <w:rFonts w:ascii="宋体"/>
                <w:sz w:val="15"/>
              </w:rPr>
              <w:t>214,447,04</w:t>
            </w:r>
          </w:p>
          <w:p>
            <w:pPr>
              <w:pStyle w:val="TableParagraph"/>
              <w:spacing w:line="195" w:lineRule="exact"/>
              <w:ind w:left="604" w:right="0"/>
              <w:jc w:val="left"/>
              <w:rPr>
                <w:rFonts w:ascii="宋体" w:hAnsi="宋体" w:cs="宋体" w:eastAsia="宋体" w:hint="default"/>
                <w:sz w:val="15"/>
                <w:szCs w:val="15"/>
              </w:rPr>
            </w:pPr>
            <w:r>
              <w:rPr>
                <w:rFonts w:ascii="宋体"/>
                <w:sz w:val="15"/>
              </w:rPr>
              <w:t>6.11</w:t>
            </w:r>
          </w:p>
        </w:tc>
        <w:tc>
          <w:tcPr>
            <w:tcW w:w="1023"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76,000,000</w:t>
            </w:r>
          </w:p>
          <w:p>
            <w:pPr>
              <w:pStyle w:val="TableParagraph"/>
              <w:spacing w:line="195" w:lineRule="exact"/>
              <w:ind w:right="95"/>
              <w:jc w:val="right"/>
              <w:rPr>
                <w:rFonts w:ascii="宋体" w:hAnsi="宋体" w:cs="宋体" w:eastAsia="宋体" w:hint="default"/>
                <w:sz w:val="15"/>
                <w:szCs w:val="15"/>
              </w:rPr>
            </w:pPr>
            <w:r>
              <w:rPr>
                <w:rFonts w:ascii="宋体"/>
                <w:spacing w:val="-1"/>
                <w:sz w:val="15"/>
              </w:rPr>
              <w:t>.00</w:t>
            </w:r>
          </w:p>
        </w:tc>
        <w:tc>
          <w:tcPr>
            <w:tcW w:w="102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58" w:right="0"/>
              <w:jc w:val="left"/>
              <w:rPr>
                <w:rFonts w:ascii="宋体" w:hAnsi="宋体" w:cs="宋体" w:eastAsia="宋体" w:hint="default"/>
                <w:sz w:val="15"/>
                <w:szCs w:val="15"/>
              </w:rPr>
            </w:pPr>
            <w:r>
              <w:rPr>
                <w:rFonts w:ascii="宋体"/>
                <w:sz w:val="15"/>
              </w:rPr>
              <w:t>290,447,04</w:t>
            </w:r>
          </w:p>
          <w:p>
            <w:pPr>
              <w:pStyle w:val="TableParagraph"/>
              <w:spacing w:line="195" w:lineRule="exact"/>
              <w:ind w:left="609" w:right="0"/>
              <w:jc w:val="left"/>
              <w:rPr>
                <w:rFonts w:ascii="宋体" w:hAnsi="宋体" w:cs="宋体" w:eastAsia="宋体" w:hint="default"/>
                <w:sz w:val="15"/>
                <w:szCs w:val="15"/>
              </w:rPr>
            </w:pPr>
            <w:r>
              <w:rPr>
                <w:rFonts w:ascii="宋体"/>
                <w:sz w:val="15"/>
              </w:rPr>
              <w:t>6.11</w:t>
            </w:r>
          </w:p>
        </w:tc>
        <w:tc>
          <w:tcPr>
            <w:tcW w:w="1022"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55" w:right="0"/>
              <w:jc w:val="center"/>
              <w:rPr>
                <w:rFonts w:ascii="宋体" w:hAnsi="宋体" w:cs="宋体" w:eastAsia="宋体" w:hint="default"/>
                <w:sz w:val="15"/>
                <w:szCs w:val="15"/>
              </w:rPr>
            </w:pPr>
            <w:r>
              <w:rPr>
                <w:rFonts w:ascii="宋体"/>
                <w:sz w:val="15"/>
              </w:rPr>
              <w:t>837,204.00</w:t>
            </w:r>
          </w:p>
        </w:tc>
        <w:tc>
          <w:tcPr>
            <w:tcW w:w="965"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w w:val="100"/>
                <w:sz w:val="15"/>
              </w:rPr>
              <w:t>0</w:t>
            </w:r>
          </w:p>
        </w:tc>
        <w:tc>
          <w:tcPr>
            <w:tcW w:w="1020"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58" w:right="0"/>
              <w:jc w:val="center"/>
              <w:rPr>
                <w:rFonts w:ascii="宋体" w:hAnsi="宋体" w:cs="宋体" w:eastAsia="宋体" w:hint="default"/>
                <w:sz w:val="15"/>
                <w:szCs w:val="15"/>
              </w:rPr>
            </w:pPr>
            <w:r>
              <w:rPr>
                <w:rFonts w:ascii="宋体"/>
                <w:sz w:val="15"/>
              </w:rPr>
              <w:t>837,204.00</w:t>
            </w:r>
          </w:p>
        </w:tc>
        <w:tc>
          <w:tcPr>
            <w:tcW w:w="102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84,963,784</w:t>
            </w:r>
          </w:p>
          <w:p>
            <w:pPr>
              <w:pStyle w:val="TableParagraph"/>
              <w:spacing w:line="195" w:lineRule="exact"/>
              <w:ind w:right="95"/>
              <w:jc w:val="right"/>
              <w:rPr>
                <w:rFonts w:ascii="宋体" w:hAnsi="宋体" w:cs="宋体" w:eastAsia="宋体" w:hint="default"/>
                <w:sz w:val="15"/>
                <w:szCs w:val="15"/>
              </w:rPr>
            </w:pPr>
            <w:r>
              <w:rPr>
                <w:rFonts w:ascii="宋体"/>
                <w:spacing w:val="-1"/>
                <w:sz w:val="15"/>
              </w:rPr>
              <w:t>.78</w:t>
            </w:r>
          </w:p>
        </w:tc>
        <w:tc>
          <w:tcPr>
            <w:tcW w:w="1023"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66,000,000</w:t>
            </w:r>
          </w:p>
          <w:p>
            <w:pPr>
              <w:pStyle w:val="TableParagraph"/>
              <w:spacing w:line="195" w:lineRule="exact"/>
              <w:ind w:right="95"/>
              <w:jc w:val="right"/>
              <w:rPr>
                <w:rFonts w:ascii="宋体" w:hAnsi="宋体" w:cs="宋体" w:eastAsia="宋体" w:hint="default"/>
                <w:sz w:val="15"/>
                <w:szCs w:val="15"/>
              </w:rPr>
            </w:pPr>
            <w:r>
              <w:rPr>
                <w:rFonts w:ascii="宋体"/>
                <w:spacing w:val="-1"/>
                <w:sz w:val="15"/>
              </w:rPr>
              <w:t>.00</w:t>
            </w:r>
          </w:p>
        </w:tc>
        <w:tc>
          <w:tcPr>
            <w:tcW w:w="102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55" w:right="0"/>
              <w:jc w:val="left"/>
              <w:rPr>
                <w:rFonts w:ascii="宋体" w:hAnsi="宋体" w:cs="宋体" w:eastAsia="宋体" w:hint="default"/>
                <w:sz w:val="15"/>
                <w:szCs w:val="15"/>
              </w:rPr>
            </w:pPr>
            <w:r>
              <w:rPr>
                <w:rFonts w:ascii="宋体"/>
                <w:sz w:val="15"/>
              </w:rPr>
              <w:t>150,963,78</w:t>
            </w:r>
          </w:p>
          <w:p>
            <w:pPr>
              <w:pStyle w:val="TableParagraph"/>
              <w:spacing w:line="195" w:lineRule="exact"/>
              <w:ind w:left="607" w:right="0"/>
              <w:jc w:val="left"/>
              <w:rPr>
                <w:rFonts w:ascii="宋体" w:hAnsi="宋体" w:cs="宋体" w:eastAsia="宋体" w:hint="default"/>
                <w:sz w:val="15"/>
                <w:szCs w:val="15"/>
              </w:rPr>
            </w:pPr>
            <w:r>
              <w:rPr>
                <w:rFonts w:ascii="宋体"/>
                <w:sz w:val="15"/>
              </w:rPr>
              <w:t>4.78</w:t>
            </w:r>
          </w:p>
        </w:tc>
        <w:tc>
          <w:tcPr>
            <w:tcW w:w="1022"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607" w:right="0"/>
              <w:jc w:val="left"/>
              <w:rPr>
                <w:rFonts w:ascii="宋体" w:hAnsi="宋体" w:cs="宋体" w:eastAsia="宋体" w:hint="default"/>
                <w:sz w:val="15"/>
                <w:szCs w:val="15"/>
              </w:rPr>
            </w:pPr>
            <w:r>
              <w:rPr>
                <w:rFonts w:ascii="宋体"/>
                <w:sz w:val="15"/>
              </w:rPr>
              <w:t>0.00</w:t>
            </w:r>
          </w:p>
        </w:tc>
        <w:tc>
          <w:tcPr>
            <w:tcW w:w="907"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0.00</w:t>
            </w:r>
          </w:p>
        </w:tc>
        <w:tc>
          <w:tcPr>
            <w:tcW w:w="1020" w:type="dxa"/>
            <w:tcBorders>
              <w:top w:val="single" w:sz="6" w:space="0" w:color="000000"/>
              <w:left w:val="single" w:sz="6" w:space="0" w:color="000000"/>
              <w:bottom w:val="single" w:sz="4" w:space="0" w:color="000000"/>
              <w:right w:val="single" w:sz="4" w:space="0" w:color="000000"/>
            </w:tcBorders>
          </w:tcPr>
          <w:p>
            <w:pPr>
              <w:pStyle w:val="TableParagraph"/>
              <w:spacing w:line="173" w:lineRule="exact"/>
              <w:ind w:left="607" w:right="0"/>
              <w:jc w:val="left"/>
              <w:rPr>
                <w:rFonts w:ascii="宋体" w:hAnsi="宋体" w:cs="宋体" w:eastAsia="宋体" w:hint="default"/>
                <w:sz w:val="15"/>
                <w:szCs w:val="15"/>
              </w:rPr>
            </w:pPr>
            <w:r>
              <w:rPr>
                <w:rFonts w:ascii="宋体"/>
                <w:sz w:val="15"/>
              </w:rPr>
              <w:t>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542"/>
        <w:gridCol w:w="1417"/>
        <w:gridCol w:w="1303"/>
        <w:gridCol w:w="1447"/>
        <w:gridCol w:w="1608"/>
        <w:gridCol w:w="1416"/>
        <w:gridCol w:w="1304"/>
        <w:gridCol w:w="1450"/>
        <w:gridCol w:w="1604"/>
      </w:tblGrid>
      <w:tr>
        <w:trPr>
          <w:trHeight w:val="254" w:hRule="exact"/>
        </w:trPr>
        <w:tc>
          <w:tcPr>
            <w:tcW w:w="2542" w:type="dxa"/>
            <w:vMerge w:val="restart"/>
            <w:tcBorders>
              <w:top w:val="single" w:sz="4" w:space="0" w:color="000000"/>
              <w:left w:val="single" w:sz="4" w:space="0" w:color="000000"/>
              <w:right w:val="single" w:sz="6"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5775" w:type="dxa"/>
            <w:gridSpan w:val="4"/>
            <w:tcBorders>
              <w:top w:val="single" w:sz="4" w:space="0" w:color="000000"/>
              <w:left w:val="single" w:sz="6" w:space="0" w:color="000000"/>
              <w:bottom w:val="single" w:sz="6" w:space="0" w:color="000000"/>
              <w:right w:val="single" w:sz="6" w:space="0" w:color="000000"/>
            </w:tcBorders>
          </w:tcPr>
          <w:p>
            <w:pPr>
              <w:pStyle w:val="TableParagraph"/>
              <w:spacing w:line="182" w:lineRule="exact"/>
              <w:ind w:left="14"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5773" w:type="dxa"/>
            <w:gridSpan w:val="4"/>
            <w:tcBorders>
              <w:top w:val="single" w:sz="4" w:space="0" w:color="000000"/>
              <w:left w:val="single" w:sz="6" w:space="0" w:color="000000"/>
              <w:bottom w:val="single" w:sz="6" w:space="0" w:color="000000"/>
              <w:right w:val="single" w:sz="4" w:space="0" w:color="000000"/>
            </w:tcBorders>
          </w:tcPr>
          <w:p>
            <w:pPr>
              <w:pStyle w:val="TableParagraph"/>
              <w:spacing w:line="182" w:lineRule="exact"/>
              <w:ind w:left="14"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54" w:hRule="exact"/>
        </w:trPr>
        <w:tc>
          <w:tcPr>
            <w:tcW w:w="2542" w:type="dxa"/>
            <w:vMerge/>
            <w:tcBorders>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0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17"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268"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197"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0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20"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268"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604"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left="196"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240" w:hRule="exact"/>
        </w:trPr>
        <w:tc>
          <w:tcPr>
            <w:tcW w:w="2542"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AutomatedSystemsHoldingsLimited</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1,215,535,986.00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16,269,975.28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11,873,465.97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28,533,192.86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1,139,135,556.06</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21,138,768.68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18,682,039.12</w:t>
            </w:r>
          </w:p>
        </w:tc>
        <w:tc>
          <w:tcPr>
            <w:tcW w:w="160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28,085,863.35</w:t>
            </w:r>
          </w:p>
        </w:tc>
      </w:tr>
      <w:tr>
        <w:trPr>
          <w:trHeight w:val="461" w:hRule="exact"/>
        </w:trPr>
        <w:tc>
          <w:tcPr>
            <w:tcW w:w="2542"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北京新云东方系统科技有限责任公</w:t>
            </w:r>
          </w:p>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43,873,565.24</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-10,345,146.26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-10,345,146.26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-28,001,701.15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1,915,687.44</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-600,300.71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-600,300.71</w:t>
            </w:r>
          </w:p>
        </w:tc>
        <w:tc>
          <w:tcPr>
            <w:tcW w:w="160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-1,325,435.33</w:t>
            </w:r>
          </w:p>
        </w:tc>
      </w:tr>
      <w:tr>
        <w:trPr>
          <w:trHeight w:val="461" w:hRule="exact"/>
        </w:trPr>
        <w:tc>
          <w:tcPr>
            <w:tcW w:w="2542" w:type="dxa"/>
            <w:tcBorders>
              <w:top w:val="single" w:sz="6" w:space="0" w:color="000000"/>
              <w:left w:val="single" w:sz="4" w:space="0" w:color="000000"/>
              <w:bottom w:val="single" w:sz="4"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北京华胜天成低碳产业创业投资中</w:t>
            </w:r>
          </w:p>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w w:val="100"/>
                <w:sz w:val="15"/>
                <w:szCs w:val="15"/>
              </w:rPr>
              <w:t>心</w:t>
            </w:r>
          </w:p>
        </w:tc>
        <w:tc>
          <w:tcPr>
            <w:tcW w:w="1417"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w:t>
            </w:r>
          </w:p>
        </w:tc>
        <w:tc>
          <w:tcPr>
            <w:tcW w:w="1303"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61,146,057.33</w:t>
            </w:r>
          </w:p>
        </w:tc>
        <w:tc>
          <w:tcPr>
            <w:tcW w:w="1447"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61,146,057.33</w:t>
            </w:r>
          </w:p>
        </w:tc>
        <w:tc>
          <w:tcPr>
            <w:tcW w:w="1608"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-148,000.00</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w:t>
            </w:r>
          </w:p>
        </w:tc>
        <w:tc>
          <w:tcPr>
            <w:tcW w:w="1304"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-5,036,215.22</w:t>
            </w:r>
          </w:p>
        </w:tc>
        <w:tc>
          <w:tcPr>
            <w:tcW w:w="1450" w:type="dxa"/>
            <w:tcBorders>
              <w:top w:val="single" w:sz="6" w:space="0" w:color="000000"/>
              <w:left w:val="single" w:sz="6" w:space="0" w:color="000000"/>
              <w:bottom w:val="single" w:sz="4"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-5,036,215.22</w:t>
            </w:r>
          </w:p>
        </w:tc>
        <w:tc>
          <w:tcPr>
            <w:tcW w:w="1604" w:type="dxa"/>
            <w:tcBorders>
              <w:top w:val="single" w:sz="6" w:space="0" w:color="000000"/>
              <w:left w:val="single" w:sz="6"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-11,455,097.65</w:t>
            </w:r>
          </w:p>
        </w:tc>
      </w:tr>
    </w:tbl>
    <w:p>
      <w:pPr>
        <w:spacing w:line="240" w:lineRule="auto" w:before="11"/>
        <w:rPr>
          <w:rFonts w:ascii="宋体" w:hAnsi="宋体" w:cs="宋体" w:eastAsia="宋体" w:hint="default"/>
          <w:sz w:val="18"/>
          <w:szCs w:val="18"/>
        </w:rPr>
      </w:pPr>
    </w:p>
    <w:p>
      <w:pPr>
        <w:pStyle w:val="BodyText"/>
        <w:spacing w:line="312" w:lineRule="exact" w:before="56"/>
        <w:ind w:left="224" w:right="12874"/>
        <w:jc w:val="left"/>
      </w:pPr>
      <w:r>
        <w:rPr/>
        <w:t>其他说明：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63"/>
        <w:ind w:left="5193" w:right="5189" w:firstLine="0"/>
        <w:jc w:val="center"/>
        <w:rPr>
          <w:rFonts w:ascii="Calibri" w:hAnsi="Calibri" w:cs="Calibri" w:eastAsia="Calibri" w:hint="default"/>
          <w:sz w:val="18"/>
          <w:szCs w:val="18"/>
        </w:rPr>
      </w:pPr>
      <w:r>
        <w:rPr>
          <w:rFonts w:ascii="Calibri"/>
          <w:sz w:val="18"/>
        </w:rPr>
        <w:t>174</w:t>
      </w:r>
    </w:p>
    <w:p>
      <w:pPr>
        <w:spacing w:after="0"/>
        <w:jc w:val="center"/>
        <w:rPr>
          <w:rFonts w:ascii="Calibri" w:hAnsi="Calibri" w:cs="Calibri" w:eastAsia="Calibri" w:hint="default"/>
          <w:sz w:val="18"/>
          <w:szCs w:val="18"/>
        </w:rPr>
        <w:sectPr>
          <w:headerReference w:type="default" r:id="rId71"/>
          <w:footerReference w:type="default" r:id="rId72"/>
          <w:pgSz w:w="16840" w:h="11910" w:orient="landscape"/>
          <w:pgMar w:header="0" w:footer="0" w:top="800" w:bottom="280" w:left="1300" w:right="122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pStyle w:val="Heading2"/>
        <w:spacing w:line="283" w:lineRule="auto" w:before="158"/>
        <w:ind w:right="299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3"/>
        </w:rPr>
        <w:t> </w:t>
      </w:r>
      <w:r>
        <w:rPr/>
        <w:t>使用企业集团资产和清偿企业集团债务的重大限制：</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83" w:lineRule="auto" w:before="0"/>
        <w:ind w:right="1303"/>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3"/>
        </w:rPr>
        <w:t> </w:t>
      </w:r>
      <w:r>
        <w:rPr/>
        <w:t>向纳入合并财务报表范围的结构化主体提供的财务支持或其他支持：</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2"/>
          <w:szCs w:val="22"/>
        </w:rPr>
      </w:pPr>
    </w:p>
    <w:p>
      <w:pPr>
        <w:pStyle w:val="BodyText"/>
        <w:spacing w:line="312" w:lineRule="exact"/>
        <w:ind w:left="217" w:right="7969"/>
        <w:jc w:val="left"/>
      </w:pPr>
      <w:r>
        <w:rPr/>
        <w:t>其他说明： 无</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2"/>
        <w:spacing w:line="240" w:lineRule="auto" w:before="0"/>
        <w:ind w:right="100"/>
        <w:jc w:val="left"/>
        <w:rPr>
          <w:b w:val="0"/>
          <w:bCs w:val="0"/>
        </w:rPr>
      </w:pPr>
      <w:r>
        <w:rPr>
          <w:rFonts w:ascii="宋体" w:hAnsi="宋体" w:cs="宋体" w:eastAsia="宋体"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55"/>
        <w:ind w:left="217" w:right="100"/>
        <w:jc w:val="left"/>
      </w:pPr>
      <w:r>
        <w:rPr/>
        <w:t>√适用</w:t>
      </w:r>
      <w:r>
        <w:rPr>
          <w:spacing w:val="-1"/>
        </w:rPr>
        <w:t> </w:t>
      </w:r>
      <w:r>
        <w:rPr/>
        <w:t>□不适用</w:t>
      </w:r>
    </w:p>
    <w:p>
      <w:pPr>
        <w:pStyle w:val="Heading2"/>
        <w:tabs>
          <w:tab w:pos="1057" w:val="left" w:leader="none"/>
        </w:tabs>
        <w:spacing w:line="240" w:lineRule="auto" w:before="58"/>
        <w:ind w:right="100"/>
        <w:jc w:val="left"/>
        <w:rPr>
          <w:b w:val="0"/>
          <w:bCs w:val="0"/>
        </w:rPr>
      </w:pPr>
      <w:r>
        <w:rPr>
          <w:rFonts w:ascii="宋体" w:hAnsi="宋体" w:cs="宋体" w:eastAsia="宋体" w:hint="default"/>
        </w:rPr>
        <w:t>(1).</w:t>
        <w:tab/>
      </w:r>
      <w:r>
        <w:rPr/>
        <w:t>在子公司所有者权益份额的变化情况的说明：</w:t>
      </w:r>
      <w:r>
        <w:rPr>
          <w:b w:val="0"/>
          <w:bCs w:val="0"/>
        </w:rPr>
      </w:r>
    </w:p>
    <w:p>
      <w:pPr>
        <w:pStyle w:val="BodyText"/>
        <w:spacing w:line="310" w:lineRule="exact" w:before="150"/>
        <w:ind w:left="217" w:right="337" w:firstLine="480"/>
        <w:jc w:val="left"/>
        <w:rPr>
          <w:rFonts w:ascii="宋体" w:hAnsi="宋体" w:cs="宋体" w:eastAsia="宋体" w:hint="default"/>
        </w:rPr>
      </w:pPr>
      <w:r>
        <w:rPr/>
        <w:t>①本公司间接控制子公司</w:t>
      </w:r>
      <w:r>
        <w:rPr>
          <w:spacing w:val="-84"/>
        </w:rPr>
        <w:t> </w:t>
      </w:r>
      <w:r>
        <w:rPr>
          <w:rFonts w:ascii="宋体" w:hAnsi="宋体" w:cs="宋体" w:eastAsia="宋体" w:hint="default"/>
        </w:rPr>
        <w:t>ASL</w:t>
      </w:r>
      <w:r>
        <w:rPr>
          <w:rFonts w:ascii="宋体" w:hAnsi="宋体" w:cs="宋体" w:eastAsia="宋体" w:hint="default"/>
          <w:spacing w:val="-84"/>
        </w:rPr>
        <w:t> </w:t>
      </w:r>
      <w:r>
        <w:rPr/>
        <w:t>公司激励对象已满足行权条件本期行权相应增加股 本变动</w:t>
      </w:r>
      <w:r>
        <w:rPr>
          <w:spacing w:val="-34"/>
        </w:rPr>
        <w:t> </w:t>
      </w:r>
      <w:r>
        <w:rPr>
          <w:rFonts w:ascii="宋体" w:hAnsi="宋体" w:cs="宋体" w:eastAsia="宋体" w:hint="default"/>
        </w:rPr>
        <w:t>688,600</w:t>
      </w:r>
      <w:r>
        <w:rPr>
          <w:rFonts w:ascii="宋体" w:hAnsi="宋体" w:cs="宋体" w:eastAsia="宋体" w:hint="default"/>
          <w:spacing w:val="-34"/>
        </w:rPr>
        <w:t> </w:t>
      </w:r>
      <w:r>
        <w:rPr/>
        <w:t>港币，本公司持股比例由</w:t>
      </w:r>
      <w:r>
        <w:rPr>
          <w:spacing w:val="-33"/>
        </w:rPr>
        <w:t> </w:t>
      </w:r>
      <w:r>
        <w:rPr>
          <w:rFonts w:ascii="宋体" w:hAnsi="宋体" w:cs="宋体" w:eastAsia="宋体" w:hint="default"/>
        </w:rPr>
        <w:t>66.95%</w:t>
      </w:r>
      <w:r>
        <w:rPr/>
        <w:t>变更为</w:t>
      </w:r>
      <w:r>
        <w:rPr>
          <w:spacing w:val="-34"/>
        </w:rPr>
        <w:t> </w:t>
      </w:r>
      <w:r>
        <w:rPr>
          <w:rFonts w:ascii="宋体" w:hAnsi="宋体" w:cs="宋体" w:eastAsia="宋体" w:hint="default"/>
        </w:rPr>
        <w:t>65.5%</w:t>
      </w:r>
      <w:r>
        <w:rPr/>
        <w:t>，股权交割已于</w:t>
      </w:r>
      <w:r>
        <w:rPr>
          <w:spacing w:val="-33"/>
        </w:rPr>
        <w:t> </w:t>
      </w:r>
      <w:r>
        <w:rPr>
          <w:rFonts w:ascii="宋体" w:hAnsi="宋体" w:cs="宋体" w:eastAsia="宋体" w:hint="default"/>
        </w:rPr>
        <w:t>2015</w:t>
      </w:r>
    </w:p>
    <w:p>
      <w:pPr>
        <w:pStyle w:val="BodyText"/>
        <w:spacing w:line="283" w:lineRule="exact"/>
        <w:ind w:left="217" w:right="100"/>
        <w:jc w:val="left"/>
      </w:pP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t>日办理完毕，此项交易导致少数股东权益增加</w:t>
      </w:r>
      <w:r>
        <w:rPr>
          <w:spacing w:val="-47"/>
        </w:rPr>
        <w:t> </w:t>
      </w:r>
      <w:r>
        <w:rPr>
          <w:rFonts w:ascii="宋体" w:hAnsi="宋体" w:cs="宋体" w:eastAsia="宋体" w:hint="default"/>
        </w:rPr>
        <w:t>1,469,008.37</w:t>
      </w:r>
      <w:r>
        <w:rPr>
          <w:rFonts w:ascii="宋体" w:hAnsi="宋体" w:cs="宋体" w:eastAsia="宋体" w:hint="default"/>
          <w:spacing w:val="-48"/>
        </w:rPr>
        <w:t> </w:t>
      </w:r>
      <w:r>
        <w:rPr/>
        <w:t>元，相应减</w:t>
      </w:r>
    </w:p>
    <w:p>
      <w:pPr>
        <w:pStyle w:val="BodyText"/>
        <w:spacing w:line="313" w:lineRule="exact"/>
        <w:ind w:left="217" w:right="100"/>
        <w:jc w:val="left"/>
      </w:pPr>
      <w:r>
        <w:rPr/>
        <w:t>少股本溢价</w:t>
      </w:r>
      <w:r>
        <w:rPr>
          <w:spacing w:val="-61"/>
        </w:rPr>
        <w:t> </w:t>
      </w:r>
      <w:r>
        <w:rPr>
          <w:rFonts w:ascii="宋体" w:hAnsi="宋体" w:cs="宋体" w:eastAsia="宋体" w:hint="default"/>
        </w:rPr>
        <w:t>1,469,008.37</w:t>
      </w:r>
      <w:r>
        <w:rPr>
          <w:rFonts w:ascii="宋体" w:hAnsi="宋体" w:cs="宋体" w:eastAsia="宋体" w:hint="default"/>
          <w:spacing w:val="-60"/>
        </w:rPr>
        <w:t> </w:t>
      </w:r>
      <w:r>
        <w:rPr/>
        <w:t>元；</w:t>
      </w:r>
    </w:p>
    <w:p>
      <w:pPr>
        <w:pStyle w:val="BodyText"/>
        <w:spacing w:line="312" w:lineRule="exact" w:before="146"/>
        <w:ind w:left="217" w:right="335" w:firstLine="480"/>
        <w:jc w:val="both"/>
      </w:pPr>
      <w:r>
        <w:rPr>
          <w:spacing w:val="20"/>
        </w:rPr>
        <w:t>②本公司根据投资协议对子公司北京华胜天成软件技术有限公司增加投资</w:t>
      </w:r>
      <w:r>
        <w:rPr>
          <w:spacing w:val="-99"/>
        </w:rPr>
        <w:t> </w:t>
      </w:r>
      <w:r>
        <w:rPr>
          <w:rFonts w:ascii="宋体" w:hAnsi="宋体" w:cs="宋体" w:eastAsia="宋体" w:hint="default"/>
        </w:rPr>
        <w:t>11,450,000</w:t>
      </w:r>
      <w:r>
        <w:rPr>
          <w:rFonts w:ascii="宋体" w:hAnsi="宋体" w:cs="宋体" w:eastAsia="宋体" w:hint="default"/>
          <w:spacing w:val="-56"/>
        </w:rPr>
        <w:t> </w:t>
      </w:r>
      <w:r>
        <w:rPr/>
        <w:t>万元，持股比例由</w:t>
      </w:r>
      <w:r>
        <w:rPr>
          <w:spacing w:val="-55"/>
        </w:rPr>
        <w:t> </w:t>
      </w:r>
      <w:r>
        <w:rPr>
          <w:rFonts w:ascii="宋体" w:hAnsi="宋体" w:cs="宋体" w:eastAsia="宋体" w:hint="default"/>
        </w:rPr>
        <w:t>98.96%</w:t>
      </w:r>
      <w:r>
        <w:rPr/>
        <w:t>变更为</w:t>
      </w:r>
      <w:r>
        <w:rPr>
          <w:spacing w:val="-56"/>
        </w:rPr>
        <w:t> </w:t>
      </w:r>
      <w:r>
        <w:rPr>
          <w:rFonts w:ascii="宋体" w:hAnsi="宋体" w:cs="宋体" w:eastAsia="宋体" w:hint="default"/>
        </w:rPr>
        <w:t>99.20%</w:t>
      </w:r>
      <w:r>
        <w:rPr/>
        <w:t>，发生未丧失控制权的权益性交 易，扣除少数股东影响，相应增加股本溢价</w:t>
      </w:r>
      <w:r>
        <w:rPr>
          <w:spacing w:val="-60"/>
        </w:rPr>
        <w:t> </w:t>
      </w:r>
      <w:r>
        <w:rPr>
          <w:rFonts w:ascii="宋体" w:hAnsi="宋体" w:cs="宋体" w:eastAsia="宋体" w:hint="default"/>
        </w:rPr>
        <w:t>432,614.11</w:t>
      </w:r>
      <w:r>
        <w:rPr>
          <w:rFonts w:ascii="宋体" w:hAnsi="宋体" w:cs="宋体" w:eastAsia="宋体" w:hint="default"/>
          <w:spacing w:val="-60"/>
        </w:rPr>
        <w:t> </w:t>
      </w:r>
      <w:r>
        <w:rPr/>
        <w:t>元；</w:t>
      </w:r>
    </w:p>
    <w:p>
      <w:pPr>
        <w:pStyle w:val="BodyText"/>
        <w:spacing w:line="312" w:lineRule="exact" w:before="117"/>
        <w:ind w:left="217" w:right="349" w:firstLine="480"/>
        <w:jc w:val="left"/>
        <w:rPr>
          <w:rFonts w:ascii="宋体" w:hAnsi="宋体" w:cs="宋体" w:eastAsia="宋体" w:hint="default"/>
        </w:rPr>
      </w:pPr>
      <w:r>
        <w:rPr/>
        <w:t>③本公司间接控股子公司浙江兰德纵横网络技术股份有限公司本期进行股份制 改革，发行新股</w:t>
      </w:r>
      <w:r>
        <w:rPr>
          <w:spacing w:val="-61"/>
        </w:rPr>
        <w:t> </w:t>
      </w:r>
      <w:r>
        <w:rPr>
          <w:rFonts w:ascii="宋体" w:hAnsi="宋体" w:cs="宋体" w:eastAsia="宋体" w:hint="default"/>
        </w:rPr>
        <w:t>555</w:t>
      </w:r>
      <w:r>
        <w:rPr>
          <w:rFonts w:ascii="宋体" w:hAnsi="宋体" w:cs="宋体" w:eastAsia="宋体" w:hint="default"/>
          <w:spacing w:val="-60"/>
        </w:rPr>
        <w:t> </w:t>
      </w:r>
      <w:r>
        <w:rPr/>
        <w:t>万，本公司持股比例变更为</w:t>
      </w:r>
      <w:r>
        <w:rPr>
          <w:spacing w:val="-59"/>
        </w:rPr>
        <w:t> </w:t>
      </w:r>
      <w:r>
        <w:rPr>
          <w:rFonts w:ascii="宋体" w:hAnsi="宋体" w:cs="宋体" w:eastAsia="宋体" w:hint="default"/>
        </w:rPr>
        <w:t>45.905%</w:t>
      </w:r>
      <w:r>
        <w:rPr/>
        <w:t>，形成未丧失控制权的权益 性交易</w:t>
      </w:r>
      <w:r>
        <w:rPr>
          <w:spacing w:val="-61"/>
        </w:rPr>
        <w:t> </w:t>
      </w:r>
      <w:r>
        <w:rPr>
          <w:rFonts w:ascii="宋体" w:hAnsi="宋体" w:cs="宋体" w:eastAsia="宋体" w:hint="default"/>
        </w:rPr>
        <w:t>278,506.71</w:t>
      </w:r>
      <w:r>
        <w:rPr>
          <w:rFonts w:ascii="宋体" w:hAnsi="宋体" w:cs="宋体" w:eastAsia="宋体" w:hint="default"/>
          <w:spacing w:val="-60"/>
        </w:rPr>
        <w:t> </w:t>
      </w:r>
      <w:r>
        <w:rPr/>
        <w:t>元，相应减少股本溢价</w:t>
      </w:r>
      <w:r>
        <w:rPr>
          <w:spacing w:val="-60"/>
        </w:rPr>
        <w:t> </w:t>
      </w:r>
      <w:r>
        <w:rPr>
          <w:rFonts w:ascii="宋体" w:hAnsi="宋体" w:cs="宋体" w:eastAsia="宋体" w:hint="default"/>
        </w:rPr>
        <w:t>275,610.24</w:t>
      </w:r>
      <w:r>
        <w:rPr>
          <w:rFonts w:ascii="宋体" w:hAnsi="宋体" w:cs="宋体" w:eastAsia="宋体" w:hint="default"/>
          <w:spacing w:val="-60"/>
        </w:rPr>
        <w:t> </w:t>
      </w:r>
      <w:r>
        <w:rPr/>
        <w:t>元</w:t>
      </w:r>
      <w:r>
        <w:rPr>
          <w:rFonts w:ascii="宋体" w:hAnsi="宋体" w:cs="宋体" w:eastAsia="宋体" w:hint="default"/>
        </w:rPr>
        <w:t>;</w:t>
      </w:r>
    </w:p>
    <w:p>
      <w:pPr>
        <w:pStyle w:val="BodyText"/>
        <w:spacing w:line="237" w:lineRule="auto" w:before="92"/>
        <w:ind w:left="217" w:right="100" w:firstLine="480"/>
        <w:jc w:val="left"/>
      </w:pPr>
      <w:r>
        <w:rPr>
          <w:spacing w:val="-2"/>
        </w:rPr>
        <w:t>④本公司根据投资协议对子公司北京华胜天成低碳产业创业投资中心（有限合伙）</w:t>
      </w:r>
      <w:r>
        <w:rPr/>
        <w:t> 增加投资</w:t>
      </w:r>
      <w:r>
        <w:rPr>
          <w:spacing w:val="-61"/>
        </w:rPr>
        <w:t> </w:t>
      </w:r>
      <w:r>
        <w:rPr>
          <w:rFonts w:ascii="宋体" w:hAnsi="宋体" w:cs="宋体" w:eastAsia="宋体" w:hint="default"/>
        </w:rPr>
        <w:t>1500</w:t>
      </w:r>
      <w:r>
        <w:rPr>
          <w:rFonts w:ascii="宋体" w:hAnsi="宋体" w:cs="宋体" w:eastAsia="宋体" w:hint="default"/>
          <w:spacing w:val="-60"/>
        </w:rPr>
        <w:t> </w:t>
      </w:r>
      <w:r>
        <w:rPr/>
        <w:t>万元，持股比例变为</w:t>
      </w:r>
      <w:r>
        <w:rPr>
          <w:spacing w:val="-60"/>
        </w:rPr>
        <w:t> </w:t>
      </w:r>
      <w:r>
        <w:rPr>
          <w:rFonts w:ascii="宋体" w:hAnsi="宋体" w:cs="宋体" w:eastAsia="宋体" w:hint="default"/>
        </w:rPr>
        <w:t>21.41%</w:t>
      </w:r>
      <w:r>
        <w:rPr/>
        <w:t>；本公司之间接控股子公司北京华胜天成 能源投资发展有限公司增加投资</w:t>
      </w:r>
      <w:r>
        <w:rPr>
          <w:spacing w:val="-59"/>
        </w:rPr>
        <w:t> </w:t>
      </w:r>
      <w:r>
        <w:rPr>
          <w:rFonts w:ascii="宋体" w:hAnsi="宋体" w:cs="宋体" w:eastAsia="宋体" w:hint="default"/>
        </w:rPr>
        <w:t>150</w:t>
      </w:r>
      <w:r>
        <w:rPr>
          <w:rFonts w:ascii="宋体" w:hAnsi="宋体" w:cs="宋体" w:eastAsia="宋体" w:hint="default"/>
          <w:spacing w:val="-59"/>
        </w:rPr>
        <w:t> </w:t>
      </w:r>
      <w:r>
        <w:rPr>
          <w:spacing w:val="-6"/>
        </w:rPr>
        <w:t>万元，持股比例变为</w:t>
      </w:r>
      <w:r>
        <w:rPr>
          <w:spacing w:val="-59"/>
        </w:rPr>
        <w:t> </w:t>
      </w:r>
      <w:r>
        <w:rPr>
          <w:rFonts w:ascii="宋体" w:hAnsi="宋体" w:cs="宋体" w:eastAsia="宋体" w:hint="default"/>
          <w:spacing w:val="-4"/>
        </w:rPr>
        <w:t>2.141%</w:t>
      </w:r>
      <w:r>
        <w:rPr>
          <w:spacing w:val="-4"/>
        </w:rPr>
        <w:t>。形成未丧失控制权</w:t>
      </w:r>
      <w:r>
        <w:rPr>
          <w:spacing w:val="-116"/>
        </w:rPr>
        <w:t> </w:t>
      </w:r>
      <w:r>
        <w:rPr>
          <w:spacing w:val="-116"/>
        </w:rPr>
      </w:r>
      <w:r>
        <w:rPr/>
        <w:t>的权益性交易，扣除少数股东影响，相应减少其他资本公积</w:t>
      </w:r>
      <w:r>
        <w:rPr>
          <w:spacing w:val="-60"/>
        </w:rPr>
        <w:t> </w:t>
      </w:r>
      <w:r>
        <w:rPr>
          <w:rFonts w:ascii="宋体" w:hAnsi="宋体" w:cs="宋体" w:eastAsia="宋体" w:hint="default"/>
        </w:rPr>
        <w:t>898,112.84</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pStyle w:val="Heading2"/>
        <w:tabs>
          <w:tab w:pos="1057" w:val="left" w:leader="none"/>
        </w:tabs>
        <w:spacing w:line="240" w:lineRule="auto" w:before="174"/>
        <w:ind w:right="100"/>
        <w:jc w:val="left"/>
        <w:rPr>
          <w:rFonts w:ascii="宋体" w:hAnsi="宋体" w:cs="宋体" w:eastAsia="宋体" w:hint="default"/>
          <w:b w:val="0"/>
          <w:bCs w:val="0"/>
        </w:rPr>
      </w:pPr>
      <w:r>
        <w:rPr>
          <w:rFonts w:ascii="宋体" w:hAnsi="宋体" w:cs="宋体" w:eastAsia="宋体" w:hint="default"/>
        </w:rPr>
        <w:t>(2).</w:t>
        <w:tab/>
      </w:r>
      <w:r>
        <w:rPr/>
        <w:t>交易对于少数股东权益及归属于母公司所有者权益的影响</w:t>
      </w:r>
      <w:r>
        <w:rPr>
          <w:rFonts w:ascii="宋体" w:hAnsi="宋体" w:cs="宋体" w:eastAsia="宋体" w:hint="default"/>
          <w:b w:val="0"/>
          <w:bCs w:val="0"/>
        </w:rPr>
        <w:t>：</w:t>
      </w:r>
    </w:p>
    <w:p>
      <w:pPr>
        <w:pStyle w:val="BodyText"/>
        <w:tabs>
          <w:tab w:pos="1079" w:val="left" w:leader="none"/>
        </w:tabs>
        <w:spacing w:line="240" w:lineRule="auto" w:before="58"/>
        <w:ind w:left="0" w:right="35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25"/>
        <w:gridCol w:w="1918"/>
        <w:gridCol w:w="1868"/>
        <w:gridCol w:w="1546"/>
        <w:gridCol w:w="1493"/>
      </w:tblGrid>
      <w:tr>
        <w:trPr>
          <w:trHeight w:val="1104" w:hRule="exact"/>
        </w:trPr>
        <w:tc>
          <w:tcPr>
            <w:tcW w:w="2225" w:type="dxa"/>
            <w:tcBorders>
              <w:top w:val="single" w:sz="6" w:space="0" w:color="000000"/>
              <w:left w:val="single" w:sz="4"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pacing w:val="-48"/>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件技术有限公司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浙江兰德纵横</w:t>
            </w:r>
          </w:p>
          <w:p>
            <w:pPr>
              <w:pStyle w:val="TableParagraph"/>
              <w:spacing w:line="240" w:lineRule="auto"/>
              <w:ind w:left="100" w:right="165"/>
              <w:jc w:val="left"/>
              <w:rPr>
                <w:rFonts w:ascii="宋体" w:hAnsi="宋体" w:cs="宋体" w:eastAsia="宋体" w:hint="default"/>
                <w:sz w:val="21"/>
                <w:szCs w:val="21"/>
              </w:rPr>
            </w:pPr>
            <w:r>
              <w:rPr>
                <w:rFonts w:ascii="宋体" w:hAnsi="宋体" w:cs="宋体" w:eastAsia="宋体" w:hint="default"/>
                <w:sz w:val="21"/>
                <w:szCs w:val="21"/>
              </w:rPr>
              <w:t>网络技术股份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北京华胜天成</w:t>
            </w:r>
          </w:p>
          <w:p>
            <w:pPr>
              <w:pStyle w:val="TableParagraph"/>
              <w:spacing w:line="237" w:lineRule="auto"/>
              <w:ind w:left="100" w:right="116"/>
              <w:jc w:val="both"/>
              <w:rPr>
                <w:rFonts w:ascii="宋体" w:hAnsi="宋体" w:cs="宋体" w:eastAsia="宋体" w:hint="default"/>
                <w:sz w:val="21"/>
                <w:szCs w:val="21"/>
              </w:rPr>
            </w:pPr>
            <w:r>
              <w:rPr>
                <w:rFonts w:ascii="宋体" w:hAnsi="宋体" w:cs="宋体" w:eastAsia="宋体" w:hint="default"/>
                <w:sz w:val="21"/>
                <w:szCs w:val="21"/>
              </w:rPr>
              <w:t>低碳产业创业</w:t>
            </w:r>
            <w:r>
              <w:rPr>
                <w:rFonts w:ascii="宋体" w:hAnsi="宋体" w:cs="宋体" w:eastAsia="宋体" w:hint="default"/>
                <w:w w:val="100"/>
                <w:sz w:val="21"/>
                <w:szCs w:val="21"/>
              </w:rPr>
              <w:t> </w:t>
            </w:r>
            <w:r>
              <w:rPr>
                <w:rFonts w:ascii="宋体" w:hAnsi="宋体" w:cs="宋体" w:eastAsia="宋体" w:hint="default"/>
                <w:sz w:val="21"/>
                <w:szCs w:val="21"/>
              </w:rPr>
              <w:t>投资中心（有</w:t>
            </w:r>
            <w:r>
              <w:rPr>
                <w:rFonts w:ascii="宋体" w:hAnsi="宋体" w:cs="宋体" w:eastAsia="宋体" w:hint="default"/>
                <w:w w:val="100"/>
                <w:sz w:val="21"/>
                <w:szCs w:val="21"/>
              </w:rPr>
              <w:t> </w:t>
            </w:r>
            <w:r>
              <w:rPr>
                <w:rFonts w:ascii="宋体" w:hAnsi="宋体" w:cs="宋体" w:eastAsia="宋体" w:hint="default"/>
                <w:sz w:val="21"/>
                <w:szCs w:val="21"/>
              </w:rPr>
              <w:t>限合伙）</w:t>
            </w: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1918"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11,450,000.00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9"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11,450,000.00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footerReference w:type="default" r:id="rId73"/>
          <w:pgSz w:w="11910" w:h="16840"/>
          <w:pgMar w:footer="1195" w:header="0" w:top="1120" w:bottom="1380" w:left="1060" w:right="1440"/>
          <w:pgNumType w:start="175"/>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25"/>
        <w:gridCol w:w="1918"/>
        <w:gridCol w:w="1868"/>
        <w:gridCol w:w="1546"/>
        <w:gridCol w:w="1493"/>
      </w:tblGrid>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918"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4" w:space="0" w:color="000000"/>
            </w:tcBorders>
          </w:tcPr>
          <w:p>
            <w:pPr/>
          </w:p>
        </w:tc>
      </w:tr>
      <w:tr>
        <w:trPr>
          <w:trHeight w:val="830"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w:t>
            </w:r>
          </w:p>
          <w:p>
            <w:pPr>
              <w:pStyle w:val="TableParagraph"/>
              <w:spacing w:line="240" w:lineRule="auto"/>
              <w:ind w:left="103" w:right="213"/>
              <w:jc w:val="left"/>
              <w:rPr>
                <w:rFonts w:ascii="宋体" w:hAnsi="宋体" w:cs="宋体" w:eastAsia="宋体" w:hint="default"/>
                <w:sz w:val="21"/>
                <w:szCs w:val="21"/>
              </w:rPr>
            </w:pPr>
            <w:r>
              <w:rPr>
                <w:rFonts w:ascii="宋体" w:hAnsi="宋体" w:cs="宋体" w:eastAsia="宋体" w:hint="default"/>
                <w:sz w:val="21"/>
                <w:szCs w:val="21"/>
              </w:rPr>
              <w:t>权比例计算的子公司</w:t>
            </w:r>
            <w:r>
              <w:rPr>
                <w:rFonts w:ascii="宋体" w:hAnsi="宋体" w:cs="宋体" w:eastAsia="宋体" w:hint="default"/>
                <w:w w:val="100"/>
                <w:sz w:val="21"/>
                <w:szCs w:val="21"/>
              </w:rPr>
              <w:t> </w:t>
            </w:r>
            <w:r>
              <w:rPr>
                <w:rFonts w:ascii="宋体" w:hAnsi="宋体" w:cs="宋体" w:eastAsia="宋体" w:hint="default"/>
                <w:sz w:val="21"/>
                <w:szCs w:val="21"/>
              </w:rPr>
              <w:t>净资产份额</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1,469,008.37</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11,882,614.11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275,610.24</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898,112.84</w:t>
            </w: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-1,469,008.37</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-432,614.11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-275,610.24</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-898,112.84</w:t>
            </w: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-1,469,008.37</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-432,614.11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-275,610.24</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-898,112.84</w:t>
            </w:r>
          </w:p>
        </w:tc>
      </w:tr>
      <w:tr>
        <w:trPr>
          <w:trHeight w:val="288" w:hRule="exact"/>
        </w:trPr>
        <w:tc>
          <w:tcPr>
            <w:tcW w:w="22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7" w:hRule="exact"/>
        </w:trPr>
        <w:tc>
          <w:tcPr>
            <w:tcW w:w="2225"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91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6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5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49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pStyle w:val="BodyText"/>
        <w:spacing w:line="273" w:lineRule="exact"/>
        <w:ind w:left="217" w:right="2569"/>
        <w:jc w:val="left"/>
      </w:pPr>
      <w:r>
        <w:rPr/>
        <w:t>其他说明</w:t>
      </w:r>
    </w:p>
    <w:p>
      <w:pPr>
        <w:pStyle w:val="BodyText"/>
        <w:spacing w:line="313" w:lineRule="exact"/>
        <w:ind w:left="217" w:right="2569"/>
        <w:jc w:val="left"/>
      </w:pPr>
      <w:r>
        <w:rPr/>
        <w:t>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060" w:right="1560"/>
        </w:sectPr>
      </w:pPr>
    </w:p>
    <w:p>
      <w:pPr>
        <w:pStyle w:val="Heading2"/>
        <w:spacing w:line="240" w:lineRule="auto"/>
        <w:ind w:right="-17"/>
        <w:jc w:val="left"/>
        <w:rPr>
          <w:b w:val="0"/>
          <w:bCs w:val="0"/>
        </w:rPr>
      </w:pPr>
      <w:r>
        <w:rPr>
          <w:rFonts w:ascii="宋体" w:hAnsi="宋体" w:cs="宋体" w:eastAsia="宋体" w:hint="default"/>
        </w:rPr>
        <w:t>3</w:t>
      </w:r>
      <w:r>
        <w:rPr/>
        <w:t>、</w:t>
      </w:r>
      <w:r>
        <w:rPr>
          <w:spacing w:val="-66"/>
        </w:rPr>
        <w:t> </w:t>
      </w:r>
      <w:r>
        <w:rPr/>
        <w:t>在合营企业或联营企业中的权益</w:t>
      </w:r>
      <w:r>
        <w:rPr>
          <w:b w:val="0"/>
          <w:bCs w:val="0"/>
        </w:rPr>
      </w:r>
    </w:p>
    <w:p>
      <w:pPr>
        <w:pStyle w:val="BodyText"/>
        <w:spacing w:line="240" w:lineRule="auto" w:before="55"/>
        <w:ind w:left="217" w:right="-17"/>
        <w:jc w:val="left"/>
      </w:pPr>
      <w:r>
        <w:rPr/>
        <w:t>√适用</w:t>
      </w:r>
      <w:r>
        <w:rPr>
          <w:spacing w:val="-1"/>
        </w:rPr>
        <w:t> </w:t>
      </w:r>
      <w:r>
        <w:rPr/>
        <w:t>□不适用</w:t>
      </w:r>
    </w:p>
    <w:p>
      <w:pPr>
        <w:pStyle w:val="Heading2"/>
        <w:spacing w:line="240" w:lineRule="auto" w:before="58"/>
        <w:ind w:right="-17"/>
        <w:jc w:val="left"/>
        <w:rPr>
          <w:b w:val="0"/>
          <w:bCs w:val="0"/>
        </w:rPr>
      </w:pPr>
      <w:r>
        <w:rPr>
          <w:rFonts w:ascii="宋体" w:hAnsi="宋体" w:cs="宋体" w:eastAsia="宋体" w:hint="default"/>
        </w:rPr>
        <w:t>(1).</w:t>
      </w:r>
      <w:r>
        <w:rPr>
          <w:rFonts w:ascii="宋体" w:hAnsi="宋体" w:cs="宋体" w:eastAsia="宋体" w:hint="default"/>
          <w:spacing w:val="23"/>
        </w:rPr>
        <w:t> </w:t>
      </w:r>
      <w:r>
        <w:rPr/>
        <w:t>重要联营企业的主要财务信息</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7" w:val="left" w:leader="none"/>
        </w:tabs>
        <w:spacing w:line="240" w:lineRule="auto" w:before="197"/>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011" w:space="2182"/>
            <w:col w:w="309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57"/>
        <w:gridCol w:w="2948"/>
        <w:gridCol w:w="2945"/>
      </w:tblGrid>
      <w:tr>
        <w:trPr>
          <w:trHeight w:val="286" w:hRule="exact"/>
        </w:trPr>
        <w:tc>
          <w:tcPr>
            <w:tcW w:w="3157" w:type="dxa"/>
            <w:vMerge w:val="restart"/>
            <w:tcBorders>
              <w:top w:val="single" w:sz="4" w:space="0" w:color="000000"/>
              <w:left w:val="single" w:sz="4" w:space="0" w:color="000000"/>
              <w:right w:val="single" w:sz="6" w:space="0" w:color="000000"/>
            </w:tcBorders>
          </w:tcPr>
          <w:p>
            <w:pPr>
              <w:pStyle w:val="TableParagraph"/>
              <w:spacing w:line="243" w:lineRule="exact"/>
              <w:ind w:left="197" w:right="0"/>
              <w:jc w:val="left"/>
              <w:rPr>
                <w:rFonts w:ascii="宋体" w:hAnsi="宋体" w:cs="宋体" w:eastAsia="宋体" w:hint="default"/>
                <w:sz w:val="21"/>
                <w:szCs w:val="21"/>
              </w:rPr>
            </w:pPr>
            <w:r>
              <w:rPr>
                <w:rFonts w:ascii="宋体"/>
                <w:b/>
                <w:sz w:val="21"/>
              </w:rPr>
              <w:t>I-SprintInnovationsPteLtd.</w:t>
            </w:r>
            <w:r>
              <w:rPr>
                <w:rFonts w:ascii="宋体"/>
                <w:sz w:val="21"/>
              </w:rPr>
            </w:r>
          </w:p>
        </w:tc>
        <w:tc>
          <w:tcPr>
            <w:tcW w:w="294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4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1066" w:hRule="exact"/>
        </w:trPr>
        <w:tc>
          <w:tcPr>
            <w:tcW w:w="3157" w:type="dxa"/>
            <w:vMerge/>
            <w:tcBorders>
              <w:left w:val="single" w:sz="4"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I-SprintInnovationsPteLtd.</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I-SprintInnovationsPteLtd.</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89,126,616.75</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4"/>
              <w:jc w:val="right"/>
              <w:rPr>
                <w:rFonts w:ascii="宋体" w:hAnsi="宋体" w:cs="宋体" w:eastAsia="宋体" w:hint="default"/>
                <w:sz w:val="21"/>
                <w:szCs w:val="21"/>
              </w:rPr>
            </w:pPr>
            <w:r>
              <w:rPr>
                <w:rFonts w:ascii="宋体"/>
                <w:spacing w:val="-1"/>
                <w:sz w:val="21"/>
              </w:rPr>
              <w:t>62,520,633.22</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19,161,678.32</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16,358,491.26</w:t>
            </w:r>
          </w:p>
        </w:tc>
      </w:tr>
      <w:tr>
        <w:trPr>
          <w:trHeight w:val="286"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108,288,295.07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78,879,124.48</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40,400,601.68</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36,045,559.92</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6"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40,400,601.68</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36,045,559.92</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67,887,693.39</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4"/>
              <w:jc w:val="right"/>
              <w:rPr>
                <w:rFonts w:ascii="Arial" w:hAnsi="Arial" w:cs="Arial" w:eastAsia="Arial" w:hint="default"/>
                <w:sz w:val="21"/>
                <w:szCs w:val="21"/>
              </w:rPr>
            </w:pPr>
            <w:r>
              <w:rPr>
                <w:rFonts w:ascii="Arial"/>
                <w:spacing w:val="-2"/>
                <w:w w:val="80"/>
                <w:sz w:val="21"/>
              </w:rPr>
              <w:t>42,833,564.55</w:t>
            </w:r>
            <w:r>
              <w:rPr>
                <w:rFonts w:ascii="Arial"/>
                <w:sz w:val="21"/>
              </w:rPr>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57" w:type="dxa"/>
            <w:tcBorders>
              <w:top w:val="single" w:sz="6" w:space="0" w:color="000000"/>
              <w:left w:val="single" w:sz="4"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27,019,301.97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4"/>
              <w:jc w:val="right"/>
              <w:rPr>
                <w:rFonts w:ascii="宋体" w:hAnsi="宋体" w:cs="宋体" w:eastAsia="宋体" w:hint="default"/>
                <w:sz w:val="21"/>
                <w:szCs w:val="21"/>
              </w:rPr>
            </w:pPr>
            <w:r>
              <w:rPr>
                <w:rFonts w:ascii="宋体"/>
                <w:spacing w:val="-1"/>
                <w:sz w:val="21"/>
              </w:rPr>
              <w:t>20,654,344.83</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30,442,934.82</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42,035,220.75</w:t>
            </w:r>
          </w:p>
        </w:tc>
      </w:tr>
      <w:tr>
        <w:trPr>
          <w:trHeight w:val="286"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33,538,081.45</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42,114,414.17</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-177,067.63</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-79,193.42</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-2,918,079.00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57,462,236.79</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62,689,565.58</w:t>
            </w:r>
          </w:p>
        </w:tc>
      </w:tr>
      <w:tr>
        <w:trPr>
          <w:trHeight w:val="559"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资的公允价值</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106,640,506.60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63,553,444.37</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-14,903,099.48</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-36,936,031.35</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w:t>
            </w:r>
          </w:p>
        </w:tc>
      </w:tr>
      <w:tr>
        <w:trPr>
          <w:trHeight w:val="286"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243,069.00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-331,155.65</w:t>
            </w:r>
          </w:p>
        </w:tc>
      </w:tr>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94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-14,660,030.48</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-37,267,187.00</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57"/>
        <w:gridCol w:w="2948"/>
        <w:gridCol w:w="2945"/>
      </w:tblGrid>
      <w:tr>
        <w:trPr>
          <w:trHeight w:val="288" w:hRule="exact"/>
        </w:trPr>
        <w:tc>
          <w:tcPr>
            <w:tcW w:w="3157" w:type="dxa"/>
            <w:tcBorders>
              <w:top w:val="single" w:sz="6" w:space="0" w:color="000000"/>
              <w:left w:val="single" w:sz="4" w:space="0" w:color="000000"/>
              <w:bottom w:val="single" w:sz="6" w:space="0" w:color="000000"/>
              <w:right w:val="single" w:sz="6" w:space="0" w:color="000000"/>
            </w:tcBorders>
          </w:tcPr>
          <w:p>
            <w:pPr/>
          </w:p>
        </w:tc>
        <w:tc>
          <w:tcPr>
            <w:tcW w:w="2948" w:type="dxa"/>
            <w:tcBorders>
              <w:top w:val="single" w:sz="4"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3157"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2948" w:type="dxa"/>
            <w:tcBorders>
              <w:top w:val="single" w:sz="6" w:space="0" w:color="000000"/>
              <w:left w:val="single" w:sz="6" w:space="0" w:color="000000"/>
              <w:bottom w:val="single" w:sz="4" w:space="0" w:color="000000"/>
              <w:right w:val="single" w:sz="6" w:space="0" w:color="000000"/>
            </w:tcBorders>
          </w:tcPr>
          <w:p>
            <w:pPr/>
          </w:p>
        </w:tc>
        <w:tc>
          <w:tcPr>
            <w:tcW w:w="294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0"/>
        <w:rPr>
          <w:rFonts w:ascii="宋体" w:hAnsi="宋体" w:cs="宋体" w:eastAsia="宋体" w:hint="default"/>
          <w:sz w:val="18"/>
          <w:szCs w:val="18"/>
        </w:rPr>
      </w:pPr>
    </w:p>
    <w:p>
      <w:pPr>
        <w:pStyle w:val="BodyText"/>
        <w:spacing w:line="310" w:lineRule="exact" w:before="58"/>
        <w:ind w:left="217" w:right="8089"/>
        <w:jc w:val="left"/>
      </w:pPr>
      <w:r>
        <w:rPr/>
        <w:t>其他说明 无</w:t>
      </w:r>
    </w:p>
    <w:p>
      <w:pPr>
        <w:spacing w:line="240" w:lineRule="auto" w:before="2"/>
        <w:rPr>
          <w:rFonts w:ascii="宋体" w:hAnsi="宋体" w:cs="宋体" w:eastAsia="宋体" w:hint="default"/>
          <w:sz w:val="24"/>
          <w:szCs w:val="24"/>
        </w:rPr>
      </w:pPr>
    </w:p>
    <w:p>
      <w:pPr>
        <w:pStyle w:val="Heading2"/>
        <w:spacing w:line="240" w:lineRule="auto"/>
        <w:ind w:right="2569"/>
        <w:jc w:val="left"/>
        <w:rPr>
          <w:b w:val="0"/>
          <w:bCs w:val="0"/>
        </w:rPr>
      </w:pPr>
      <w:r>
        <w:rPr>
          <w:rFonts w:ascii="宋体" w:hAnsi="宋体" w:cs="宋体" w:eastAsia="宋体" w:hint="default"/>
        </w:rPr>
        <w:t>(2).</w:t>
      </w:r>
      <w:r>
        <w:rPr>
          <w:rFonts w:ascii="宋体" w:hAnsi="宋体" w:cs="宋体" w:eastAsia="宋体" w:hint="default"/>
          <w:spacing w:val="22"/>
        </w:rPr>
        <w:t> </w:t>
      </w:r>
      <w:r>
        <w:rPr/>
        <w:t>不重要的合营企业和联营企业的汇总财务信息</w:t>
      </w:r>
      <w:r>
        <w:rPr>
          <w:b w:val="0"/>
          <w:bCs w:val="0"/>
        </w:rPr>
      </w:r>
    </w:p>
    <w:p>
      <w:pPr>
        <w:pStyle w:val="BodyText"/>
        <w:tabs>
          <w:tab w:pos="1199" w:val="left" w:leader="none"/>
        </w:tabs>
        <w:spacing w:line="240" w:lineRule="auto" w:before="58"/>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5"/>
        <w:gridCol w:w="3070"/>
        <w:gridCol w:w="3075"/>
      </w:tblGrid>
      <w:tr>
        <w:trPr>
          <w:trHeight w:val="324"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32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32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p>
        </w:tc>
      </w:tr>
      <w:tr>
        <w:trPr>
          <w:trHeight w:val="32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179,531,984.22</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15,778,483.32</w:t>
            </w:r>
          </w:p>
        </w:tc>
      </w:tr>
      <w:tr>
        <w:trPr>
          <w:trHeight w:val="63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-2,156,828.17</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338,211.04</w:t>
            </w:r>
          </w:p>
        </w:tc>
      </w:tr>
      <w:tr>
        <w:trPr>
          <w:trHeight w:val="324"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102,460.95</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r>
        <w:trPr>
          <w:trHeight w:val="32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-2,054,367.22</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338,211.04</w:t>
            </w:r>
          </w:p>
        </w:tc>
      </w:tr>
    </w:tbl>
    <w:p>
      <w:pPr>
        <w:pStyle w:val="BodyText"/>
        <w:spacing w:line="272" w:lineRule="exact"/>
        <w:ind w:left="217" w:right="2569"/>
        <w:jc w:val="left"/>
      </w:pPr>
      <w:r>
        <w:rPr/>
        <w:t>其他说明</w:t>
      </w:r>
    </w:p>
    <w:p>
      <w:pPr>
        <w:pStyle w:val="BodyText"/>
        <w:spacing w:line="312" w:lineRule="exact"/>
        <w:ind w:left="217" w:right="2569"/>
        <w:jc w:val="left"/>
      </w:pPr>
      <w:r>
        <w:rPr/>
        <w:t>无</w:t>
      </w:r>
    </w:p>
    <w:p>
      <w:pPr>
        <w:spacing w:line="240" w:lineRule="auto" w:before="4"/>
        <w:rPr>
          <w:rFonts w:ascii="宋体" w:hAnsi="宋体" w:cs="宋体" w:eastAsia="宋体" w:hint="default"/>
          <w:sz w:val="28"/>
          <w:szCs w:val="28"/>
        </w:rPr>
      </w:pPr>
    </w:p>
    <w:p>
      <w:pPr>
        <w:pStyle w:val="Heading2"/>
        <w:spacing w:line="283" w:lineRule="auto" w:before="0"/>
        <w:ind w:right="1195"/>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1"/>
        </w:rPr>
        <w:t> </w:t>
      </w:r>
      <w:r>
        <w:rPr/>
        <w:t>合营企业或联营企业向本公司转移资金的能力存在重大限制的说明：</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pStyle w:val="Heading2"/>
        <w:spacing w:line="240" w:lineRule="auto"/>
        <w:ind w:right="2569"/>
        <w:jc w:val="left"/>
        <w:rPr>
          <w:b w:val="0"/>
          <w:bCs w:val="0"/>
        </w:rPr>
      </w:pPr>
      <w:r>
        <w:rPr>
          <w:rFonts w:ascii="宋体" w:hAnsi="宋体" w:cs="宋体" w:eastAsia="宋体" w:hint="default"/>
        </w:rPr>
        <w:t>(4).</w:t>
      </w:r>
      <w:r>
        <w:rPr>
          <w:rFonts w:ascii="宋体" w:hAnsi="宋体" w:cs="宋体" w:eastAsia="宋体" w:hint="default"/>
          <w:spacing w:val="22"/>
        </w:rPr>
        <w:t> </w:t>
      </w:r>
      <w:r>
        <w:rPr/>
        <w:t>合营企业或联营企业发生的超额亏损</w:t>
      </w:r>
      <w:r>
        <w:rPr>
          <w:b w:val="0"/>
          <w:bCs w:val="0"/>
        </w:rPr>
      </w:r>
    </w:p>
    <w:p>
      <w:pPr>
        <w:pStyle w:val="BodyText"/>
        <w:tabs>
          <w:tab w:pos="1079" w:val="left" w:leader="none"/>
        </w:tabs>
        <w:spacing w:line="240" w:lineRule="auto" w:before="55"/>
        <w:ind w:left="0" w:right="23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5"/>
        <w:gridCol w:w="2266"/>
        <w:gridCol w:w="2549"/>
        <w:gridCol w:w="2249"/>
      </w:tblGrid>
      <w:tr>
        <w:trPr>
          <w:trHeight w:val="946"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312" w:lineRule="exact" w:before="146"/>
              <w:ind w:left="506" w:right="144" w:hanging="360"/>
              <w:jc w:val="left"/>
              <w:rPr>
                <w:rFonts w:ascii="宋体" w:hAnsi="宋体" w:cs="宋体" w:eastAsia="宋体" w:hint="default"/>
                <w:sz w:val="24"/>
                <w:szCs w:val="24"/>
              </w:rPr>
            </w:pPr>
            <w:r>
              <w:rPr>
                <w:rFonts w:ascii="宋体" w:hAnsi="宋体" w:cs="宋体" w:eastAsia="宋体" w:hint="default"/>
                <w:sz w:val="24"/>
                <w:szCs w:val="24"/>
              </w:rPr>
              <w:t>合营企业或联营 企业名称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312" w:lineRule="exact" w:before="146"/>
              <w:ind w:left="643" w:right="166" w:hanging="480"/>
              <w:jc w:val="left"/>
              <w:rPr>
                <w:rFonts w:ascii="宋体" w:hAnsi="宋体" w:cs="宋体" w:eastAsia="宋体" w:hint="default"/>
                <w:sz w:val="24"/>
                <w:szCs w:val="24"/>
              </w:rPr>
            </w:pPr>
            <w:r>
              <w:rPr>
                <w:rFonts w:ascii="宋体" w:hAnsi="宋体" w:cs="宋体" w:eastAsia="宋体" w:hint="default"/>
                <w:sz w:val="24"/>
                <w:szCs w:val="24"/>
              </w:rPr>
              <w:t>累积未确认前期累 计的损失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本期未确认的损失</w:t>
            </w:r>
          </w:p>
          <w:p>
            <w:pPr>
              <w:pStyle w:val="TableParagraph"/>
              <w:spacing w:line="312" w:lineRule="exact" w:before="29"/>
              <w:ind w:left="187" w:right="185"/>
              <w:jc w:val="center"/>
              <w:rPr>
                <w:rFonts w:ascii="宋体" w:hAnsi="宋体" w:cs="宋体" w:eastAsia="宋体" w:hint="default"/>
                <w:sz w:val="24"/>
                <w:szCs w:val="24"/>
              </w:rPr>
            </w:pPr>
            <w:r>
              <w:rPr>
                <w:rFonts w:ascii="宋体" w:hAnsi="宋体" w:cs="宋体" w:eastAsia="宋体" w:hint="default"/>
                <w:sz w:val="24"/>
                <w:szCs w:val="24"/>
              </w:rPr>
              <w:t>（或本期分享的净利 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312" w:lineRule="exact" w:before="146"/>
              <w:ind w:left="755" w:right="159" w:hanging="600"/>
              <w:jc w:val="left"/>
              <w:rPr>
                <w:rFonts w:ascii="宋体" w:hAnsi="宋体" w:cs="宋体" w:eastAsia="宋体" w:hint="default"/>
                <w:sz w:val="24"/>
                <w:szCs w:val="24"/>
              </w:rPr>
            </w:pPr>
            <w:r>
              <w:rPr>
                <w:rFonts w:ascii="宋体" w:hAnsi="宋体" w:cs="宋体" w:eastAsia="宋体" w:hint="default"/>
                <w:sz w:val="24"/>
                <w:szCs w:val="24"/>
              </w:rPr>
              <w:t>本期末累积未确认 的损失</w:t>
            </w:r>
          </w:p>
        </w:tc>
      </w:tr>
      <w:tr>
        <w:trPr>
          <w:trHeight w:val="326" w:hRule="exact"/>
        </w:trPr>
        <w:tc>
          <w:tcPr>
            <w:tcW w:w="1985" w:type="dxa"/>
            <w:tcBorders>
              <w:top w:val="single" w:sz="6" w:space="0" w:color="000000"/>
              <w:left w:val="single" w:sz="4"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73" w:lineRule="exact"/>
        <w:ind w:left="217" w:right="2569"/>
        <w:jc w:val="left"/>
      </w:pPr>
      <w:r>
        <w:rPr/>
        <w:t>其他说明</w:t>
      </w:r>
    </w:p>
    <w:p>
      <w:pPr>
        <w:pStyle w:val="BodyText"/>
        <w:spacing w:line="313" w:lineRule="exact"/>
        <w:ind w:left="217" w:right="2569"/>
        <w:jc w:val="left"/>
      </w:pPr>
      <w:r>
        <w:rPr/>
        <w:t>无</w:t>
      </w:r>
    </w:p>
    <w:p>
      <w:pPr>
        <w:spacing w:line="240" w:lineRule="auto" w:before="1"/>
        <w:rPr>
          <w:rFonts w:ascii="宋体" w:hAnsi="宋体" w:cs="宋体" w:eastAsia="宋体" w:hint="default"/>
          <w:sz w:val="28"/>
          <w:szCs w:val="28"/>
        </w:rPr>
      </w:pPr>
    </w:p>
    <w:p>
      <w:pPr>
        <w:pStyle w:val="Heading2"/>
        <w:spacing w:line="283" w:lineRule="auto" w:before="0"/>
        <w:ind w:right="4807"/>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3"/>
        </w:rPr>
        <w:t> </w:t>
      </w:r>
      <w:r>
        <w:rPr/>
        <w:t>与合营企业投资相关的未确认承诺</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83" w:lineRule="auto" w:before="0"/>
        <w:ind w:right="3843"/>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3"/>
        </w:rPr>
        <w:t> </w:t>
      </w:r>
      <w:r>
        <w:rPr/>
        <w:t>与合营企业或联营企业投资相关的或有负债</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40" w:lineRule="auto" w:before="0"/>
        <w:ind w:right="2569"/>
        <w:jc w:val="left"/>
        <w:rPr>
          <w:b w:val="0"/>
          <w:bCs w:val="0"/>
        </w:rPr>
      </w:pPr>
      <w:r>
        <w:rPr>
          <w:rFonts w:ascii="宋体" w:hAnsi="宋体" w:cs="宋体" w:eastAsia="宋体" w:hint="default"/>
        </w:rPr>
        <w:t>4</w:t>
      </w:r>
      <w:r>
        <w:rPr/>
        <w:t>、</w:t>
      </w:r>
      <w:r>
        <w:rPr>
          <w:spacing w:val="-65"/>
        </w:rPr>
        <w:t> </w:t>
      </w:r>
      <w:r>
        <w:rPr/>
        <w:t>重要的共同经营</w:t>
      </w:r>
      <w:r>
        <w:rPr>
          <w:b w:val="0"/>
          <w:bCs w:val="0"/>
        </w:rPr>
      </w:r>
    </w:p>
    <w:p>
      <w:pPr>
        <w:pStyle w:val="BodyText"/>
        <w:spacing w:line="240" w:lineRule="auto" w:before="56"/>
        <w:ind w:left="217" w:right="2569"/>
        <w:jc w:val="left"/>
      </w:pPr>
      <w:r>
        <w:rPr/>
        <w:t>□适用</w:t>
      </w:r>
      <w:r>
        <w:rPr>
          <w:spacing w:val="-1"/>
        </w:rPr>
        <w:t> </w:t>
      </w:r>
      <w:r>
        <w:rPr/>
        <w:t>√不适用</w:t>
      </w:r>
    </w:p>
    <w:p>
      <w:pPr>
        <w:spacing w:after="0" w:line="240" w:lineRule="auto"/>
        <w:jc w:val="left"/>
        <w:sectPr>
          <w:pgSz w:w="11910" w:h="16840"/>
          <w:pgMar w:header="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1" w:lineRule="auto" w:before="171"/>
        <w:ind w:left="137" w:right="3452"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7"/>
          <w:sz w:val="24"/>
          <w:szCs w:val="24"/>
        </w:rPr>
        <w:t> </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 无</w:t>
      </w:r>
    </w:p>
    <w:p>
      <w:pPr>
        <w:spacing w:line="240" w:lineRule="auto" w:before="6"/>
        <w:rPr>
          <w:rFonts w:ascii="宋体" w:hAnsi="宋体" w:cs="宋体" w:eastAsia="宋体" w:hint="default"/>
          <w:sz w:val="26"/>
          <w:szCs w:val="26"/>
        </w:rPr>
      </w:pPr>
    </w:p>
    <w:p>
      <w:pPr>
        <w:pStyle w:val="Heading2"/>
        <w:spacing w:line="283" w:lineRule="auto" w:before="0"/>
        <w:ind w:left="137" w:right="8267"/>
        <w:jc w:val="left"/>
        <w:rPr>
          <w:rFonts w:ascii="宋体" w:hAnsi="宋体" w:cs="宋体" w:eastAsia="宋体" w:hint="default"/>
          <w:b w:val="0"/>
          <w:bCs w:val="0"/>
        </w:rPr>
      </w:pPr>
      <w:r>
        <w:rPr>
          <w:rFonts w:ascii="宋体" w:hAnsi="宋体" w:cs="宋体" w:eastAsia="宋体" w:hint="default"/>
        </w:rPr>
        <w:t>6</w:t>
      </w:r>
      <w:r>
        <w:rPr/>
        <w:t>、</w:t>
      </w:r>
      <w:r>
        <w:rPr>
          <w:spacing w:val="-63"/>
        </w:rPr>
        <w:t> </w:t>
      </w:r>
      <w:r>
        <w:rPr/>
        <w:t>其他</w:t>
      </w:r>
      <w:r>
        <w:rPr>
          <w:spacing w:val="2"/>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before="0"/>
        <w:ind w:left="137" w:right="5801"/>
        <w:jc w:val="left"/>
        <w:rPr>
          <w:b w:val="0"/>
          <w:bCs w:val="0"/>
        </w:rPr>
      </w:pPr>
      <w:r>
        <w:rPr/>
        <w:t>十、</w:t>
        <w:tab/>
        <w:t>与金融工具相关的风险</w:t>
      </w:r>
      <w:r>
        <w:rPr>
          <w:b w:val="0"/>
          <w:bCs w:val="0"/>
        </w:rPr>
      </w:r>
    </w:p>
    <w:p>
      <w:pPr>
        <w:pStyle w:val="BodyText"/>
        <w:spacing w:line="312" w:lineRule="exact" w:before="89"/>
        <w:ind w:left="617" w:right="352" w:hanging="480"/>
        <w:jc w:val="left"/>
      </w:pPr>
      <w:r>
        <w:rPr/>
        <w:t>√适用</w:t>
      </w:r>
      <w:r>
        <w:rPr>
          <w:spacing w:val="-1"/>
        </w:rPr>
        <w:t> </w:t>
      </w:r>
      <w:r>
        <w:rPr/>
        <w:t>□不适用</w:t>
      </w:r>
      <w:r>
        <w:rPr/>
        <w:t> </w:t>
      </w:r>
      <w:r>
        <w:rPr>
          <w:spacing w:val="-2"/>
        </w:rPr>
        <w:t>本集团的主要金融工具包括货币资金、应收账款、应收票据、其他应收款、一年</w:t>
      </w:r>
    </w:p>
    <w:p>
      <w:pPr>
        <w:pStyle w:val="BodyText"/>
        <w:spacing w:line="280" w:lineRule="exact"/>
        <w:ind w:right="65"/>
        <w:jc w:val="left"/>
      </w:pPr>
      <w:r>
        <w:rPr/>
        <w:t>内到期的非流动资产、其他流动资产、长期应收款、以公允价值计量且其变动计入当</w:t>
      </w:r>
    </w:p>
    <w:p>
      <w:pPr>
        <w:pStyle w:val="BodyText"/>
        <w:spacing w:line="237" w:lineRule="auto" w:before="1"/>
        <w:ind w:right="354"/>
        <w:jc w:val="both"/>
      </w:pPr>
      <w:r>
        <w:rPr>
          <w:spacing w:val="-8"/>
        </w:rPr>
        <w:t>期损益的金融资产和可供出售金融资产、应付账款、应付利息、应付票据、应付股利、</w:t>
      </w:r>
      <w:r>
        <w:rPr>
          <w:spacing w:val="-104"/>
        </w:rPr>
        <w:t> </w:t>
      </w:r>
      <w:r>
        <w:rPr>
          <w:spacing w:val="-104"/>
        </w:rPr>
      </w:r>
      <w:r>
        <w:rPr>
          <w:spacing w:val="-2"/>
        </w:rPr>
        <w:t>其他应付款、短期借款、一年内到期的非流动负债、长期借款、应付债券。各项金融</w:t>
      </w:r>
      <w:r>
        <w:rPr>
          <w:spacing w:val="-96"/>
        </w:rPr>
        <w:t> </w:t>
      </w:r>
      <w:r>
        <w:rPr>
          <w:spacing w:val="-96"/>
        </w:rPr>
      </w:r>
      <w:r>
        <w:rPr>
          <w:spacing w:val="-2"/>
        </w:rPr>
        <w:t>工具的详细情况已于相关附注内披露。与这些金融工具有关的风险，以及本集团为降</w:t>
      </w:r>
      <w:r>
        <w:rPr>
          <w:spacing w:val="-94"/>
        </w:rPr>
        <w:t> </w:t>
      </w:r>
      <w:r>
        <w:rPr>
          <w:spacing w:val="-94"/>
        </w:rPr>
      </w:r>
      <w:r>
        <w:rPr>
          <w:spacing w:val="-2"/>
        </w:rPr>
        <w:t>低这些风险所采取的风险管理政策如下所述。本集团管理层对这些风险敞口进行管理</w:t>
      </w:r>
      <w:r>
        <w:rPr>
          <w:spacing w:val="-94"/>
        </w:rPr>
        <w:t> </w:t>
      </w:r>
      <w:r>
        <w:rPr>
          <w:spacing w:val="-94"/>
        </w:rPr>
      </w:r>
      <w:r>
        <w:rPr/>
        <w:t>和监控以确保将上述风险控制在限定的范围之内。</w:t>
      </w:r>
    </w:p>
    <w:p>
      <w:pPr>
        <w:pStyle w:val="BodyText"/>
        <w:spacing w:line="331" w:lineRule="auto" w:before="116"/>
        <w:ind w:left="617" w:right="352" w:hanging="480"/>
        <w:jc w:val="left"/>
      </w:pPr>
      <w:r>
        <w:rPr>
          <w:rFonts w:ascii="宋体" w:hAnsi="宋体" w:cs="宋体" w:eastAsia="宋体" w:hint="default"/>
        </w:rPr>
        <w:t>1</w:t>
      </w:r>
      <w:r>
        <w:rPr/>
        <w:t>、风险管理目标和政策 </w:t>
      </w:r>
      <w:r>
        <w:rPr>
          <w:spacing w:val="-2"/>
        </w:rPr>
        <w:t>本集团从事风险管理的目标是在风险和收益之间取得适当的平衡，力求降低金融</w:t>
      </w:r>
    </w:p>
    <w:p>
      <w:pPr>
        <w:pStyle w:val="BodyText"/>
        <w:spacing w:line="221" w:lineRule="exact"/>
        <w:ind w:right="352"/>
        <w:jc w:val="left"/>
      </w:pPr>
      <w:r>
        <w:rPr/>
        <w:t>风险对本集团财务业绩的不利影响。</w:t>
      </w:r>
    </w:p>
    <w:p>
      <w:pPr>
        <w:pStyle w:val="BodyText"/>
        <w:spacing w:line="312" w:lineRule="exact" w:before="146"/>
        <w:ind w:right="352" w:firstLine="480"/>
        <w:jc w:val="left"/>
      </w:pPr>
      <w:r>
        <w:rPr>
          <w:spacing w:val="-2"/>
        </w:rPr>
        <w:t>本集团的金融工具导致的主要风险是信用风险、流动性风险、市场风险（包括利</w:t>
      </w:r>
      <w:r>
        <w:rPr/>
        <w:t> 率风险、汇率风险和商品价格风险</w:t>
      </w:r>
      <w:r>
        <w:rPr>
          <w:rFonts w:ascii="宋体" w:hAnsi="宋体" w:cs="宋体" w:eastAsia="宋体" w:hint="default"/>
        </w:rPr>
        <w:t>/</w:t>
      </w:r>
      <w:r>
        <w:rPr/>
        <w:t>权益工具价格风险）。</w:t>
      </w:r>
    </w:p>
    <w:p>
      <w:pPr>
        <w:pStyle w:val="BodyText"/>
        <w:spacing w:line="240" w:lineRule="auto" w:before="89"/>
        <w:ind w:right="5801"/>
        <w:jc w:val="left"/>
      </w:pPr>
      <w:r>
        <w:rPr/>
        <w:t>（</w:t>
      </w:r>
      <w:r>
        <w:rPr>
          <w:rFonts w:ascii="宋体" w:hAnsi="宋体" w:cs="宋体" w:eastAsia="宋体" w:hint="default"/>
        </w:rPr>
        <w:t>1</w:t>
      </w:r>
      <w:r>
        <w:rPr/>
        <w:t>）市场风险</w:t>
      </w:r>
    </w:p>
    <w:p>
      <w:pPr>
        <w:pStyle w:val="BodyText"/>
        <w:spacing w:line="310" w:lineRule="exact" w:before="150"/>
        <w:ind w:right="352" w:firstLine="480"/>
        <w:jc w:val="left"/>
      </w:pPr>
      <w:r>
        <w:rPr>
          <w:spacing w:val="-2"/>
        </w:rPr>
        <w:t>金融工具的市场风险，是指金融工具的公允价值或未来现金流量因市场价格变动</w:t>
      </w:r>
      <w:r>
        <w:rPr/>
        <w:t> 而发生波动的风险，包括利率风险、汇率风险和其他价格风险。</w:t>
      </w:r>
    </w:p>
    <w:p>
      <w:pPr>
        <w:pStyle w:val="BodyText"/>
        <w:spacing w:line="240" w:lineRule="auto" w:before="89"/>
        <w:ind w:right="5801"/>
        <w:jc w:val="left"/>
      </w:pPr>
      <w:r>
        <w:rPr/>
        <w:t>利率风险</w:t>
      </w:r>
    </w:p>
    <w:p>
      <w:pPr>
        <w:pStyle w:val="BodyText"/>
        <w:spacing w:line="237" w:lineRule="auto" w:before="120"/>
        <w:ind w:right="355" w:firstLine="480"/>
        <w:jc w:val="both"/>
      </w:pPr>
      <w:r>
        <w:rPr>
          <w:spacing w:val="-2"/>
        </w:rPr>
        <w:t>利率风险，是指金融工具的公允价值或未来现金流量因市场利率变动而发生波动</w:t>
      </w:r>
      <w:r>
        <w:rPr/>
        <w:t> </w:t>
      </w:r>
      <w:r>
        <w:rPr>
          <w:spacing w:val="-2"/>
        </w:rPr>
        <w:t>的风险。利率风险可源于已确认的计息金融工具和未确认的金融工具（如某些贷款承</w:t>
      </w:r>
      <w:r>
        <w:rPr>
          <w:spacing w:val="-94"/>
        </w:rPr>
        <w:t> </w:t>
      </w:r>
      <w:r>
        <w:rPr>
          <w:spacing w:val="-94"/>
        </w:rPr>
      </w:r>
      <w:r>
        <w:rPr/>
        <w:t>诺）。</w:t>
      </w:r>
    </w:p>
    <w:p>
      <w:pPr>
        <w:pStyle w:val="BodyText"/>
        <w:spacing w:line="237" w:lineRule="auto" w:before="121"/>
        <w:ind w:right="65" w:firstLine="480"/>
        <w:jc w:val="left"/>
      </w:pPr>
      <w:r>
        <w:rPr/>
        <w:t>本集团的利率风险主要产生于短期银行借款等带息债务。浮动利率的金融负债使 </w:t>
      </w:r>
      <w:r>
        <w:rPr>
          <w:spacing w:val="-2"/>
        </w:rPr>
        <w:t>本集团面临现金流量利率风险，固定利率的金融负债使本集团面临公允价值利率风险。</w:t>
      </w:r>
      <w:r>
        <w:rPr>
          <w:spacing w:val="-92"/>
        </w:rPr>
        <w:t> </w:t>
      </w:r>
      <w:r>
        <w:rPr>
          <w:spacing w:val="-92"/>
        </w:rPr>
      </w:r>
      <w:r>
        <w:rPr/>
        <w:t>本集团根据当时的市场环境来决定固定利率及浮动利率合同的相对比例，并通过定期</w:t>
      </w:r>
      <w:r>
        <w:rPr/>
        <w:t> 审阅与监察维持适当的固定和浮动利率工具组合。。</w:t>
      </w:r>
    </w:p>
    <w:p>
      <w:pPr>
        <w:pStyle w:val="BodyText"/>
        <w:spacing w:line="312" w:lineRule="exact" w:before="146"/>
        <w:ind w:right="352" w:firstLine="480"/>
        <w:jc w:val="left"/>
      </w:pPr>
      <w:r>
        <w:rPr>
          <w:spacing w:val="-2"/>
        </w:rPr>
        <w:t>本集团密切关注利率变动对本集团利率风险的影响。本集团目前并未采取利率对</w:t>
      </w:r>
      <w:r>
        <w:rPr/>
        <w:t> 冲政策。但管理层负责监控利率风险，并将于需要时考虑对冲重大利率风险。</w:t>
      </w:r>
    </w:p>
    <w:p>
      <w:pPr>
        <w:pStyle w:val="BodyText"/>
        <w:spacing w:line="240" w:lineRule="auto" w:before="89"/>
        <w:ind w:right="352"/>
        <w:jc w:val="left"/>
      </w:pPr>
      <w:r>
        <w:rPr/>
        <w:t>本集团持有的计息金融工具如下（单位：人民币万元）：</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697"/>
        <w:gridCol w:w="2597"/>
        <w:gridCol w:w="2597"/>
      </w:tblGrid>
      <w:tr>
        <w:trPr>
          <w:trHeight w:val="346"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87" w:right="0"/>
              <w:jc w:val="left"/>
              <w:rPr>
                <w:rFonts w:ascii="宋体" w:hAnsi="宋体" w:cs="宋体" w:eastAsia="宋体" w:hint="default"/>
                <w:sz w:val="21"/>
                <w:szCs w:val="21"/>
              </w:rPr>
            </w:pPr>
            <w:r>
              <w:rPr>
                <w:rFonts w:ascii="宋体"/>
                <w:b/>
                <w:sz w:val="21"/>
              </w:rPr>
              <w:t>2015.12.31</w:t>
            </w:r>
            <w:r>
              <w:rPr>
                <w:rFonts w:ascii="宋体"/>
                <w:sz w:val="21"/>
              </w:rPr>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85" w:right="0"/>
              <w:jc w:val="left"/>
              <w:rPr>
                <w:rFonts w:ascii="宋体" w:hAnsi="宋体" w:cs="宋体" w:eastAsia="宋体" w:hint="default"/>
                <w:sz w:val="21"/>
                <w:szCs w:val="21"/>
              </w:rPr>
            </w:pPr>
            <w:r>
              <w:rPr>
                <w:rFonts w:ascii="宋体"/>
                <w:b/>
                <w:sz w:val="21"/>
              </w:rPr>
              <w:t>2014.12.31</w:t>
            </w:r>
            <w:r>
              <w:rPr>
                <w:rFonts w:ascii="宋体"/>
                <w:sz w:val="21"/>
              </w:rPr>
            </w:r>
          </w:p>
        </w:tc>
      </w:tr>
      <w:tr>
        <w:trPr>
          <w:trHeight w:val="238"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浮动利率金融工具</w:t>
            </w:r>
          </w:p>
        </w:tc>
        <w:tc>
          <w:tcPr>
            <w:tcW w:w="2597"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140" w:right="14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697"/>
        <w:gridCol w:w="2597"/>
        <w:gridCol w:w="2597"/>
      </w:tblGrid>
      <w:tr>
        <w:trPr>
          <w:trHeight w:val="267"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154,095.68</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173,874.53</w:t>
            </w:r>
          </w:p>
        </w:tc>
      </w:tr>
      <w:tr>
        <w:trPr>
          <w:trHeight w:val="295"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154,095.68</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173,874.53</w:t>
            </w:r>
          </w:p>
        </w:tc>
      </w:tr>
      <w:tr>
        <w:trPr>
          <w:trHeight w:val="28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153,127.77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211,709.02</w:t>
            </w:r>
          </w:p>
        </w:tc>
      </w:tr>
      <w:tr>
        <w:trPr>
          <w:trHeight w:val="274"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59,541.87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51,131.64</w:t>
            </w:r>
          </w:p>
        </w:tc>
      </w:tr>
      <w:tr>
        <w:trPr>
          <w:trHeight w:val="29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z w:val="21"/>
              </w:rPr>
              <w:t>0.00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44,598.42</w:t>
            </w:r>
          </w:p>
        </w:tc>
      </w:tr>
      <w:tr>
        <w:trPr>
          <w:trHeight w:val="281"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89,589.90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89,430.23</w:t>
            </w:r>
          </w:p>
        </w:tc>
      </w:tr>
      <w:tr>
        <w:trPr>
          <w:trHeight w:val="288"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3,996.00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26,548.72</w:t>
            </w:r>
          </w:p>
        </w:tc>
      </w:tr>
      <w:tr>
        <w:trPr>
          <w:trHeight w:val="288"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b/>
                <w:w w:val="95"/>
                <w:sz w:val="21"/>
              </w:rPr>
              <w:t>307,223.45</w:t>
            </w:r>
            <w:r>
              <w:rPr>
                <w:rFonts w:ascii="宋体"/>
                <w:sz w:val="21"/>
              </w:rPr>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b/>
                <w:w w:val="95"/>
                <w:sz w:val="21"/>
              </w:rPr>
              <w:t>385,583.55</w:t>
            </w:r>
            <w:r>
              <w:rPr>
                <w:rFonts w:ascii="宋体"/>
                <w:sz w:val="21"/>
              </w:rPr>
            </w:r>
          </w:p>
        </w:tc>
      </w:tr>
    </w:tbl>
    <w:p>
      <w:pPr>
        <w:pStyle w:val="BodyText"/>
        <w:spacing w:line="240" w:lineRule="auto" w:before="79"/>
        <w:ind w:right="0"/>
        <w:jc w:val="both"/>
      </w:pPr>
      <w:r>
        <w:rPr/>
        <w:t>汇率风险</w:t>
      </w:r>
    </w:p>
    <w:p>
      <w:pPr>
        <w:pStyle w:val="BodyText"/>
        <w:spacing w:line="312" w:lineRule="exact" w:before="148"/>
        <w:ind w:right="352" w:firstLine="480"/>
        <w:jc w:val="left"/>
      </w:pPr>
      <w:r>
        <w:rPr>
          <w:spacing w:val="-2"/>
        </w:rPr>
        <w:t>汇率风险，是指金融工具的公允价值或未来现金流量因外汇汇率变动而发生波动</w:t>
      </w:r>
      <w:r>
        <w:rPr/>
        <w:t> 的风险。汇率风险可源于以记账本位币之外的外币进行计价的金融工具。</w:t>
      </w:r>
    </w:p>
    <w:p>
      <w:pPr>
        <w:pStyle w:val="BodyText"/>
        <w:spacing w:line="237" w:lineRule="auto" w:before="90"/>
        <w:ind w:right="353"/>
        <w:jc w:val="both"/>
      </w:pPr>
      <w:r>
        <w:rPr>
          <w:spacing w:val="-2"/>
        </w:rPr>
        <w:t>本集团的主要经营位于中国境内、香港，国内业务以人民币结算、出口业务主要以美</w:t>
      </w:r>
      <w:r>
        <w:rPr>
          <w:spacing w:val="-93"/>
        </w:rPr>
        <w:t> </w:t>
      </w:r>
      <w:r>
        <w:rPr>
          <w:spacing w:val="-93"/>
        </w:rPr>
      </w:r>
      <w:r>
        <w:rPr>
          <w:spacing w:val="-2"/>
        </w:rPr>
        <w:t>元、港币结算，境外经营公司以美元、港币结算。但本集团已确认的外币资产和负债</w:t>
      </w:r>
      <w:r>
        <w:rPr>
          <w:spacing w:val="-94"/>
        </w:rPr>
        <w:t> </w:t>
      </w:r>
      <w:r>
        <w:rPr>
          <w:spacing w:val="-94"/>
        </w:rPr>
      </w:r>
      <w:r>
        <w:rPr>
          <w:spacing w:val="-2"/>
        </w:rPr>
        <w:t>及未来的外币交易（外币资产和负债及外币交易的计价货币主要为美元、港币）依然</w:t>
      </w:r>
      <w:r>
        <w:rPr>
          <w:spacing w:val="-95"/>
        </w:rPr>
        <w:t> </w:t>
      </w:r>
      <w:r>
        <w:rPr>
          <w:spacing w:val="-95"/>
        </w:rPr>
      </w:r>
      <w:r>
        <w:rPr/>
        <w:t>存在外汇风险。</w:t>
      </w:r>
    </w:p>
    <w:p>
      <w:pPr>
        <w:pStyle w:val="BodyText"/>
        <w:spacing w:line="312" w:lineRule="exact" w:before="149"/>
        <w:ind w:right="337" w:firstLine="480"/>
        <w:jc w:val="left"/>
      </w:pPr>
      <w:r>
        <w:rPr>
          <w:spacing w:val="-8"/>
        </w:rPr>
        <w:t>相关外币资产及外币负债包括：以外币计价的货币资金、应收账款、其他应收款、</w:t>
      </w:r>
      <w:r>
        <w:rPr/>
        <w:t> 应付账款、其他应付款、短期借款、一年内到期的非流动负债。</w:t>
      </w:r>
    </w:p>
    <w:p>
      <w:pPr>
        <w:pStyle w:val="BodyText"/>
        <w:spacing w:line="312" w:lineRule="exact" w:before="117"/>
        <w:ind w:right="410" w:firstLine="480"/>
        <w:jc w:val="left"/>
      </w:pPr>
      <w:r>
        <w:rPr/>
        <w:t>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日，本集团持有的外币金融资产和外币金融负债折算成人民 币的金额列示如下（单位：人民币万元）：</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1882"/>
        <w:gridCol w:w="4503"/>
        <w:gridCol w:w="2506"/>
      </w:tblGrid>
      <w:tr>
        <w:trPr>
          <w:trHeight w:val="351"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36"/>
              <w:ind w:left="18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1"/>
              <w:jc w:val="right"/>
              <w:rPr>
                <w:rFonts w:ascii="宋体" w:hAnsi="宋体" w:cs="宋体" w:eastAsia="宋体" w:hint="default"/>
                <w:sz w:val="21"/>
                <w:szCs w:val="21"/>
              </w:rPr>
            </w:pPr>
            <w:r>
              <w:rPr>
                <w:rFonts w:ascii="宋体" w:hAnsi="宋体" w:cs="宋体" w:eastAsia="宋体" w:hint="default"/>
                <w:b/>
                <w:bCs/>
                <w:sz w:val="21"/>
                <w:szCs w:val="21"/>
              </w:rPr>
              <w:t>外币负债</w:t>
            </w:r>
            <w:r>
              <w:rPr>
                <w:rFonts w:ascii="宋体" w:hAnsi="宋体" w:cs="宋体" w:eastAsia="宋体" w:hint="default"/>
                <w:sz w:val="21"/>
                <w:szCs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78" w:right="0"/>
              <w:jc w:val="left"/>
              <w:rPr>
                <w:rFonts w:ascii="宋体" w:hAnsi="宋体" w:cs="宋体" w:eastAsia="宋体" w:hint="default"/>
                <w:sz w:val="21"/>
                <w:szCs w:val="21"/>
              </w:rPr>
            </w:pPr>
            <w:r>
              <w:rPr>
                <w:rFonts w:ascii="宋体" w:hAnsi="宋体" w:cs="宋体" w:eastAsia="宋体" w:hint="default"/>
                <w:b/>
                <w:bCs/>
                <w:sz w:val="21"/>
                <w:szCs w:val="21"/>
              </w:rPr>
              <w:t>外币资产</w:t>
            </w:r>
            <w:r>
              <w:rPr>
                <w:rFonts w:ascii="宋体" w:hAnsi="宋体" w:cs="宋体" w:eastAsia="宋体" w:hint="default"/>
                <w:sz w:val="21"/>
                <w:szCs w:val="21"/>
              </w:rPr>
            </w:r>
          </w:p>
        </w:tc>
      </w:tr>
      <w:tr>
        <w:trPr>
          <w:trHeight w:val="372" w:hRule="exact"/>
        </w:trPr>
        <w:tc>
          <w:tcPr>
            <w:tcW w:w="1882" w:type="dxa"/>
            <w:vMerge/>
            <w:tcBorders>
              <w:left w:val="single" w:sz="4" w:space="0" w:color="000000"/>
              <w:bottom w:val="single" w:sz="4" w:space="0" w:color="000000"/>
              <w:right w:val="single" w:sz="4" w:space="0" w:color="000000"/>
            </w:tcBorders>
          </w:tcPr>
          <w:p>
            <w:pP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4"/>
              <w:jc w:val="right"/>
              <w:rPr>
                <w:rFonts w:ascii="宋体" w:hAnsi="宋体" w:cs="宋体" w:eastAsia="宋体" w:hint="default"/>
                <w:sz w:val="21"/>
                <w:szCs w:val="21"/>
              </w:rPr>
            </w:pPr>
            <w:r>
              <w:rPr>
                <w:rFonts w:ascii="宋体"/>
                <w:b/>
                <w:w w:val="95"/>
                <w:sz w:val="21"/>
              </w:rPr>
              <w:t>2015.12.31</w:t>
            </w:r>
            <w:r>
              <w:rPr>
                <w:rFonts w:ascii="宋体"/>
                <w:sz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62" w:right="0"/>
              <w:jc w:val="left"/>
              <w:rPr>
                <w:rFonts w:ascii="宋体" w:hAnsi="宋体" w:cs="宋体" w:eastAsia="宋体" w:hint="default"/>
                <w:sz w:val="21"/>
                <w:szCs w:val="21"/>
              </w:rPr>
            </w:pPr>
            <w:r>
              <w:rPr>
                <w:rFonts w:ascii="宋体"/>
                <w:b/>
                <w:sz w:val="21"/>
              </w:rPr>
              <w:t>2015.12.31</w:t>
            </w:r>
            <w:r>
              <w:rPr>
                <w:rFonts w:ascii="宋体"/>
                <w:sz w:val="21"/>
              </w:rPr>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15,239.75</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27,540.00</w:t>
            </w:r>
          </w:p>
        </w:tc>
      </w:tr>
      <w:tr>
        <w:trPr>
          <w:trHeight w:val="28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2,364.09</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49,553.27</w:t>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904.04</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1,938.19</w:t>
            </w:r>
          </w:p>
        </w:tc>
      </w:tr>
      <w:tr>
        <w:trPr>
          <w:trHeight w:val="28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431.57</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1,706.02</w:t>
            </w:r>
          </w:p>
        </w:tc>
      </w:tr>
      <w:tr>
        <w:trPr>
          <w:trHeight w:val="28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63.39</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1,559.36</w:t>
            </w:r>
          </w:p>
        </w:tc>
      </w:tr>
      <w:tr>
        <w:trPr>
          <w:trHeight w:val="28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3.48</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w w:val="100"/>
                <w:sz w:val="21"/>
              </w:rPr>
              <w:t>0</w:t>
            </w:r>
          </w:p>
        </w:tc>
      </w:tr>
      <w:tr>
        <w:trPr>
          <w:trHeight w:val="28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4"/>
              <w:jc w:val="right"/>
              <w:rPr>
                <w:rFonts w:ascii="宋体" w:hAnsi="宋体" w:cs="宋体" w:eastAsia="宋体" w:hint="default"/>
                <w:sz w:val="21"/>
                <w:szCs w:val="21"/>
              </w:rPr>
            </w:pPr>
            <w:r>
              <w:rPr>
                <w:rFonts w:ascii="宋体"/>
                <w:b/>
                <w:sz w:val="21"/>
              </w:rPr>
              <w:t>19,006.32</w:t>
            </w:r>
            <w:r>
              <w:rPr>
                <w:rFonts w:ascii="宋体"/>
                <w:sz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0" w:right="0"/>
              <w:jc w:val="left"/>
              <w:rPr>
                <w:rFonts w:ascii="宋体" w:hAnsi="宋体" w:cs="宋体" w:eastAsia="宋体" w:hint="default"/>
                <w:sz w:val="21"/>
                <w:szCs w:val="21"/>
              </w:rPr>
            </w:pPr>
            <w:r>
              <w:rPr>
                <w:rFonts w:ascii="宋体"/>
                <w:b/>
                <w:sz w:val="21"/>
              </w:rPr>
              <w:t>82,296.84</w:t>
            </w:r>
            <w:r>
              <w:rPr>
                <w:rFonts w:ascii="宋体"/>
                <w:sz w:val="21"/>
              </w:rPr>
            </w:r>
          </w:p>
        </w:tc>
      </w:tr>
    </w:tbl>
    <w:p>
      <w:pPr>
        <w:pStyle w:val="BodyText"/>
        <w:spacing w:line="312" w:lineRule="exact" w:before="110"/>
        <w:ind w:right="65" w:firstLine="480"/>
        <w:jc w:val="left"/>
      </w:pPr>
      <w:r>
        <w:rPr/>
        <w:t>本集团密切关注汇率变动对本集团汇率风险的影响。本集团目前并未采取任何措 </w:t>
      </w:r>
      <w:r>
        <w:rPr>
          <w:spacing w:val="-5"/>
        </w:rPr>
        <w:t>施规避汇率风险。但管理层负责监控汇率风险，并将于需要时考虑对冲重大汇率风险。</w:t>
      </w:r>
    </w:p>
    <w:p>
      <w:pPr>
        <w:pStyle w:val="BodyText"/>
        <w:spacing w:line="240" w:lineRule="auto" w:before="90"/>
        <w:ind w:left="134" w:right="5801"/>
        <w:jc w:val="left"/>
      </w:pPr>
      <w:r>
        <w:rPr/>
        <w:t>（</w:t>
      </w:r>
      <w:r>
        <w:rPr>
          <w:rFonts w:ascii="宋体" w:hAnsi="宋体" w:cs="宋体" w:eastAsia="宋体" w:hint="default"/>
        </w:rPr>
        <w:t>2</w:t>
      </w:r>
      <w:r>
        <w:rPr/>
        <w:t>）信用风险</w:t>
      </w:r>
    </w:p>
    <w:p>
      <w:pPr>
        <w:pStyle w:val="BodyText"/>
        <w:spacing w:line="331" w:lineRule="auto" w:before="115"/>
        <w:ind w:right="65" w:firstLine="480"/>
        <w:jc w:val="left"/>
      </w:pPr>
      <w:r>
        <w:rPr/>
        <w:t>信用风险，是指金融工具的一方不履行义务，造成另一方发生财务损失的风险。 </w:t>
      </w:r>
      <w:r>
        <w:rPr>
          <w:spacing w:val="-2"/>
        </w:rPr>
        <w:t>本集团对信用风险按组合分类进行管理。信用风险主要产生于银行存款和应收款项等。</w:t>
      </w:r>
    </w:p>
    <w:p>
      <w:pPr>
        <w:pStyle w:val="BodyText"/>
        <w:spacing w:line="310" w:lineRule="exact" w:before="59"/>
        <w:ind w:right="352" w:firstLine="480"/>
        <w:jc w:val="left"/>
      </w:pPr>
      <w:r>
        <w:rPr>
          <w:spacing w:val="-2"/>
        </w:rPr>
        <w:t>本集团银行存款主要存放于信用良好的金融机构，本集团预期银行存款不存在重</w:t>
      </w:r>
      <w:r>
        <w:rPr/>
        <w:t> 大的信用风险。</w:t>
      </w:r>
    </w:p>
    <w:p>
      <w:pPr>
        <w:pStyle w:val="BodyText"/>
        <w:spacing w:line="237" w:lineRule="auto" w:before="92"/>
        <w:ind w:right="229" w:firstLine="480"/>
        <w:jc w:val="left"/>
      </w:pPr>
      <w:r>
        <w:rPr>
          <w:spacing w:val="-5"/>
        </w:rPr>
        <w:t>对于应收款项，本集团设定相关政策以控制信用风险敞口。本集团针对应收款项，</w:t>
      </w:r>
      <w:r>
        <w:rPr/>
        <w:t> 主要采取控制信用期和信用额度，不定期对债务人进行信用风险评估，必要时采取催 收货款、缩短或取消信用期等方式，确保本集团的整体信用风险在可控的范围内。</w:t>
      </w:r>
    </w:p>
    <w:p>
      <w:pPr>
        <w:pStyle w:val="BodyText"/>
        <w:spacing w:line="312" w:lineRule="exact" w:before="149"/>
        <w:ind w:right="352" w:firstLine="480"/>
        <w:jc w:val="left"/>
      </w:pPr>
      <w:r>
        <w:rPr>
          <w:spacing w:val="-2"/>
        </w:rPr>
        <w:t>本集团所承受的最大信用风险敞口为资产负债表中每项金融资产的账面金额。本</w:t>
      </w:r>
      <w:r>
        <w:rPr/>
        <w:t> 集团没有提供任何其他可能令本集团承受信用风险的担保。</w:t>
      </w:r>
    </w:p>
    <w:p>
      <w:pPr>
        <w:spacing w:after="0" w:line="312" w:lineRule="exact"/>
        <w:jc w:val="left"/>
        <w:sectPr>
          <w:pgSz w:w="11910" w:h="16840"/>
          <w:pgMar w:header="0" w:footer="1195" w:top="1120" w:bottom="1380" w:left="1140" w:right="1440"/>
        </w:sectPr>
      </w:pPr>
    </w:p>
    <w:p>
      <w:pPr>
        <w:spacing w:line="240" w:lineRule="auto" w:before="13"/>
        <w:rPr>
          <w:rFonts w:ascii="宋体" w:hAnsi="宋体" w:cs="宋体" w:eastAsia="宋体" w:hint="default"/>
          <w:sz w:val="18"/>
          <w:szCs w:val="18"/>
        </w:rPr>
      </w:pPr>
    </w:p>
    <w:p>
      <w:pPr>
        <w:pStyle w:val="BodyText"/>
        <w:spacing w:line="237" w:lineRule="auto" w:before="28"/>
        <w:ind w:right="144" w:firstLine="480"/>
        <w:jc w:val="left"/>
      </w:pPr>
      <w:r>
        <w:rPr/>
        <w:t>本集团应收账款中，欠款金额前五大客户的应收账款占本集团应收账款总额的 </w:t>
      </w:r>
      <w:r>
        <w:rPr>
          <w:rFonts w:ascii="宋体" w:hAnsi="宋体" w:cs="宋体" w:eastAsia="宋体" w:hint="default"/>
          <w:spacing w:val="-3"/>
        </w:rPr>
        <w:t>17.72%</w:t>
      </w:r>
      <w:r>
        <w:rPr>
          <w:spacing w:val="-3"/>
        </w:rPr>
        <w:t>（</w:t>
      </w:r>
      <w:r>
        <w:rPr>
          <w:rFonts w:ascii="宋体" w:hAnsi="宋体" w:cs="宋体" w:eastAsia="宋体" w:hint="default"/>
          <w:spacing w:val="-3"/>
        </w:rPr>
        <w:t>2014</w:t>
      </w:r>
      <w:r>
        <w:rPr>
          <w:rFonts w:ascii="宋体" w:hAnsi="宋体" w:cs="宋体" w:eastAsia="宋体" w:hint="default"/>
          <w:spacing w:val="-40"/>
        </w:rPr>
        <w:t> </w:t>
      </w:r>
      <w:r>
        <w:rPr>
          <w:spacing w:val="-3"/>
        </w:rPr>
        <w:t>年：</w:t>
      </w:r>
      <w:r>
        <w:rPr>
          <w:rFonts w:ascii="宋体" w:hAnsi="宋体" w:cs="宋体" w:eastAsia="宋体" w:hint="default"/>
          <w:spacing w:val="-3"/>
        </w:rPr>
        <w:t>17.59%</w:t>
      </w:r>
      <w:r>
        <w:rPr>
          <w:spacing w:val="-3"/>
        </w:rPr>
        <w:t>）；本集团其他应收款中，欠款金额前五大公司的其他应收</w:t>
      </w:r>
      <w:r>
        <w:rPr>
          <w:spacing w:val="-117"/>
        </w:rPr>
        <w:t> </w:t>
      </w:r>
      <w:r>
        <w:rPr>
          <w:spacing w:val="-117"/>
        </w:rPr>
      </w:r>
      <w:r>
        <w:rPr/>
        <w:t>款占本集团其他应收款总额的</w:t>
      </w:r>
      <w:r>
        <w:rPr>
          <w:spacing w:val="-60"/>
        </w:rPr>
        <w:t> </w:t>
      </w:r>
      <w:r>
        <w:rPr>
          <w:rFonts w:ascii="宋体" w:hAnsi="宋体" w:cs="宋体" w:eastAsia="宋体" w:hint="default"/>
        </w:rPr>
        <w:t>65.54%</w:t>
      </w:r>
      <w:r>
        <w:rPr/>
        <w:t>（</w:t>
      </w:r>
      <w:r>
        <w:rPr>
          <w:rFonts w:ascii="宋体" w:hAnsi="宋体" w:cs="宋体" w:eastAsia="宋体" w:hint="default"/>
        </w:rPr>
        <w:t>2014</w:t>
      </w:r>
      <w:r>
        <w:rPr>
          <w:rFonts w:ascii="宋体" w:hAnsi="宋体" w:cs="宋体" w:eastAsia="宋体" w:hint="default"/>
          <w:spacing w:val="-60"/>
        </w:rPr>
        <w:t> </w:t>
      </w:r>
      <w:r>
        <w:rPr/>
        <w:t>年：</w:t>
      </w:r>
      <w:r>
        <w:rPr>
          <w:rFonts w:ascii="宋体" w:hAnsi="宋体" w:cs="宋体" w:eastAsia="宋体" w:hint="default"/>
        </w:rPr>
        <w:t>22.63%</w:t>
      </w:r>
      <w:r>
        <w:rPr/>
        <w:t>）。</w:t>
      </w:r>
    </w:p>
    <w:p>
      <w:pPr>
        <w:pStyle w:val="BodyText"/>
        <w:spacing w:line="331" w:lineRule="auto" w:before="118"/>
        <w:ind w:left="617" w:right="144" w:hanging="480"/>
        <w:jc w:val="left"/>
      </w:pPr>
      <w:r>
        <w:rPr/>
        <w:t>（</w:t>
      </w:r>
      <w:r>
        <w:rPr>
          <w:rFonts w:ascii="宋体" w:hAnsi="宋体" w:cs="宋体" w:eastAsia="宋体" w:hint="default"/>
        </w:rPr>
        <w:t>3</w:t>
      </w:r>
      <w:r>
        <w:rPr/>
        <w:t>）流动性风险 </w:t>
      </w:r>
      <w:r>
        <w:rPr>
          <w:spacing w:val="-2"/>
        </w:rPr>
        <w:t>流动性风险，是指本集团在履行以交付现金或其他金融资产的方式结算的义务时</w:t>
      </w:r>
    </w:p>
    <w:p>
      <w:pPr>
        <w:pStyle w:val="BodyText"/>
        <w:spacing w:line="218" w:lineRule="exact"/>
        <w:ind w:right="144"/>
        <w:jc w:val="left"/>
      </w:pPr>
      <w:r>
        <w:rPr/>
        <w:t>发生资金短缺的风险。</w:t>
      </w:r>
    </w:p>
    <w:p>
      <w:pPr>
        <w:pStyle w:val="BodyText"/>
        <w:spacing w:line="312" w:lineRule="exact" w:before="148"/>
        <w:ind w:right="153" w:firstLine="480"/>
        <w:jc w:val="both"/>
      </w:pPr>
      <w:r>
        <w:rPr>
          <w:spacing w:val="-2"/>
        </w:rPr>
        <w:t>管理流动风险时，本集团保持管理层认为充分的现金及现金等价物并对其进行监</w:t>
      </w:r>
      <w:r>
        <w:rPr/>
        <w:t> </w:t>
      </w:r>
      <w:r>
        <w:rPr>
          <w:spacing w:val="-2"/>
        </w:rPr>
        <w:t>控，以满足本集团经营需要，并降低现金流量波动的影响。本集团管理层对银行借款</w:t>
      </w:r>
      <w:r>
        <w:rPr>
          <w:spacing w:val="-94"/>
        </w:rPr>
        <w:t> </w:t>
      </w:r>
      <w:r>
        <w:rPr>
          <w:spacing w:val="-94"/>
        </w:rPr>
      </w:r>
      <w:r>
        <w:rPr/>
        <w:t>的使用情况进行监控并确保遵守借款协议。</w:t>
      </w:r>
    </w:p>
    <w:p>
      <w:pPr>
        <w:pStyle w:val="BodyText"/>
        <w:spacing w:line="312" w:lineRule="exact" w:before="118"/>
        <w:ind w:right="144" w:firstLine="480"/>
        <w:jc w:val="left"/>
      </w:pPr>
      <w:r>
        <w:rPr>
          <w:spacing w:val="-2"/>
        </w:rPr>
        <w:t>管理层根据目前的资产负债状况，以及预计的未来经营活动现金流入和流出，认</w:t>
      </w:r>
      <w:r>
        <w:rPr/>
        <w:t> 为在正常经营情况下，未来一段时期内流动性风险是可控的。</w:t>
      </w:r>
    </w:p>
    <w:p>
      <w:pPr>
        <w:pStyle w:val="BodyText"/>
        <w:spacing w:line="240" w:lineRule="auto" w:before="89"/>
        <w:ind w:right="144"/>
        <w:jc w:val="left"/>
      </w:pPr>
      <w:r>
        <w:rPr>
          <w:rFonts w:ascii="宋体" w:hAnsi="宋体" w:cs="宋体" w:eastAsia="宋体" w:hint="default"/>
        </w:rPr>
        <w:t>2</w:t>
      </w:r>
      <w:r>
        <w:rPr/>
        <w:t>、资本管理</w:t>
      </w:r>
    </w:p>
    <w:p>
      <w:pPr>
        <w:pStyle w:val="BodyText"/>
        <w:spacing w:line="312" w:lineRule="exact" w:before="146"/>
        <w:ind w:right="144" w:firstLine="480"/>
        <w:jc w:val="left"/>
      </w:pPr>
      <w:r>
        <w:rPr>
          <w:spacing w:val="-2"/>
        </w:rPr>
        <w:t>本集团资本管理政策的目标是为了保障本集团能够持续经营，从而为股东提供回</w:t>
      </w:r>
      <w:r>
        <w:rPr/>
        <w:t> 报，并使其他利益相关者获益，同时维持最佳的资本结构以降低资本成本。</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Heading2"/>
        <w:spacing w:line="240" w:lineRule="auto" w:before="0"/>
        <w:ind w:left="137" w:right="144"/>
        <w:jc w:val="left"/>
        <w:rPr>
          <w:b w:val="0"/>
          <w:bCs w:val="0"/>
        </w:rPr>
      </w:pPr>
      <w:r>
        <w:rPr/>
        <w:t>十一、</w:t>
      </w:r>
      <w:r>
        <w:rPr>
          <w:spacing w:val="-6"/>
        </w:rPr>
        <w:t> </w:t>
      </w:r>
      <w:r>
        <w:rPr/>
        <w:t>公允价值的披露</w:t>
      </w:r>
      <w:r>
        <w:rPr>
          <w:b w:val="0"/>
          <w:bCs w:val="0"/>
        </w:rPr>
      </w:r>
    </w:p>
    <w:p>
      <w:pPr>
        <w:pStyle w:val="BodyText"/>
        <w:spacing w:line="328" w:lineRule="auto" w:before="58"/>
        <w:ind w:left="619" w:right="157" w:hanging="483"/>
        <w:jc w:val="left"/>
      </w:pPr>
      <w:r>
        <w:rPr/>
        <w:t>√适用</w:t>
      </w:r>
      <w:r>
        <w:rPr>
          <w:spacing w:val="-1"/>
        </w:rPr>
        <w:t> </w:t>
      </w:r>
      <w:r>
        <w:rPr/>
        <w:t>□不适用</w:t>
      </w:r>
      <w:r>
        <w:rPr/>
        <w:t> </w:t>
      </w:r>
      <w:r>
        <w:rPr>
          <w:spacing w:val="-2"/>
        </w:rPr>
        <w:t>按照在公允价值计量中对计量整体具有重大意义的最低层次的输入值，公允价值</w:t>
      </w:r>
    </w:p>
    <w:p>
      <w:pPr>
        <w:pStyle w:val="BodyText"/>
        <w:spacing w:line="223" w:lineRule="exact"/>
        <w:ind w:right="144"/>
        <w:jc w:val="left"/>
      </w:pPr>
      <w:r>
        <w:rPr/>
        <w:t>层次可分为：</w:t>
      </w:r>
    </w:p>
    <w:p>
      <w:pPr>
        <w:pStyle w:val="BodyText"/>
        <w:spacing w:line="328" w:lineRule="auto" w:before="118"/>
        <w:ind w:left="617" w:right="144"/>
        <w:jc w:val="left"/>
      </w:pPr>
      <w:r>
        <w:rPr/>
        <w:t>第一层次：相同资产或负债在活跃市场中的报价（未经调整的）。 </w:t>
      </w:r>
      <w:r>
        <w:rPr>
          <w:spacing w:val="-2"/>
        </w:rPr>
        <w:t>第二层次：直接（即价格）或间接（即从价格推导出）地使用除第一层次中的资</w:t>
      </w:r>
    </w:p>
    <w:p>
      <w:pPr>
        <w:pStyle w:val="BodyText"/>
        <w:spacing w:line="223" w:lineRule="exact"/>
        <w:ind w:right="144"/>
        <w:jc w:val="left"/>
      </w:pPr>
      <w:r>
        <w:rPr/>
        <w:t>产或负债的市场报价之外的可观察输入值。</w:t>
      </w:r>
    </w:p>
    <w:p>
      <w:pPr>
        <w:pStyle w:val="BodyText"/>
        <w:spacing w:line="312" w:lineRule="exact" w:before="148"/>
        <w:ind w:right="144" w:firstLine="480"/>
        <w:jc w:val="left"/>
      </w:pPr>
      <w:r>
        <w:rPr>
          <w:spacing w:val="-2"/>
        </w:rPr>
        <w:t>第三层次：资产或负债使用了任何非基于可观察市场数据的输入值（不可观察输</w:t>
      </w:r>
      <w:r>
        <w:rPr/>
        <w:t> 入值）。</w:t>
      </w:r>
    </w:p>
    <w:p>
      <w:pPr>
        <w:pStyle w:val="Heading2"/>
        <w:spacing w:line="240" w:lineRule="auto" w:before="87"/>
        <w:ind w:left="137" w:right="144"/>
        <w:jc w:val="left"/>
        <w:rPr>
          <w:b w:val="0"/>
          <w:bCs w:val="0"/>
        </w:rPr>
      </w:pPr>
      <w:r>
        <w:rPr>
          <w:rFonts w:ascii="宋体" w:hAnsi="宋体" w:cs="宋体" w:eastAsia="宋体" w:hint="default"/>
        </w:rPr>
        <w:t>1</w:t>
      </w:r>
      <w:r>
        <w:rPr/>
        <w:t>、</w:t>
      </w:r>
      <w:r>
        <w:rPr>
          <w:spacing w:val="-61"/>
        </w:rPr>
        <w:t> </w:t>
      </w:r>
      <w:r>
        <w:rPr/>
        <w:t>以公允价值计量的资产和负债的期末公允价值</w:t>
      </w:r>
      <w:r>
        <w:rPr>
          <w:b w:val="0"/>
          <w:bCs w:val="0"/>
        </w:rPr>
      </w:r>
    </w:p>
    <w:p>
      <w:pPr>
        <w:pStyle w:val="BodyText"/>
        <w:tabs>
          <w:tab w:pos="1079" w:val="left" w:leader="none"/>
        </w:tabs>
        <w:spacing w:line="240" w:lineRule="auto" w:before="58"/>
        <w:ind w:left="0" w:right="15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81"/>
        <w:gridCol w:w="1681"/>
        <w:gridCol w:w="1640"/>
        <w:gridCol w:w="1704"/>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50,000,000.00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50,000,000.00</w:t>
            </w: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4"/>
          <w:pgSz w:w="11910" w:h="16840"/>
          <w:pgMar w:footer="1195" w:header="0" w:top="1120" w:bottom="1380" w:left="114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81"/>
        <w:gridCol w:w="1681"/>
        <w:gridCol w:w="1640"/>
        <w:gridCol w:w="1704"/>
        <w:gridCol w:w="1486"/>
      </w:tblGrid>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left="137" w:right="144"/>
        <w:jc w:val="left"/>
        <w:rPr>
          <w:b w:val="0"/>
          <w:bCs w:val="0"/>
        </w:rPr>
      </w:pPr>
      <w:r>
        <w:rPr>
          <w:rFonts w:ascii="宋体" w:hAnsi="宋体" w:cs="宋体" w:eastAsia="宋体" w:hint="default"/>
        </w:rPr>
        <w:t>2</w:t>
      </w:r>
      <w:r>
        <w:rPr/>
        <w:t>、</w:t>
      </w:r>
      <w:r>
        <w:rPr>
          <w:spacing w:val="-57"/>
        </w:rPr>
        <w:t> </w:t>
      </w:r>
      <w:r>
        <w:rPr/>
        <w:t>其他</w:t>
      </w:r>
      <w:r>
        <w:rPr>
          <w:b w:val="0"/>
          <w:bCs w:val="0"/>
        </w:rPr>
      </w:r>
    </w:p>
    <w:p>
      <w:pPr>
        <w:pStyle w:val="BodyText"/>
        <w:spacing w:line="240" w:lineRule="auto" w:before="118"/>
        <w:ind w:left="614" w:right="144"/>
        <w:jc w:val="left"/>
      </w:pPr>
      <w:r>
        <w:rPr/>
        <w:t>不以公允价值计量但披露其公允价值的项目和金额</w:t>
      </w:r>
    </w:p>
    <w:p>
      <w:pPr>
        <w:spacing w:after="0" w:line="240" w:lineRule="auto"/>
        <w:jc w:val="left"/>
        <w:sectPr>
          <w:footerReference w:type="default" r:id="rId75"/>
          <w:pgSz w:w="11910" w:h="16840"/>
          <w:pgMar w:footer="1195" w:header="0" w:top="1120" w:bottom="1380" w:left="1140" w:right="1640"/>
          <w:pgNumType w:start="181"/>
        </w:sectPr>
      </w:pPr>
    </w:p>
    <w:p>
      <w:pPr>
        <w:spacing w:line="240" w:lineRule="auto" w:before="13"/>
        <w:rPr>
          <w:rFonts w:ascii="宋体" w:hAnsi="宋体" w:cs="宋体" w:eastAsia="宋体" w:hint="default"/>
          <w:sz w:val="18"/>
          <w:szCs w:val="18"/>
        </w:rPr>
      </w:pPr>
    </w:p>
    <w:p>
      <w:pPr>
        <w:pStyle w:val="BodyText"/>
        <w:spacing w:line="237" w:lineRule="auto" w:before="28"/>
        <w:ind w:left="217" w:right="102" w:firstLine="480"/>
        <w:jc w:val="left"/>
      </w:pPr>
      <w:r>
        <w:rPr/>
        <w:t>本集团以摊余成本计量的金融资产和金融负债主要包括：货币资金、应收票据、 应收账款、其他应收款、短期借款、应付票据、应付账款、其他应付款、一年内到期 的非流动负债、长期应付款、长期借款和应付债券等。</w:t>
      </w:r>
    </w:p>
    <w:p>
      <w:pPr>
        <w:pStyle w:val="BodyText"/>
        <w:spacing w:line="240" w:lineRule="auto" w:before="118"/>
        <w:ind w:left="697" w:right="102"/>
        <w:jc w:val="left"/>
      </w:pPr>
      <w:r>
        <w:rPr/>
        <w:t>上述不以公允价值计量的金融资产和金融负债的账面价值与公允价值相差很小。</w:t>
      </w:r>
    </w:p>
    <w:p>
      <w:pPr>
        <w:spacing w:line="240" w:lineRule="auto" w:before="0"/>
        <w:rPr>
          <w:rFonts w:ascii="宋体" w:hAnsi="宋体" w:cs="宋体" w:eastAsia="宋体" w:hint="default"/>
          <w:sz w:val="24"/>
          <w:szCs w:val="24"/>
        </w:rPr>
      </w:pPr>
    </w:p>
    <w:p>
      <w:pPr>
        <w:pStyle w:val="Heading2"/>
        <w:spacing w:line="283" w:lineRule="auto" w:before="173"/>
        <w:ind w:right="6285"/>
        <w:jc w:val="left"/>
        <w:rPr>
          <w:rFonts w:ascii="宋体" w:hAnsi="宋体" w:cs="宋体" w:eastAsia="宋体" w:hint="default"/>
          <w:b w:val="0"/>
          <w:bCs w:val="0"/>
        </w:rPr>
      </w:pPr>
      <w:r>
        <w:rPr/>
        <w:t>十二、</w:t>
      </w:r>
      <w:r>
        <w:rPr>
          <w:spacing w:val="-7"/>
        </w:rPr>
        <w:t> </w:t>
      </w:r>
      <w:r>
        <w:rPr/>
        <w:t>关联方及关联交易</w:t>
      </w:r>
      <w:r>
        <w:rPr>
          <w:w w:val="99"/>
        </w:rPr>
        <w:t> </w:t>
      </w:r>
      <w:r>
        <w:rPr>
          <w:rFonts w:ascii="宋体" w:hAnsi="宋体" w:cs="宋体" w:eastAsia="宋体" w:hint="default"/>
          <w:sz w:val="21"/>
          <w:szCs w:val="21"/>
        </w:rPr>
        <w:t>1</w:t>
      </w:r>
      <w:r>
        <w:rPr>
          <w:sz w:val="21"/>
          <w:szCs w:val="21"/>
        </w:rPr>
        <w:t>、</w:t>
      </w:r>
      <w:r>
        <w:rPr>
          <w:spacing w:val="1"/>
          <w:sz w:val="21"/>
          <w:szCs w:val="21"/>
        </w:rPr>
        <w:t> </w:t>
      </w:r>
      <w:r>
        <w:rPr/>
        <w:t>本企业的母公司情况</w:t>
      </w:r>
      <w:r>
        <w:rPr>
          <w:w w:val="99"/>
        </w:rPr>
        <w:t> </w:t>
      </w:r>
      <w:r>
        <w:rPr>
          <w:rFonts w:ascii="宋体" w:hAnsi="宋体" w:cs="宋体" w:eastAsia="宋体" w:hint="default"/>
          <w:b w:val="0"/>
          <w:bCs w:val="0"/>
        </w:rPr>
        <w:t>无</w:t>
      </w:r>
    </w:p>
    <w:p>
      <w:pPr>
        <w:spacing w:line="261" w:lineRule="auto" w:before="14"/>
        <w:ind w:left="217" w:right="3794"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 子公司情况详见附注九、</w:t>
      </w:r>
      <w:r>
        <w:rPr>
          <w:rFonts w:ascii="宋体" w:hAnsi="宋体" w:cs="宋体" w:eastAsia="宋体" w:hint="default"/>
          <w:sz w:val="24"/>
          <w:szCs w:val="24"/>
        </w:rPr>
        <w:t>1</w:t>
      </w:r>
      <w:r>
        <w:rPr>
          <w:rFonts w:ascii="宋体" w:hAnsi="宋体" w:cs="宋体" w:eastAsia="宋体" w:hint="default"/>
          <w:sz w:val="24"/>
          <w:szCs w:val="24"/>
        </w:rPr>
        <w:t>。</w:t>
      </w:r>
    </w:p>
    <w:p>
      <w:pPr>
        <w:spacing w:line="240" w:lineRule="auto" w:before="6"/>
        <w:rPr>
          <w:rFonts w:ascii="宋体" w:hAnsi="宋体" w:cs="宋体" w:eastAsia="宋体" w:hint="default"/>
          <w:sz w:val="26"/>
          <w:szCs w:val="26"/>
        </w:rPr>
      </w:pPr>
    </w:p>
    <w:p>
      <w:pPr>
        <w:spacing w:line="261" w:lineRule="auto" w:before="0"/>
        <w:ind w:left="217" w:right="436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 重要的合营和联营企业情况详见附注九、</w:t>
      </w:r>
      <w:r>
        <w:rPr>
          <w:rFonts w:ascii="宋体" w:hAnsi="宋体" w:cs="宋体" w:eastAsia="宋体" w:hint="default"/>
          <w:sz w:val="24"/>
          <w:szCs w:val="24"/>
        </w:rPr>
        <w:t>2</w:t>
      </w:r>
      <w:r>
        <w:rPr>
          <w:rFonts w:ascii="宋体" w:hAnsi="宋体" w:cs="宋体" w:eastAsia="宋体" w:hint="default"/>
          <w:sz w:val="24"/>
          <w:szCs w:val="24"/>
        </w:rPr>
        <w:t>。</w:t>
      </w:r>
    </w:p>
    <w:p>
      <w:pPr>
        <w:spacing w:line="240" w:lineRule="auto" w:before="6"/>
        <w:rPr>
          <w:rFonts w:ascii="宋体" w:hAnsi="宋体" w:cs="宋体" w:eastAsia="宋体" w:hint="default"/>
          <w:sz w:val="26"/>
          <w:szCs w:val="26"/>
        </w:rPr>
      </w:pPr>
    </w:p>
    <w:p>
      <w:pPr>
        <w:spacing w:before="0"/>
        <w:ind w:left="217" w:right="2569"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其他关联方情况</w:t>
      </w:r>
      <w:r>
        <w:rPr>
          <w:rFonts w:ascii="宋体" w:hAnsi="宋体" w:cs="宋体" w:eastAsia="宋体" w:hint="default"/>
          <w:sz w:val="24"/>
          <w:szCs w:val="24"/>
        </w:rPr>
      </w:r>
    </w:p>
    <w:p>
      <w:pPr>
        <w:pStyle w:val="BodyText"/>
        <w:spacing w:line="240" w:lineRule="auto" w:before="58"/>
        <w:ind w:left="217" w:right="256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80"/>
        <w:gridCol w:w="5070"/>
      </w:tblGrid>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45" w:right="0"/>
              <w:jc w:val="left"/>
              <w:rPr>
                <w:rFonts w:ascii="宋体" w:hAnsi="宋体" w:cs="宋体" w:eastAsia="宋体" w:hint="default"/>
                <w:sz w:val="24"/>
                <w:szCs w:val="24"/>
              </w:rPr>
            </w:pPr>
            <w:r>
              <w:rPr>
                <w:rFonts w:ascii="宋体" w:hAnsi="宋体" w:cs="宋体" w:eastAsia="宋体" w:hint="default"/>
                <w:sz w:val="24"/>
                <w:szCs w:val="24"/>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7" w:right="0"/>
              <w:jc w:val="left"/>
              <w:rPr>
                <w:rFonts w:ascii="宋体" w:hAnsi="宋体" w:cs="宋体" w:eastAsia="宋体" w:hint="default"/>
                <w:sz w:val="24"/>
                <w:szCs w:val="24"/>
              </w:rPr>
            </w:pPr>
            <w:r>
              <w:rPr>
                <w:rFonts w:ascii="宋体" w:hAnsi="宋体" w:cs="宋体" w:eastAsia="宋体" w:hint="default"/>
                <w:sz w:val="24"/>
                <w:szCs w:val="24"/>
              </w:rPr>
              <w:t>其他关联方与本企业关系</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董事、经理、财务总监及董事会秘书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王维航</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参股股东</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北京中域嘉盛投资管理有限公司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关联人（与公司同一董事长）</w:t>
            </w:r>
          </w:p>
        </w:tc>
      </w:tr>
    </w:tbl>
    <w:p>
      <w:pPr>
        <w:spacing w:line="240" w:lineRule="auto" w:before="10"/>
        <w:rPr>
          <w:rFonts w:ascii="宋体" w:hAnsi="宋体" w:cs="宋体" w:eastAsia="宋体" w:hint="default"/>
          <w:sz w:val="18"/>
          <w:szCs w:val="18"/>
        </w:rPr>
      </w:pPr>
    </w:p>
    <w:p>
      <w:pPr>
        <w:pStyle w:val="BodyText"/>
        <w:spacing w:line="240" w:lineRule="auto" w:before="26"/>
        <w:ind w:left="217" w:right="2569"/>
        <w:jc w:val="left"/>
      </w:pPr>
      <w:r>
        <w:rPr/>
        <w:t>其他说明：无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060" w:right="1560"/>
        </w:sectPr>
      </w:pPr>
    </w:p>
    <w:p>
      <w:pPr>
        <w:spacing w:before="26"/>
        <w:ind w:left="217" w:right="-18"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 </w:t>
      </w:r>
      <w:r>
        <w:rPr>
          <w:rFonts w:ascii="宋体" w:hAnsi="宋体" w:cs="宋体" w:eastAsia="宋体" w:hint="default"/>
          <w:b/>
          <w:bCs/>
          <w:sz w:val="24"/>
          <w:szCs w:val="24"/>
        </w:rPr>
        <w:t>关联交易情况</w:t>
      </w:r>
      <w:r>
        <w:rPr>
          <w:rFonts w:ascii="宋体" w:hAnsi="宋体" w:cs="宋体" w:eastAsia="宋体" w:hint="default"/>
          <w:sz w:val="24"/>
          <w:szCs w:val="24"/>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9"/>
        </w:rPr>
        <w:t> </w:t>
      </w:r>
      <w:r>
        <w:rPr/>
        <w:t>购销商品、提供和接受劳务的关联交易</w:t>
      </w:r>
      <w:r>
        <w:rPr>
          <w:b w:val="0"/>
          <w:bCs w:val="0"/>
        </w:rPr>
      </w:r>
    </w:p>
    <w:p>
      <w:pPr>
        <w:pStyle w:val="BodyText"/>
        <w:spacing w:line="240" w:lineRule="auto" w:before="55"/>
        <w:ind w:left="217" w:right="1932"/>
        <w:jc w:val="left"/>
      </w:pPr>
      <w:r>
        <w:rPr/>
        <w:t>√适用</w:t>
      </w:r>
      <w:r>
        <w:rPr>
          <w:spacing w:val="-1"/>
        </w:rPr>
        <w:t> </w:t>
      </w:r>
      <w:r>
        <w:rPr/>
        <w:t>□不适用</w:t>
      </w:r>
      <w:r>
        <w:rPr/>
        <w:t> 采购商品</w:t>
      </w:r>
      <w:r>
        <w:rPr>
          <w:rFonts w:ascii="宋体" w:hAnsi="宋体" w:cs="宋体" w:eastAsia="宋体" w:hint="default"/>
        </w:rPr>
        <w:t>/</w:t>
      </w:r>
      <w:r>
        <w:rPr/>
        <w:t>接受劳务情况表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930" w:space="1263"/>
            <w:col w:w="3097"/>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212"/>
        <w:gridCol w:w="1879"/>
        <w:gridCol w:w="1908"/>
        <w:gridCol w:w="1897"/>
      </w:tblGrid>
      <w:tr>
        <w:trPr>
          <w:trHeight w:val="307"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0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INSystems(Macao)Limited</w:t>
            </w:r>
          </w:p>
        </w:tc>
        <w:tc>
          <w:tcPr>
            <w:tcW w:w="187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3,441,211.79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2,220,275.58</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I-SprintInnovationsPteLtd.</w:t>
            </w:r>
          </w:p>
        </w:tc>
        <w:tc>
          <w:tcPr>
            <w:tcW w:w="187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2,659,585.28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2,143,634.21</w:t>
            </w:r>
          </w:p>
        </w:tc>
      </w:tr>
      <w:tr>
        <w:trPr>
          <w:trHeight w:val="554"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485,784.65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0</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北京悦享互联技术有限公司</w:t>
            </w:r>
          </w:p>
        </w:tc>
        <w:tc>
          <w:tcPr>
            <w:tcW w:w="187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350,700.19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0</w:t>
            </w:r>
          </w:p>
        </w:tc>
      </w:tr>
      <w:tr>
        <w:trPr>
          <w:trHeight w:val="28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I-SprintInnovations(HK)Limited</w:t>
            </w:r>
          </w:p>
        </w:tc>
        <w:tc>
          <w:tcPr>
            <w:tcW w:w="187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54,406.75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12" w:lineRule="exact" w:before="26"/>
        <w:ind w:left="217" w:right="2569"/>
        <w:jc w:val="left"/>
      </w:pPr>
      <w:r>
        <w:rPr/>
        <w:t>出售商品</w:t>
      </w:r>
      <w:r>
        <w:rPr>
          <w:rFonts w:ascii="宋体" w:hAnsi="宋体" w:cs="宋体" w:eastAsia="宋体" w:hint="default"/>
        </w:rPr>
        <w:t>/</w:t>
      </w:r>
      <w:r>
        <w:rPr/>
        <w:t>提供劳务情况表</w:t>
      </w:r>
    </w:p>
    <w:p>
      <w:pPr>
        <w:pStyle w:val="BodyText"/>
        <w:tabs>
          <w:tab w:pos="1199" w:val="left" w:leader="none"/>
        </w:tabs>
        <w:spacing w:line="312" w:lineRule="exact"/>
        <w:ind w:left="0" w:right="233"/>
        <w:jc w:val="right"/>
      </w:pPr>
      <w:r>
        <w:rPr/>
        <w:t>单位：元</w:t>
        <w:tab/>
        <w:t>币种：人民币</w:t>
      </w:r>
    </w:p>
    <w:p>
      <w:pPr>
        <w:spacing w:after="0" w:line="312" w:lineRule="exact"/>
        <w:jc w:val="right"/>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212"/>
        <w:gridCol w:w="1858"/>
        <w:gridCol w:w="1911"/>
        <w:gridCol w:w="1916"/>
      </w:tblGrid>
      <w:tr>
        <w:trPr>
          <w:trHeight w:val="284"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I-SprintInnovations(HK)Limited</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260,819.21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189,066.64</w:t>
            </w:r>
          </w:p>
        </w:tc>
      </w:tr>
      <w:tr>
        <w:trPr>
          <w:trHeight w:val="28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I-SprintInnovationsPteLtd.</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175,693.57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10,343.90</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深圳华胜均衡科技有限公司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28,301.91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0</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INSystem(Macao)Limited</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3,380.64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0</w:t>
            </w:r>
          </w:p>
        </w:tc>
      </w:tr>
    </w:tbl>
    <w:p>
      <w:pPr>
        <w:spacing w:line="240" w:lineRule="auto" w:before="8"/>
        <w:rPr>
          <w:rFonts w:ascii="宋体" w:hAnsi="宋体" w:cs="宋体" w:eastAsia="宋体" w:hint="default"/>
          <w:sz w:val="18"/>
          <w:szCs w:val="18"/>
        </w:rPr>
      </w:pPr>
    </w:p>
    <w:p>
      <w:pPr>
        <w:pStyle w:val="BodyText"/>
        <w:spacing w:line="312" w:lineRule="exact" w:before="56"/>
        <w:ind w:right="4489"/>
        <w:jc w:val="left"/>
      </w:pPr>
      <w:r>
        <w:rPr/>
        <w:t>购销商品、提供和接受劳务的关联交易说明 无</w:t>
      </w:r>
    </w:p>
    <w:p>
      <w:pPr>
        <w:spacing w:line="240" w:lineRule="auto" w:before="12"/>
        <w:rPr>
          <w:rFonts w:ascii="宋体" w:hAnsi="宋体" w:cs="宋体" w:eastAsia="宋体" w:hint="default"/>
          <w:sz w:val="25"/>
          <w:szCs w:val="25"/>
        </w:rPr>
      </w:pPr>
    </w:p>
    <w:p>
      <w:pPr>
        <w:pStyle w:val="Heading2"/>
        <w:spacing w:line="240" w:lineRule="auto" w:before="0"/>
        <w:ind w:left="137" w:right="119"/>
        <w:jc w:val="left"/>
        <w:rPr>
          <w:b w:val="0"/>
          <w:bCs w:val="0"/>
        </w:rPr>
      </w:pPr>
      <w:r>
        <w:rPr>
          <w:rFonts w:ascii="宋体" w:hAnsi="宋体" w:cs="宋体" w:eastAsia="宋体" w:hint="default"/>
        </w:rPr>
        <w:t>(2).</w:t>
      </w:r>
      <w:r>
        <w:rPr>
          <w:rFonts w:ascii="宋体" w:hAnsi="宋体" w:cs="宋体" w:eastAsia="宋体" w:hint="default"/>
          <w:spacing w:val="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38"/>
        <w:ind w:right="119"/>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137" w:right="119"/>
        <w:jc w:val="left"/>
        <w:rPr>
          <w:b w:val="0"/>
          <w:bCs w:val="0"/>
        </w:rPr>
      </w:pPr>
      <w:r>
        <w:rPr>
          <w:rFonts w:ascii="宋体" w:hAnsi="宋体" w:cs="宋体" w:eastAsia="宋体" w:hint="default"/>
        </w:rPr>
        <w:t>(3).</w:t>
      </w:r>
      <w:r>
        <w:rPr>
          <w:rFonts w:ascii="宋体" w:hAnsi="宋体" w:cs="宋体" w:eastAsia="宋体" w:hint="default"/>
          <w:spacing w:val="9"/>
        </w:rPr>
        <w:t> </w:t>
      </w:r>
      <w:r>
        <w:rPr/>
        <w:t>关联租赁情况</w:t>
      </w:r>
      <w:r>
        <w:rPr>
          <w:b w:val="0"/>
          <w:bCs w:val="0"/>
        </w:rPr>
      </w:r>
    </w:p>
    <w:p>
      <w:pPr>
        <w:pStyle w:val="BodyText"/>
        <w:spacing w:line="240" w:lineRule="auto" w:before="58"/>
        <w:ind w:right="11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7" w:right="119"/>
        <w:jc w:val="left"/>
        <w:rPr>
          <w:b w:val="0"/>
          <w:bCs w:val="0"/>
        </w:rPr>
      </w:pPr>
      <w:r>
        <w:rPr>
          <w:rFonts w:ascii="宋体" w:hAnsi="宋体" w:cs="宋体" w:eastAsia="宋体" w:hint="default"/>
        </w:rPr>
        <w:t>(4).</w:t>
      </w:r>
      <w:r>
        <w:rPr>
          <w:rFonts w:ascii="宋体" w:hAnsi="宋体" w:cs="宋体" w:eastAsia="宋体" w:hint="default"/>
          <w:spacing w:val="8"/>
        </w:rPr>
        <w:t> </w:t>
      </w:r>
      <w:r>
        <w:rPr/>
        <w:t>关联担保情况</w:t>
      </w:r>
      <w:r>
        <w:rPr>
          <w:b w:val="0"/>
          <w:bCs w:val="0"/>
        </w:rPr>
      </w:r>
    </w:p>
    <w:p>
      <w:pPr>
        <w:pStyle w:val="BodyText"/>
        <w:spacing w:line="240" w:lineRule="auto" w:before="55"/>
        <w:ind w:right="119"/>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BodyText"/>
        <w:spacing w:line="310" w:lineRule="exact"/>
        <w:ind w:right="7129"/>
        <w:jc w:val="left"/>
      </w:pPr>
      <w:r>
        <w:rPr/>
        <w:t>关联担保情况说明 本公司作为担保方</w:t>
      </w:r>
    </w:p>
    <w:p>
      <w:pPr>
        <w:pStyle w:val="BodyText"/>
        <w:spacing w:line="313" w:lineRule="exact" w:before="90"/>
        <w:ind w:left="557" w:right="119"/>
        <w:jc w:val="left"/>
      </w:pPr>
      <w:r>
        <w:rPr>
          <w:rFonts w:ascii="宋体" w:hAnsi="宋体" w:cs="宋体" w:eastAsia="宋体" w:hint="default"/>
        </w:rPr>
        <w:t>A.</w:t>
      </w:r>
      <w:r>
        <w:rPr/>
        <w:t>根据本公司</w:t>
      </w:r>
      <w:r>
        <w:rPr>
          <w:spacing w:val="-61"/>
        </w:rPr>
        <w:t> </w:t>
      </w:r>
      <w:r>
        <w:rPr>
          <w:rFonts w:ascii="宋体" w:hAnsi="宋体" w:cs="宋体" w:eastAsia="宋体" w:hint="default"/>
        </w:rPr>
        <w:t>2007</w:t>
      </w:r>
      <w:r>
        <w:rPr>
          <w:rFonts w:ascii="宋体" w:hAnsi="宋体" w:cs="宋体" w:eastAsia="宋体" w:hint="default"/>
          <w:spacing w:val="-60"/>
        </w:rPr>
        <w:t> </w:t>
      </w:r>
      <w:r>
        <w:rPr/>
        <w:t>年第三次临时董事会会议决议</w:t>
      </w:r>
      <w:r>
        <w:rPr>
          <w:spacing w:val="-108"/>
        </w:rPr>
        <w:t>，</w:t>
      </w:r>
      <w:r>
        <w:rPr/>
        <w:t>为本公司之全资子公司华胜天</w:t>
      </w:r>
    </w:p>
    <w:p>
      <w:pPr>
        <w:pStyle w:val="BodyText"/>
        <w:spacing w:line="310" w:lineRule="exact" w:before="31"/>
        <w:ind w:left="134" w:right="220"/>
        <w:jc w:val="left"/>
      </w:pPr>
      <w:r>
        <w:rPr>
          <w:spacing w:val="-3"/>
        </w:rPr>
        <w:t>成科技（香港）有限公司提供每年最高额</w:t>
      </w:r>
      <w:r>
        <w:rPr>
          <w:spacing w:val="-57"/>
        </w:rPr>
        <w:t> </w:t>
      </w:r>
      <w:r>
        <w:rPr>
          <w:rFonts w:ascii="宋体" w:hAnsi="宋体" w:cs="宋体" w:eastAsia="宋体" w:hint="default"/>
        </w:rPr>
        <w:t>7,000</w:t>
      </w:r>
      <w:r>
        <w:rPr>
          <w:rFonts w:ascii="宋体" w:hAnsi="宋体" w:cs="宋体" w:eastAsia="宋体" w:hint="default"/>
          <w:spacing w:val="-57"/>
        </w:rPr>
        <w:t> </w:t>
      </w:r>
      <w:r>
        <w:rPr/>
        <w:t>万元人民币或等值外币的采购付款担 保；</w:t>
      </w:r>
    </w:p>
    <w:p>
      <w:pPr>
        <w:pStyle w:val="BodyText"/>
        <w:spacing w:line="313" w:lineRule="exact" w:before="89"/>
        <w:ind w:left="557" w:right="119"/>
        <w:jc w:val="left"/>
      </w:pPr>
      <w:r>
        <w:rPr>
          <w:rFonts w:ascii="宋体" w:hAnsi="宋体" w:cs="宋体" w:eastAsia="宋体" w:hint="default"/>
        </w:rPr>
        <w:t>B.</w:t>
      </w:r>
      <w:r>
        <w:rPr/>
        <w:t>根据本公司</w:t>
      </w:r>
      <w:r>
        <w:rPr>
          <w:spacing w:val="-61"/>
        </w:rPr>
        <w:t> </w:t>
      </w:r>
      <w:r>
        <w:rPr>
          <w:rFonts w:ascii="宋体" w:hAnsi="宋体" w:cs="宋体" w:eastAsia="宋体" w:hint="default"/>
        </w:rPr>
        <w:t>2009</w:t>
      </w:r>
      <w:r>
        <w:rPr>
          <w:rFonts w:ascii="宋体" w:hAnsi="宋体" w:cs="宋体" w:eastAsia="宋体" w:hint="default"/>
          <w:spacing w:val="-60"/>
        </w:rPr>
        <w:t> </w:t>
      </w:r>
      <w:r>
        <w:rPr/>
        <w:t>年第九次临时董事会审议通过</w:t>
      </w:r>
      <w:r>
        <w:rPr>
          <w:spacing w:val="-108"/>
        </w:rPr>
        <w:t>，</w:t>
      </w:r>
      <w:r>
        <w:rPr/>
        <w:t>为本公司之子公司北京飞杰信</w:t>
      </w:r>
    </w:p>
    <w:p>
      <w:pPr>
        <w:pStyle w:val="BodyText"/>
        <w:spacing w:line="313" w:lineRule="exact"/>
        <w:ind w:left="134" w:right="119"/>
        <w:jc w:val="left"/>
      </w:pPr>
      <w:r>
        <w:rPr/>
        <w:t>息技术有限公司提供每年最高额</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万元人民币的贸易项下担保；</w:t>
      </w:r>
    </w:p>
    <w:p>
      <w:pPr>
        <w:pStyle w:val="BodyText"/>
        <w:spacing w:line="313" w:lineRule="exact" w:before="115"/>
        <w:ind w:left="557" w:right="119"/>
        <w:jc w:val="left"/>
      </w:pPr>
      <w:r>
        <w:rPr>
          <w:rFonts w:ascii="宋体" w:hAnsi="宋体" w:cs="宋体" w:eastAsia="宋体" w:hint="default"/>
        </w:rPr>
        <w:t>C.</w:t>
      </w:r>
      <w:r>
        <w:rPr/>
        <w:t>根据本公司</w:t>
      </w:r>
      <w:r>
        <w:rPr>
          <w:spacing w:val="-61"/>
        </w:rPr>
        <w:t> </w:t>
      </w:r>
      <w:r>
        <w:rPr>
          <w:rFonts w:ascii="宋体" w:hAnsi="宋体" w:cs="宋体" w:eastAsia="宋体" w:hint="default"/>
        </w:rPr>
        <w:t>2007</w:t>
      </w:r>
      <w:r>
        <w:rPr>
          <w:rFonts w:ascii="宋体" w:hAnsi="宋体" w:cs="宋体" w:eastAsia="宋体" w:hint="default"/>
          <w:spacing w:val="-60"/>
        </w:rPr>
        <w:t> </w:t>
      </w:r>
      <w:r>
        <w:rPr/>
        <w:t>年第八次临时董事会会议决议</w:t>
      </w:r>
      <w:r>
        <w:rPr>
          <w:spacing w:val="-108"/>
        </w:rPr>
        <w:t>，</w:t>
      </w:r>
      <w:r>
        <w:rPr/>
        <w:t>为本公司之全资子公司深圳华</w:t>
      </w:r>
    </w:p>
    <w:p>
      <w:pPr>
        <w:pStyle w:val="BodyText"/>
        <w:spacing w:line="313" w:lineRule="exact"/>
        <w:ind w:left="134" w:right="119"/>
        <w:jc w:val="left"/>
      </w:pPr>
      <w:r>
        <w:rPr/>
        <w:t>胜天成信息技术有限公司提供每年最高额</w:t>
      </w:r>
      <w:r>
        <w:rPr>
          <w:spacing w:val="-60"/>
        </w:rPr>
        <w:t> </w:t>
      </w:r>
      <w:r>
        <w:rPr>
          <w:rFonts w:ascii="宋体" w:hAnsi="宋体" w:cs="宋体" w:eastAsia="宋体" w:hint="default"/>
        </w:rPr>
        <w:t>800</w:t>
      </w:r>
      <w:r>
        <w:rPr>
          <w:rFonts w:ascii="宋体" w:hAnsi="宋体" w:cs="宋体" w:eastAsia="宋体" w:hint="default"/>
          <w:spacing w:val="-60"/>
        </w:rPr>
        <w:t> </w:t>
      </w:r>
      <w:r>
        <w:rPr/>
        <w:t>万美元的采购额度的信用担保；</w:t>
      </w:r>
    </w:p>
    <w:p>
      <w:pPr>
        <w:pStyle w:val="BodyText"/>
        <w:spacing w:line="237" w:lineRule="auto" w:before="120"/>
        <w:ind w:left="134" w:right="98" w:firstLine="422"/>
        <w:jc w:val="left"/>
      </w:pPr>
      <w:r>
        <w:rPr>
          <w:rFonts w:ascii="宋体" w:hAnsi="宋体" w:cs="宋体" w:eastAsia="宋体" w:hint="default"/>
        </w:rPr>
        <w:t>D.</w:t>
      </w:r>
      <w:r>
        <w:rPr/>
        <w:t>根据本公司</w:t>
      </w:r>
      <w:r>
        <w:rPr>
          <w:spacing w:val="-61"/>
        </w:rPr>
        <w:t> </w:t>
      </w:r>
      <w:r>
        <w:rPr>
          <w:rFonts w:ascii="宋体" w:hAnsi="宋体" w:cs="宋体" w:eastAsia="宋体" w:hint="default"/>
        </w:rPr>
        <w:t>2011</w:t>
      </w:r>
      <w:r>
        <w:rPr>
          <w:rFonts w:ascii="宋体" w:hAnsi="宋体" w:cs="宋体" w:eastAsia="宋体" w:hint="default"/>
          <w:spacing w:val="-60"/>
        </w:rPr>
        <w:t> </w:t>
      </w:r>
      <w:r>
        <w:rPr>
          <w:spacing w:val="-4"/>
        </w:rPr>
        <w:t>年第十三次临时董事会会议决议，为本公司之子公司北京飞杰</w:t>
      </w:r>
      <w:r>
        <w:rPr/>
        <w:t> 信息技术有限公司提供总额不超过</w:t>
      </w:r>
      <w:r>
        <w:rPr>
          <w:spacing w:val="-72"/>
        </w:rPr>
        <w:t> </w:t>
      </w:r>
      <w:r>
        <w:rPr>
          <w:rFonts w:ascii="宋体" w:hAnsi="宋体" w:cs="宋体" w:eastAsia="宋体" w:hint="default"/>
        </w:rPr>
        <w:t>500</w:t>
      </w:r>
      <w:r>
        <w:rPr>
          <w:rFonts w:ascii="宋体" w:hAnsi="宋体" w:cs="宋体" w:eastAsia="宋体" w:hint="default"/>
          <w:spacing w:val="-72"/>
        </w:rPr>
        <w:t> </w:t>
      </w:r>
      <w:r>
        <w:rPr>
          <w:spacing w:val="-12"/>
        </w:rPr>
        <w:t>万元人民币，仅为进口</w:t>
      </w:r>
      <w:r>
        <w:rPr>
          <w:spacing w:val="-72"/>
        </w:rPr>
        <w:t> </w:t>
      </w:r>
      <w:r>
        <w:rPr>
          <w:rFonts w:ascii="宋体" w:hAnsi="宋体" w:cs="宋体" w:eastAsia="宋体" w:hint="default"/>
        </w:rPr>
        <w:t>ARRAY</w:t>
      </w:r>
      <w:r>
        <w:rPr>
          <w:rFonts w:ascii="宋体" w:hAnsi="宋体" w:cs="宋体" w:eastAsia="宋体" w:hint="default"/>
          <w:spacing w:val="-70"/>
        </w:rPr>
        <w:t> </w:t>
      </w:r>
      <w:r>
        <w:rPr/>
        <w:t>系列产品的担保， 担保期限至</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spacing w:line="237" w:lineRule="auto" w:before="121"/>
        <w:ind w:left="134" w:right="214" w:firstLine="422"/>
        <w:jc w:val="left"/>
      </w:pPr>
      <w:r>
        <w:rPr>
          <w:rFonts w:ascii="宋体" w:hAnsi="宋体" w:cs="宋体" w:eastAsia="宋体" w:hint="default"/>
        </w:rPr>
        <w:t>E.</w:t>
      </w:r>
      <w:r>
        <w:rPr/>
        <w:t>根据本公司</w:t>
      </w:r>
      <w:r>
        <w:rPr>
          <w:spacing w:val="-61"/>
        </w:rPr>
        <w:t> </w:t>
      </w:r>
      <w:r>
        <w:rPr>
          <w:rFonts w:ascii="宋体" w:hAnsi="宋体" w:cs="宋体" w:eastAsia="宋体" w:hint="default"/>
        </w:rPr>
        <w:t>2013</w:t>
      </w:r>
      <w:r>
        <w:rPr>
          <w:rFonts w:ascii="宋体" w:hAnsi="宋体" w:cs="宋体" w:eastAsia="宋体" w:hint="default"/>
          <w:spacing w:val="-60"/>
        </w:rPr>
        <w:t> </w:t>
      </w:r>
      <w:r>
        <w:rPr>
          <w:spacing w:val="-4"/>
        </w:rPr>
        <w:t>年第二次临时董事会会议决议以及签署的综合授信合同，允许</w:t>
      </w:r>
      <w:r>
        <w:rPr/>
        <w:t> 本公司之全资子公司南京华胜天成信息技术有限公司使用本公司在中国民生银行综 合授信额度，由本公司承担连带担保责任，担保额度调整为</w:t>
      </w:r>
      <w:r>
        <w:rPr>
          <w:spacing w:val="-81"/>
        </w:rPr>
        <w:t> </w:t>
      </w:r>
      <w:r>
        <w:rPr>
          <w:rFonts w:ascii="宋体" w:hAnsi="宋体" w:cs="宋体" w:eastAsia="宋体" w:hint="default"/>
        </w:rPr>
        <w:t>5,000</w:t>
      </w:r>
      <w:r>
        <w:rPr>
          <w:rFonts w:ascii="宋体" w:hAnsi="宋体" w:cs="宋体" w:eastAsia="宋体" w:hint="default"/>
          <w:spacing w:val="-81"/>
        </w:rPr>
        <w:t> </w:t>
      </w:r>
      <w:r>
        <w:rPr/>
        <w:t>万元人民币，担保 期限为两年；</w:t>
      </w:r>
    </w:p>
    <w:p>
      <w:pPr>
        <w:pStyle w:val="BodyText"/>
        <w:spacing w:line="237" w:lineRule="auto" w:before="121"/>
        <w:ind w:left="134" w:right="218" w:firstLine="422"/>
        <w:jc w:val="left"/>
      </w:pPr>
      <w:r>
        <w:rPr>
          <w:rFonts w:ascii="宋体" w:hAnsi="宋体" w:cs="宋体" w:eastAsia="宋体" w:hint="default"/>
        </w:rPr>
        <w:t>F.</w:t>
      </w:r>
      <w:r>
        <w:rPr/>
        <w:t>根据本公司</w:t>
      </w:r>
      <w:r>
        <w:rPr>
          <w:spacing w:val="-61"/>
        </w:rPr>
        <w:t> </w:t>
      </w:r>
      <w:r>
        <w:rPr>
          <w:rFonts w:ascii="宋体" w:hAnsi="宋体" w:cs="宋体" w:eastAsia="宋体" w:hint="default"/>
        </w:rPr>
        <w:t>2013</w:t>
      </w:r>
      <w:r>
        <w:rPr>
          <w:rFonts w:ascii="宋体" w:hAnsi="宋体" w:cs="宋体" w:eastAsia="宋体" w:hint="default"/>
          <w:spacing w:val="-60"/>
        </w:rPr>
        <w:t> </w:t>
      </w:r>
      <w:r>
        <w:rPr>
          <w:spacing w:val="-4"/>
        </w:rPr>
        <w:t>年第五次临时董事会会议决议及签署的综合授信合同，允许本</w:t>
      </w:r>
      <w:r>
        <w:rPr/>
        <w:t> 公司之全资子公司南京华胜天成信息技术有限公司使用本公司在招商银行南京五台 山支行综合授信额度，由本公司承担连带担保责任，金额为</w:t>
      </w:r>
      <w:r>
        <w:rPr>
          <w:spacing w:val="-83"/>
        </w:rPr>
        <w:t> </w:t>
      </w:r>
      <w:r>
        <w:rPr>
          <w:rFonts w:ascii="宋体" w:hAnsi="宋体" w:cs="宋体" w:eastAsia="宋体" w:hint="default"/>
        </w:rPr>
        <w:t>2,000</w:t>
      </w:r>
      <w:r>
        <w:rPr>
          <w:rFonts w:ascii="宋体" w:hAnsi="宋体" w:cs="宋体" w:eastAsia="宋体" w:hint="default"/>
          <w:spacing w:val="-83"/>
        </w:rPr>
        <w:t> </w:t>
      </w:r>
      <w:r>
        <w:rPr/>
        <w:t>万元人民币，担保</w:t>
      </w:r>
    </w:p>
    <w:p>
      <w:pPr>
        <w:pStyle w:val="BodyText"/>
        <w:spacing w:line="312" w:lineRule="exact"/>
        <w:ind w:left="134" w:right="119"/>
        <w:jc w:val="left"/>
      </w:pPr>
      <w:r>
        <w:rPr/>
        <w:t>期间为</w:t>
      </w:r>
      <w:r>
        <w:rPr>
          <w:spacing w:val="-61"/>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日到</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w:t>
      </w:r>
    </w:p>
    <w:p>
      <w:pPr>
        <w:pStyle w:val="BodyText"/>
        <w:spacing w:line="237" w:lineRule="auto" w:before="118"/>
        <w:ind w:left="134" w:right="219" w:firstLine="422"/>
        <w:jc w:val="left"/>
      </w:pPr>
      <w:r>
        <w:rPr>
          <w:rFonts w:ascii="宋体" w:hAnsi="宋体" w:cs="宋体" w:eastAsia="宋体" w:hint="default"/>
        </w:rPr>
        <w:t>G.</w:t>
      </w:r>
      <w:r>
        <w:rPr/>
        <w:t>根据本公司</w:t>
      </w:r>
      <w:r>
        <w:rPr>
          <w:spacing w:val="-61"/>
        </w:rPr>
        <w:t> </w:t>
      </w:r>
      <w:r>
        <w:rPr>
          <w:rFonts w:ascii="宋体" w:hAnsi="宋体" w:cs="宋体" w:eastAsia="宋体" w:hint="default"/>
        </w:rPr>
        <w:t>2013</w:t>
      </w:r>
      <w:r>
        <w:rPr>
          <w:rFonts w:ascii="宋体" w:hAnsi="宋体" w:cs="宋体" w:eastAsia="宋体" w:hint="default"/>
          <w:spacing w:val="-60"/>
        </w:rPr>
        <w:t> </w:t>
      </w:r>
      <w:r>
        <w:rPr>
          <w:spacing w:val="-4"/>
        </w:rPr>
        <w:t>年第二次临时董事会会议决议以及签署的综合授信合同，允许</w:t>
      </w:r>
      <w:r>
        <w:rPr/>
        <w:t> 本公司之子公司北京飞杰信息技术有限公司使用本公司在中国民生银行综合授信额 度，由本公司承担连带责任担保，金额为人民币</w:t>
      </w:r>
      <w:r>
        <w:rPr>
          <w:spacing w:val="-60"/>
        </w:rPr>
        <w:t> </w:t>
      </w:r>
      <w:r>
        <w:rPr>
          <w:rFonts w:ascii="宋体" w:hAnsi="宋体" w:cs="宋体" w:eastAsia="宋体" w:hint="default"/>
        </w:rPr>
        <w:t>1,000</w:t>
      </w:r>
      <w:r>
        <w:rPr>
          <w:rFonts w:ascii="宋体" w:hAnsi="宋体" w:cs="宋体" w:eastAsia="宋体" w:hint="default"/>
          <w:spacing w:val="-60"/>
        </w:rPr>
        <w:t> </w:t>
      </w:r>
      <w:r>
        <w:rPr/>
        <w:t>万元，期限两年；</w:t>
      </w:r>
    </w:p>
    <w:p>
      <w:pPr>
        <w:spacing w:after="0" w:line="237" w:lineRule="auto"/>
        <w:jc w:val="left"/>
        <w:sectPr>
          <w:pgSz w:w="11910" w:h="16840"/>
          <w:pgMar w:header="0"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left="214" w:right="235" w:firstLine="422"/>
        <w:jc w:val="both"/>
      </w:pPr>
      <w:r>
        <w:rPr>
          <w:rFonts w:ascii="宋体" w:hAnsi="宋体" w:cs="宋体" w:eastAsia="宋体" w:hint="default"/>
        </w:rPr>
        <w:t>H.</w:t>
      </w:r>
      <w:r>
        <w:rPr/>
        <w:t>根据本公司</w:t>
      </w:r>
      <w:r>
        <w:rPr>
          <w:spacing w:val="-61"/>
        </w:rPr>
        <w:t> </w:t>
      </w:r>
      <w:r>
        <w:rPr>
          <w:rFonts w:ascii="宋体" w:hAnsi="宋体" w:cs="宋体" w:eastAsia="宋体" w:hint="default"/>
        </w:rPr>
        <w:t>2014</w:t>
      </w:r>
      <w:r>
        <w:rPr>
          <w:rFonts w:ascii="宋体" w:hAnsi="宋体" w:cs="宋体" w:eastAsia="宋体" w:hint="default"/>
          <w:spacing w:val="-60"/>
        </w:rPr>
        <w:t> </w:t>
      </w:r>
      <w:r>
        <w:rPr>
          <w:spacing w:val="-4"/>
        </w:rPr>
        <w:t>年第五次董事会第二次决议，本公司使用汇丰银行综合信用额</w:t>
      </w:r>
      <w:r>
        <w:rPr/>
        <w:t> </w:t>
      </w:r>
      <w:r>
        <w:rPr>
          <w:spacing w:val="-2"/>
        </w:rPr>
        <w:t>度申请开立备用信用证为本公司之全资子公司华胜天成科技（香港）有限公司在香港</w:t>
      </w:r>
      <w:r>
        <w:rPr>
          <w:spacing w:val="-92"/>
        </w:rPr>
        <w:t> </w:t>
      </w:r>
      <w:r>
        <w:rPr>
          <w:spacing w:val="-92"/>
        </w:rPr>
      </w:r>
      <w:r>
        <w:rPr/>
        <w:t>上海汇丰银行有限公司申请授信提供担保，金额为人民币</w:t>
      </w:r>
      <w:r>
        <w:rPr>
          <w:spacing w:val="-60"/>
        </w:rPr>
        <w:t> </w:t>
      </w:r>
      <w:r>
        <w:rPr>
          <w:rFonts w:ascii="宋体" w:hAnsi="宋体" w:cs="宋体" w:eastAsia="宋体" w:hint="default"/>
        </w:rPr>
        <w:t>18,000</w:t>
      </w:r>
      <w:r>
        <w:rPr>
          <w:rFonts w:ascii="宋体" w:hAnsi="宋体" w:cs="宋体" w:eastAsia="宋体" w:hint="default"/>
          <w:spacing w:val="-60"/>
        </w:rPr>
        <w:t> </w:t>
      </w:r>
      <w:r>
        <w:rPr/>
        <w:t>万元整，实际开立</w:t>
      </w:r>
    </w:p>
    <w:p>
      <w:pPr>
        <w:pStyle w:val="BodyText"/>
        <w:spacing w:line="312" w:lineRule="exact" w:before="29"/>
        <w:ind w:left="214" w:right="353"/>
        <w:jc w:val="left"/>
      </w:pPr>
      <w:r>
        <w:rPr/>
        <w:t>备用信用证</w:t>
      </w:r>
      <w:r>
        <w:rPr>
          <w:spacing w:val="-61"/>
        </w:rPr>
        <w:t> </w:t>
      </w:r>
      <w:r>
        <w:rPr>
          <w:rFonts w:ascii="宋体" w:hAnsi="宋体" w:cs="宋体" w:eastAsia="宋体" w:hint="default"/>
        </w:rPr>
        <w:t>10,000</w:t>
      </w:r>
      <w:r>
        <w:rPr>
          <w:rFonts w:ascii="宋体" w:hAnsi="宋体" w:cs="宋体" w:eastAsia="宋体" w:hint="default"/>
          <w:spacing w:val="-60"/>
        </w:rPr>
        <w:t> </w:t>
      </w:r>
      <w:r>
        <w:rPr/>
        <w:t>万元整，开立日期为</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日担保期限至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 </w:t>
      </w:r>
      <w:r>
        <w:rPr/>
        <w:t>日；</w:t>
      </w:r>
    </w:p>
    <w:p>
      <w:pPr>
        <w:pStyle w:val="BodyText"/>
        <w:spacing w:line="312" w:lineRule="exact" w:before="117"/>
        <w:ind w:left="214" w:right="235" w:firstLine="420"/>
        <w:jc w:val="both"/>
      </w:pPr>
      <w:r>
        <w:rPr>
          <w:rFonts w:ascii="宋体" w:hAnsi="宋体" w:cs="宋体" w:eastAsia="宋体" w:hint="default"/>
        </w:rPr>
        <w:t>I.</w:t>
      </w:r>
      <w:r>
        <w:rPr/>
        <w:t>根据本公司</w:t>
      </w:r>
      <w:r>
        <w:rPr>
          <w:spacing w:val="-61"/>
        </w:rPr>
        <w:t> </w:t>
      </w:r>
      <w:r>
        <w:rPr>
          <w:rFonts w:ascii="宋体" w:hAnsi="宋体" w:cs="宋体" w:eastAsia="宋体" w:hint="default"/>
        </w:rPr>
        <w:t>2014</w:t>
      </w:r>
      <w:r>
        <w:rPr>
          <w:rFonts w:ascii="宋体" w:hAnsi="宋体" w:cs="宋体" w:eastAsia="宋体" w:hint="default"/>
          <w:spacing w:val="-60"/>
        </w:rPr>
        <w:t> </w:t>
      </w:r>
      <w:r>
        <w:rPr>
          <w:spacing w:val="-4"/>
        </w:rPr>
        <w:t>年第五届董事会第二次会议决议，允许本公司之间接控制子公</w:t>
      </w:r>
      <w:r>
        <w:rPr/>
        <w:t> </w:t>
      </w:r>
      <w:r>
        <w:rPr>
          <w:spacing w:val="-2"/>
        </w:rPr>
        <w:t>司长天科技有限公司使用本公司在广发银行综合授信额度，由本公司承担连带责任担</w:t>
      </w:r>
      <w:r>
        <w:rPr>
          <w:spacing w:val="-92"/>
        </w:rPr>
        <w:t> </w:t>
      </w:r>
      <w:r>
        <w:rPr>
          <w:spacing w:val="-92"/>
        </w:rPr>
      </w:r>
      <w:r>
        <w:rPr/>
        <w:t>保，金额为人民币</w:t>
      </w:r>
      <w:r>
        <w:rPr>
          <w:spacing w:val="-61"/>
        </w:rPr>
        <w:t> </w:t>
      </w:r>
      <w:r>
        <w:rPr>
          <w:rFonts w:ascii="宋体" w:hAnsi="宋体" w:cs="宋体" w:eastAsia="宋体" w:hint="default"/>
        </w:rPr>
        <w:t>1,000</w:t>
      </w:r>
      <w:r>
        <w:rPr>
          <w:rFonts w:ascii="宋体" w:hAnsi="宋体" w:cs="宋体" w:eastAsia="宋体" w:hint="default"/>
          <w:spacing w:val="-60"/>
        </w:rPr>
        <w:t> </w:t>
      </w:r>
      <w:r>
        <w:rPr/>
        <w:t>万元，期限一年；</w:t>
      </w:r>
    </w:p>
    <w:p>
      <w:pPr>
        <w:pStyle w:val="BodyText"/>
        <w:spacing w:line="312" w:lineRule="exact" w:before="89"/>
        <w:ind w:left="0" w:right="235"/>
        <w:jc w:val="right"/>
      </w:pPr>
      <w:r>
        <w:rPr>
          <w:rFonts w:ascii="宋体" w:hAnsi="宋体" w:cs="宋体" w:eastAsia="宋体" w:hint="default"/>
        </w:rPr>
        <w:t>J.</w:t>
      </w:r>
      <w:r>
        <w:rPr/>
        <w:t>根据本公司</w:t>
      </w:r>
      <w:r>
        <w:rPr>
          <w:spacing w:val="-61"/>
        </w:rPr>
        <w:t> </w:t>
      </w:r>
      <w:r>
        <w:rPr>
          <w:rFonts w:ascii="宋体" w:hAnsi="宋体" w:cs="宋体" w:eastAsia="宋体" w:hint="default"/>
        </w:rPr>
        <w:t>2014</w:t>
      </w:r>
      <w:r>
        <w:rPr>
          <w:rFonts w:ascii="宋体" w:hAnsi="宋体" w:cs="宋体" w:eastAsia="宋体" w:hint="default"/>
          <w:spacing w:val="-60"/>
        </w:rPr>
        <w:t> </w:t>
      </w:r>
      <w:r>
        <w:rPr/>
        <w:t>年第五次董事会第三次决议</w:t>
      </w:r>
      <w:r>
        <w:rPr>
          <w:spacing w:val="-108"/>
        </w:rPr>
        <w:t>，</w:t>
      </w:r>
      <w:r>
        <w:rPr/>
        <w:t>本公司使用中国银行综合信用额</w:t>
      </w:r>
    </w:p>
    <w:p>
      <w:pPr>
        <w:pStyle w:val="BodyText"/>
        <w:spacing w:line="311" w:lineRule="exact"/>
        <w:ind w:left="214" w:right="102"/>
        <w:jc w:val="left"/>
      </w:pPr>
      <w:r>
        <w:rPr/>
        <w:t>度申请开立备用信用证，金额为</w:t>
      </w:r>
      <w:r>
        <w:rPr>
          <w:spacing w:val="-83"/>
        </w:rPr>
        <w:t> </w:t>
      </w:r>
      <w:r>
        <w:rPr>
          <w:rFonts w:ascii="宋体" w:hAnsi="宋体" w:cs="宋体" w:eastAsia="宋体" w:hint="default"/>
        </w:rPr>
        <w:t>1,000</w:t>
      </w:r>
      <w:r>
        <w:rPr>
          <w:rFonts w:ascii="宋体" w:hAnsi="宋体" w:cs="宋体" w:eastAsia="宋体" w:hint="default"/>
          <w:spacing w:val="-83"/>
        </w:rPr>
        <w:t> </w:t>
      </w:r>
      <w:r>
        <w:rPr/>
        <w:t>万美元，为华胜天成科技（香港）有限公司在</w:t>
      </w:r>
    </w:p>
    <w:p>
      <w:pPr>
        <w:pStyle w:val="BodyText"/>
        <w:spacing w:line="312" w:lineRule="exact" w:before="30"/>
        <w:ind w:left="214" w:right="216"/>
        <w:jc w:val="left"/>
      </w:pPr>
      <w:r>
        <w:rPr/>
        <w:t>中国银行（香港）有限公司申请贸易项下融资业务额度提供不超过美金</w:t>
      </w:r>
      <w:r>
        <w:rPr>
          <w:spacing w:val="-82"/>
        </w:rPr>
        <w:t> </w:t>
      </w:r>
      <w:r>
        <w:rPr>
          <w:rFonts w:ascii="宋体" w:hAnsi="宋体" w:cs="宋体" w:eastAsia="宋体" w:hint="default"/>
        </w:rPr>
        <w:t>1,000</w:t>
      </w:r>
      <w:r>
        <w:rPr>
          <w:rFonts w:ascii="宋体" w:hAnsi="宋体" w:cs="宋体" w:eastAsia="宋体" w:hint="default"/>
          <w:spacing w:val="-82"/>
        </w:rPr>
        <w:t> </w:t>
      </w:r>
      <w:r>
        <w:rPr/>
        <w:t>万元的 担保，担保期限一年；</w:t>
      </w:r>
    </w:p>
    <w:p>
      <w:pPr>
        <w:pStyle w:val="BodyText"/>
        <w:spacing w:line="312" w:lineRule="exact" w:before="117"/>
        <w:ind w:left="214" w:right="232" w:firstLine="422"/>
        <w:jc w:val="both"/>
      </w:pPr>
      <w:r>
        <w:rPr>
          <w:rFonts w:ascii="宋体" w:hAnsi="宋体" w:cs="宋体" w:eastAsia="宋体" w:hint="default"/>
        </w:rPr>
        <w:t>K.</w:t>
      </w:r>
      <w:r>
        <w:rPr/>
        <w:t>根据本公司</w:t>
      </w:r>
      <w:r>
        <w:rPr>
          <w:spacing w:val="-61"/>
        </w:rPr>
        <w:t> </w:t>
      </w:r>
      <w:r>
        <w:rPr>
          <w:rFonts w:ascii="宋体" w:hAnsi="宋体" w:cs="宋体" w:eastAsia="宋体" w:hint="default"/>
        </w:rPr>
        <w:t>2015</w:t>
      </w:r>
      <w:r>
        <w:rPr>
          <w:rFonts w:ascii="宋体" w:hAnsi="宋体" w:cs="宋体" w:eastAsia="宋体" w:hint="default"/>
          <w:spacing w:val="-60"/>
        </w:rPr>
        <w:t> </w:t>
      </w:r>
      <w:r>
        <w:rPr>
          <w:spacing w:val="-4"/>
        </w:rPr>
        <w:t>年第五届董事会第四次会议决议，允许本公司之子公司北京华</w:t>
      </w:r>
      <w:r>
        <w:rPr/>
        <w:t> </w:t>
      </w:r>
      <w:r>
        <w:rPr>
          <w:spacing w:val="-2"/>
        </w:rPr>
        <w:t>胜天成软件技术有限公司使用本公司在交通银行授信额度，并提供连带责任担保，金</w:t>
      </w:r>
      <w:r>
        <w:rPr>
          <w:spacing w:val="-91"/>
        </w:rPr>
        <w:t> </w:t>
      </w:r>
      <w:r>
        <w:rPr>
          <w:spacing w:val="-91"/>
        </w:rPr>
      </w:r>
      <w:r>
        <w:rPr/>
        <w:t>额为人民币</w:t>
      </w:r>
      <w:r>
        <w:rPr>
          <w:spacing w:val="-61"/>
        </w:rPr>
        <w:t> </w:t>
      </w:r>
      <w:r>
        <w:rPr>
          <w:rFonts w:ascii="宋体" w:hAnsi="宋体" w:cs="宋体" w:eastAsia="宋体" w:hint="default"/>
        </w:rPr>
        <w:t>2,000</w:t>
      </w:r>
      <w:r>
        <w:rPr>
          <w:rFonts w:ascii="宋体" w:hAnsi="宋体" w:cs="宋体" w:eastAsia="宋体" w:hint="default"/>
          <w:spacing w:val="-60"/>
        </w:rPr>
        <w:t> </w:t>
      </w:r>
      <w:r>
        <w:rPr/>
        <w:t>万元，期限一年；</w:t>
      </w:r>
    </w:p>
    <w:p>
      <w:pPr>
        <w:pStyle w:val="BodyText"/>
        <w:spacing w:line="312" w:lineRule="exact" w:before="117"/>
        <w:ind w:left="214" w:right="235" w:firstLine="422"/>
        <w:jc w:val="both"/>
      </w:pPr>
      <w:r>
        <w:rPr>
          <w:rFonts w:ascii="宋体" w:hAnsi="宋体" w:cs="宋体" w:eastAsia="宋体" w:hint="default"/>
        </w:rPr>
        <w:t>L.</w:t>
      </w:r>
      <w:r>
        <w:rPr/>
        <w:t>根据本公司</w:t>
      </w:r>
      <w:r>
        <w:rPr>
          <w:spacing w:val="-61"/>
        </w:rPr>
        <w:t> </w:t>
      </w:r>
      <w:r>
        <w:rPr>
          <w:rFonts w:ascii="宋体" w:hAnsi="宋体" w:cs="宋体" w:eastAsia="宋体" w:hint="default"/>
        </w:rPr>
        <w:t>2015</w:t>
      </w:r>
      <w:r>
        <w:rPr>
          <w:rFonts w:ascii="宋体" w:hAnsi="宋体" w:cs="宋体" w:eastAsia="宋体" w:hint="default"/>
          <w:spacing w:val="-60"/>
        </w:rPr>
        <w:t> </w:t>
      </w:r>
      <w:r>
        <w:rPr>
          <w:spacing w:val="-4"/>
        </w:rPr>
        <w:t>年第五届董事会第四次会议决议，允许本公司之子公司北京飞</w:t>
      </w:r>
      <w:r>
        <w:rPr/>
        <w:t> </w:t>
      </w:r>
      <w:r>
        <w:rPr>
          <w:spacing w:val="-2"/>
        </w:rPr>
        <w:t>杰信息技术有限公司使用本公司在中国民生银行综合授信额度，由本公司承担连带责</w:t>
      </w:r>
      <w:r>
        <w:rPr>
          <w:spacing w:val="-92"/>
        </w:rPr>
        <w:t> </w:t>
      </w:r>
      <w:r>
        <w:rPr>
          <w:spacing w:val="-92"/>
        </w:rPr>
      </w:r>
      <w:r>
        <w:rPr/>
        <w:t>任担保，金额为人民币</w:t>
      </w:r>
      <w:r>
        <w:rPr>
          <w:spacing w:val="-61"/>
        </w:rPr>
        <w:t> </w:t>
      </w:r>
      <w:r>
        <w:rPr>
          <w:rFonts w:ascii="宋体" w:hAnsi="宋体" w:cs="宋体" w:eastAsia="宋体" w:hint="default"/>
        </w:rPr>
        <w:t>1,000</w:t>
      </w:r>
      <w:r>
        <w:rPr>
          <w:rFonts w:ascii="宋体" w:hAnsi="宋体" w:cs="宋体" w:eastAsia="宋体" w:hint="default"/>
          <w:spacing w:val="-60"/>
        </w:rPr>
        <w:t> </w:t>
      </w:r>
      <w:r>
        <w:rPr/>
        <w:t>万元，期限两年；</w:t>
      </w:r>
    </w:p>
    <w:p>
      <w:pPr>
        <w:pStyle w:val="BodyText"/>
        <w:spacing w:line="312" w:lineRule="exact" w:before="117"/>
        <w:ind w:left="214" w:right="235" w:firstLine="422"/>
        <w:jc w:val="both"/>
      </w:pPr>
      <w:r>
        <w:rPr>
          <w:rFonts w:ascii="宋体" w:hAnsi="宋体" w:cs="宋体" w:eastAsia="宋体" w:hint="default"/>
        </w:rPr>
        <w:t>M.</w:t>
      </w:r>
      <w:r>
        <w:rPr/>
        <w:t>根据本公司</w:t>
      </w:r>
      <w:r>
        <w:rPr>
          <w:spacing w:val="-61"/>
        </w:rPr>
        <w:t> </w:t>
      </w:r>
      <w:r>
        <w:rPr>
          <w:rFonts w:ascii="宋体" w:hAnsi="宋体" w:cs="宋体" w:eastAsia="宋体" w:hint="default"/>
        </w:rPr>
        <w:t>2015</w:t>
      </w:r>
      <w:r>
        <w:rPr>
          <w:rFonts w:ascii="宋体" w:hAnsi="宋体" w:cs="宋体" w:eastAsia="宋体" w:hint="default"/>
          <w:spacing w:val="-60"/>
        </w:rPr>
        <w:t> </w:t>
      </w:r>
      <w:r>
        <w:rPr>
          <w:spacing w:val="-4"/>
        </w:rPr>
        <w:t>年第五届董事会第四次会议决议，允许本公司之全资子公司南</w:t>
      </w:r>
      <w:r>
        <w:rPr/>
        <w:t> </w:t>
      </w:r>
      <w:r>
        <w:rPr>
          <w:spacing w:val="-2"/>
        </w:rPr>
        <w:t>京华胜天成信息技术有限公司使用本公司在中国民生银行的综合授信额度，由本公司</w:t>
      </w:r>
      <w:r>
        <w:rPr>
          <w:spacing w:val="-92"/>
        </w:rPr>
        <w:t> </w:t>
      </w:r>
      <w:r>
        <w:rPr>
          <w:spacing w:val="-92"/>
        </w:rPr>
      </w:r>
      <w:r>
        <w:rPr/>
        <w:t>承担连带责任担保，金额为不超过人民币</w:t>
      </w:r>
      <w:r>
        <w:rPr>
          <w:spacing w:val="-60"/>
        </w:rPr>
        <w:t> </w:t>
      </w:r>
      <w:r>
        <w:rPr>
          <w:rFonts w:ascii="宋体" w:hAnsi="宋体" w:cs="宋体" w:eastAsia="宋体" w:hint="default"/>
        </w:rPr>
        <w:t>5,000</w:t>
      </w:r>
      <w:r>
        <w:rPr>
          <w:rFonts w:ascii="宋体" w:hAnsi="宋体" w:cs="宋体" w:eastAsia="宋体" w:hint="default"/>
          <w:spacing w:val="-60"/>
        </w:rPr>
        <w:t> </w:t>
      </w:r>
      <w:r>
        <w:rPr/>
        <w:t>万元，期限两年；</w:t>
      </w:r>
    </w:p>
    <w:p>
      <w:pPr>
        <w:pStyle w:val="BodyText"/>
        <w:spacing w:line="312" w:lineRule="exact" w:before="117"/>
        <w:ind w:left="214" w:right="235" w:firstLine="422"/>
        <w:jc w:val="both"/>
      </w:pPr>
      <w:r>
        <w:rPr>
          <w:rFonts w:ascii="宋体" w:hAnsi="宋体" w:cs="宋体" w:eastAsia="宋体" w:hint="default"/>
        </w:rPr>
        <w:t>N.</w:t>
      </w:r>
      <w:r>
        <w:rPr/>
        <w:t>根据本公司</w:t>
      </w:r>
      <w:r>
        <w:rPr>
          <w:spacing w:val="-61"/>
        </w:rPr>
        <w:t> </w:t>
      </w:r>
      <w:r>
        <w:rPr>
          <w:rFonts w:ascii="宋体" w:hAnsi="宋体" w:cs="宋体" w:eastAsia="宋体" w:hint="default"/>
        </w:rPr>
        <w:t>2015</w:t>
      </w:r>
      <w:r>
        <w:rPr>
          <w:rFonts w:ascii="宋体" w:hAnsi="宋体" w:cs="宋体" w:eastAsia="宋体" w:hint="default"/>
          <w:spacing w:val="-60"/>
        </w:rPr>
        <w:t> </w:t>
      </w:r>
      <w:r>
        <w:rPr>
          <w:spacing w:val="-4"/>
        </w:rPr>
        <w:t>年第五届董事会第四次会议决议，本公司使用汇丰银行综合授</w:t>
      </w:r>
      <w:r>
        <w:rPr/>
        <w:t> </w:t>
      </w:r>
      <w:r>
        <w:rPr>
          <w:spacing w:val="-2"/>
        </w:rPr>
        <w:t>信额度开立备用信用证为本公司之全资子公司华胜天成科技（香港）有限公司在汇丰</w:t>
      </w:r>
      <w:r>
        <w:rPr>
          <w:spacing w:val="-92"/>
        </w:rPr>
        <w:t> </w:t>
      </w:r>
      <w:r>
        <w:rPr>
          <w:spacing w:val="-92"/>
        </w:rPr>
      </w:r>
      <w:r>
        <w:rPr/>
        <w:t>银行申请贸易项下融资额度不超过人民币</w:t>
      </w:r>
      <w:r>
        <w:rPr>
          <w:spacing w:val="-60"/>
        </w:rPr>
        <w:t> </w:t>
      </w:r>
      <w:r>
        <w:rPr>
          <w:rFonts w:ascii="宋体" w:hAnsi="宋体" w:cs="宋体" w:eastAsia="宋体" w:hint="default"/>
        </w:rPr>
        <w:t>10,000</w:t>
      </w:r>
      <w:r>
        <w:rPr>
          <w:rFonts w:ascii="宋体" w:hAnsi="宋体" w:cs="宋体" w:eastAsia="宋体" w:hint="default"/>
          <w:spacing w:val="-60"/>
        </w:rPr>
        <w:t> </w:t>
      </w:r>
      <w:r>
        <w:rPr/>
        <w:t>万元；</w:t>
      </w:r>
    </w:p>
    <w:p>
      <w:pPr>
        <w:pStyle w:val="BodyText"/>
        <w:spacing w:line="237" w:lineRule="auto" w:before="92"/>
        <w:ind w:left="214" w:right="235" w:firstLine="420"/>
        <w:jc w:val="both"/>
      </w:pPr>
      <w:r>
        <w:rPr>
          <w:rFonts w:ascii="宋体" w:hAnsi="宋体" w:cs="宋体" w:eastAsia="宋体" w:hint="default"/>
        </w:rPr>
        <w:t>O.</w:t>
      </w:r>
      <w:r>
        <w:rPr/>
        <w:t>根据本公司</w:t>
      </w:r>
      <w:r>
        <w:rPr>
          <w:spacing w:val="-61"/>
        </w:rPr>
        <w:t> </w:t>
      </w:r>
      <w:r>
        <w:rPr>
          <w:rFonts w:ascii="宋体" w:hAnsi="宋体" w:cs="宋体" w:eastAsia="宋体" w:hint="default"/>
        </w:rPr>
        <w:t>2015</w:t>
      </w:r>
      <w:r>
        <w:rPr>
          <w:rFonts w:ascii="宋体" w:hAnsi="宋体" w:cs="宋体" w:eastAsia="宋体" w:hint="default"/>
          <w:spacing w:val="-60"/>
        </w:rPr>
        <w:t> </w:t>
      </w:r>
      <w:r>
        <w:rPr>
          <w:spacing w:val="-4"/>
        </w:rPr>
        <w:t>年第五届董事会第四次会议决议，本公司使用中国银行综合授</w:t>
      </w:r>
      <w:r>
        <w:rPr/>
        <w:t> </w:t>
      </w:r>
      <w:r>
        <w:rPr>
          <w:spacing w:val="-2"/>
        </w:rPr>
        <w:t>信额度开立融资类保函为本公司之全资子公司华胜天成科技（香港）有限公司在中国</w:t>
      </w:r>
      <w:r>
        <w:rPr>
          <w:spacing w:val="-92"/>
        </w:rPr>
        <w:t> </w:t>
      </w:r>
      <w:r>
        <w:rPr>
          <w:spacing w:val="-92"/>
        </w:rPr>
      </w:r>
      <w:r>
        <w:rPr/>
        <w:t>银行（香港）有限公司申请贸易项下融资额度不超过美金</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Heading2"/>
        <w:spacing w:line="240" w:lineRule="auto" w:before="0"/>
        <w:ind w:right="2569"/>
        <w:jc w:val="left"/>
        <w:rPr>
          <w:b w:val="0"/>
          <w:bCs w:val="0"/>
        </w:rPr>
      </w:pPr>
      <w:r>
        <w:rPr>
          <w:rFonts w:ascii="宋体" w:hAnsi="宋体" w:cs="宋体" w:eastAsia="宋体" w:hint="default"/>
        </w:rPr>
        <w:t>(5).</w:t>
      </w:r>
      <w:r>
        <w:rPr>
          <w:rFonts w:ascii="宋体" w:hAnsi="宋体" w:cs="宋体" w:eastAsia="宋体" w:hint="default"/>
          <w:spacing w:val="10"/>
        </w:rPr>
        <w:t> </w:t>
      </w:r>
      <w:r>
        <w:rPr/>
        <w:t>关联方资金拆借</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240" w:lineRule="auto"/>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4"/>
        <w:gridCol w:w="1945"/>
        <w:gridCol w:w="1486"/>
        <w:gridCol w:w="1598"/>
        <w:gridCol w:w="2077"/>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北京国研天成投资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借款利率为</w:t>
            </w:r>
            <w:r>
              <w:rPr>
                <w:rFonts w:ascii="宋体" w:hAnsi="宋体" w:cs="宋体" w:eastAsia="宋体" w:hint="default"/>
                <w:spacing w:val="-51"/>
                <w:sz w:val="21"/>
                <w:szCs w:val="21"/>
              </w:rPr>
              <w:t> </w:t>
            </w:r>
            <w:r>
              <w:rPr>
                <w:rFonts w:ascii="宋体" w:hAnsi="宋体" w:cs="宋体" w:eastAsia="宋体" w:hint="default"/>
                <w:sz w:val="21"/>
                <w:szCs w:val="21"/>
              </w:rPr>
              <w:t>9%</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北京国研天成投资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25,000,000.00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借款利率为</w:t>
            </w:r>
            <w:r>
              <w:rPr>
                <w:rFonts w:ascii="宋体" w:hAnsi="宋体" w:cs="宋体" w:eastAsia="宋体" w:hint="default"/>
                <w:spacing w:val="-51"/>
                <w:sz w:val="21"/>
                <w:szCs w:val="21"/>
              </w:rPr>
              <w:t> </w:t>
            </w:r>
            <w:r>
              <w:rPr>
                <w:rFonts w:ascii="宋体" w:hAnsi="宋体" w:cs="宋体" w:eastAsia="宋体" w:hint="default"/>
                <w:sz w:val="21"/>
                <w:szCs w:val="21"/>
              </w:rPr>
              <w:t>9%</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北京国研天成投资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2016-9-5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借款利率为</w:t>
            </w:r>
            <w:r>
              <w:rPr>
                <w:rFonts w:ascii="宋体" w:hAnsi="宋体" w:cs="宋体" w:eastAsia="宋体" w:hint="default"/>
                <w:spacing w:val="-51"/>
                <w:sz w:val="21"/>
                <w:szCs w:val="21"/>
              </w:rPr>
              <w:t> </w:t>
            </w:r>
            <w:r>
              <w:rPr>
                <w:rFonts w:ascii="宋体" w:hAnsi="宋体" w:cs="宋体" w:eastAsia="宋体" w:hint="default"/>
                <w:sz w:val="21"/>
                <w:szCs w:val="21"/>
              </w:rPr>
              <w:t>9%</w:t>
            </w:r>
          </w:p>
        </w:tc>
      </w:tr>
    </w:tbl>
    <w:p>
      <w:pPr>
        <w:spacing w:after="0" w:line="241" w:lineRule="exact"/>
        <w:jc w:val="left"/>
        <w:rPr>
          <w:rFonts w:ascii="宋体" w:hAnsi="宋体" w:cs="宋体" w:eastAsia="宋体" w:hint="default"/>
          <w:sz w:val="21"/>
          <w:szCs w:val="21"/>
        </w:rPr>
        <w:sectPr>
          <w:pgSz w:w="11910" w:h="16840"/>
          <w:pgMar w:header="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1"/>
        <w:ind w:right="2569"/>
        <w:jc w:val="left"/>
        <w:rPr>
          <w:b w:val="0"/>
          <w:bCs w:val="0"/>
        </w:rPr>
      </w:pPr>
      <w:r>
        <w:rPr>
          <w:rFonts w:ascii="宋体" w:hAnsi="宋体" w:cs="宋体" w:eastAsia="宋体" w:hint="default"/>
        </w:rPr>
        <w:t>(6).</w:t>
      </w:r>
      <w:r>
        <w:rPr>
          <w:rFonts w:ascii="宋体" w:hAnsi="宋体" w:cs="宋体" w:eastAsia="宋体" w:hint="default"/>
          <w:spacing w:val="10"/>
        </w:rPr>
        <w:t> </w:t>
      </w:r>
      <w:r>
        <w:rPr/>
        <w:t>关联方资产转让、债务重组情况</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9"/>
        <w:jc w:val="left"/>
        <w:rPr>
          <w:b w:val="0"/>
          <w:bCs w:val="0"/>
        </w:rPr>
      </w:pPr>
      <w:r>
        <w:rPr>
          <w:rFonts w:ascii="宋体" w:hAnsi="宋体" w:cs="宋体" w:eastAsia="宋体" w:hint="default"/>
        </w:rPr>
        <w:t>(7).</w:t>
      </w:r>
      <w:r>
        <w:rPr>
          <w:rFonts w:ascii="宋体" w:hAnsi="宋体" w:cs="宋体" w:eastAsia="宋体" w:hint="default"/>
          <w:spacing w:val="9"/>
        </w:rPr>
        <w:t> </w:t>
      </w:r>
      <w:r>
        <w:rPr/>
        <w:t>关键管理人员报酬</w:t>
      </w:r>
      <w:r>
        <w:rPr>
          <w:b w:val="0"/>
          <w:bCs w:val="0"/>
        </w:rPr>
      </w:r>
    </w:p>
    <w:p>
      <w:pPr>
        <w:pStyle w:val="BodyText"/>
        <w:spacing w:line="240" w:lineRule="auto" w:before="58"/>
        <w:ind w:left="217" w:right="2569"/>
        <w:jc w:val="left"/>
      </w:pPr>
      <w:r>
        <w:rPr/>
        <w:t>√适用</w:t>
      </w:r>
      <w:r>
        <w:rPr>
          <w:spacing w:val="-1"/>
        </w:rPr>
        <w:t> </w:t>
      </w:r>
      <w:r>
        <w:rPr/>
        <w:t>□不适用</w:t>
      </w:r>
    </w:p>
    <w:p>
      <w:pPr>
        <w:pStyle w:val="BodyText"/>
        <w:spacing w:line="240" w:lineRule="auto" w:before="118"/>
        <w:ind w:left="217" w:right="221"/>
        <w:jc w:val="left"/>
      </w:pPr>
      <w:r>
        <w:rPr/>
        <w:t>本集团本期关键管理人员</w:t>
      </w:r>
      <w:r>
        <w:rPr>
          <w:spacing w:val="-60"/>
        </w:rPr>
        <w:t> </w:t>
      </w:r>
      <w:r>
        <w:rPr>
          <w:rFonts w:ascii="宋体" w:hAnsi="宋体" w:cs="宋体" w:eastAsia="宋体" w:hint="default"/>
        </w:rPr>
        <w:t>19</w:t>
      </w:r>
      <w:r>
        <w:rPr>
          <w:rFonts w:ascii="宋体" w:hAnsi="宋体" w:cs="宋体" w:eastAsia="宋体" w:hint="default"/>
          <w:spacing w:val="-60"/>
        </w:rPr>
        <w:t> </w:t>
      </w:r>
      <w:r>
        <w:rPr/>
        <w:t>人，上期关键管理人员</w:t>
      </w:r>
      <w:r>
        <w:rPr>
          <w:spacing w:val="-60"/>
        </w:rPr>
        <w:t> </w:t>
      </w:r>
      <w:r>
        <w:rPr>
          <w:rFonts w:ascii="宋体" w:hAnsi="宋体" w:cs="宋体" w:eastAsia="宋体" w:hint="default"/>
        </w:rPr>
        <w:t>19</w:t>
      </w:r>
      <w:r>
        <w:rPr>
          <w:rFonts w:ascii="宋体" w:hAnsi="宋体" w:cs="宋体" w:eastAsia="宋体" w:hint="default"/>
          <w:spacing w:val="-60"/>
        </w:rPr>
        <w:t> </w:t>
      </w:r>
      <w:r>
        <w:rPr/>
        <w:t>人，支付薪酬情况见下表：</w:t>
      </w:r>
    </w:p>
    <w:p>
      <w:pPr>
        <w:pStyle w:val="BodyText"/>
        <w:spacing w:line="240" w:lineRule="auto" w:before="214"/>
        <w:ind w:left="0" w:right="233"/>
        <w:jc w:val="right"/>
      </w:pPr>
      <w:r>
        <w:rPr/>
        <w:t>单位：万元币种：人民币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75"/>
        <w:gridCol w:w="3274"/>
        <w:gridCol w:w="2501"/>
      </w:tblGrid>
      <w:tr>
        <w:trPr>
          <w:trHeight w:val="32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1,528.61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28" w:right="0"/>
              <w:jc w:val="left"/>
              <w:rPr>
                <w:rFonts w:ascii="宋体" w:hAnsi="宋体" w:cs="宋体" w:eastAsia="宋体" w:hint="default"/>
                <w:sz w:val="24"/>
                <w:szCs w:val="24"/>
              </w:rPr>
            </w:pPr>
            <w:r>
              <w:rPr>
                <w:rFonts w:ascii="宋体"/>
                <w:sz w:val="24"/>
              </w:rPr>
              <w:t>1,131.58</w:t>
            </w:r>
          </w:p>
        </w:tc>
      </w:tr>
    </w:tbl>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060" w:right="1560"/>
        </w:sectPr>
      </w:pPr>
    </w:p>
    <w:p>
      <w:pPr>
        <w:spacing w:line="283" w:lineRule="auto" w:before="26"/>
        <w:ind w:left="217" w:right="-18" w:firstLine="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pacing w:val="9"/>
          <w:sz w:val="24"/>
          <w:szCs w:val="24"/>
        </w:rPr>
        <w:t> </w:t>
      </w:r>
      <w:r>
        <w:rPr>
          <w:rFonts w:ascii="宋体" w:hAnsi="宋体" w:cs="宋体" w:eastAsia="宋体" w:hint="default"/>
          <w:b/>
          <w:bCs/>
          <w:sz w:val="24"/>
          <w:szCs w:val="24"/>
        </w:rPr>
        <w:t>其他关联交易</w:t>
      </w:r>
      <w:r>
        <w:rPr>
          <w:rFonts w:ascii="宋体" w:hAnsi="宋体" w:cs="宋体" w:eastAsia="宋体" w:hint="default"/>
          <w:b/>
          <w:bCs/>
          <w:w w:val="99"/>
          <w:sz w:val="24"/>
          <w:szCs w:val="24"/>
        </w:rPr>
        <w:t> </w:t>
      </w:r>
      <w:r>
        <w:rPr>
          <w:rFonts w:ascii="宋体" w:hAnsi="宋体" w:cs="宋体" w:eastAsia="宋体" w:hint="default"/>
          <w:sz w:val="24"/>
          <w:szCs w:val="24"/>
        </w:rPr>
        <w:t>费用支出</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279" w:space="3914"/>
            <w:col w:w="3097"/>
          </w:cols>
        </w:sectPr>
      </w:pPr>
    </w:p>
    <w:p>
      <w:pPr>
        <w:spacing w:line="240" w:lineRule="auto" w:before="12"/>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299"/>
        <w:gridCol w:w="3102"/>
        <w:gridCol w:w="3531"/>
      </w:tblGrid>
      <w:tr>
        <w:trPr>
          <w:trHeight w:val="310"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10"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400,000.00</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575,000.00</w:t>
            </w:r>
          </w:p>
        </w:tc>
      </w:tr>
      <w:tr>
        <w:trPr>
          <w:trHeight w:val="312"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b/>
                <w:w w:val="95"/>
                <w:sz w:val="21"/>
              </w:rPr>
              <w:t>400,000.00</w:t>
            </w:r>
            <w:r>
              <w:rPr>
                <w:rFonts w:ascii="宋体"/>
                <w:sz w:val="21"/>
              </w:rPr>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b/>
                <w:w w:val="95"/>
                <w:sz w:val="21"/>
              </w:rPr>
              <w:t>575,000.00</w:t>
            </w:r>
            <w:r>
              <w:rPr>
                <w:rFonts w:ascii="宋体"/>
                <w:sz w:val="21"/>
              </w:rPr>
            </w:r>
          </w:p>
        </w:tc>
      </w:tr>
    </w:tbl>
    <w:p>
      <w:pPr>
        <w:spacing w:line="240" w:lineRule="auto" w:before="10"/>
        <w:rPr>
          <w:rFonts w:ascii="宋体" w:hAnsi="宋体" w:cs="宋体" w:eastAsia="宋体" w:hint="default"/>
          <w:sz w:val="27"/>
          <w:szCs w:val="27"/>
        </w:rPr>
      </w:pPr>
    </w:p>
    <w:p>
      <w:pPr>
        <w:pStyle w:val="BodyText"/>
        <w:spacing w:line="331" w:lineRule="auto" w:before="26"/>
        <w:ind w:left="214" w:right="7612"/>
        <w:jc w:val="left"/>
      </w:pPr>
      <w:r>
        <w:rPr/>
        <w:t>其他关联交易 投资</w:t>
      </w:r>
    </w:p>
    <w:p>
      <w:pPr>
        <w:pStyle w:val="BodyText"/>
        <w:spacing w:line="312" w:lineRule="exact" w:before="57"/>
        <w:ind w:left="217" w:right="230" w:firstLine="480"/>
        <w:jc w:val="both"/>
      </w:pPr>
      <w:r>
        <w:rPr>
          <w:rFonts w:ascii="宋体" w:hAnsi="宋体" w:cs="宋体" w:eastAsia="宋体" w:hint="default"/>
        </w:rPr>
        <w:t>A</w:t>
      </w:r>
      <w:r>
        <w:rPr/>
        <w:t>、本公司直接控制之全资子公司华胜信泰科技有限公司本期与北京中域嘉盛投</w:t>
      </w:r>
      <w:r>
        <w:rPr>
          <w:spacing w:val="2"/>
        </w:rPr>
        <w:t> </w:t>
      </w:r>
      <w:r>
        <w:rPr/>
        <w:t>资管理有限公司及其他投资方共同投资设立北京中域昭拓股权投</w:t>
      </w:r>
    </w:p>
    <w:p>
      <w:pPr>
        <w:pStyle w:val="BodyText"/>
        <w:spacing w:line="240" w:lineRule="auto" w:before="87"/>
        <w:ind w:left="217" w:right="221"/>
        <w:jc w:val="left"/>
      </w:pPr>
      <w:r>
        <w:rPr/>
        <w:t>资中心（有限合伙），华胜信泰科技有限公司持股比例</w:t>
      </w:r>
      <w:r>
        <w:rPr>
          <w:spacing w:val="-60"/>
        </w:rPr>
        <w:t> </w:t>
      </w:r>
      <w:r>
        <w:rPr>
          <w:rFonts w:ascii="宋体" w:hAnsi="宋体" w:cs="宋体" w:eastAsia="宋体" w:hint="default"/>
        </w:rPr>
        <w:t>37.3%</w:t>
      </w:r>
      <w:r>
        <w:rPr/>
        <w:t>。</w:t>
      </w:r>
    </w:p>
    <w:p>
      <w:pPr>
        <w:pStyle w:val="BodyText"/>
        <w:spacing w:line="237" w:lineRule="auto" w:before="120"/>
        <w:ind w:left="217" w:right="230" w:firstLine="480"/>
        <w:jc w:val="both"/>
      </w:pPr>
      <w:r>
        <w:rPr>
          <w:rFonts w:ascii="宋体" w:hAnsi="宋体" w:cs="宋体" w:eastAsia="宋体" w:hint="default"/>
        </w:rPr>
        <w:t>B</w:t>
      </w:r>
      <w:r>
        <w:rPr/>
        <w:t>、本公司之联营企业北京中域昭拓股权投资中心本期对本公司之间接控制子公</w:t>
      </w:r>
      <w:r>
        <w:rPr>
          <w:spacing w:val="2"/>
        </w:rPr>
        <w:t> </w:t>
      </w:r>
      <w:r>
        <w:rPr/>
        <w:t>司杭州沃趣网络科技有限公司增资</w:t>
      </w:r>
      <w:r>
        <w:rPr>
          <w:spacing w:val="-55"/>
        </w:rPr>
        <w:t> </w:t>
      </w:r>
      <w:r>
        <w:rPr>
          <w:rFonts w:ascii="宋体" w:hAnsi="宋体" w:cs="宋体" w:eastAsia="宋体" w:hint="default"/>
        </w:rPr>
        <w:t>2,600</w:t>
      </w:r>
      <w:r>
        <w:rPr>
          <w:rFonts w:ascii="宋体" w:hAnsi="宋体" w:cs="宋体" w:eastAsia="宋体" w:hint="default"/>
          <w:spacing w:val="-56"/>
        </w:rPr>
        <w:t> </w:t>
      </w:r>
      <w:r>
        <w:rPr/>
        <w:t>万元人民币，占增资后注册资本的</w:t>
      </w:r>
      <w:r>
        <w:rPr>
          <w:spacing w:val="-55"/>
        </w:rPr>
        <w:t> </w:t>
      </w:r>
      <w:r>
        <w:rPr>
          <w:rFonts w:ascii="宋体" w:hAnsi="宋体" w:cs="宋体" w:eastAsia="宋体" w:hint="default"/>
        </w:rPr>
        <w:t>20%</w:t>
      </w:r>
      <w:r>
        <w:rPr/>
        <w:t>。增 资完成后，本公司的持股比例从 </w:t>
      </w:r>
      <w:r>
        <w:rPr>
          <w:rFonts w:ascii="宋体" w:hAnsi="宋体" w:cs="宋体" w:eastAsia="宋体" w:hint="default"/>
        </w:rPr>
        <w:t>51%</w:t>
      </w:r>
      <w:r>
        <w:rPr/>
        <w:t>下降至</w:t>
      </w:r>
      <w:r>
        <w:rPr>
          <w:spacing w:val="-60"/>
        </w:rPr>
        <w:t> </w:t>
      </w:r>
      <w:r>
        <w:rPr>
          <w:rFonts w:ascii="宋体" w:hAnsi="宋体" w:cs="宋体" w:eastAsia="宋体" w:hint="default"/>
        </w:rPr>
        <w:t>40.8%</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spacing w:before="26"/>
        <w:ind w:left="217" w:right="-19"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关联方应收应付款项</w:t>
      </w:r>
      <w:r>
        <w:rPr>
          <w:rFonts w:ascii="宋体" w:hAnsi="宋体" w:cs="宋体" w:eastAsia="宋体" w:hint="default"/>
          <w:sz w:val="24"/>
          <w:szCs w:val="24"/>
        </w:rPr>
      </w:r>
    </w:p>
    <w:p>
      <w:pPr>
        <w:spacing w:line="283" w:lineRule="auto" w:before="55"/>
        <w:ind w:left="217" w:right="774"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11"/>
          <w:sz w:val="24"/>
          <w:szCs w:val="24"/>
        </w:rPr>
        <w:t> </w:t>
      </w:r>
      <w:r>
        <w:rPr>
          <w:rFonts w:ascii="宋体" w:hAnsi="宋体" w:cs="宋体" w:eastAsia="宋体" w:hint="default"/>
          <w:b/>
          <w:bCs/>
          <w:sz w:val="24"/>
          <w:szCs w:val="24"/>
        </w:rPr>
        <w:t>应收项目</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297" w:val="left" w:leader="none"/>
        </w:tabs>
        <w:spacing w:line="240" w:lineRule="auto" w:before="197"/>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60" w:right="1560"/>
          <w:cols w:num="2" w:equalWidth="0">
            <w:col w:w="2811" w:space="3622"/>
            <w:col w:w="2857"/>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035"/>
        <w:gridCol w:w="3416"/>
        <w:gridCol w:w="1241"/>
        <w:gridCol w:w="670"/>
        <w:gridCol w:w="1147"/>
        <w:gridCol w:w="1388"/>
      </w:tblGrid>
      <w:tr>
        <w:trPr>
          <w:trHeight w:val="245" w:hRule="exact"/>
        </w:trPr>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1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035" w:type="dxa"/>
            <w:vMerge/>
            <w:tcBorders>
              <w:left w:val="single" w:sz="4" w:space="0" w:color="000000"/>
              <w:bottom w:val="single" w:sz="4" w:space="0" w:color="000000"/>
              <w:right w:val="single" w:sz="4" w:space="0" w:color="000000"/>
            </w:tcBorders>
          </w:tcPr>
          <w:p>
            <w:pPr/>
          </w:p>
        </w:tc>
        <w:tc>
          <w:tcPr>
            <w:tcW w:w="3416"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北京国研天成投资管理有限公司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90,000,000.00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0.00</w:t>
            </w: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ASLAutomatedServices(Thailand)Co.Ltd.</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1,331,558.07</w:t>
            </w:r>
          </w:p>
        </w:tc>
        <w:tc>
          <w:tcPr>
            <w:tcW w:w="6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27,938.66</w:t>
            </w: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I-SprintInnovationsPteLtd.</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172,601.12</w:t>
            </w:r>
          </w:p>
        </w:tc>
        <w:tc>
          <w:tcPr>
            <w:tcW w:w="6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1,437,826.21</w:t>
            </w: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Heading2"/>
        <w:spacing w:line="240" w:lineRule="auto"/>
        <w:ind w:left="137" w:right="119"/>
        <w:jc w:val="left"/>
        <w:rPr>
          <w:b w:val="0"/>
          <w:bCs w:val="0"/>
        </w:rPr>
      </w:pPr>
      <w:r>
        <w:rPr>
          <w:rFonts w:ascii="宋体" w:hAnsi="宋体" w:cs="宋体" w:eastAsia="宋体" w:hint="default"/>
        </w:rPr>
        <w:t>(2).</w:t>
      </w:r>
      <w:r>
        <w:rPr>
          <w:rFonts w:ascii="宋体" w:hAnsi="宋体" w:cs="宋体" w:eastAsia="宋体" w:hint="default"/>
          <w:spacing w:val="11"/>
        </w:rPr>
        <w:t> </w:t>
      </w:r>
      <w:r>
        <w:rPr/>
        <w:t>应付项目</w:t>
      </w:r>
      <w:r>
        <w:rPr>
          <w:b w:val="0"/>
          <w:bCs w:val="0"/>
        </w:rPr>
      </w:r>
    </w:p>
    <w:p>
      <w:pPr>
        <w:pStyle w:val="BodyText"/>
        <w:tabs>
          <w:tab w:pos="1079" w:val="left" w:leader="none"/>
        </w:tabs>
        <w:spacing w:line="240" w:lineRule="auto" w:before="58"/>
        <w:ind w:left="0" w:right="233"/>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56"/>
        <w:gridCol w:w="2715"/>
        <w:gridCol w:w="2144"/>
        <w:gridCol w:w="2182"/>
      </w:tblGrid>
      <w:tr>
        <w:trPr>
          <w:trHeight w:val="24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4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12"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杭州沃趣网络科技有限公司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7,901,831.44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r>
      <w:tr>
        <w:trPr>
          <w:trHeight w:val="31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INSystems(Macao)Limited</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1,092,055.66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1,361,697.88</w:t>
            </w:r>
          </w:p>
        </w:tc>
      </w:tr>
      <w:tr>
        <w:trPr>
          <w:trHeight w:val="242"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I-SprintInnovationsPteLtd.</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882,088.16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1,765,913.18</w:t>
            </w:r>
          </w:p>
        </w:tc>
      </w:tr>
      <w:tr>
        <w:trPr>
          <w:trHeight w:val="478"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798,914.32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559,287.65</w:t>
            </w:r>
          </w:p>
        </w:tc>
      </w:tr>
      <w:tr>
        <w:trPr>
          <w:trHeight w:val="242"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北京悦享互联技术有限公司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139,603.71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r>
    </w:tbl>
    <w:p>
      <w:pPr>
        <w:spacing w:line="240" w:lineRule="auto" w:before="5"/>
        <w:rPr>
          <w:rFonts w:ascii="宋体" w:hAnsi="宋体" w:cs="宋体" w:eastAsia="宋体" w:hint="default"/>
          <w:sz w:val="23"/>
          <w:szCs w:val="23"/>
        </w:rPr>
      </w:pPr>
    </w:p>
    <w:p>
      <w:pPr>
        <w:spacing w:line="285" w:lineRule="auto" w:before="26"/>
        <w:ind w:left="137" w:right="7421" w:firstLine="0"/>
        <w:jc w:val="left"/>
        <w:rPr>
          <w:rFonts w:ascii="宋体" w:hAnsi="宋体" w:cs="宋体" w:eastAsia="宋体" w:hint="default"/>
          <w:sz w:val="24"/>
          <w:szCs w:val="24"/>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关联方承诺</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240" w:lineRule="auto" w:before="10"/>
        <w:rPr>
          <w:rFonts w:ascii="宋体" w:hAnsi="宋体" w:cs="宋体" w:eastAsia="宋体" w:hint="default"/>
          <w:sz w:val="18"/>
          <w:szCs w:val="18"/>
        </w:rPr>
      </w:pPr>
    </w:p>
    <w:p>
      <w:pPr>
        <w:spacing w:before="0"/>
        <w:ind w:left="137" w:right="119" w:firstLine="0"/>
        <w:jc w:val="left"/>
        <w:rPr>
          <w:rFonts w:ascii="宋体" w:hAnsi="宋体" w:cs="宋体" w:eastAsia="宋体" w:hint="default"/>
          <w:sz w:val="24"/>
          <w:szCs w:val="24"/>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before="66"/>
        <w:ind w:left="137" w:right="119" w:firstLine="0"/>
        <w:jc w:val="left"/>
        <w:rPr>
          <w:rFonts w:ascii="宋体" w:hAnsi="宋体" w:cs="宋体" w:eastAsia="宋体" w:hint="default"/>
          <w:sz w:val="20"/>
          <w:szCs w:val="20"/>
        </w:rPr>
      </w:pPr>
      <w:r>
        <w:rPr>
          <w:rFonts w:ascii="宋体" w:hAnsi="宋体" w:cs="宋体" w:eastAsia="宋体" w:hint="default"/>
          <w:b/>
          <w:bCs/>
          <w:w w:val="99"/>
          <w:sz w:val="20"/>
          <w:szCs w:val="20"/>
        </w:rPr>
        <w:t>无</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pStyle w:val="Heading2"/>
        <w:spacing w:line="240" w:lineRule="auto" w:before="0"/>
        <w:ind w:left="137" w:right="119"/>
        <w:jc w:val="left"/>
        <w:rPr>
          <w:b w:val="0"/>
          <w:bCs w:val="0"/>
        </w:rPr>
      </w:pPr>
      <w:r>
        <w:rPr/>
        <w:t>十三、</w:t>
      </w:r>
      <w:r>
        <w:rPr>
          <w:spacing w:val="-5"/>
        </w:rPr>
        <w:t> </w:t>
      </w:r>
      <w:r>
        <w:rPr/>
        <w:t>股份支付</w:t>
      </w:r>
      <w:r>
        <w:rPr>
          <w:b w:val="0"/>
          <w:bCs w:val="0"/>
        </w:rPr>
      </w:r>
    </w:p>
    <w:p>
      <w:pPr>
        <w:pStyle w:val="BodyText"/>
        <w:spacing w:line="240" w:lineRule="auto" w:before="115"/>
        <w:ind w:left="149" w:right="119"/>
        <w:jc w:val="left"/>
      </w:pPr>
      <w:r>
        <w:rPr/>
        <w:t>（一）本公司股份支付基本情况</w:t>
      </w:r>
    </w:p>
    <w:p>
      <w:pPr>
        <w:pStyle w:val="BodyText"/>
        <w:spacing w:line="313" w:lineRule="exact" w:before="118"/>
        <w:ind w:left="617" w:right="119"/>
        <w:jc w:val="left"/>
      </w:pPr>
      <w:r>
        <w:rPr>
          <w:rFonts w:ascii="宋体" w:hAnsi="宋体" w:cs="宋体" w:eastAsia="宋体" w:hint="default"/>
          <w:spacing w:val="-4"/>
        </w:rPr>
        <w:t>1</w:t>
      </w:r>
      <w:r>
        <w:rPr>
          <w:spacing w:val="-4"/>
        </w:rPr>
        <w:t>、本公司于</w:t>
      </w:r>
      <w:r>
        <w:rPr>
          <w:spacing w:val="-65"/>
        </w:rPr>
        <w:t> </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8</w:t>
      </w:r>
      <w:r>
        <w:rPr>
          <w:rFonts w:ascii="宋体" w:hAnsi="宋体" w:cs="宋体" w:eastAsia="宋体" w:hint="default"/>
          <w:spacing w:val="-64"/>
        </w:rPr>
        <w:t> </w:t>
      </w:r>
      <w:r>
        <w:rPr/>
        <w:t>日召开的第五届董事会第四次会议上审议通过了《关</w:t>
      </w:r>
    </w:p>
    <w:p>
      <w:pPr>
        <w:pStyle w:val="BodyText"/>
        <w:spacing w:line="237" w:lineRule="auto" w:before="1"/>
        <w:ind w:right="108"/>
        <w:jc w:val="left"/>
      </w:pPr>
      <w:r>
        <w:rPr/>
        <w:t>于回购并注销部分股权激励股票的议案》</w:t>
      </w:r>
      <w:r>
        <w:rPr>
          <w:rFonts w:ascii="宋体" w:hAnsi="宋体" w:cs="宋体" w:eastAsia="宋体" w:hint="default"/>
        </w:rPr>
        <w:t>(</w:t>
      </w:r>
      <w:r>
        <w:rPr/>
        <w:t>第八批</w:t>
      </w:r>
      <w:r>
        <w:rPr>
          <w:rFonts w:ascii="宋体" w:hAnsi="宋体" w:cs="宋体" w:eastAsia="宋体" w:hint="default"/>
        </w:rPr>
        <w:t>),</w:t>
      </w:r>
      <w:r>
        <w:rPr/>
        <w:t>因公司</w:t>
      </w:r>
      <w:r>
        <w:rPr>
          <w:spacing w:val="-72"/>
        </w:rPr>
        <w:t> </w:t>
      </w:r>
      <w:r>
        <w:rPr>
          <w:rFonts w:ascii="宋体" w:hAnsi="宋体" w:cs="宋体" w:eastAsia="宋体" w:hint="default"/>
        </w:rPr>
        <w:t>2014</w:t>
      </w:r>
      <w:r>
        <w:rPr>
          <w:rFonts w:ascii="宋体" w:hAnsi="宋体" w:cs="宋体" w:eastAsia="宋体" w:hint="default"/>
          <w:spacing w:val="-72"/>
        </w:rPr>
        <w:t> </w:t>
      </w:r>
      <w:r>
        <w:rPr/>
        <w:t>年的业绩未达到股权 激励股票解锁的条件，公司董事会决定回购并注销以前年度曾授予的股份共计 </w:t>
      </w:r>
      <w:r>
        <w:rPr>
          <w:rFonts w:ascii="宋体" w:hAnsi="宋体" w:cs="宋体" w:eastAsia="宋体" w:hint="default"/>
        </w:rPr>
        <w:t>3,878,389</w:t>
      </w:r>
      <w:r>
        <w:rPr>
          <w:rFonts w:ascii="宋体" w:hAnsi="宋体" w:cs="宋体" w:eastAsia="宋体" w:hint="default"/>
          <w:spacing w:val="-61"/>
        </w:rPr>
        <w:t> </w:t>
      </w:r>
      <w:r>
        <w:rPr/>
        <w:t>股数。其中限制性股票共计</w:t>
      </w:r>
      <w:r>
        <w:rPr>
          <w:spacing w:val="-60"/>
        </w:rPr>
        <w:t> </w:t>
      </w:r>
      <w:r>
        <w:rPr>
          <w:rFonts w:ascii="宋体" w:hAnsi="宋体" w:cs="宋体" w:eastAsia="宋体" w:hint="default"/>
        </w:rPr>
        <w:t>3,878,389</w:t>
      </w:r>
      <w:r>
        <w:rPr>
          <w:rFonts w:ascii="宋体" w:hAnsi="宋体" w:cs="宋体" w:eastAsia="宋体" w:hint="default"/>
          <w:spacing w:val="-60"/>
        </w:rPr>
        <w:t> </w:t>
      </w:r>
      <w:r>
        <w:rPr/>
        <w:t>股</w:t>
      </w:r>
      <w:r>
        <w:rPr>
          <w:rFonts w:ascii="宋体" w:hAnsi="宋体" w:cs="宋体" w:eastAsia="宋体" w:hint="default"/>
        </w:rPr>
        <w:t>,</w:t>
      </w:r>
      <w:r>
        <w:rPr/>
        <w:t>全部于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58"/>
        </w:rPr>
        <w:t> </w:t>
      </w:r>
      <w:r>
        <w:rPr/>
        <w:t>日注销。</w:t>
      </w:r>
    </w:p>
    <w:p>
      <w:pPr>
        <w:spacing w:line="237" w:lineRule="auto" w:before="121"/>
        <w:ind w:left="137" w:right="229" w:firstLine="480"/>
        <w:jc w:val="both"/>
        <w:rPr>
          <w:rFonts w:ascii="宋体" w:hAnsi="宋体" w:cs="宋体" w:eastAsia="宋体" w:hint="default"/>
          <w:sz w:val="24"/>
          <w:szCs w:val="24"/>
        </w:rPr>
      </w:pPr>
      <w:r>
        <w:rPr>
          <w:rFonts w:ascii="宋体" w:hAnsi="宋体" w:cs="宋体" w:eastAsia="宋体" w:hint="default"/>
          <w:spacing w:val="-5"/>
          <w:sz w:val="24"/>
          <w:szCs w:val="24"/>
        </w:rPr>
        <w:t>2</w:t>
      </w:r>
      <w:r>
        <w:rPr>
          <w:rFonts w:ascii="宋体" w:hAnsi="宋体" w:cs="宋体" w:eastAsia="宋体" w:hint="default"/>
          <w:spacing w:val="-5"/>
          <w:sz w:val="24"/>
          <w:szCs w:val="24"/>
        </w:rPr>
        <w:t>、本公司于</w:t>
      </w:r>
      <w:r>
        <w:rPr>
          <w:rFonts w:ascii="宋体" w:hAnsi="宋体" w:cs="宋体" w:eastAsia="宋体" w:hint="default"/>
          <w:spacing w:val="-65"/>
          <w:sz w:val="24"/>
          <w:szCs w:val="24"/>
        </w:rPr>
        <w:t> </w:t>
      </w:r>
      <w:r>
        <w:rPr>
          <w:rFonts w:ascii="宋体" w:hAnsi="宋体" w:cs="宋体" w:eastAsia="宋体" w:hint="default"/>
          <w:sz w:val="24"/>
          <w:szCs w:val="24"/>
        </w:rPr>
        <w:t>2015</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7</w:t>
      </w:r>
      <w:r>
        <w:rPr>
          <w:rFonts w:ascii="宋体" w:hAnsi="宋体" w:cs="宋体" w:eastAsia="宋体" w:hint="default"/>
          <w:spacing w:val="-65"/>
          <w:sz w:val="24"/>
          <w:szCs w:val="24"/>
        </w:rPr>
        <w:t> </w:t>
      </w:r>
      <w:r>
        <w:rPr>
          <w:rFonts w:ascii="宋体" w:hAnsi="宋体" w:cs="宋体" w:eastAsia="宋体" w:hint="default"/>
          <w:sz w:val="24"/>
          <w:szCs w:val="24"/>
        </w:rPr>
        <w:t>月完成了《北京华胜天成科技股份有限公司第二期股权激 </w:t>
      </w:r>
      <w:r>
        <w:rPr>
          <w:rFonts w:ascii="宋体" w:hAnsi="宋体" w:cs="宋体" w:eastAsia="宋体" w:hint="default"/>
          <w:spacing w:val="-2"/>
          <w:sz w:val="24"/>
          <w:szCs w:val="24"/>
        </w:rPr>
        <w:t>励计划（草案）》限制性股票授予登记工作。公司董事会决定向合资格员工（“激励</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4"/>
          <w:sz w:val="24"/>
          <w:szCs w:val="24"/>
        </w:rPr>
        <w:t>对象”）授予限制性股票 </w:t>
      </w:r>
      <w:r>
        <w:rPr>
          <w:rFonts w:ascii="宋体" w:hAnsi="宋体" w:cs="宋体" w:eastAsia="宋体" w:hint="default"/>
          <w:sz w:val="23"/>
          <w:szCs w:val="23"/>
        </w:rPr>
        <w:t>4,430,000</w:t>
      </w:r>
      <w:r>
        <w:rPr>
          <w:rFonts w:ascii="宋体" w:hAnsi="宋体" w:cs="宋体" w:eastAsia="宋体" w:hint="default"/>
          <w:spacing w:val="-24"/>
          <w:sz w:val="23"/>
          <w:szCs w:val="23"/>
        </w:rPr>
        <w:t> </w:t>
      </w:r>
      <w:r>
        <w:rPr>
          <w:rFonts w:ascii="宋体" w:hAnsi="宋体" w:cs="宋体" w:eastAsia="宋体" w:hint="default"/>
          <w:spacing w:val="-3"/>
          <w:sz w:val="23"/>
          <w:szCs w:val="23"/>
        </w:rPr>
        <w:t>股（包括公司高级管理人员杨俏丛将自其最后一次</w:t>
      </w:r>
      <w:r>
        <w:rPr>
          <w:rFonts w:ascii="宋体" w:hAnsi="宋体" w:cs="宋体" w:eastAsia="宋体" w:hint="default"/>
          <w:w w:val="100"/>
          <w:sz w:val="23"/>
          <w:szCs w:val="23"/>
        </w:rPr>
        <w:t> </w:t>
      </w:r>
      <w:r>
        <w:rPr>
          <w:rFonts w:ascii="宋体" w:hAnsi="宋体" w:cs="宋体" w:eastAsia="宋体" w:hint="default"/>
          <w:sz w:val="23"/>
          <w:szCs w:val="23"/>
        </w:rPr>
        <w:t>减持本公司股票之日起</w:t>
      </w:r>
      <w:r>
        <w:rPr>
          <w:rFonts w:ascii="宋体" w:hAnsi="宋体" w:cs="宋体" w:eastAsia="宋体" w:hint="default"/>
          <w:spacing w:val="-60"/>
          <w:sz w:val="23"/>
          <w:szCs w:val="23"/>
        </w:rPr>
        <w:t> </w:t>
      </w:r>
      <w:r>
        <w:rPr>
          <w:rFonts w:ascii="宋体" w:hAnsi="宋体" w:cs="宋体" w:eastAsia="宋体" w:hint="default"/>
          <w:sz w:val="23"/>
          <w:szCs w:val="23"/>
        </w:rPr>
        <w:t>6</w:t>
      </w:r>
      <w:r>
        <w:rPr>
          <w:rFonts w:ascii="宋体" w:hAnsi="宋体" w:cs="宋体" w:eastAsia="宋体" w:hint="default"/>
          <w:spacing w:val="-57"/>
          <w:sz w:val="23"/>
          <w:szCs w:val="23"/>
        </w:rPr>
        <w:t> </w:t>
      </w:r>
      <w:r>
        <w:rPr>
          <w:rFonts w:ascii="宋体" w:hAnsi="宋体" w:cs="宋体" w:eastAsia="宋体" w:hint="default"/>
          <w:sz w:val="23"/>
          <w:szCs w:val="23"/>
        </w:rPr>
        <w:t>个月后另行登记的限制性股票</w:t>
      </w:r>
      <w:r>
        <w:rPr>
          <w:rFonts w:ascii="宋体" w:hAnsi="宋体" w:cs="宋体" w:eastAsia="宋体" w:hint="default"/>
          <w:spacing w:val="-58"/>
          <w:sz w:val="23"/>
          <w:szCs w:val="23"/>
        </w:rPr>
        <w:t> </w:t>
      </w:r>
      <w:r>
        <w:rPr>
          <w:rFonts w:ascii="宋体" w:hAnsi="宋体" w:cs="宋体" w:eastAsia="宋体" w:hint="default"/>
          <w:sz w:val="23"/>
          <w:szCs w:val="23"/>
        </w:rPr>
        <w:t>150,000</w:t>
      </w:r>
      <w:r>
        <w:rPr>
          <w:rFonts w:ascii="宋体" w:hAnsi="宋体" w:cs="宋体" w:eastAsia="宋体" w:hint="default"/>
          <w:spacing w:val="-58"/>
          <w:sz w:val="23"/>
          <w:szCs w:val="23"/>
        </w:rPr>
        <w:t> </w:t>
      </w:r>
      <w:r>
        <w:rPr>
          <w:rFonts w:ascii="宋体" w:hAnsi="宋体" w:cs="宋体" w:eastAsia="宋体" w:hint="default"/>
          <w:spacing w:val="-6"/>
          <w:sz w:val="23"/>
          <w:szCs w:val="23"/>
        </w:rPr>
        <w:t>股），</w:t>
      </w:r>
      <w:r>
        <w:rPr>
          <w:rFonts w:ascii="宋体" w:hAnsi="宋体" w:cs="宋体" w:eastAsia="宋体" w:hint="default"/>
          <w:spacing w:val="-6"/>
          <w:sz w:val="24"/>
          <w:szCs w:val="24"/>
        </w:rPr>
        <w:t>授予价格</w:t>
      </w:r>
      <w:r>
        <w:rPr>
          <w:rFonts w:ascii="宋体" w:hAnsi="宋体" w:cs="宋体" w:eastAsia="宋体" w:hint="default"/>
          <w:spacing w:val="-60"/>
          <w:sz w:val="24"/>
          <w:szCs w:val="24"/>
        </w:rPr>
        <w:t> </w:t>
      </w:r>
      <w:r>
        <w:rPr>
          <w:rFonts w:ascii="宋体" w:hAnsi="宋体" w:cs="宋体" w:eastAsia="宋体" w:hint="default"/>
          <w:sz w:val="24"/>
          <w:szCs w:val="24"/>
        </w:rPr>
        <w:t>15.848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p>
    <w:p>
      <w:pPr>
        <w:pStyle w:val="BodyText"/>
        <w:spacing w:line="312" w:lineRule="exact" w:before="149"/>
        <w:ind w:right="235" w:firstLine="480"/>
        <w:jc w:val="both"/>
      </w:pPr>
      <w:r>
        <w:rPr/>
        <w:t>激励对象自获授限制性股票之日起</w:t>
      </w:r>
      <w:r>
        <w:rPr>
          <w:spacing w:val="-60"/>
        </w:rPr>
        <w:t> </w:t>
      </w:r>
      <w:r>
        <w:rPr>
          <w:rFonts w:ascii="宋体" w:hAnsi="宋体" w:cs="宋体" w:eastAsia="宋体" w:hint="default"/>
        </w:rPr>
        <w:t>12</w:t>
      </w:r>
      <w:r>
        <w:rPr>
          <w:rFonts w:ascii="宋体" w:hAnsi="宋体" w:cs="宋体" w:eastAsia="宋体" w:hint="default"/>
          <w:spacing w:val="-60"/>
        </w:rPr>
        <w:t> </w:t>
      </w:r>
      <w:r>
        <w:rPr/>
        <w:t>个月内为锁定期。在锁定期内，激励对象 </w:t>
      </w:r>
      <w:r>
        <w:rPr>
          <w:spacing w:val="-8"/>
        </w:rPr>
        <w:t>根据本计划获授的限制性股票予以锁定，不得转让、不得用于偿还债务。在解锁期内，</w:t>
      </w:r>
      <w:r>
        <w:rPr>
          <w:spacing w:val="-104"/>
        </w:rPr>
        <w:t> </w:t>
      </w:r>
      <w:r>
        <w:rPr>
          <w:spacing w:val="-104"/>
        </w:rPr>
      </w:r>
      <w:r>
        <w:rPr/>
        <w:t>若达到本股权激励计划规定的解锁条件，激励对象可分三次申请解锁：</w:t>
      </w:r>
    </w:p>
    <w:p>
      <w:pPr>
        <w:pStyle w:val="BodyText"/>
        <w:spacing w:line="312" w:lineRule="exact" w:before="118"/>
        <w:ind w:right="233" w:firstLine="480"/>
        <w:jc w:val="both"/>
      </w:pPr>
      <w:r>
        <w:rPr>
          <w:spacing w:val="-8"/>
        </w:rPr>
        <w:t>（</w:t>
      </w:r>
      <w:r>
        <w:rPr>
          <w:rFonts w:ascii="宋体" w:hAnsi="宋体" w:cs="宋体" w:eastAsia="宋体" w:hint="default"/>
          <w:spacing w:val="-8"/>
        </w:rPr>
        <w:t>1</w:t>
      </w:r>
      <w:r>
        <w:rPr>
          <w:spacing w:val="-8"/>
        </w:rPr>
        <w:t>）第一次解锁期为自授予日起</w:t>
      </w:r>
      <w:r>
        <w:rPr>
          <w:spacing w:val="-57"/>
        </w:rPr>
        <w:t> </w:t>
      </w:r>
      <w:r>
        <w:rPr>
          <w:rFonts w:ascii="宋体" w:hAnsi="宋体" w:cs="宋体" w:eastAsia="宋体" w:hint="default"/>
        </w:rPr>
        <w:t>12</w:t>
      </w:r>
      <w:r>
        <w:rPr>
          <w:rFonts w:ascii="宋体" w:hAnsi="宋体" w:cs="宋体" w:eastAsia="宋体" w:hint="default"/>
          <w:spacing w:val="-57"/>
        </w:rPr>
        <w:t> </w:t>
      </w:r>
      <w:r>
        <w:rPr/>
        <w:t>个月后的首个交易日起至相应的授予日起</w:t>
      </w:r>
      <w:r>
        <w:rPr>
          <w:spacing w:val="-56"/>
        </w:rPr>
        <w:t> </w:t>
      </w:r>
      <w:r>
        <w:rPr>
          <w:rFonts w:ascii="宋体" w:hAnsi="宋体" w:cs="宋体" w:eastAsia="宋体" w:hint="default"/>
        </w:rPr>
        <w:t>24 </w:t>
      </w:r>
      <w:r>
        <w:rPr/>
        <w:t>个月内的最后一个交易日当日止，可解锁数量占限制股票总数的</w:t>
      </w:r>
      <w:r>
        <w:rPr>
          <w:spacing w:val="-60"/>
        </w:rPr>
        <w:t> </w:t>
      </w:r>
      <w:r>
        <w:rPr>
          <w:rFonts w:ascii="宋体" w:hAnsi="宋体" w:cs="宋体" w:eastAsia="宋体" w:hint="default"/>
        </w:rPr>
        <w:t>30%</w:t>
      </w:r>
      <w:r>
        <w:rPr/>
        <w:t>；</w:t>
      </w:r>
    </w:p>
    <w:p>
      <w:pPr>
        <w:pStyle w:val="BodyText"/>
        <w:spacing w:line="310" w:lineRule="exact" w:before="121"/>
        <w:ind w:right="233" w:firstLine="480"/>
        <w:jc w:val="both"/>
      </w:pPr>
      <w:r>
        <w:rPr>
          <w:spacing w:val="-8"/>
        </w:rPr>
        <w:t>（</w:t>
      </w:r>
      <w:r>
        <w:rPr>
          <w:rFonts w:ascii="宋体" w:hAnsi="宋体" w:cs="宋体" w:eastAsia="宋体" w:hint="default"/>
          <w:spacing w:val="-8"/>
        </w:rPr>
        <w:t>2</w:t>
      </w:r>
      <w:r>
        <w:rPr>
          <w:spacing w:val="-8"/>
        </w:rPr>
        <w:t>）第二次解锁期为自授予日起</w:t>
      </w:r>
      <w:r>
        <w:rPr>
          <w:spacing w:val="-57"/>
        </w:rPr>
        <w:t> </w:t>
      </w:r>
      <w:r>
        <w:rPr>
          <w:rFonts w:ascii="宋体" w:hAnsi="宋体" w:cs="宋体" w:eastAsia="宋体" w:hint="default"/>
        </w:rPr>
        <w:t>24</w:t>
      </w:r>
      <w:r>
        <w:rPr>
          <w:rFonts w:ascii="宋体" w:hAnsi="宋体" w:cs="宋体" w:eastAsia="宋体" w:hint="default"/>
          <w:spacing w:val="-57"/>
        </w:rPr>
        <w:t> </w:t>
      </w:r>
      <w:r>
        <w:rPr/>
        <w:t>个月后的首个交易日起至相应的授予日起</w:t>
      </w:r>
      <w:r>
        <w:rPr>
          <w:spacing w:val="-56"/>
        </w:rPr>
        <w:t> </w:t>
      </w:r>
      <w:r>
        <w:rPr>
          <w:rFonts w:ascii="宋体" w:hAnsi="宋体" w:cs="宋体" w:eastAsia="宋体" w:hint="default"/>
        </w:rPr>
        <w:t>36 </w:t>
      </w:r>
      <w:r>
        <w:rPr/>
        <w:t>个月内的最后一个交易日当日止，可解锁数量占限制股票总数的</w:t>
      </w:r>
      <w:r>
        <w:rPr>
          <w:spacing w:val="-60"/>
        </w:rPr>
        <w:t> </w:t>
      </w:r>
      <w:r>
        <w:rPr>
          <w:rFonts w:ascii="宋体" w:hAnsi="宋体" w:cs="宋体" w:eastAsia="宋体" w:hint="default"/>
        </w:rPr>
        <w:t>30%</w:t>
      </w:r>
      <w:r>
        <w:rPr/>
        <w:t>；</w:t>
      </w:r>
    </w:p>
    <w:p>
      <w:pPr>
        <w:pStyle w:val="BodyText"/>
        <w:spacing w:line="312" w:lineRule="exact" w:before="120"/>
        <w:ind w:right="233" w:firstLine="480"/>
        <w:jc w:val="both"/>
      </w:pPr>
      <w:r>
        <w:rPr>
          <w:spacing w:val="-8"/>
        </w:rPr>
        <w:t>（</w:t>
      </w:r>
      <w:r>
        <w:rPr>
          <w:rFonts w:ascii="宋体" w:hAnsi="宋体" w:cs="宋体" w:eastAsia="宋体" w:hint="default"/>
          <w:spacing w:val="-8"/>
        </w:rPr>
        <w:t>3</w:t>
      </w:r>
      <w:r>
        <w:rPr>
          <w:spacing w:val="-8"/>
        </w:rPr>
        <w:t>）第三次解锁期为自授予日起</w:t>
      </w:r>
      <w:r>
        <w:rPr>
          <w:spacing w:val="-57"/>
        </w:rPr>
        <w:t> </w:t>
      </w:r>
      <w:r>
        <w:rPr>
          <w:rFonts w:ascii="宋体" w:hAnsi="宋体" w:cs="宋体" w:eastAsia="宋体" w:hint="default"/>
        </w:rPr>
        <w:t>36</w:t>
      </w:r>
      <w:r>
        <w:rPr>
          <w:rFonts w:ascii="宋体" w:hAnsi="宋体" w:cs="宋体" w:eastAsia="宋体" w:hint="default"/>
          <w:spacing w:val="-57"/>
        </w:rPr>
        <w:t> </w:t>
      </w:r>
      <w:r>
        <w:rPr/>
        <w:t>个月后的首个交易日起至相应的授予日起</w:t>
      </w:r>
      <w:r>
        <w:rPr>
          <w:spacing w:val="-56"/>
        </w:rPr>
        <w:t> </w:t>
      </w:r>
      <w:r>
        <w:rPr>
          <w:rFonts w:ascii="宋体" w:hAnsi="宋体" w:cs="宋体" w:eastAsia="宋体" w:hint="default"/>
        </w:rPr>
        <w:t>48 </w:t>
      </w:r>
      <w:r>
        <w:rPr/>
        <w:t>个月内的最后一个交易日当日止，可解锁数量占限制股票总数的</w:t>
      </w:r>
      <w:r>
        <w:rPr>
          <w:spacing w:val="-60"/>
        </w:rPr>
        <w:t> </w:t>
      </w:r>
      <w:r>
        <w:rPr>
          <w:rFonts w:ascii="宋体" w:hAnsi="宋体" w:cs="宋体" w:eastAsia="宋体" w:hint="default"/>
        </w:rPr>
        <w:t>40%</w:t>
      </w:r>
      <w:r>
        <w:rPr/>
        <w:t>。</w:t>
      </w:r>
    </w:p>
    <w:p>
      <w:pPr>
        <w:pStyle w:val="BodyText"/>
        <w:spacing w:line="312" w:lineRule="exact" w:before="117"/>
        <w:ind w:right="245" w:firstLine="480"/>
        <w:jc w:val="both"/>
      </w:pPr>
      <w:r>
        <w:rPr/>
        <w:t>本次股权激励计划第一批授予登记的股票共计</w:t>
      </w:r>
      <w:r>
        <w:rPr>
          <w:spacing w:val="-60"/>
        </w:rPr>
        <w:t> </w:t>
      </w:r>
      <w:r>
        <w:rPr>
          <w:rFonts w:ascii="宋体" w:hAnsi="宋体" w:cs="宋体" w:eastAsia="宋体" w:hint="default"/>
        </w:rPr>
        <w:t>4,280,000</w:t>
      </w:r>
      <w:r>
        <w:rPr>
          <w:rFonts w:ascii="宋体" w:hAnsi="宋体" w:cs="宋体" w:eastAsia="宋体" w:hint="default"/>
          <w:spacing w:val="-60"/>
        </w:rPr>
        <w:t> </w:t>
      </w:r>
      <w:r>
        <w:rPr/>
        <w:t>股，于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10 </w:t>
      </w:r>
      <w:r>
        <w:rPr/>
        <w:t>日在中国证券登记结算有限责任公司上海分公司完成登记。</w:t>
      </w:r>
    </w:p>
    <w:p>
      <w:pPr>
        <w:spacing w:line="240" w:lineRule="auto" w:before="11"/>
        <w:rPr>
          <w:rFonts w:ascii="宋体" w:hAnsi="宋体" w:cs="宋体" w:eastAsia="宋体" w:hint="default"/>
          <w:sz w:val="33"/>
          <w:szCs w:val="33"/>
        </w:rPr>
      </w:pPr>
    </w:p>
    <w:p>
      <w:pPr>
        <w:pStyle w:val="Heading2"/>
        <w:spacing w:line="240" w:lineRule="auto" w:before="0"/>
        <w:ind w:left="137" w:right="119"/>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55"/>
        <w:ind w:right="119"/>
        <w:jc w:val="left"/>
      </w:pPr>
      <w:r>
        <w:rPr/>
        <w:t>√适用</w:t>
      </w:r>
      <w:r>
        <w:rPr>
          <w:spacing w:val="-1"/>
        </w:rPr>
        <w:t> </w:t>
      </w:r>
      <w:r>
        <w:rPr/>
        <w:t>□不适用</w:t>
      </w:r>
    </w:p>
    <w:p>
      <w:pPr>
        <w:spacing w:after="0" w:line="240" w:lineRule="auto"/>
        <w:jc w:val="left"/>
        <w:sectPr>
          <w:pgSz w:w="11910" w:h="16840"/>
          <w:pgMar w:header="0" w:footer="1195" w:top="1120" w:bottom="1380" w:left="1140" w:right="1560"/>
        </w:sectPr>
      </w:pPr>
    </w:p>
    <w:p>
      <w:pPr>
        <w:spacing w:line="240" w:lineRule="auto" w:before="13"/>
        <w:rPr>
          <w:rFonts w:ascii="宋体" w:hAnsi="宋体" w:cs="宋体" w:eastAsia="宋体" w:hint="default"/>
          <w:sz w:val="18"/>
          <w:szCs w:val="18"/>
        </w:rPr>
      </w:pPr>
    </w:p>
    <w:p>
      <w:pPr>
        <w:pStyle w:val="BodyText"/>
        <w:tabs>
          <w:tab w:pos="1199" w:val="left" w:leader="none"/>
        </w:tabs>
        <w:spacing w:line="240" w:lineRule="auto" w:before="26"/>
        <w:ind w:left="0" w:right="233"/>
        <w:jc w:val="right"/>
      </w:pPr>
      <w:r>
        <w:rPr/>
        <w:t>单位：股</w:t>
        <w:tab/>
        <w:t>币种：人民币</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4,430,000.00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3,878,389.00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行权价格为</w:t>
            </w:r>
            <w:r>
              <w:rPr>
                <w:rFonts w:ascii="宋体" w:hAnsi="宋体" w:cs="宋体" w:eastAsia="宋体" w:hint="default"/>
                <w:spacing w:val="-48"/>
                <w:sz w:val="21"/>
                <w:szCs w:val="21"/>
              </w:rPr>
              <w:t> </w:t>
            </w:r>
            <w:r>
              <w:rPr>
                <w:rFonts w:ascii="宋体" w:hAnsi="宋体" w:cs="宋体" w:eastAsia="宋体" w:hint="default"/>
                <w:spacing w:val="-6"/>
                <w:sz w:val="21"/>
                <w:szCs w:val="21"/>
              </w:rPr>
              <w:t>15.848</w:t>
            </w:r>
            <w:r>
              <w:rPr>
                <w:rFonts w:ascii="宋体" w:hAnsi="宋体" w:cs="宋体" w:eastAsia="宋体" w:hint="default"/>
                <w:spacing w:val="-6"/>
                <w:sz w:val="21"/>
                <w:szCs w:val="21"/>
              </w:rPr>
              <w:t>，合同剩余期限为</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0" w:footer="1195" w:top="1120" w:bottom="1380" w:left="1020" w:right="1560"/>
        </w:sectPr>
      </w:pPr>
    </w:p>
    <w:p>
      <w:pPr>
        <w:pStyle w:val="BodyText"/>
        <w:spacing w:line="273" w:lineRule="exact"/>
        <w:ind w:left="257" w:right="-18"/>
        <w:jc w:val="left"/>
      </w:pPr>
      <w:r>
        <w:rPr/>
        <w:t>其他说明</w:t>
      </w:r>
    </w:p>
    <w:p>
      <w:pPr>
        <w:pStyle w:val="BodyText"/>
        <w:spacing w:line="313" w:lineRule="exact"/>
        <w:ind w:left="257" w:right="-18"/>
        <w:jc w:val="left"/>
      </w:pPr>
      <w:r>
        <w:rPr/>
        <w:t>无</w:t>
      </w:r>
    </w:p>
    <w:p>
      <w:pPr>
        <w:pStyle w:val="Heading2"/>
        <w:spacing w:line="240" w:lineRule="auto" w:before="55"/>
        <w:ind w:left="257" w:right="-18"/>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58"/>
        <w:ind w:left="25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9"/>
          <w:szCs w:val="29"/>
        </w:rPr>
      </w:pPr>
    </w:p>
    <w:p>
      <w:pPr>
        <w:pStyle w:val="BodyText"/>
        <w:tabs>
          <w:tab w:pos="1457" w:val="left" w:leader="none"/>
        </w:tabs>
        <w:spacing w:line="240" w:lineRule="auto"/>
        <w:ind w:left="257" w:right="0"/>
        <w:jc w:val="left"/>
      </w:pPr>
      <w:r>
        <w:rPr/>
        <w:t>单位：元</w:t>
        <w:tab/>
        <w:t>币种：人民币</w:t>
      </w:r>
    </w:p>
    <w:p>
      <w:pPr>
        <w:spacing w:after="0" w:line="240" w:lineRule="auto"/>
        <w:jc w:val="left"/>
        <w:sectPr>
          <w:type w:val="continuous"/>
          <w:pgSz w:w="11910" w:h="16840"/>
          <w:pgMar w:top="1120" w:bottom="1380" w:left="1020" w:right="1560"/>
          <w:cols w:num="2" w:equalWidth="0">
            <w:col w:w="3573" w:space="2620"/>
            <w:col w:w="3137"/>
          </w:cols>
        </w:sectPr>
      </w:pP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645"/>
        <w:gridCol w:w="4405"/>
      </w:tblGrid>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于授予日每份限制性股票激励计划的公允价</w:t>
            </w:r>
          </w:p>
          <w:p>
            <w:pPr>
              <w:pStyle w:val="TableParagraph"/>
              <w:spacing w:line="240" w:lineRule="auto"/>
              <w:ind w:left="103" w:right="191"/>
              <w:jc w:val="left"/>
              <w:rPr>
                <w:rFonts w:ascii="宋体" w:hAnsi="宋体" w:cs="宋体" w:eastAsia="宋体" w:hint="default"/>
                <w:sz w:val="21"/>
                <w:szCs w:val="21"/>
              </w:rPr>
            </w:pPr>
            <w:r>
              <w:rPr>
                <w:rFonts w:ascii="宋体" w:hAnsi="宋体" w:cs="宋体" w:eastAsia="宋体" w:hint="default"/>
                <w:sz w:val="21"/>
                <w:szCs w:val="21"/>
              </w:rPr>
              <w:t>值为</w:t>
            </w:r>
            <w:r>
              <w:rPr>
                <w:rFonts w:ascii="宋体" w:hAnsi="宋体" w:cs="宋体" w:eastAsia="宋体" w:hint="default"/>
                <w:spacing w:val="-52"/>
                <w:sz w:val="21"/>
                <w:szCs w:val="21"/>
              </w:rPr>
              <w:t> </w:t>
            </w:r>
            <w:r>
              <w:rPr>
                <w:rFonts w:ascii="宋体" w:hAnsi="宋体" w:cs="宋体" w:eastAsia="宋体" w:hint="default"/>
                <w:sz w:val="21"/>
                <w:szCs w:val="21"/>
              </w:rPr>
              <w:t>7.242</w:t>
            </w:r>
            <w:r>
              <w:rPr>
                <w:rFonts w:ascii="宋体" w:hAnsi="宋体" w:cs="宋体" w:eastAsia="宋体" w:hint="default"/>
                <w:spacing w:val="-55"/>
                <w:sz w:val="21"/>
                <w:szCs w:val="21"/>
              </w:rPr>
              <w:t> </w:t>
            </w:r>
            <w:r>
              <w:rPr>
                <w:rFonts w:ascii="宋体" w:hAnsi="宋体" w:cs="宋体" w:eastAsia="宋体" w:hint="default"/>
                <w:sz w:val="21"/>
                <w:szCs w:val="21"/>
              </w:rPr>
              <w:t>元，公允价值采用“布莱克</w:t>
            </w:r>
            <w:r>
              <w:rPr>
                <w:rFonts w:ascii="宋体" w:hAnsi="宋体" w:cs="宋体" w:eastAsia="宋体" w:hint="default"/>
                <w:sz w:val="21"/>
                <w:szCs w:val="21"/>
              </w:rPr>
              <w:t>-</w:t>
            </w:r>
            <w:r>
              <w:rPr>
                <w:rFonts w:ascii="宋体" w:hAnsi="宋体" w:cs="宋体" w:eastAsia="宋体" w:hint="default"/>
                <w:sz w:val="21"/>
                <w:szCs w:val="21"/>
              </w:rPr>
              <w:t>斯科</w:t>
            </w:r>
            <w:r>
              <w:rPr>
                <w:rFonts w:ascii="宋体" w:hAnsi="宋体" w:cs="宋体" w:eastAsia="宋体" w:hint="default"/>
                <w:w w:val="100"/>
                <w:sz w:val="21"/>
                <w:szCs w:val="21"/>
              </w:rPr>
              <w:t> </w:t>
            </w:r>
            <w:r>
              <w:rPr>
                <w:rFonts w:ascii="宋体" w:hAnsi="宋体" w:cs="宋体" w:eastAsia="宋体" w:hint="default"/>
                <w:sz w:val="21"/>
                <w:szCs w:val="21"/>
              </w:rPr>
              <w:t>尔斯</w:t>
            </w:r>
            <w:r>
              <w:rPr>
                <w:rFonts w:ascii="宋体" w:hAnsi="宋体" w:cs="宋体" w:eastAsia="宋体" w:hint="default"/>
                <w:sz w:val="21"/>
                <w:szCs w:val="21"/>
              </w:rPr>
              <w:t>-</w:t>
            </w:r>
            <w:r>
              <w:rPr>
                <w:rFonts w:ascii="宋体" w:hAnsi="宋体" w:cs="宋体" w:eastAsia="宋体" w:hint="default"/>
                <w:sz w:val="21"/>
                <w:szCs w:val="21"/>
              </w:rPr>
              <w:t>默顿”期权定价公式（</w:t>
            </w:r>
            <w:r>
              <w:rPr>
                <w:rFonts w:ascii="宋体" w:hAnsi="宋体" w:cs="宋体" w:eastAsia="宋体" w:hint="default"/>
                <w:sz w:val="21"/>
                <w:szCs w:val="21"/>
              </w:rPr>
              <w:t>B-S</w:t>
            </w:r>
            <w:r>
              <w:rPr>
                <w:rFonts w:ascii="宋体" w:hAnsi="宋体" w:cs="宋体" w:eastAsia="宋体" w:hint="default"/>
                <w:spacing w:val="-57"/>
                <w:sz w:val="21"/>
                <w:szCs w:val="21"/>
              </w:rPr>
              <w:t> </w:t>
            </w:r>
            <w:r>
              <w:rPr>
                <w:rFonts w:ascii="宋体" w:hAnsi="宋体" w:cs="宋体" w:eastAsia="宋体" w:hint="default"/>
                <w:sz w:val="21"/>
                <w:szCs w:val="21"/>
              </w:rPr>
              <w:t>模型）确定</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预计可以达到行权条件，被授予对象均可行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权</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39,121,121.94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2,495,165.55</w:t>
            </w:r>
          </w:p>
        </w:tc>
      </w:tr>
    </w:tbl>
    <w:p>
      <w:pPr>
        <w:pStyle w:val="BodyText"/>
        <w:spacing w:line="274" w:lineRule="exact"/>
        <w:ind w:left="257" w:right="5801"/>
        <w:jc w:val="left"/>
      </w:pPr>
      <w:r>
        <w:rPr/>
        <w:t>其他说明</w:t>
      </w:r>
    </w:p>
    <w:p>
      <w:pPr>
        <w:pStyle w:val="BodyText"/>
        <w:spacing w:line="240" w:lineRule="auto" w:before="166"/>
        <w:ind w:left="257" w:right="5801"/>
        <w:jc w:val="left"/>
      </w:pPr>
      <w:r>
        <w:rPr/>
        <w:t>以股份支付服务情况</w:t>
      </w:r>
    </w:p>
    <w:p>
      <w:pPr>
        <w:spacing w:line="240" w:lineRule="auto" w:before="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470"/>
        <w:gridCol w:w="4350"/>
      </w:tblGrid>
      <w:tr>
        <w:trPr>
          <w:trHeight w:val="39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Arial" w:hAnsi="Arial" w:cs="Arial" w:eastAsia="Arial" w:hint="default"/>
                <w:sz w:val="24"/>
                <w:szCs w:val="24"/>
              </w:rPr>
            </w:pPr>
            <w:r>
              <w:rPr>
                <w:rFonts w:ascii="Arial"/>
                <w:spacing w:val="-1"/>
                <w:w w:val="80"/>
                <w:sz w:val="24"/>
              </w:rPr>
              <w:t>2,495,165.55</w:t>
            </w:r>
            <w:r>
              <w:rPr>
                <w:rFonts w:ascii="Arial"/>
                <w:spacing w:val="-1"/>
                <w:sz w:val="24"/>
              </w:rPr>
            </w:r>
          </w:p>
        </w:tc>
      </w:tr>
      <w:tr>
        <w:trPr>
          <w:trHeight w:val="39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23"/>
          <w:szCs w:val="23"/>
        </w:rPr>
      </w:pPr>
    </w:p>
    <w:p>
      <w:pPr>
        <w:pStyle w:val="Heading2"/>
        <w:spacing w:line="240" w:lineRule="auto"/>
        <w:ind w:left="257" w:right="352"/>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55"/>
        <w:ind w:left="257" w:right="5801"/>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257" w:right="352"/>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4470"/>
        <w:gridCol w:w="4350"/>
      </w:tblGrid>
      <w:tr>
        <w:trPr>
          <w:trHeight w:val="39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39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sz w:val="21"/>
                <w:szCs w:val="21"/>
              </w:rPr>
              <w:t>无修改</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Heading2"/>
        <w:spacing w:line="240" w:lineRule="auto"/>
        <w:ind w:left="257" w:right="5801"/>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spacing w:line="312" w:lineRule="exact" w:before="86"/>
        <w:ind w:left="257" w:right="3049"/>
        <w:jc w:val="left"/>
      </w:pPr>
      <w:r>
        <w:rPr/>
        <w:t>（二）本公司之间接控制子公司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公司的股份支付情况 </w:t>
      </w:r>
      <w:r>
        <w:rPr>
          <w:rFonts w:ascii="宋体" w:hAnsi="宋体" w:cs="宋体" w:eastAsia="宋体" w:hint="default"/>
        </w:rPr>
        <w:t>1</w:t>
      </w:r>
      <w:r>
        <w:rPr/>
        <w:t>、股份支付基本情况</w:t>
      </w:r>
    </w:p>
    <w:tbl>
      <w:tblPr>
        <w:tblW w:w="0" w:type="auto"/>
        <w:jc w:val="left"/>
        <w:tblInd w:w="110" w:type="dxa"/>
        <w:tblLayout w:type="fixed"/>
        <w:tblCellMar>
          <w:top w:w="0" w:type="dxa"/>
          <w:left w:w="0" w:type="dxa"/>
          <w:bottom w:w="0" w:type="dxa"/>
          <w:right w:w="0" w:type="dxa"/>
        </w:tblCellMar>
        <w:tblLook w:val="01E0"/>
      </w:tblPr>
      <w:tblGrid>
        <w:gridCol w:w="4254"/>
        <w:gridCol w:w="4707"/>
      </w:tblGrid>
      <w:tr>
        <w:trPr>
          <w:trHeight w:val="39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2,700,000</w:t>
            </w:r>
            <w:r>
              <w:rPr>
                <w:rFonts w:ascii="宋体" w:hAnsi="宋体" w:cs="宋体" w:eastAsia="宋体" w:hint="default"/>
                <w:spacing w:val="-51"/>
                <w:sz w:val="21"/>
                <w:szCs w:val="21"/>
              </w:rPr>
              <w:t> </w:t>
            </w:r>
            <w:r>
              <w:rPr>
                <w:rFonts w:ascii="宋体" w:hAnsi="宋体" w:cs="宋体" w:eastAsia="宋体" w:hint="default"/>
                <w:sz w:val="21"/>
                <w:szCs w:val="21"/>
              </w:rPr>
              <w:t>份认股权</w:t>
            </w:r>
          </w:p>
        </w:tc>
      </w:tr>
      <w:tr>
        <w:trPr>
          <w:trHeight w:val="39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hAnsi="宋体" w:cs="宋体" w:eastAsia="宋体" w:hint="default"/>
                <w:sz w:val="21"/>
                <w:szCs w:val="21"/>
              </w:rPr>
              <w:t>5,136,000</w:t>
            </w:r>
            <w:r>
              <w:rPr>
                <w:rFonts w:ascii="宋体" w:hAnsi="宋体" w:cs="宋体" w:eastAsia="宋体" w:hint="default"/>
                <w:spacing w:val="-51"/>
                <w:sz w:val="21"/>
                <w:szCs w:val="21"/>
              </w:rPr>
              <w:t> </w:t>
            </w:r>
            <w:r>
              <w:rPr>
                <w:rFonts w:ascii="宋体" w:hAnsi="宋体" w:cs="宋体" w:eastAsia="宋体" w:hint="default"/>
                <w:sz w:val="21"/>
                <w:szCs w:val="21"/>
              </w:rPr>
              <w:t>份认股权</w:t>
            </w:r>
          </w:p>
        </w:tc>
      </w:tr>
    </w:tbl>
    <w:p>
      <w:pPr>
        <w:spacing w:after="0" w:line="240" w:lineRule="auto"/>
        <w:jc w:val="right"/>
        <w:rPr>
          <w:rFonts w:ascii="宋体" w:hAnsi="宋体" w:cs="宋体" w:eastAsia="宋体" w:hint="default"/>
          <w:sz w:val="21"/>
          <w:szCs w:val="21"/>
        </w:rPr>
        <w:sectPr>
          <w:type w:val="continuous"/>
          <w:pgSz w:w="11910" w:h="16840"/>
          <w:pgMar w:top="1120" w:bottom="1380" w:left="1020" w:right="1560"/>
        </w:sectPr>
      </w:pPr>
    </w:p>
    <w:p>
      <w:pPr>
        <w:spacing w:line="240" w:lineRule="auto" w:before="0"/>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54"/>
        <w:gridCol w:w="4707"/>
      </w:tblGrid>
      <w:tr>
        <w:trPr>
          <w:trHeight w:val="39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66" w:right="0"/>
              <w:jc w:val="left"/>
              <w:rPr>
                <w:rFonts w:ascii="宋体" w:hAnsi="宋体" w:cs="宋体" w:eastAsia="宋体" w:hint="default"/>
                <w:sz w:val="21"/>
                <w:szCs w:val="21"/>
              </w:rPr>
            </w:pPr>
            <w:r>
              <w:rPr>
                <w:rFonts w:ascii="宋体" w:hAnsi="宋体" w:cs="宋体" w:eastAsia="宋体" w:hint="default"/>
                <w:sz w:val="21"/>
                <w:szCs w:val="21"/>
              </w:rPr>
              <w:t>823,000</w:t>
            </w:r>
            <w:r>
              <w:rPr>
                <w:rFonts w:ascii="宋体" w:hAnsi="宋体" w:cs="宋体" w:eastAsia="宋体" w:hint="default"/>
                <w:spacing w:val="-52"/>
                <w:sz w:val="21"/>
                <w:szCs w:val="21"/>
              </w:rPr>
              <w:t> </w:t>
            </w:r>
            <w:r>
              <w:rPr>
                <w:rFonts w:ascii="宋体" w:hAnsi="宋体" w:cs="宋体" w:eastAsia="宋体" w:hint="default"/>
                <w:sz w:val="21"/>
                <w:szCs w:val="21"/>
              </w:rPr>
              <w:t>份认股权</w:t>
            </w:r>
          </w:p>
        </w:tc>
      </w:tr>
      <w:tr>
        <w:trPr>
          <w:trHeight w:val="274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100" w:right="147"/>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围和合同剩余期限</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54"/>
                <w:sz w:val="21"/>
                <w:szCs w:val="21"/>
              </w:rPr>
              <w:t> </w:t>
            </w:r>
            <w:r>
              <w:rPr>
                <w:rFonts w:ascii="宋体" w:hAnsi="宋体" w:cs="宋体" w:eastAsia="宋体" w:hint="default"/>
                <w:sz w:val="21"/>
                <w:szCs w:val="21"/>
              </w:rPr>
              <w:t>份认股权是在</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日授出，</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行权价为</w:t>
            </w:r>
            <w:r>
              <w:rPr>
                <w:rFonts w:ascii="宋体" w:hAnsi="宋体" w:cs="宋体" w:eastAsia="宋体" w:hint="default"/>
                <w:spacing w:val="-28"/>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授出认股权前一天的收盘价或</w:t>
            </w:r>
            <w:r>
              <w:rPr>
                <w:rFonts w:ascii="宋体" w:hAnsi="宋体" w:cs="宋体" w:eastAsia="宋体" w:hint="default"/>
                <w:w w:val="100"/>
                <w:sz w:val="21"/>
                <w:szCs w:val="21"/>
              </w:rPr>
              <w:t> </w:t>
            </w:r>
            <w:r>
              <w:rPr>
                <w:rFonts w:ascii="宋体" w:hAnsi="宋体" w:cs="宋体" w:eastAsia="宋体" w:hint="default"/>
                <w:spacing w:val="-3"/>
                <w:sz w:val="21"/>
                <w:szCs w:val="21"/>
              </w:rPr>
              <w:t>前五天的平均收盘价，以较高者为准</w:t>
            </w:r>
            <w:r>
              <w:rPr>
                <w:rFonts w:ascii="宋体" w:hAnsi="宋体" w:cs="宋体" w:eastAsia="宋体" w:hint="default"/>
                <w:spacing w:val="-3"/>
                <w:sz w:val="21"/>
                <w:szCs w:val="21"/>
              </w:rPr>
              <w:t>)</w:t>
            </w:r>
            <w:r>
              <w:rPr>
                <w:rFonts w:ascii="宋体" w:hAnsi="宋体" w:cs="宋体" w:eastAsia="宋体" w:hint="default"/>
                <w:spacing w:val="-3"/>
                <w:sz w:val="21"/>
                <w:szCs w:val="21"/>
              </w:rPr>
              <w:t>，从授出日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开始计算，有效期</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pacing w:val="-3"/>
                <w:sz w:val="21"/>
                <w:szCs w:val="21"/>
              </w:rPr>
              <w:t>年，认股权的平均公允价值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为 </w:t>
            </w:r>
            <w:r>
              <w:rPr>
                <w:rFonts w:ascii="宋体" w:hAnsi="宋体" w:cs="宋体" w:eastAsia="宋体" w:hint="default"/>
                <w:sz w:val="21"/>
                <w:szCs w:val="21"/>
              </w:rPr>
              <w:t>HK$0.312 (HK$0.307 to</w:t>
            </w:r>
            <w:r>
              <w:rPr>
                <w:rFonts w:ascii="宋体" w:hAnsi="宋体" w:cs="宋体" w:eastAsia="宋体" w:hint="default"/>
                <w:spacing w:val="-30"/>
                <w:sz w:val="21"/>
                <w:szCs w:val="21"/>
              </w:rPr>
              <w:t> </w:t>
            </w:r>
            <w:r>
              <w:rPr>
                <w:rFonts w:ascii="宋体" w:hAnsi="宋体" w:cs="宋体" w:eastAsia="宋体" w:hint="default"/>
                <w:sz w:val="21"/>
                <w:szCs w:val="21"/>
              </w:rPr>
              <w:t>HK$0.315)6,755,000</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份认股权是在</w:t>
            </w:r>
            <w:r>
              <w:rPr>
                <w:rFonts w:ascii="宋体" w:hAnsi="宋体" w:cs="宋体" w:eastAsia="宋体" w:hint="default"/>
                <w:spacing w:val="-21"/>
                <w:sz w:val="21"/>
                <w:szCs w:val="21"/>
              </w:rPr>
              <w:t> </w:t>
            </w:r>
            <w:r>
              <w:rPr>
                <w:rFonts w:ascii="宋体" w:hAnsi="宋体" w:cs="宋体" w:eastAsia="宋体" w:hint="default"/>
                <w:sz w:val="21"/>
                <w:szCs w:val="21"/>
              </w:rPr>
              <w:t>2012</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5</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宋体" w:hAnsi="宋体" w:cs="宋体" w:eastAsia="宋体" w:hint="default"/>
                <w:sz w:val="21"/>
                <w:szCs w:val="21"/>
              </w:rPr>
              <w:t>2</w:t>
            </w:r>
            <w:r>
              <w:rPr>
                <w:rFonts w:ascii="宋体" w:hAnsi="宋体" w:cs="宋体" w:eastAsia="宋体" w:hint="default"/>
                <w:spacing w:val="-24"/>
                <w:sz w:val="21"/>
                <w:szCs w:val="21"/>
              </w:rPr>
              <w:t> </w:t>
            </w:r>
            <w:r>
              <w:rPr>
                <w:rFonts w:ascii="宋体" w:hAnsi="宋体" w:cs="宋体" w:eastAsia="宋体" w:hint="default"/>
                <w:sz w:val="21"/>
                <w:szCs w:val="21"/>
              </w:rPr>
              <w:t>日授出，行权价为</w:t>
            </w:r>
            <w:r>
              <w:rPr>
                <w:rFonts w:ascii="宋体" w:hAnsi="宋体" w:cs="宋体" w:eastAsia="宋体" w:hint="default"/>
                <w:w w:val="100"/>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授出认股权前一天的收盘价或前五天的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7"/>
                <w:sz w:val="21"/>
                <w:szCs w:val="21"/>
              </w:rPr>
              <w:t>平均收盘价，以较高者为准</w:t>
            </w:r>
            <w:r>
              <w:rPr>
                <w:rFonts w:ascii="宋体" w:hAnsi="宋体" w:cs="宋体" w:eastAsia="宋体" w:hint="default"/>
                <w:spacing w:val="-7"/>
                <w:sz w:val="21"/>
                <w:szCs w:val="21"/>
              </w:rPr>
              <w:t>)</w:t>
            </w:r>
            <w:r>
              <w:rPr>
                <w:rFonts w:ascii="宋体" w:hAnsi="宋体" w:cs="宋体" w:eastAsia="宋体" w:hint="default"/>
                <w:spacing w:val="-7"/>
                <w:sz w:val="21"/>
                <w:szCs w:val="21"/>
              </w:rPr>
              <w:t>，从授出日开始计算，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有</w:t>
            </w:r>
            <w:r>
              <w:rPr>
                <w:rFonts w:ascii="宋体" w:hAnsi="宋体" w:cs="宋体" w:eastAsia="宋体" w:hint="default"/>
                <w:spacing w:val="-60"/>
                <w:sz w:val="21"/>
                <w:szCs w:val="21"/>
              </w:rPr>
              <w:t> </w:t>
            </w:r>
            <w:r>
              <w:rPr>
                <w:rFonts w:ascii="宋体" w:hAnsi="宋体" w:cs="宋体" w:eastAsia="宋体" w:hint="default"/>
                <w:sz w:val="21"/>
                <w:szCs w:val="21"/>
              </w:rPr>
              <w:t>效</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38"/>
                <w:sz w:val="21"/>
                <w:szCs w:val="21"/>
              </w:rPr>
              <w:t>年，认股权的平均公允价值</w:t>
            </w:r>
            <w:r>
              <w:rPr>
                <w:rFonts w:ascii="宋体" w:hAnsi="宋体" w:cs="宋体" w:eastAsia="宋体" w:hint="default"/>
                <w:spacing w:val="-57"/>
                <w:sz w:val="21"/>
                <w:szCs w:val="21"/>
              </w:rPr>
              <w:t> </w:t>
            </w:r>
            <w:r>
              <w:rPr>
                <w:rFonts w:ascii="宋体" w:hAnsi="宋体" w:cs="宋体" w:eastAsia="宋体" w:hint="default"/>
                <w:sz w:val="21"/>
                <w:szCs w:val="21"/>
              </w:rPr>
              <w:t>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HK$0.309(HK$0.305 to</w:t>
            </w:r>
            <w:r>
              <w:rPr>
                <w:rFonts w:ascii="宋体" w:hAnsi="宋体" w:cs="宋体" w:eastAsia="宋体" w:hint="default"/>
                <w:spacing w:val="-4"/>
                <w:sz w:val="21"/>
                <w:szCs w:val="21"/>
              </w:rPr>
              <w:t> </w:t>
            </w:r>
            <w:r>
              <w:rPr>
                <w:rFonts w:ascii="宋体" w:hAnsi="宋体" w:cs="宋体" w:eastAsia="宋体" w:hint="default"/>
                <w:sz w:val="21"/>
                <w:szCs w:val="21"/>
              </w:rPr>
              <w:t>HK$0.311)</w:t>
            </w:r>
          </w:p>
        </w:tc>
      </w:tr>
      <w:tr>
        <w:trPr>
          <w:trHeight w:val="620"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00" w:right="147"/>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同剩余期限</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w w:val="100"/>
                <w:sz w:val="21"/>
              </w:rPr>
              <w:t>0</w:t>
            </w:r>
          </w:p>
        </w:tc>
      </w:tr>
    </w:tbl>
    <w:p>
      <w:pPr>
        <w:spacing w:line="240" w:lineRule="auto" w:before="10"/>
        <w:rPr>
          <w:rFonts w:ascii="宋体" w:hAnsi="宋体" w:cs="宋体" w:eastAsia="宋体" w:hint="default"/>
          <w:sz w:val="18"/>
          <w:szCs w:val="18"/>
        </w:rPr>
      </w:pPr>
    </w:p>
    <w:p>
      <w:pPr>
        <w:pStyle w:val="BodyText"/>
        <w:spacing w:line="240" w:lineRule="auto" w:before="26"/>
        <w:ind w:left="257" w:right="119"/>
        <w:jc w:val="left"/>
      </w:pPr>
      <w:r>
        <w:rPr>
          <w:rFonts w:ascii="宋体" w:hAnsi="宋体" w:cs="宋体" w:eastAsia="宋体" w:hint="default"/>
        </w:rPr>
        <w:t>2</w:t>
      </w:r>
      <w:r>
        <w:rPr/>
        <w:t>、以权益结算的股份支付情况</w:t>
      </w: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395"/>
        <w:gridCol w:w="4566"/>
      </w:tblGrid>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ASH</w:t>
            </w:r>
            <w:r>
              <w:rPr>
                <w:rFonts w:ascii="宋体" w:hAnsi="宋体" w:cs="宋体" w:eastAsia="宋体" w:hint="default"/>
                <w:sz w:val="21"/>
                <w:szCs w:val="21"/>
              </w:rPr>
              <w:t>：</w:t>
            </w:r>
            <w:r>
              <w:rPr>
                <w:rFonts w:ascii="宋体" w:hAnsi="宋体" w:cs="宋体" w:eastAsia="宋体" w:hint="default"/>
                <w:sz w:val="21"/>
                <w:szCs w:val="21"/>
              </w:rPr>
              <w:t>Binomiallatticemodel</w:t>
            </w:r>
            <w:r>
              <w:rPr>
                <w:rFonts w:ascii="宋体" w:hAnsi="宋体" w:cs="宋体" w:eastAsia="宋体" w:hint="default"/>
                <w:spacing w:val="-57"/>
                <w:sz w:val="21"/>
                <w:szCs w:val="21"/>
              </w:rPr>
              <w:t> </w:t>
            </w:r>
            <w:r>
              <w:rPr>
                <w:rFonts w:ascii="宋体" w:hAnsi="宋体" w:cs="宋体" w:eastAsia="宋体" w:hint="default"/>
                <w:sz w:val="21"/>
                <w:szCs w:val="21"/>
              </w:rPr>
              <w:t>二项式点阵模型</w:t>
            </w:r>
          </w:p>
        </w:tc>
      </w:tr>
      <w:tr>
        <w:trPr>
          <w:trHeight w:val="6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0" w:right="90"/>
              <w:jc w:val="left"/>
              <w:rPr>
                <w:rFonts w:ascii="宋体" w:hAnsi="宋体" w:cs="宋体" w:eastAsia="宋体" w:hint="default"/>
                <w:sz w:val="21"/>
                <w:szCs w:val="21"/>
              </w:rPr>
            </w:pPr>
            <w:r>
              <w:rPr>
                <w:rFonts w:ascii="宋体" w:hAnsi="宋体" w:cs="宋体" w:eastAsia="宋体" w:hint="default"/>
                <w:spacing w:val="7"/>
                <w:sz w:val="21"/>
                <w:szCs w:val="21"/>
              </w:rPr>
              <w:t>对可行权权益工具数量的最佳估计的确定方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法</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预计可达到行权条件，即假设员工服务期可达到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相当的年限</w:t>
            </w:r>
          </w:p>
        </w:tc>
      </w:tr>
      <w:tr>
        <w:trPr>
          <w:trHeight w:val="398"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90"/>
              <w:jc w:val="left"/>
              <w:rPr>
                <w:rFonts w:ascii="宋体" w:hAnsi="宋体" w:cs="宋体" w:eastAsia="宋体" w:hint="default"/>
                <w:sz w:val="21"/>
                <w:szCs w:val="21"/>
              </w:rPr>
            </w:pPr>
            <w:r>
              <w:rPr>
                <w:rFonts w:ascii="宋体" w:hAnsi="宋体" w:cs="宋体" w:eastAsia="宋体" w:hint="default"/>
                <w:spacing w:val="7"/>
                <w:sz w:val="21"/>
                <w:szCs w:val="21"/>
              </w:rPr>
              <w:t>资本公积中以权益结算的股份支付的累计金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spacing w:val="-1"/>
                <w:sz w:val="21"/>
              </w:rPr>
              <w:t>HK$2,672,167.53</w:t>
            </w:r>
          </w:p>
        </w:tc>
      </w:tr>
      <w:tr>
        <w:trPr>
          <w:trHeight w:val="39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HK$110,392.03</w:t>
            </w:r>
          </w:p>
        </w:tc>
      </w:tr>
    </w:tbl>
    <w:p>
      <w:pPr>
        <w:spacing w:line="240" w:lineRule="auto" w:before="9"/>
        <w:rPr>
          <w:rFonts w:ascii="宋体" w:hAnsi="宋体" w:cs="宋体" w:eastAsia="宋体" w:hint="default"/>
          <w:sz w:val="9"/>
          <w:szCs w:val="9"/>
        </w:rPr>
      </w:pPr>
    </w:p>
    <w:p>
      <w:pPr>
        <w:spacing w:before="36"/>
        <w:ind w:left="257" w:right="11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、以股份支付服务情况</w:t>
      </w:r>
    </w:p>
    <w:p>
      <w:pPr>
        <w:spacing w:line="240" w:lineRule="auto" w:before="5"/>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470"/>
        <w:gridCol w:w="4455"/>
      </w:tblGrid>
      <w:tr>
        <w:trPr>
          <w:trHeight w:val="39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HK$32,784.48</w:t>
            </w:r>
          </w:p>
        </w:tc>
      </w:tr>
      <w:tr>
        <w:trPr>
          <w:trHeight w:val="39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21"/>
                <w:szCs w:val="21"/>
              </w:rPr>
            </w:pPr>
            <w:r>
              <w:rPr>
                <w:rFonts w:ascii="宋体"/>
                <w:spacing w:val="-1"/>
                <w:sz w:val="21"/>
              </w:rPr>
              <w:t>Hk$143,176.51</w:t>
            </w:r>
          </w:p>
        </w:tc>
      </w:tr>
    </w:tbl>
    <w:p>
      <w:pPr>
        <w:spacing w:line="240" w:lineRule="auto" w:before="9"/>
        <w:rPr>
          <w:rFonts w:ascii="宋体" w:hAnsi="宋体" w:cs="宋体" w:eastAsia="宋体" w:hint="default"/>
          <w:sz w:val="9"/>
          <w:szCs w:val="9"/>
        </w:rPr>
      </w:pPr>
    </w:p>
    <w:p>
      <w:pPr>
        <w:spacing w:before="36"/>
        <w:ind w:left="257" w:right="11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、股份支付的修改、终止情况</w:t>
      </w:r>
    </w:p>
    <w:p>
      <w:pPr>
        <w:spacing w:line="240" w:lineRule="auto" w:before="5"/>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470"/>
        <w:gridCol w:w="4455"/>
      </w:tblGrid>
      <w:tr>
        <w:trPr>
          <w:trHeight w:val="39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39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bl>
    <w:p>
      <w:pPr>
        <w:spacing w:line="240" w:lineRule="auto" w:before="11"/>
        <w:rPr>
          <w:rFonts w:ascii="宋体" w:hAnsi="宋体" w:cs="宋体" w:eastAsia="宋体" w:hint="default"/>
          <w:sz w:val="18"/>
          <w:szCs w:val="18"/>
        </w:rPr>
      </w:pPr>
    </w:p>
    <w:p>
      <w:pPr>
        <w:pStyle w:val="BodyText"/>
        <w:spacing w:line="331" w:lineRule="auto" w:before="26"/>
        <w:ind w:left="196" w:right="2450" w:firstLine="60"/>
        <w:jc w:val="left"/>
      </w:pPr>
      <w:r>
        <w:rPr/>
        <w:t>（三）本公司之间接控制子公司兰德网络公司的股份支付情况 </w:t>
      </w:r>
      <w:r>
        <w:rPr>
          <w:rFonts w:ascii="宋体" w:hAnsi="宋体" w:cs="宋体" w:eastAsia="宋体" w:hint="default"/>
        </w:rPr>
        <w:t>1</w:t>
      </w:r>
      <w:r>
        <w:rPr/>
        <w:t>、股份支付基本情况</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4254"/>
        <w:gridCol w:w="4566"/>
      </w:tblGrid>
      <w:tr>
        <w:trPr>
          <w:trHeight w:val="39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公司本期授予的各项权益工具总额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01"/>
              <w:jc w:val="right"/>
              <w:rPr>
                <w:rFonts w:ascii="宋体" w:hAnsi="宋体" w:cs="宋体" w:eastAsia="宋体" w:hint="default"/>
                <w:sz w:val="24"/>
                <w:szCs w:val="24"/>
              </w:rPr>
            </w:pPr>
            <w:r>
              <w:rPr>
                <w:rFonts w:ascii="宋体" w:hAnsi="宋体" w:cs="宋体" w:eastAsia="宋体" w:hint="default"/>
                <w:sz w:val="24"/>
                <w:szCs w:val="24"/>
              </w:rPr>
              <w:t>5,272,500.00</w:t>
            </w:r>
            <w:r>
              <w:rPr>
                <w:rFonts w:ascii="宋体" w:hAnsi="宋体" w:cs="宋体" w:eastAsia="宋体" w:hint="default"/>
                <w:spacing w:val="-60"/>
                <w:sz w:val="24"/>
                <w:szCs w:val="24"/>
              </w:rPr>
              <w:t> </w:t>
            </w:r>
            <w:r>
              <w:rPr>
                <w:rFonts w:ascii="宋体" w:hAnsi="宋体" w:cs="宋体" w:eastAsia="宋体" w:hint="default"/>
                <w:sz w:val="24"/>
                <w:szCs w:val="24"/>
              </w:rPr>
              <w:t>份认股权</w:t>
            </w:r>
          </w:p>
        </w:tc>
      </w:tr>
      <w:tr>
        <w:trPr>
          <w:trHeight w:val="39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公司本期行权的各项权益工具总额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r>
      <w:tr>
        <w:trPr>
          <w:trHeight w:val="39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公司本期失效的各项权益工具总额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r>
      <w:tr>
        <w:trPr>
          <w:trHeight w:val="1287"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2" w:lineRule="exact"/>
              <w:ind w:left="100" w:right="301"/>
              <w:jc w:val="left"/>
              <w:rPr>
                <w:rFonts w:ascii="宋体" w:hAnsi="宋体" w:cs="宋体" w:eastAsia="宋体" w:hint="default"/>
                <w:sz w:val="24"/>
                <w:szCs w:val="24"/>
              </w:rPr>
            </w:pPr>
            <w:r>
              <w:rPr>
                <w:rFonts w:ascii="宋体" w:hAnsi="宋体" w:cs="宋体" w:eastAsia="宋体" w:hint="default"/>
                <w:sz w:val="24"/>
                <w:szCs w:val="24"/>
              </w:rPr>
              <w:t>公司期末发行在外的股份期权行权价 格的范围和合同剩余期限</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行权价格为 </w:t>
            </w:r>
            <w:r>
              <w:rPr>
                <w:rFonts w:ascii="宋体" w:hAnsi="宋体" w:cs="宋体" w:eastAsia="宋体" w:hint="default"/>
                <w:sz w:val="24"/>
                <w:szCs w:val="24"/>
              </w:rPr>
              <w:t>1.21 </w:t>
            </w:r>
            <w:r>
              <w:rPr>
                <w:rFonts w:ascii="宋体" w:hAnsi="宋体" w:cs="宋体" w:eastAsia="宋体" w:hint="default"/>
                <w:sz w:val="24"/>
                <w:szCs w:val="24"/>
              </w:rPr>
              <w:t>元，合同剩余期限为</w:t>
            </w:r>
            <w:r>
              <w:rPr>
                <w:rFonts w:ascii="宋体" w:hAnsi="宋体" w:cs="宋体" w:eastAsia="宋体" w:hint="default"/>
                <w:spacing w:val="29"/>
                <w:sz w:val="24"/>
                <w:szCs w:val="24"/>
              </w:rPr>
              <w:t> </w:t>
            </w:r>
            <w:r>
              <w:rPr>
                <w:rFonts w:ascii="宋体" w:hAnsi="宋体" w:cs="宋体" w:eastAsia="宋体" w:hint="default"/>
                <w:sz w:val="24"/>
                <w:szCs w:val="24"/>
              </w:rPr>
              <w:t>3</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个月</w:t>
            </w:r>
          </w:p>
        </w:tc>
      </w:tr>
      <w:tr>
        <w:trPr>
          <w:trHeight w:val="61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公司期末其他权益工具行权价格的范</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围和合同剩余期限</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right"/>
        <w:rPr>
          <w:rFonts w:ascii="宋体" w:hAnsi="宋体" w:cs="宋体" w:eastAsia="宋体" w:hint="default"/>
          <w:sz w:val="24"/>
          <w:szCs w:val="24"/>
        </w:rPr>
        <w:sectPr>
          <w:pgSz w:w="11910" w:h="16840"/>
          <w:pgMar w:header="0" w:footer="1195" w:top="1120" w:bottom="1380" w:left="1020" w:right="1680"/>
        </w:sectPr>
      </w:pPr>
    </w:p>
    <w:p>
      <w:pPr>
        <w:spacing w:line="240" w:lineRule="auto" w:before="13"/>
        <w:rPr>
          <w:rFonts w:ascii="宋体" w:hAnsi="宋体" w:cs="宋体" w:eastAsia="宋体" w:hint="default"/>
          <w:sz w:val="18"/>
          <w:szCs w:val="18"/>
        </w:rPr>
      </w:pPr>
    </w:p>
    <w:p>
      <w:pPr>
        <w:pStyle w:val="BodyText"/>
        <w:spacing w:line="240" w:lineRule="auto" w:before="26"/>
        <w:ind w:left="196" w:right="195"/>
        <w:jc w:val="left"/>
      </w:pPr>
      <w:r>
        <w:rPr>
          <w:rFonts w:ascii="宋体" w:hAnsi="宋体" w:cs="宋体" w:eastAsia="宋体" w:hint="default"/>
        </w:rPr>
        <w:t>2</w:t>
      </w:r>
      <w:r>
        <w:rPr/>
        <w:t>、以权益结算的股份支付情况</w:t>
      </w:r>
    </w:p>
    <w:p>
      <w:pPr>
        <w:spacing w:line="240" w:lineRule="auto" w:before="6"/>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4395"/>
        <w:gridCol w:w="4566"/>
      </w:tblGrid>
      <w:tr>
        <w:trPr>
          <w:trHeight w:val="39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01"/>
              <w:jc w:val="right"/>
              <w:rPr>
                <w:rFonts w:ascii="宋体" w:hAnsi="宋体" w:cs="宋体" w:eastAsia="宋体" w:hint="default"/>
                <w:sz w:val="24"/>
                <w:szCs w:val="24"/>
              </w:rPr>
            </w:pPr>
            <w:r>
              <w:rPr>
                <w:rFonts w:ascii="宋体" w:hAnsi="宋体" w:cs="宋体" w:eastAsia="宋体" w:hint="default"/>
                <w:sz w:val="24"/>
                <w:szCs w:val="24"/>
              </w:rPr>
              <w:t>未来收益法评估</w:t>
            </w:r>
          </w:p>
        </w:tc>
      </w:tr>
      <w:tr>
        <w:trPr>
          <w:trHeight w:val="6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对可行权权益工具数量的最佳估计的确</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定方法</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4"/>
                <w:szCs w:val="24"/>
              </w:rPr>
            </w:pPr>
            <w:r>
              <w:rPr>
                <w:rFonts w:ascii="宋体" w:hAnsi="宋体" w:cs="宋体" w:eastAsia="宋体" w:hint="default"/>
                <w:sz w:val="24"/>
                <w:szCs w:val="24"/>
              </w:rPr>
              <w:t>预计可达到行权条件，被授予对象均可行</w:t>
            </w:r>
          </w:p>
          <w:p>
            <w:pPr>
              <w:pStyle w:val="TableParagraph"/>
              <w:spacing w:line="313" w:lineRule="exact"/>
              <w:ind w:right="101"/>
              <w:jc w:val="right"/>
              <w:rPr>
                <w:rFonts w:ascii="宋体" w:hAnsi="宋体" w:cs="宋体" w:eastAsia="宋体" w:hint="default"/>
                <w:sz w:val="24"/>
                <w:szCs w:val="24"/>
              </w:rPr>
            </w:pPr>
            <w:r>
              <w:rPr>
                <w:rFonts w:ascii="宋体" w:hAnsi="宋体" w:cs="宋体" w:eastAsia="宋体" w:hint="default"/>
                <w:sz w:val="24"/>
                <w:szCs w:val="24"/>
              </w:rPr>
              <w:t>权</w:t>
            </w:r>
          </w:p>
        </w:tc>
      </w:tr>
      <w:tr>
        <w:trPr>
          <w:trHeight w:val="398"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本期估计与上期估计有重大差异的原因</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r>
      <w:tr>
        <w:trPr>
          <w:trHeight w:val="6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资本公积中以权益结算的股份支付的累</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计金额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hAnsi="宋体" w:cs="宋体" w:eastAsia="宋体" w:hint="default"/>
                <w:sz w:val="24"/>
                <w:szCs w:val="24"/>
              </w:rPr>
              <w:t>1,704,856.83</w:t>
            </w:r>
            <w:r>
              <w:rPr>
                <w:rFonts w:ascii="宋体" w:hAnsi="宋体" w:cs="宋体" w:eastAsia="宋体" w:hint="default"/>
                <w:spacing w:val="-60"/>
                <w:sz w:val="24"/>
                <w:szCs w:val="24"/>
              </w:rPr>
              <w:t> </w:t>
            </w:r>
            <w:r>
              <w:rPr>
                <w:rFonts w:ascii="宋体" w:hAnsi="宋体" w:cs="宋体" w:eastAsia="宋体" w:hint="default"/>
                <w:sz w:val="24"/>
                <w:szCs w:val="24"/>
              </w:rPr>
              <w:t>元</w:t>
            </w:r>
          </w:p>
        </w:tc>
      </w:tr>
      <w:tr>
        <w:trPr>
          <w:trHeight w:val="39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00" w:right="0"/>
              <w:jc w:val="left"/>
              <w:rPr>
                <w:rFonts w:ascii="宋体" w:hAnsi="宋体" w:cs="宋体" w:eastAsia="宋体" w:hint="default"/>
                <w:sz w:val="24"/>
                <w:szCs w:val="24"/>
              </w:rPr>
            </w:pPr>
            <w:r>
              <w:rPr>
                <w:rFonts w:ascii="宋体" w:hAnsi="宋体" w:cs="宋体" w:eastAsia="宋体" w:hint="default"/>
                <w:sz w:val="24"/>
                <w:szCs w:val="24"/>
              </w:rPr>
              <w:t>以权益结算的股份支付确认的费用总额</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101"/>
              <w:jc w:val="right"/>
              <w:rPr>
                <w:rFonts w:ascii="宋体" w:hAnsi="宋体" w:cs="宋体" w:eastAsia="宋体" w:hint="default"/>
                <w:sz w:val="24"/>
                <w:szCs w:val="24"/>
              </w:rPr>
            </w:pPr>
            <w:r>
              <w:rPr>
                <w:rFonts w:ascii="宋体" w:hAnsi="宋体" w:cs="宋体" w:eastAsia="宋体" w:hint="default"/>
                <w:sz w:val="24"/>
                <w:szCs w:val="24"/>
              </w:rPr>
              <w:t>1,704,856.83</w:t>
            </w:r>
            <w:r>
              <w:rPr>
                <w:rFonts w:ascii="宋体" w:hAnsi="宋体" w:cs="宋体" w:eastAsia="宋体" w:hint="default"/>
                <w:spacing w:val="-60"/>
                <w:sz w:val="24"/>
                <w:szCs w:val="24"/>
              </w:rPr>
              <w:t> </w:t>
            </w:r>
            <w:r>
              <w:rPr>
                <w:rFonts w:ascii="宋体" w:hAnsi="宋体" w:cs="宋体" w:eastAsia="宋体" w:hint="default"/>
                <w:sz w:val="24"/>
                <w:szCs w:val="24"/>
              </w:rPr>
              <w:t>元</w:t>
            </w:r>
          </w:p>
        </w:tc>
      </w:tr>
    </w:tbl>
    <w:p>
      <w:pPr>
        <w:spacing w:line="240" w:lineRule="auto" w:before="10"/>
        <w:rPr>
          <w:rFonts w:ascii="宋体" w:hAnsi="宋体" w:cs="宋体" w:eastAsia="宋体" w:hint="default"/>
          <w:sz w:val="7"/>
          <w:szCs w:val="7"/>
        </w:rPr>
      </w:pPr>
    </w:p>
    <w:p>
      <w:pPr>
        <w:pStyle w:val="BodyText"/>
        <w:spacing w:line="276" w:lineRule="auto" w:before="26"/>
        <w:ind w:left="257" w:right="455"/>
        <w:jc w:val="both"/>
      </w:pPr>
      <w:r>
        <w:rPr>
          <w:spacing w:val="-2"/>
        </w:rPr>
        <w:t>说明：上述资本公中以权益结算的股份支付的累计金额包含少数股东享有的金额，上</w:t>
      </w:r>
      <w:r>
        <w:rPr>
          <w:spacing w:val="-94"/>
        </w:rPr>
        <w:t> </w:t>
      </w:r>
      <w:r>
        <w:rPr>
          <w:spacing w:val="-94"/>
        </w:rPr>
      </w:r>
      <w:r>
        <w:rPr/>
        <w:t>述</w:t>
      </w:r>
      <w:r>
        <w:rPr>
          <w:spacing w:val="-75"/>
        </w:rPr>
        <w:t> </w:t>
      </w:r>
      <w:r>
        <w:rPr/>
        <w:t>以</w:t>
      </w:r>
      <w:r>
        <w:rPr>
          <w:spacing w:val="-75"/>
        </w:rPr>
        <w:t> </w:t>
      </w:r>
      <w:r>
        <w:rPr/>
        <w:t>权</w:t>
      </w:r>
      <w:r>
        <w:rPr>
          <w:spacing w:val="-75"/>
        </w:rPr>
        <w:t> </w:t>
      </w:r>
      <w:r>
        <w:rPr/>
        <w:t>益</w:t>
      </w:r>
      <w:r>
        <w:rPr>
          <w:spacing w:val="-73"/>
        </w:rPr>
        <w:t> </w:t>
      </w:r>
      <w:r>
        <w:rPr/>
        <w:t>结</w:t>
      </w:r>
      <w:r>
        <w:rPr>
          <w:spacing w:val="-75"/>
        </w:rPr>
        <w:t> </w:t>
      </w:r>
      <w:r>
        <w:rPr/>
        <w:t>算</w:t>
      </w:r>
      <w:r>
        <w:rPr>
          <w:spacing w:val="-73"/>
        </w:rPr>
        <w:t> </w:t>
      </w:r>
      <w:r>
        <w:rPr/>
        <w:t>的</w:t>
      </w:r>
      <w:r>
        <w:rPr>
          <w:spacing w:val="-75"/>
        </w:rPr>
        <w:t> </w:t>
      </w:r>
      <w:r>
        <w:rPr/>
        <w:t>股</w:t>
      </w:r>
      <w:r>
        <w:rPr>
          <w:spacing w:val="-73"/>
        </w:rPr>
        <w:t> </w:t>
      </w:r>
      <w:r>
        <w:rPr/>
        <w:t>份</w:t>
      </w:r>
      <w:r>
        <w:rPr>
          <w:spacing w:val="-75"/>
        </w:rPr>
        <w:t> </w:t>
      </w:r>
      <w:r>
        <w:rPr/>
        <w:t>支</w:t>
      </w:r>
      <w:r>
        <w:rPr>
          <w:spacing w:val="-75"/>
        </w:rPr>
        <w:t> </w:t>
      </w:r>
      <w:r>
        <w:rPr/>
        <w:t>付</w:t>
      </w:r>
      <w:r>
        <w:rPr>
          <w:spacing w:val="-75"/>
        </w:rPr>
        <w:t> </w:t>
      </w:r>
      <w:r>
        <w:rPr/>
        <w:t>确</w:t>
      </w:r>
      <w:r>
        <w:rPr>
          <w:spacing w:val="-73"/>
        </w:rPr>
        <w:t> </w:t>
      </w:r>
      <w:r>
        <w:rPr/>
        <w:t>认</w:t>
      </w:r>
      <w:r>
        <w:rPr>
          <w:spacing w:val="-75"/>
        </w:rPr>
        <w:t> </w:t>
      </w:r>
      <w:r>
        <w:rPr/>
        <w:t>的</w:t>
      </w:r>
      <w:r>
        <w:rPr>
          <w:spacing w:val="-73"/>
        </w:rPr>
        <w:t> </w:t>
      </w:r>
      <w:r>
        <w:rPr/>
        <w:t>费</w:t>
      </w:r>
      <w:r>
        <w:rPr>
          <w:spacing w:val="-75"/>
        </w:rPr>
        <w:t> </w:t>
      </w:r>
      <w:r>
        <w:rPr/>
        <w:t>用</w:t>
      </w:r>
      <w:r>
        <w:rPr>
          <w:spacing w:val="-73"/>
        </w:rPr>
        <w:t> </w:t>
      </w:r>
      <w:r>
        <w:rPr/>
        <w:t>总</w:t>
      </w:r>
      <w:r>
        <w:rPr>
          <w:spacing w:val="-75"/>
        </w:rPr>
        <w:t> </w:t>
      </w:r>
      <w:r>
        <w:rPr/>
        <w:t>额</w:t>
      </w:r>
      <w:r>
        <w:rPr>
          <w:spacing w:val="-75"/>
        </w:rPr>
        <w:t> </w:t>
      </w:r>
      <w:r>
        <w:rPr/>
        <w:t>包</w:t>
      </w:r>
      <w:r>
        <w:rPr>
          <w:spacing w:val="-75"/>
        </w:rPr>
        <w:t> </w:t>
      </w:r>
      <w:r>
        <w:rPr/>
        <w:t>含</w:t>
      </w:r>
      <w:r>
        <w:rPr>
          <w:spacing w:val="-73"/>
        </w:rPr>
        <w:t> </w:t>
      </w:r>
      <w:r>
        <w:rPr/>
        <w:t>该</w:t>
      </w:r>
      <w:r>
        <w:rPr>
          <w:spacing w:val="-75"/>
        </w:rPr>
        <w:t> </w:t>
      </w:r>
      <w:r>
        <w:rPr/>
        <w:t>子</w:t>
      </w:r>
      <w:r>
        <w:rPr>
          <w:spacing w:val="-75"/>
        </w:rPr>
        <w:t> </w:t>
      </w:r>
      <w:r>
        <w:rPr/>
        <w:t>公</w:t>
      </w:r>
      <w:r>
        <w:rPr>
          <w:spacing w:val="-73"/>
        </w:rPr>
        <w:t> </w:t>
      </w:r>
      <w:r>
        <w:rPr/>
        <w:t>司</w:t>
      </w:r>
      <w:r>
        <w:rPr>
          <w:spacing w:val="-73"/>
        </w:rPr>
        <w:t> </w:t>
      </w:r>
      <w:r>
        <w:rPr/>
        <w:t>确</w:t>
      </w:r>
      <w:r>
        <w:rPr>
          <w:spacing w:val="-75"/>
        </w:rPr>
        <w:t> </w:t>
      </w:r>
      <w:r>
        <w:rPr/>
        <w:t>认</w:t>
      </w:r>
      <w:r>
        <w:rPr>
          <w:spacing w:val="-75"/>
        </w:rPr>
        <w:t> </w:t>
      </w:r>
      <w:r>
        <w:rPr/>
        <w:t>的</w:t>
      </w:r>
      <w:r>
        <w:rPr>
          <w:spacing w:val="-75"/>
        </w:rPr>
        <w:t> </w:t>
      </w:r>
      <w:r>
        <w:rPr/>
        <w:t>费</w:t>
      </w:r>
      <w:r>
        <w:rPr>
          <w:spacing w:val="-73"/>
        </w:rPr>
        <w:t> </w:t>
      </w:r>
      <w:r>
        <w:rPr/>
        <w:t>用</w:t>
      </w:r>
      <w:r>
        <w:rPr>
          <w:spacing w:val="-75"/>
        </w:rPr>
        <w:t> </w:t>
      </w:r>
      <w:r>
        <w:rPr/>
        <w:t>总</w:t>
      </w:r>
      <w:r>
        <w:rPr>
          <w:spacing w:val="-75"/>
        </w:rPr>
        <w:t> </w:t>
      </w:r>
      <w:r>
        <w:rPr/>
        <w:t>额</w:t>
      </w:r>
      <w:r>
        <w:rPr/>
        <w:t> </w:t>
      </w:r>
      <w:r>
        <w:rPr>
          <w:rFonts w:ascii="宋体" w:hAnsi="宋体" w:cs="宋体" w:eastAsia="宋体" w:hint="default"/>
        </w:rPr>
        <w:t>1,176,178.44</w:t>
      </w:r>
      <w:r>
        <w:rPr>
          <w:rFonts w:ascii="宋体" w:hAnsi="宋体" w:cs="宋体" w:eastAsia="宋体" w:hint="default"/>
          <w:spacing w:val="33"/>
        </w:rPr>
        <w:t> </w:t>
      </w:r>
      <w:r>
        <w:rPr>
          <w:spacing w:val="18"/>
        </w:rPr>
        <w:t>元及因</w:t>
      </w:r>
      <w:r>
        <w:rPr>
          <w:spacing w:val="-89"/>
        </w:rPr>
        <w:t> </w:t>
      </w:r>
      <w:r>
        <w:rPr>
          <w:spacing w:val="23"/>
        </w:rPr>
        <w:t>该子公司授予</w:t>
      </w:r>
      <w:r>
        <w:rPr>
          <w:spacing w:val="-89"/>
        </w:rPr>
        <w:t> </w:t>
      </w:r>
      <w:r>
        <w:rPr>
          <w:spacing w:val="18"/>
        </w:rPr>
        <w:t>集团内</w:t>
      </w:r>
      <w:r>
        <w:rPr>
          <w:spacing w:val="-89"/>
        </w:rPr>
        <w:t> </w:t>
      </w:r>
      <w:r>
        <w:rPr>
          <w:spacing w:val="23"/>
        </w:rPr>
        <w:t>其他公司权益</w:t>
      </w:r>
      <w:r>
        <w:rPr>
          <w:spacing w:val="-89"/>
        </w:rPr>
        <w:t> </w:t>
      </w:r>
      <w:r>
        <w:rPr>
          <w:spacing w:val="18"/>
        </w:rPr>
        <w:t>工具确</w:t>
      </w:r>
      <w:r>
        <w:rPr>
          <w:spacing w:val="-89"/>
        </w:rPr>
        <w:t> </w:t>
      </w:r>
      <w:r>
        <w:rPr>
          <w:spacing w:val="23"/>
        </w:rPr>
        <w:t>认的费用总额</w:t>
      </w:r>
    </w:p>
    <w:p>
      <w:pPr>
        <w:pStyle w:val="BodyText"/>
        <w:spacing w:line="240" w:lineRule="auto" w:before="10"/>
        <w:ind w:left="257" w:right="0"/>
        <w:jc w:val="both"/>
      </w:pPr>
      <w:r>
        <w:rPr>
          <w:rFonts w:ascii="宋体" w:hAnsi="宋体" w:cs="宋体" w:eastAsia="宋体" w:hint="default"/>
        </w:rPr>
        <w:t>528,678.38</w:t>
      </w:r>
      <w:r>
        <w:rPr>
          <w:rFonts w:ascii="宋体" w:hAnsi="宋体" w:cs="宋体" w:eastAsia="宋体" w:hint="default"/>
          <w:spacing w:val="-61"/>
        </w:rPr>
        <w:t> </w:t>
      </w:r>
      <w:r>
        <w:rPr/>
        <w:t>元。</w:t>
      </w:r>
    </w:p>
    <w:p>
      <w:pPr>
        <w:pStyle w:val="BodyText"/>
        <w:spacing w:line="240" w:lineRule="auto" w:before="166"/>
        <w:ind w:left="257" w:right="0"/>
        <w:jc w:val="both"/>
      </w:pPr>
      <w:r>
        <w:rPr>
          <w:rFonts w:ascii="宋体" w:hAnsi="宋体" w:cs="宋体" w:eastAsia="宋体" w:hint="default"/>
        </w:rPr>
        <w:t>3</w:t>
      </w:r>
      <w:r>
        <w:rPr/>
        <w:t>、以股份支付服务情况</w:t>
      </w:r>
    </w:p>
    <w:p>
      <w:pPr>
        <w:spacing w:line="240" w:lineRule="auto" w:before="1"/>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470"/>
        <w:gridCol w:w="4319"/>
      </w:tblGrid>
      <w:tr>
        <w:trPr>
          <w:trHeight w:val="39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本期以股份支付换取的职工服务总额</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01"/>
              <w:jc w:val="right"/>
              <w:rPr>
                <w:rFonts w:ascii="宋体" w:hAnsi="宋体" w:cs="宋体" w:eastAsia="宋体" w:hint="default"/>
                <w:sz w:val="24"/>
                <w:szCs w:val="24"/>
              </w:rPr>
            </w:pPr>
            <w:r>
              <w:rPr>
                <w:rFonts w:ascii="宋体" w:hAnsi="宋体" w:cs="宋体" w:eastAsia="宋体" w:hint="default"/>
                <w:sz w:val="24"/>
                <w:szCs w:val="24"/>
              </w:rPr>
              <w:t>1,704,856.83</w:t>
            </w:r>
            <w:r>
              <w:rPr>
                <w:rFonts w:ascii="宋体" w:hAnsi="宋体" w:cs="宋体" w:eastAsia="宋体" w:hint="default"/>
                <w:spacing w:val="-60"/>
                <w:sz w:val="24"/>
                <w:szCs w:val="24"/>
              </w:rPr>
              <w:t> </w:t>
            </w:r>
            <w:r>
              <w:rPr>
                <w:rFonts w:ascii="宋体" w:hAnsi="宋体" w:cs="宋体" w:eastAsia="宋体" w:hint="default"/>
                <w:sz w:val="24"/>
                <w:szCs w:val="24"/>
              </w:rPr>
              <w:t>元</w:t>
            </w:r>
          </w:p>
        </w:tc>
      </w:tr>
      <w:tr>
        <w:trPr>
          <w:trHeight w:val="39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01" w:right="0"/>
              <w:jc w:val="left"/>
              <w:rPr>
                <w:rFonts w:ascii="宋体" w:hAnsi="宋体" w:cs="宋体" w:eastAsia="宋体" w:hint="default"/>
                <w:sz w:val="24"/>
                <w:szCs w:val="24"/>
              </w:rPr>
            </w:pPr>
            <w:r>
              <w:rPr>
                <w:rFonts w:ascii="宋体" w:hAnsi="宋体" w:cs="宋体" w:eastAsia="宋体" w:hint="default"/>
                <w:sz w:val="24"/>
                <w:szCs w:val="24"/>
              </w:rPr>
              <w:t>本期以股份支付换取的其他服务总额</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101"/>
              <w:jc w:val="right"/>
              <w:rPr>
                <w:rFonts w:ascii="宋体" w:hAnsi="宋体" w:cs="宋体" w:eastAsia="宋体" w:hint="default"/>
                <w:sz w:val="24"/>
                <w:szCs w:val="24"/>
              </w:rPr>
            </w:pPr>
            <w:r>
              <w:rPr>
                <w:rFonts w:ascii="宋体"/>
                <w:sz w:val="24"/>
              </w:rPr>
              <w:t>0</w:t>
            </w:r>
          </w:p>
        </w:tc>
      </w:tr>
    </w:tbl>
    <w:p>
      <w:pPr>
        <w:spacing w:line="240" w:lineRule="auto" w:before="10"/>
        <w:rPr>
          <w:rFonts w:ascii="宋体" w:hAnsi="宋体" w:cs="宋体" w:eastAsia="宋体" w:hint="default"/>
          <w:sz w:val="7"/>
          <w:szCs w:val="7"/>
        </w:rPr>
      </w:pPr>
    </w:p>
    <w:p>
      <w:pPr>
        <w:pStyle w:val="BodyText"/>
        <w:spacing w:line="240" w:lineRule="auto" w:before="26"/>
        <w:ind w:left="257" w:right="195"/>
        <w:jc w:val="left"/>
      </w:pPr>
      <w:r>
        <w:rPr>
          <w:rFonts w:ascii="宋体" w:hAnsi="宋体" w:cs="宋体" w:eastAsia="宋体" w:hint="default"/>
        </w:rPr>
        <w:t>4</w:t>
      </w:r>
      <w:r>
        <w:rPr/>
        <w:t>、股份支付的修改、终止情况</w:t>
      </w:r>
    </w:p>
    <w:p>
      <w:pPr>
        <w:spacing w:line="240" w:lineRule="auto" w:before="1"/>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470"/>
        <w:gridCol w:w="4460"/>
      </w:tblGrid>
      <w:tr>
        <w:trPr>
          <w:trHeight w:val="399"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股份支付的修改情况</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101"/>
              <w:jc w:val="right"/>
              <w:rPr>
                <w:rFonts w:ascii="宋体" w:hAnsi="宋体" w:cs="宋体" w:eastAsia="宋体" w:hint="default"/>
                <w:sz w:val="24"/>
                <w:szCs w:val="24"/>
              </w:rPr>
            </w:pPr>
            <w:r>
              <w:rPr>
                <w:rFonts w:ascii="宋体" w:hAnsi="宋体" w:cs="宋体" w:eastAsia="宋体" w:hint="default"/>
                <w:sz w:val="24"/>
                <w:szCs w:val="24"/>
              </w:rPr>
              <w:t>无修改</w:t>
            </w:r>
          </w:p>
        </w:tc>
      </w:tr>
      <w:tr>
        <w:trPr>
          <w:trHeight w:val="39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01" w:right="0"/>
              <w:jc w:val="left"/>
              <w:rPr>
                <w:rFonts w:ascii="宋体" w:hAnsi="宋体" w:cs="宋体" w:eastAsia="宋体" w:hint="default"/>
                <w:sz w:val="24"/>
                <w:szCs w:val="24"/>
              </w:rPr>
            </w:pPr>
            <w:r>
              <w:rPr>
                <w:rFonts w:ascii="宋体" w:hAnsi="宋体" w:cs="宋体" w:eastAsia="宋体" w:hint="default"/>
                <w:sz w:val="24"/>
                <w:szCs w:val="24"/>
              </w:rPr>
              <w:t>股份支付的终止情况</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101"/>
              <w:jc w:val="right"/>
              <w:rPr>
                <w:rFonts w:ascii="宋体" w:hAnsi="宋体" w:cs="宋体" w:eastAsia="宋体" w:hint="default"/>
                <w:sz w:val="24"/>
                <w:szCs w:val="24"/>
              </w:rPr>
            </w:pPr>
            <w:r>
              <w:rPr>
                <w:rFonts w:ascii="宋体" w:hAnsi="宋体" w:cs="宋体" w:eastAsia="宋体" w:hint="default"/>
                <w:sz w:val="24"/>
                <w:szCs w:val="24"/>
              </w:rPr>
              <w:t>无修改</w:t>
            </w:r>
          </w:p>
        </w:tc>
      </w:tr>
    </w:tbl>
    <w:p>
      <w:pPr>
        <w:spacing w:line="240" w:lineRule="auto" w:before="5"/>
        <w:rPr>
          <w:rFonts w:ascii="宋体" w:hAnsi="宋体" w:cs="宋体" w:eastAsia="宋体" w:hint="default"/>
          <w:sz w:val="23"/>
          <w:szCs w:val="23"/>
        </w:rPr>
      </w:pPr>
    </w:p>
    <w:p>
      <w:pPr>
        <w:pStyle w:val="Heading2"/>
        <w:spacing w:line="283" w:lineRule="auto"/>
        <w:ind w:left="257" w:right="6745"/>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312" w:lineRule="exact" w:before="45"/>
        <w:ind w:left="257" w:right="4229"/>
        <w:jc w:val="left"/>
      </w:pPr>
      <w:r>
        <w:rPr/>
        <w:t>√适用</w:t>
      </w:r>
      <w:r>
        <w:rPr>
          <w:spacing w:val="-1"/>
        </w:rPr>
        <w:t> </w:t>
      </w:r>
      <w:r>
        <w:rPr/>
        <w:t>□不适用</w:t>
      </w:r>
      <w:r>
        <w:rPr/>
        <w:t> 资产负债表日存在的对外重要承诺、性质、金额</w:t>
      </w:r>
    </w:p>
    <w:p>
      <w:pPr>
        <w:pStyle w:val="BodyText"/>
        <w:spacing w:line="403" w:lineRule="auto" w:before="89"/>
        <w:ind w:left="257" w:right="1349" w:hanging="3"/>
        <w:jc w:val="left"/>
      </w:pPr>
      <w:r>
        <w:rPr/>
        <w:t>（</w:t>
      </w:r>
      <w:r>
        <w:rPr>
          <w:rFonts w:ascii="宋体" w:hAnsi="宋体" w:cs="宋体" w:eastAsia="宋体" w:hint="default"/>
        </w:rPr>
        <w:t>1</w:t>
      </w:r>
      <w:r>
        <w:rPr/>
        <w:t>）经营租赁承诺 至资产负债表日止，本公司对外签订的不可撤销的经营租赁合约情况如下：</w:t>
      </w:r>
    </w:p>
    <w:p>
      <w:pPr>
        <w:spacing w:line="240" w:lineRule="auto" w:before="1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001"/>
        <w:gridCol w:w="2865"/>
        <w:gridCol w:w="2464"/>
      </w:tblGrid>
      <w:tr>
        <w:trPr>
          <w:trHeight w:val="413" w:hRule="exact"/>
        </w:trPr>
        <w:tc>
          <w:tcPr>
            <w:tcW w:w="400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86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b/>
                <w:bCs/>
                <w:sz w:val="21"/>
                <w:szCs w:val="21"/>
              </w:rPr>
              <w:t>期末数（港币）</w:t>
            </w:r>
            <w:r>
              <w:rPr>
                <w:rFonts w:ascii="宋体" w:hAnsi="宋体" w:cs="宋体" w:eastAsia="宋体" w:hint="default"/>
                <w:sz w:val="21"/>
                <w:szCs w:val="21"/>
              </w:rPr>
            </w:r>
          </w:p>
        </w:tc>
        <w:tc>
          <w:tcPr>
            <w:tcW w:w="246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期初数（港币）</w:t>
            </w:r>
            <w:r>
              <w:rPr>
                <w:rFonts w:ascii="宋体" w:hAnsi="宋体" w:cs="宋体" w:eastAsia="宋体" w:hint="default"/>
                <w:sz w:val="21"/>
                <w:szCs w:val="21"/>
              </w:rPr>
            </w:r>
          </w:p>
        </w:tc>
      </w:tr>
      <w:tr>
        <w:trPr>
          <w:trHeight w:val="400" w:hRule="exact"/>
        </w:trPr>
        <w:tc>
          <w:tcPr>
            <w:tcW w:w="400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3,189,162.19</w:t>
            </w:r>
          </w:p>
        </w:tc>
        <w:tc>
          <w:tcPr>
            <w:tcW w:w="246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7,949,907.00</w:t>
            </w:r>
          </w:p>
        </w:tc>
      </w:tr>
      <w:tr>
        <w:trPr>
          <w:trHeight w:val="428" w:hRule="exact"/>
        </w:trPr>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宋体" w:hAnsi="宋体" w:cs="宋体" w:eastAsia="宋体" w:hint="default"/>
                <w:sz w:val="21"/>
                <w:szCs w:val="21"/>
              </w:rPr>
            </w:pPr>
            <w:r>
              <w:rPr>
                <w:rFonts w:ascii="宋体"/>
                <w:spacing w:val="-1"/>
                <w:sz w:val="21"/>
              </w:rPr>
              <w:t>1,210,956.96</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2,590,003.96</w:t>
            </w:r>
          </w:p>
        </w:tc>
      </w:tr>
      <w:tr>
        <w:trPr>
          <w:trHeight w:val="371" w:hRule="exact"/>
        </w:trPr>
        <w:tc>
          <w:tcPr>
            <w:tcW w:w="4001" w:type="dxa"/>
            <w:tcBorders>
              <w:top w:val="nil" w:sz="6" w:space="0" w:color="auto"/>
              <w:left w:val="nil" w:sz="6" w:space="0" w:color="auto"/>
              <w:bottom w:val="single" w:sz="4" w:space="0" w:color="000000"/>
              <w:right w:val="nil" w:sz="6" w:space="0" w:color="auto"/>
            </w:tcBorders>
          </w:tcPr>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4"/>
              <w:jc w:val="right"/>
              <w:rPr>
                <w:rFonts w:ascii="宋体" w:hAnsi="宋体" w:cs="宋体" w:eastAsia="宋体" w:hint="default"/>
                <w:sz w:val="21"/>
                <w:szCs w:val="21"/>
              </w:rPr>
            </w:pPr>
            <w:r>
              <w:rPr>
                <w:rFonts w:ascii="宋体"/>
                <w:spacing w:val="-1"/>
                <w:sz w:val="21"/>
              </w:rPr>
              <w:t>626,156.96</w:t>
            </w:r>
          </w:p>
        </w:tc>
        <w:tc>
          <w:tcPr>
            <w:tcW w:w="2464" w:type="dxa"/>
            <w:tcBorders>
              <w:top w:val="nil" w:sz="6" w:space="0" w:color="auto"/>
              <w:left w:val="nil" w:sz="6" w:space="0" w:color="auto"/>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w w:val="100"/>
                <w:sz w:val="21"/>
              </w:rPr>
              <w:t>-</w:t>
            </w:r>
          </w:p>
        </w:tc>
      </w:tr>
      <w:tr>
        <w:trPr>
          <w:trHeight w:val="408" w:hRule="exact"/>
        </w:trPr>
        <w:tc>
          <w:tcPr>
            <w:tcW w:w="400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5"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4"/>
              <w:jc w:val="right"/>
              <w:rPr>
                <w:rFonts w:ascii="宋体" w:hAnsi="宋体" w:cs="宋体" w:eastAsia="宋体" w:hint="default"/>
                <w:sz w:val="21"/>
                <w:szCs w:val="21"/>
              </w:rPr>
            </w:pPr>
            <w:r>
              <w:rPr>
                <w:rFonts w:ascii="宋体"/>
                <w:spacing w:val="-1"/>
                <w:sz w:val="21"/>
              </w:rPr>
              <w:t>209,100.00</w:t>
            </w:r>
          </w:p>
        </w:tc>
        <w:tc>
          <w:tcPr>
            <w:tcW w:w="2464" w:type="dxa"/>
            <w:tcBorders>
              <w:top w:val="single" w:sz="4" w:space="0" w:color="000000"/>
              <w:left w:val="nil" w:sz="6" w:space="0" w:color="auto"/>
              <w:bottom w:val="single" w:sz="4" w:space="0" w:color="000000"/>
              <w:right w:val="nil" w:sz="6" w:space="0" w:color="auto"/>
            </w:tcBorders>
          </w:tcPr>
          <w:p>
            <w:pPr/>
          </w:p>
        </w:tc>
      </w:tr>
      <w:tr>
        <w:trPr>
          <w:trHeight w:val="413" w:hRule="exact"/>
        </w:trPr>
        <w:tc>
          <w:tcPr>
            <w:tcW w:w="400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b/>
                <w:w w:val="95"/>
                <w:sz w:val="21"/>
              </w:rPr>
              <w:t>5,235,376.11</w:t>
            </w:r>
            <w:r>
              <w:rPr>
                <w:rFonts w:ascii="宋体"/>
                <w:sz w:val="21"/>
              </w:rPr>
            </w:r>
          </w:p>
        </w:tc>
        <w:tc>
          <w:tcPr>
            <w:tcW w:w="246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b/>
                <w:w w:val="95"/>
                <w:sz w:val="21"/>
              </w:rPr>
              <w:t>10,539,910.96</w:t>
            </w:r>
            <w:r>
              <w:rPr>
                <w:rFonts w:ascii="宋体"/>
                <w:sz w:val="21"/>
              </w:rPr>
            </w:r>
          </w:p>
        </w:tc>
      </w:tr>
    </w:tbl>
    <w:p>
      <w:pPr>
        <w:pStyle w:val="BodyText"/>
        <w:spacing w:line="240" w:lineRule="auto" w:before="79"/>
        <w:ind w:left="257" w:right="6078"/>
        <w:jc w:val="left"/>
      </w:pPr>
      <w:r>
        <w:rPr/>
        <w:t>（</w:t>
      </w:r>
      <w:r>
        <w:rPr>
          <w:rFonts w:ascii="宋体" w:hAnsi="宋体" w:cs="宋体" w:eastAsia="宋体" w:hint="default"/>
        </w:rPr>
        <w:t>2</w:t>
      </w:r>
      <w:r>
        <w:rPr/>
        <w:t>）募集资金使用情况</w:t>
      </w:r>
    </w:p>
    <w:p>
      <w:pPr>
        <w:spacing w:after="0" w:line="240" w:lineRule="auto"/>
        <w:jc w:val="left"/>
        <w:sectPr>
          <w:pgSz w:w="11910" w:h="16840"/>
          <w:pgMar w:header="0" w:footer="1195" w:top="1120" w:bottom="1380" w:left="1020" w:right="1340"/>
        </w:sectPr>
      </w:pPr>
    </w:p>
    <w:p>
      <w:pPr>
        <w:spacing w:line="240" w:lineRule="auto" w:before="13"/>
        <w:rPr>
          <w:rFonts w:ascii="宋体" w:hAnsi="宋体" w:cs="宋体" w:eastAsia="宋体" w:hint="default"/>
          <w:sz w:val="18"/>
          <w:szCs w:val="18"/>
        </w:rPr>
      </w:pPr>
    </w:p>
    <w:p>
      <w:pPr>
        <w:pStyle w:val="BodyText"/>
        <w:spacing w:line="237" w:lineRule="auto" w:before="28"/>
        <w:ind w:left="217" w:right="354" w:firstLine="480"/>
        <w:jc w:val="both"/>
      </w:pPr>
      <w:r>
        <w:rPr/>
        <w:t>经中国证券监督管理委员会证监发行字</w:t>
      </w:r>
      <w:r>
        <w:rPr>
          <w:rFonts w:ascii="宋体" w:hAnsi="宋体" w:cs="宋体" w:eastAsia="宋体" w:hint="default"/>
        </w:rPr>
        <w:t>[2011]1077</w:t>
      </w:r>
      <w:r>
        <w:rPr>
          <w:rFonts w:ascii="宋体" w:hAnsi="宋体" w:cs="宋体" w:eastAsia="宋体" w:hint="default"/>
          <w:spacing w:val="-52"/>
        </w:rPr>
        <w:t> </w:t>
      </w:r>
      <w:r>
        <w:rPr>
          <w:spacing w:val="-9"/>
        </w:rPr>
        <w:t>号文核准，并经上海证券交易</w:t>
      </w:r>
      <w:r>
        <w:rPr/>
        <w:t> </w:t>
      </w:r>
      <w:r>
        <w:rPr>
          <w:spacing w:val="-2"/>
        </w:rPr>
        <w:t>所同意，由主承销商渤海证券股份有限公司负责组织实施本公司非公开发行股票的发</w:t>
      </w:r>
      <w:r>
        <w:rPr>
          <w:spacing w:val="-94"/>
        </w:rPr>
        <w:t> </w:t>
      </w:r>
      <w:r>
        <w:rPr>
          <w:spacing w:val="-94"/>
        </w:rPr>
      </w:r>
      <w:r>
        <w:rPr>
          <w:spacing w:val="-6"/>
        </w:rPr>
        <w:t>行及承销工作，于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日以非公开发行股票的方式向</w:t>
      </w:r>
      <w:r>
        <w:rPr>
          <w:spacing w:val="-60"/>
        </w:rPr>
        <w:t> </w:t>
      </w:r>
      <w:r>
        <w:rPr>
          <w:rFonts w:ascii="宋体" w:hAnsi="宋体" w:cs="宋体" w:eastAsia="宋体" w:hint="default"/>
        </w:rPr>
        <w:t>6</w:t>
      </w:r>
      <w:r>
        <w:rPr>
          <w:rFonts w:ascii="宋体" w:hAnsi="宋体" w:cs="宋体" w:eastAsia="宋体" w:hint="default"/>
          <w:spacing w:val="-60"/>
        </w:rPr>
        <w:t> </w:t>
      </w:r>
      <w:r>
        <w:rPr/>
        <w:t>家特定投资者发行</w:t>
      </w:r>
    </w:p>
    <w:p>
      <w:pPr>
        <w:pStyle w:val="BodyText"/>
        <w:spacing w:line="311" w:lineRule="exact"/>
        <w:ind w:left="217" w:right="100"/>
        <w:jc w:val="left"/>
        <w:rPr>
          <w:rFonts w:ascii="宋体" w:hAnsi="宋体" w:cs="宋体" w:eastAsia="宋体" w:hint="default"/>
        </w:rPr>
      </w:pPr>
      <w:r>
        <w:rPr/>
        <w:t>了普通股（</w:t>
      </w:r>
      <w:r>
        <w:rPr>
          <w:rFonts w:ascii="宋体" w:hAnsi="宋体" w:cs="宋体" w:eastAsia="宋体" w:hint="default"/>
        </w:rPr>
        <w:t>A</w:t>
      </w:r>
      <w:r>
        <w:rPr>
          <w:rFonts w:ascii="宋体" w:hAnsi="宋体" w:cs="宋体" w:eastAsia="宋体" w:hint="default"/>
          <w:spacing w:val="-61"/>
        </w:rPr>
        <w:t> </w:t>
      </w:r>
      <w:r>
        <w:rPr/>
        <w:t>股）股票</w:t>
      </w:r>
      <w:r>
        <w:rPr>
          <w:spacing w:val="-61"/>
        </w:rPr>
        <w:t> </w:t>
      </w:r>
      <w:r>
        <w:rPr>
          <w:rFonts w:ascii="宋体" w:hAnsi="宋体" w:cs="宋体" w:eastAsia="宋体" w:hint="default"/>
        </w:rPr>
        <w:t>39,034,003</w:t>
      </w:r>
      <w:r>
        <w:rPr>
          <w:rFonts w:ascii="宋体" w:hAnsi="宋体" w:cs="宋体" w:eastAsia="宋体" w:hint="default"/>
          <w:spacing w:val="-61"/>
        </w:rPr>
        <w:t> </w:t>
      </w:r>
      <w:r>
        <w:rPr/>
        <w:t>股，发行价格为人民币</w:t>
      </w:r>
      <w:r>
        <w:rPr>
          <w:spacing w:val="-61"/>
        </w:rPr>
        <w:t> </w:t>
      </w:r>
      <w:r>
        <w:rPr>
          <w:rFonts w:ascii="宋体" w:hAnsi="宋体" w:cs="宋体" w:eastAsia="宋体" w:hint="default"/>
        </w:rPr>
        <w:t>12.94</w:t>
      </w:r>
      <w:r>
        <w:rPr>
          <w:rFonts w:ascii="宋体" w:hAnsi="宋体" w:cs="宋体" w:eastAsia="宋体" w:hint="default"/>
          <w:spacing w:val="-61"/>
        </w:rPr>
        <w:t> </w:t>
      </w:r>
      <w:r>
        <w:rPr/>
        <w:t>元</w:t>
      </w:r>
      <w:r>
        <w:rPr>
          <w:rFonts w:ascii="宋体" w:hAnsi="宋体" w:cs="宋体" w:eastAsia="宋体" w:hint="default"/>
        </w:rPr>
        <w:t>/</w:t>
      </w:r>
      <w:r>
        <w:rPr/>
        <w:t>股，截至</w:t>
      </w:r>
      <w:r>
        <w:rPr>
          <w:spacing w:val="-61"/>
        </w:rPr>
        <w:t> </w:t>
      </w:r>
      <w:r>
        <w:rPr>
          <w:rFonts w:ascii="宋体" w:hAnsi="宋体" w:cs="宋体" w:eastAsia="宋体" w:hint="default"/>
        </w:rPr>
        <w:t>2011</w:t>
      </w:r>
    </w:p>
    <w:p>
      <w:pPr>
        <w:pStyle w:val="BodyText"/>
        <w:spacing w:line="311" w:lineRule="exact"/>
        <w:ind w:left="217" w:right="100"/>
        <w:jc w:val="left"/>
      </w:pP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1"/>
        </w:rPr>
        <w:t> </w:t>
      </w:r>
      <w:r>
        <w:rPr>
          <w:rFonts w:ascii="宋体" w:hAnsi="宋体" w:cs="宋体" w:eastAsia="宋体" w:hint="default"/>
        </w:rPr>
        <w:t>1</w:t>
      </w:r>
      <w:r>
        <w:rPr>
          <w:rFonts w:ascii="宋体" w:hAnsi="宋体" w:cs="宋体" w:eastAsia="宋体" w:hint="default"/>
          <w:spacing w:val="-60"/>
        </w:rPr>
        <w:t> </w:t>
      </w:r>
      <w:r>
        <w:rPr/>
        <w:t>日本公司共募集资金总额为人民币</w:t>
      </w:r>
      <w:r>
        <w:rPr>
          <w:spacing w:val="-60"/>
        </w:rPr>
        <w:t> </w:t>
      </w:r>
      <w:r>
        <w:rPr>
          <w:rFonts w:ascii="宋体" w:hAnsi="宋体" w:cs="宋体" w:eastAsia="宋体" w:hint="default"/>
        </w:rPr>
        <w:t>505,099,998.82</w:t>
      </w:r>
      <w:r>
        <w:rPr>
          <w:rFonts w:ascii="宋体" w:hAnsi="宋体" w:cs="宋体" w:eastAsia="宋体" w:hint="default"/>
          <w:spacing w:val="-60"/>
        </w:rPr>
        <w:t> </w:t>
      </w:r>
      <w:r>
        <w:rPr/>
        <w:t>元，扣除发行费用</w:t>
      </w:r>
    </w:p>
    <w:p>
      <w:pPr>
        <w:pStyle w:val="BodyText"/>
        <w:spacing w:line="312" w:lineRule="exact"/>
        <w:ind w:left="217" w:right="100"/>
        <w:jc w:val="left"/>
      </w:pPr>
      <w:r>
        <w:rPr>
          <w:rFonts w:ascii="宋体" w:hAnsi="宋体" w:cs="宋体" w:eastAsia="宋体" w:hint="default"/>
        </w:rPr>
        <w:t>17,631,833.97</w:t>
      </w:r>
      <w:r>
        <w:rPr>
          <w:rFonts w:ascii="宋体" w:hAnsi="宋体" w:cs="宋体" w:eastAsia="宋体" w:hint="default"/>
          <w:spacing w:val="-61"/>
        </w:rPr>
        <w:t> </w:t>
      </w:r>
      <w:r>
        <w:rPr/>
        <w:t>元，募集资金净额为</w:t>
      </w:r>
      <w:r>
        <w:rPr>
          <w:spacing w:val="-60"/>
        </w:rPr>
        <w:t> </w:t>
      </w:r>
      <w:r>
        <w:rPr>
          <w:rFonts w:ascii="宋体" w:hAnsi="宋体" w:cs="宋体" w:eastAsia="宋体" w:hint="default"/>
        </w:rPr>
        <w:t>487,468,164.85</w:t>
      </w:r>
      <w:r>
        <w:rPr>
          <w:rFonts w:ascii="宋体" w:hAnsi="宋体" w:cs="宋体" w:eastAsia="宋体" w:hint="default"/>
          <w:spacing w:val="-60"/>
        </w:rPr>
        <w:t> </w:t>
      </w:r>
      <w:r>
        <w:rPr/>
        <w:t>元。</w:t>
      </w:r>
    </w:p>
    <w:p>
      <w:pPr>
        <w:pStyle w:val="BodyText"/>
        <w:spacing w:line="240" w:lineRule="auto" w:before="214"/>
        <w:ind w:left="217" w:right="100"/>
        <w:jc w:val="left"/>
        <w:rPr>
          <w:rFonts w:ascii="宋体" w:hAnsi="宋体" w:cs="宋体" w:eastAsia="宋体" w:hint="default"/>
        </w:rPr>
      </w:pPr>
      <w:r>
        <w:rPr/>
        <w:t>募集资金投向使用情况如下：</w:t>
      </w:r>
      <w:r>
        <w:rPr>
          <w:rFonts w:ascii="宋体" w:hAnsi="宋体" w:cs="宋体" w:eastAsia="宋体" w:hint="default"/>
        </w:rPr>
        <w:t>(</w:t>
      </w:r>
      <w:r>
        <w:rPr/>
        <w:t>万元</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524"/>
        <w:gridCol w:w="1706"/>
        <w:gridCol w:w="1558"/>
      </w:tblGrid>
      <w:tr>
        <w:trPr>
          <w:trHeight w:val="40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b/>
                <w:bCs/>
                <w:sz w:val="21"/>
                <w:szCs w:val="21"/>
              </w:rPr>
              <w:t>承诺投资项目</w:t>
            </w:r>
            <w:r>
              <w:rPr>
                <w:rFonts w:ascii="宋体" w:hAnsi="宋体" w:cs="宋体" w:eastAsia="宋体" w:hint="default"/>
                <w:sz w:val="21"/>
                <w:szCs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5"/>
              <w:jc w:val="right"/>
              <w:rPr>
                <w:rFonts w:ascii="宋体" w:hAnsi="宋体" w:cs="宋体" w:eastAsia="宋体" w:hint="default"/>
                <w:sz w:val="21"/>
                <w:szCs w:val="21"/>
              </w:rPr>
            </w:pPr>
            <w:r>
              <w:rPr>
                <w:rFonts w:ascii="宋体" w:hAnsi="宋体" w:cs="宋体" w:eastAsia="宋体" w:hint="default"/>
                <w:b/>
                <w:bCs/>
                <w:sz w:val="21"/>
                <w:szCs w:val="21"/>
              </w:rPr>
              <w:t>承诺投资金额</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0"/>
              <w:jc w:val="right"/>
              <w:rPr>
                <w:rFonts w:ascii="宋体" w:hAnsi="宋体" w:cs="宋体" w:eastAsia="宋体" w:hint="default"/>
                <w:sz w:val="21"/>
                <w:szCs w:val="21"/>
              </w:rPr>
            </w:pPr>
            <w:r>
              <w:rPr>
                <w:rFonts w:ascii="宋体" w:hAnsi="宋体" w:cs="宋体" w:eastAsia="宋体" w:hint="default"/>
                <w:b/>
                <w:bCs/>
                <w:sz w:val="21"/>
                <w:szCs w:val="21"/>
              </w:rPr>
              <w:t>实际投资金额</w:t>
            </w:r>
            <w:r>
              <w:rPr>
                <w:rFonts w:ascii="宋体" w:hAnsi="宋体" w:cs="宋体" w:eastAsia="宋体" w:hint="default"/>
                <w:sz w:val="21"/>
                <w:szCs w:val="21"/>
              </w:rPr>
            </w:r>
          </w:p>
        </w:tc>
      </w:tr>
      <w:tr>
        <w:trPr>
          <w:trHeight w:val="40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云计算环境下的信息融合服务平台建设及市场推广项目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19,360.00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19,360.00</w:t>
            </w:r>
          </w:p>
        </w:tc>
      </w:tr>
      <w:tr>
        <w:trPr>
          <w:trHeight w:val="409"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21"/>
                <w:szCs w:val="21"/>
              </w:rPr>
            </w:pPr>
            <w:r>
              <w:rPr>
                <w:rFonts w:ascii="宋体" w:hAnsi="宋体" w:cs="宋体" w:eastAsia="宋体" w:hint="default"/>
                <w:sz w:val="21"/>
                <w:szCs w:val="21"/>
              </w:rPr>
              <w:t>面向“服务型城市”的新一代信息整合解决方案</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15,950.00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15,450.00</w:t>
            </w:r>
          </w:p>
        </w:tc>
      </w:tr>
      <w:tr>
        <w:trPr>
          <w:trHeight w:val="40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数据治理软件及行业解决方案</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8,941.26</w:t>
            </w:r>
          </w:p>
        </w:tc>
      </w:tr>
      <w:tr>
        <w:trPr>
          <w:trHeight w:val="40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软硬一体化的</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资源和机房监控产品研发及推广项目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5,803.33</w:t>
            </w:r>
          </w:p>
        </w:tc>
      </w:tr>
      <w:tr>
        <w:trPr>
          <w:trHeight w:val="40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b/>
                <w:sz w:val="21"/>
              </w:rPr>
              <w:t>50,510.00</w:t>
            </w:r>
            <w:r>
              <w:rPr>
                <w:rFonts w:ascii="宋体"/>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sz w:val="21"/>
              </w:rPr>
              <w:t>49,554.59</w:t>
            </w:r>
            <w:r>
              <w:rPr>
                <w:rFonts w:ascii="宋体"/>
                <w:sz w:val="21"/>
              </w:rPr>
            </w:r>
          </w:p>
        </w:tc>
      </w:tr>
    </w:tbl>
    <w:p>
      <w:pPr>
        <w:pStyle w:val="BodyText"/>
        <w:spacing w:line="312" w:lineRule="exact" w:before="110"/>
        <w:ind w:left="217" w:right="351"/>
        <w:jc w:val="both"/>
      </w:pPr>
      <w:r>
        <w:rPr>
          <w:spacing w:val="-15"/>
        </w:rPr>
        <w:t>（</w:t>
      </w:r>
      <w:r>
        <w:rPr>
          <w:rFonts w:ascii="宋体" w:hAnsi="宋体" w:cs="宋体" w:eastAsia="宋体" w:hint="default"/>
          <w:spacing w:val="-15"/>
        </w:rPr>
        <w:t>3</w:t>
      </w:r>
      <w:r>
        <w:rPr>
          <w:spacing w:val="-15"/>
        </w:rPr>
        <w:t>）根据本公司</w:t>
      </w:r>
      <w:r>
        <w:rPr>
          <w:spacing w:val="-59"/>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19</w:t>
      </w:r>
      <w:r>
        <w:rPr>
          <w:rFonts w:ascii="宋体" w:hAnsi="宋体" w:cs="宋体" w:eastAsia="宋体" w:hint="default"/>
          <w:spacing w:val="-58"/>
        </w:rPr>
        <w:t> </w:t>
      </w:r>
      <w:r>
        <w:rPr>
          <w:spacing w:val="-6"/>
        </w:rPr>
        <w:t>日第一次临时董事会决议，拟与郝庄严共同投资</w:t>
      </w:r>
      <w:r>
        <w:rPr>
          <w:spacing w:val="-57"/>
        </w:rPr>
        <w:t> </w:t>
      </w:r>
      <w:r>
        <w:rPr>
          <w:rFonts w:ascii="宋体" w:hAnsi="宋体" w:cs="宋体" w:eastAsia="宋体" w:hint="default"/>
        </w:rPr>
        <w:t>2000 </w:t>
      </w:r>
      <w:r>
        <w:rPr>
          <w:spacing w:val="-2"/>
        </w:rPr>
        <w:t>万元，设立北京新云东方工业技术有限公司。其中北京新云东方系统科技有限责任公</w:t>
      </w:r>
      <w:r>
        <w:rPr>
          <w:spacing w:val="-94"/>
        </w:rPr>
        <w:t> </w:t>
      </w:r>
      <w:r>
        <w:rPr>
          <w:spacing w:val="-94"/>
        </w:rPr>
      </w:r>
      <w:r>
        <w:rPr/>
        <w:t>司出资</w:t>
      </w:r>
      <w:r>
        <w:rPr>
          <w:spacing w:val="-61"/>
        </w:rPr>
        <w:t> </w:t>
      </w:r>
      <w:r>
        <w:rPr>
          <w:rFonts w:ascii="宋体" w:hAnsi="宋体" w:cs="宋体" w:eastAsia="宋体" w:hint="default"/>
        </w:rPr>
        <w:t>1980</w:t>
      </w:r>
      <w:r>
        <w:rPr>
          <w:rFonts w:ascii="宋体" w:hAnsi="宋体" w:cs="宋体" w:eastAsia="宋体" w:hint="default"/>
          <w:spacing w:val="-60"/>
        </w:rPr>
        <w:t> </w:t>
      </w:r>
      <w:r>
        <w:rPr/>
        <w:t>万元，持有该公司</w:t>
      </w:r>
      <w:r>
        <w:rPr>
          <w:spacing w:val="-60"/>
        </w:rPr>
        <w:t> </w:t>
      </w:r>
      <w:r>
        <w:rPr>
          <w:rFonts w:ascii="宋体" w:hAnsi="宋体" w:cs="宋体" w:eastAsia="宋体" w:hint="default"/>
        </w:rPr>
        <w:t>99%</w:t>
      </w:r>
      <w:r>
        <w:rPr/>
        <w:t>股权。</w:t>
      </w:r>
    </w:p>
    <w:p>
      <w:pPr>
        <w:pStyle w:val="BodyText"/>
        <w:spacing w:line="240" w:lineRule="auto" w:before="185"/>
        <w:ind w:left="697" w:right="100"/>
        <w:jc w:val="left"/>
      </w:pPr>
      <w:r>
        <w:rPr/>
        <w:t>截至</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日，本集团不存在其他应披露的承诺事项。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before="0"/>
        <w:ind w:right="0"/>
        <w:jc w:val="both"/>
        <w:rPr>
          <w:b w:val="0"/>
          <w:bCs w:val="0"/>
        </w:rPr>
      </w:pPr>
      <w:r>
        <w:rPr>
          <w:rFonts w:ascii="宋体" w:hAnsi="宋体" w:cs="宋体" w:eastAsia="宋体" w:hint="default"/>
        </w:rPr>
        <w:t>2</w:t>
      </w:r>
      <w:r>
        <w:rPr/>
        <w:t>、</w:t>
      </w:r>
      <w:r>
        <w:rPr>
          <w:spacing w:val="-59"/>
        </w:rPr>
        <w:t> </w:t>
      </w:r>
      <w:r>
        <w:rPr/>
        <w:t>或有事项</w:t>
      </w:r>
      <w:r>
        <w:rPr>
          <w:b w:val="0"/>
          <w:bCs w:val="0"/>
        </w:rPr>
      </w:r>
    </w:p>
    <w:p>
      <w:pPr>
        <w:pStyle w:val="BodyText"/>
        <w:spacing w:line="240" w:lineRule="auto" w:before="58"/>
        <w:ind w:left="217" w:right="0"/>
        <w:jc w:val="both"/>
      </w:pPr>
      <w:r>
        <w:rPr/>
        <w:t>√适用</w:t>
      </w:r>
      <w:r>
        <w:rPr>
          <w:spacing w:val="-1"/>
        </w:rPr>
        <w:t> </w:t>
      </w:r>
      <w:r>
        <w:rPr/>
        <w:t>□不适用</w:t>
      </w:r>
    </w:p>
    <w:p>
      <w:pPr>
        <w:pStyle w:val="BodyText"/>
        <w:spacing w:line="313" w:lineRule="exact" w:before="115"/>
        <w:ind w:left="623" w:right="345"/>
        <w:jc w:val="center"/>
      </w:pPr>
      <w:r>
        <w:rPr/>
        <w:t>（</w:t>
      </w:r>
      <w:r>
        <w:rPr>
          <w:rFonts w:ascii="宋体" w:hAnsi="宋体" w:cs="宋体" w:eastAsia="宋体" w:hint="default"/>
        </w:rPr>
        <w:t>1</w:t>
      </w:r>
      <w:r>
        <w:rPr/>
        <w:t>）根据本公司</w:t>
      </w:r>
      <w:r>
        <w:rPr>
          <w:spacing w:val="-61"/>
        </w:rPr>
        <w:t> </w:t>
      </w:r>
      <w:r>
        <w:rPr>
          <w:rFonts w:ascii="宋体" w:hAnsi="宋体" w:cs="宋体" w:eastAsia="宋体" w:hint="default"/>
        </w:rPr>
        <w:t>2007</w:t>
      </w:r>
      <w:r>
        <w:rPr>
          <w:rFonts w:ascii="宋体" w:hAnsi="宋体" w:cs="宋体" w:eastAsia="宋体" w:hint="default"/>
          <w:spacing w:val="-61"/>
        </w:rPr>
        <w:t> </w:t>
      </w:r>
      <w:r>
        <w:rPr/>
        <w:t>年第三次临时董事会会议决议，为本公司之全资子公司华</w:t>
      </w:r>
    </w:p>
    <w:p>
      <w:pPr>
        <w:pStyle w:val="BodyText"/>
        <w:spacing w:line="313" w:lineRule="exact"/>
        <w:ind w:left="214" w:right="0"/>
        <w:jc w:val="both"/>
      </w:pPr>
      <w:r>
        <w:rPr/>
        <w:t>胜天成</w:t>
      </w:r>
      <w:r>
        <w:rPr>
          <w:rFonts w:ascii="宋体" w:hAnsi="宋体" w:cs="宋体" w:eastAsia="宋体" w:hint="default"/>
        </w:rPr>
        <w:t>(</w:t>
      </w:r>
      <w:r>
        <w:rPr/>
        <w:t>香港</w:t>
      </w:r>
      <w:r>
        <w:rPr>
          <w:rFonts w:ascii="宋体" w:hAnsi="宋体" w:cs="宋体" w:eastAsia="宋体" w:hint="default"/>
        </w:rPr>
        <w:t>)</w:t>
      </w:r>
      <w:r>
        <w:rPr/>
        <w:t>有限公司提供每年最高额人民币</w:t>
      </w:r>
      <w:r>
        <w:rPr>
          <w:spacing w:val="-82"/>
        </w:rPr>
        <w:t> </w:t>
      </w:r>
      <w:r>
        <w:rPr>
          <w:rFonts w:ascii="宋体" w:hAnsi="宋体" w:cs="宋体" w:eastAsia="宋体" w:hint="default"/>
        </w:rPr>
        <w:t>7,000</w:t>
      </w:r>
      <w:r>
        <w:rPr>
          <w:rFonts w:ascii="宋体" w:hAnsi="宋体" w:cs="宋体" w:eastAsia="宋体" w:hint="default"/>
          <w:spacing w:val="-83"/>
        </w:rPr>
        <w:t> </w:t>
      </w:r>
      <w:r>
        <w:rPr/>
        <w:t>万元或等值外币的采购付款担保；</w:t>
      </w:r>
    </w:p>
    <w:p>
      <w:pPr>
        <w:pStyle w:val="BodyText"/>
        <w:spacing w:line="312" w:lineRule="exact" w:before="214"/>
        <w:ind w:left="783" w:right="100"/>
        <w:jc w:val="left"/>
      </w:pPr>
      <w:r>
        <w:rPr/>
        <w:t>（</w:t>
      </w:r>
      <w:r>
        <w:rPr>
          <w:rFonts w:ascii="宋体" w:hAnsi="宋体" w:cs="宋体" w:eastAsia="宋体" w:hint="default"/>
        </w:rPr>
        <w:t>2</w:t>
      </w:r>
      <w:r>
        <w:rPr/>
        <w:t>）根据本公司</w:t>
      </w:r>
      <w:r>
        <w:rPr>
          <w:spacing w:val="-61"/>
        </w:rPr>
        <w:t> </w:t>
      </w:r>
      <w:r>
        <w:rPr>
          <w:rFonts w:ascii="宋体" w:hAnsi="宋体" w:cs="宋体" w:eastAsia="宋体" w:hint="default"/>
        </w:rPr>
        <w:t>2007</w:t>
      </w:r>
      <w:r>
        <w:rPr>
          <w:rFonts w:ascii="宋体" w:hAnsi="宋体" w:cs="宋体" w:eastAsia="宋体" w:hint="default"/>
          <w:spacing w:val="-61"/>
        </w:rPr>
        <w:t> </w:t>
      </w:r>
      <w:r>
        <w:rPr/>
        <w:t>年第八次临时董事会会议决议，为本公司之全资子公司</w:t>
      </w:r>
    </w:p>
    <w:p>
      <w:pPr>
        <w:pStyle w:val="BodyText"/>
        <w:spacing w:line="312" w:lineRule="exact"/>
        <w:ind w:left="217" w:right="0"/>
        <w:jc w:val="both"/>
      </w:pPr>
      <w:r>
        <w:rPr/>
        <w:t>深圳华胜天成信息技术有限公司提供每年最高额美元 </w:t>
      </w:r>
      <w:r>
        <w:rPr>
          <w:rFonts w:ascii="宋体" w:hAnsi="宋体" w:cs="宋体" w:eastAsia="宋体" w:hint="default"/>
        </w:rPr>
        <w:t>800</w:t>
      </w:r>
      <w:r>
        <w:rPr>
          <w:rFonts w:ascii="宋体" w:hAnsi="宋体" w:cs="宋体" w:eastAsia="宋体" w:hint="default"/>
          <w:spacing w:val="-81"/>
        </w:rPr>
        <w:t> </w:t>
      </w:r>
      <w:r>
        <w:rPr>
          <w:spacing w:val="2"/>
        </w:rPr>
        <w:t>万的采购额度的信用担保；</w:t>
      </w:r>
      <w:r>
        <w:rPr/>
      </w:r>
    </w:p>
    <w:p>
      <w:pPr>
        <w:spacing w:line="240" w:lineRule="auto" w:before="7"/>
        <w:rPr>
          <w:rFonts w:ascii="宋体" w:hAnsi="宋体" w:cs="宋体" w:eastAsia="宋体" w:hint="default"/>
          <w:sz w:val="16"/>
          <w:szCs w:val="16"/>
        </w:rPr>
      </w:pPr>
    </w:p>
    <w:p>
      <w:pPr>
        <w:pStyle w:val="BodyText"/>
        <w:spacing w:line="237" w:lineRule="auto"/>
        <w:ind w:left="217" w:right="100" w:firstLine="566"/>
        <w:jc w:val="left"/>
      </w:pPr>
      <w:r>
        <w:rPr/>
        <w:t>（</w:t>
      </w:r>
      <w:r>
        <w:rPr>
          <w:rFonts w:ascii="宋体" w:hAnsi="宋体" w:cs="宋体" w:eastAsia="宋体" w:hint="default"/>
        </w:rPr>
        <w:t>3</w:t>
      </w:r>
      <w:r>
        <w:rPr/>
        <w:t>）根据本公司</w:t>
      </w:r>
      <w:r>
        <w:rPr>
          <w:spacing w:val="-61"/>
        </w:rPr>
        <w:t> </w:t>
      </w:r>
      <w:r>
        <w:rPr>
          <w:rFonts w:ascii="宋体" w:hAnsi="宋体" w:cs="宋体" w:eastAsia="宋体" w:hint="default"/>
        </w:rPr>
        <w:t>2015</w:t>
      </w:r>
      <w:r>
        <w:rPr>
          <w:rFonts w:ascii="宋体" w:hAnsi="宋体" w:cs="宋体" w:eastAsia="宋体" w:hint="default"/>
          <w:spacing w:val="-61"/>
        </w:rPr>
        <w:t> </w:t>
      </w:r>
      <w:r>
        <w:rPr/>
        <w:t>年第五届董事会第四次会议决议，允许本公司之子公司 </w:t>
      </w:r>
      <w:r>
        <w:rPr>
          <w:spacing w:val="-2"/>
        </w:rPr>
        <w:t>北京华胜天成软件技术有限公司使用本公司在交通银行授信额度，并提供连带责任担</w:t>
      </w:r>
      <w:r>
        <w:rPr>
          <w:spacing w:val="-94"/>
        </w:rPr>
        <w:t> </w:t>
      </w:r>
      <w:r>
        <w:rPr>
          <w:spacing w:val="-94"/>
        </w:rPr>
      </w:r>
      <w:r>
        <w:rPr/>
        <w:t>保，金额为人民币</w:t>
      </w:r>
      <w:r>
        <w:rPr>
          <w:spacing w:val="-61"/>
        </w:rPr>
        <w:t> </w:t>
      </w:r>
      <w:r>
        <w:rPr>
          <w:rFonts w:ascii="宋体" w:hAnsi="宋体" w:cs="宋体" w:eastAsia="宋体" w:hint="default"/>
        </w:rPr>
        <w:t>2,000</w:t>
      </w:r>
      <w:r>
        <w:rPr>
          <w:rFonts w:ascii="宋体" w:hAnsi="宋体" w:cs="宋体" w:eastAsia="宋体" w:hint="default"/>
          <w:spacing w:val="-60"/>
        </w:rPr>
        <w:t> </w:t>
      </w:r>
      <w:r>
        <w:rPr/>
        <w:t>万元，期限一年；</w:t>
      </w:r>
    </w:p>
    <w:p>
      <w:pPr>
        <w:spacing w:line="240" w:lineRule="auto" w:before="8"/>
        <w:rPr>
          <w:rFonts w:ascii="宋体" w:hAnsi="宋体" w:cs="宋体" w:eastAsia="宋体" w:hint="default"/>
          <w:sz w:val="16"/>
          <w:szCs w:val="16"/>
        </w:rPr>
      </w:pPr>
    </w:p>
    <w:p>
      <w:pPr>
        <w:pStyle w:val="BodyText"/>
        <w:spacing w:line="237" w:lineRule="auto"/>
        <w:ind w:left="217" w:right="351" w:firstLine="566"/>
        <w:jc w:val="both"/>
      </w:pPr>
      <w:r>
        <w:rPr/>
        <w:t>（</w:t>
      </w:r>
      <w:r>
        <w:rPr>
          <w:rFonts w:ascii="宋体" w:hAnsi="宋体" w:cs="宋体" w:eastAsia="宋体" w:hint="default"/>
        </w:rPr>
        <w:t>4</w:t>
      </w:r>
      <w:r>
        <w:rPr/>
        <w:t>）根据本公司</w:t>
      </w:r>
      <w:r>
        <w:rPr>
          <w:spacing w:val="-68"/>
        </w:rPr>
        <w:t> </w:t>
      </w:r>
      <w:r>
        <w:rPr>
          <w:rFonts w:ascii="宋体" w:hAnsi="宋体" w:cs="宋体" w:eastAsia="宋体" w:hint="default"/>
        </w:rPr>
        <w:t>2014</w:t>
      </w:r>
      <w:r>
        <w:rPr>
          <w:rFonts w:ascii="宋体" w:hAnsi="宋体" w:cs="宋体" w:eastAsia="宋体" w:hint="default"/>
          <w:spacing w:val="-67"/>
        </w:rPr>
        <w:t> </w:t>
      </w:r>
      <w:r>
        <w:rPr/>
        <w:t>年第五届董事会第二次会议决议</w:t>
      </w:r>
      <w:r>
        <w:rPr>
          <w:rFonts w:ascii="宋体" w:hAnsi="宋体" w:cs="宋体" w:eastAsia="宋体" w:hint="default"/>
        </w:rPr>
        <w:t>,</w:t>
      </w:r>
      <w:r>
        <w:rPr/>
        <w:t>允许本公司之间接控制 </w:t>
      </w:r>
      <w:r>
        <w:rPr>
          <w:spacing w:val="-2"/>
        </w:rPr>
        <w:t>子公司长天科技有限公司使用本公司在广发银行综合授信额度，由本公司承担连带责</w:t>
      </w:r>
      <w:r>
        <w:rPr>
          <w:spacing w:val="-94"/>
        </w:rPr>
        <w:t> </w:t>
      </w:r>
      <w:r>
        <w:rPr>
          <w:spacing w:val="-94"/>
        </w:rPr>
      </w:r>
      <w:r>
        <w:rPr/>
        <w:t>任担保，金额为人民币</w:t>
      </w:r>
      <w:r>
        <w:rPr>
          <w:spacing w:val="-61"/>
        </w:rPr>
        <w:t> </w:t>
      </w:r>
      <w:r>
        <w:rPr>
          <w:rFonts w:ascii="宋体" w:hAnsi="宋体" w:cs="宋体" w:eastAsia="宋体" w:hint="default"/>
        </w:rPr>
        <w:t>1,000</w:t>
      </w:r>
      <w:r>
        <w:rPr>
          <w:rFonts w:ascii="宋体" w:hAnsi="宋体" w:cs="宋体" w:eastAsia="宋体" w:hint="default"/>
          <w:spacing w:val="-60"/>
        </w:rPr>
        <w:t> </w:t>
      </w:r>
      <w:r>
        <w:rPr/>
        <w:t>万元，期限一年；</w:t>
      </w:r>
    </w:p>
    <w:p>
      <w:pPr>
        <w:spacing w:line="240" w:lineRule="auto" w:before="9"/>
        <w:rPr>
          <w:rFonts w:ascii="宋体" w:hAnsi="宋体" w:cs="宋体" w:eastAsia="宋体" w:hint="default"/>
          <w:sz w:val="18"/>
          <w:szCs w:val="18"/>
        </w:rPr>
      </w:pPr>
    </w:p>
    <w:p>
      <w:pPr>
        <w:pStyle w:val="BodyText"/>
        <w:spacing w:line="312" w:lineRule="exact"/>
        <w:ind w:left="217" w:right="100" w:firstLine="566"/>
        <w:jc w:val="left"/>
      </w:pPr>
      <w:r>
        <w:rPr/>
        <w:t>（</w:t>
      </w:r>
      <w:r>
        <w:rPr>
          <w:rFonts w:ascii="宋体" w:hAnsi="宋体" w:cs="宋体" w:eastAsia="宋体" w:hint="default"/>
        </w:rPr>
        <w:t>5</w:t>
      </w:r>
      <w:r>
        <w:rPr/>
        <w:t>）根据本公司</w:t>
      </w:r>
      <w:r>
        <w:rPr>
          <w:spacing w:val="-61"/>
        </w:rPr>
        <w:t> </w:t>
      </w:r>
      <w:r>
        <w:rPr>
          <w:rFonts w:ascii="宋体" w:hAnsi="宋体" w:cs="宋体" w:eastAsia="宋体" w:hint="default"/>
        </w:rPr>
        <w:t>2015</w:t>
      </w:r>
      <w:r>
        <w:rPr>
          <w:rFonts w:ascii="宋体" w:hAnsi="宋体" w:cs="宋体" w:eastAsia="宋体" w:hint="default"/>
          <w:spacing w:val="-61"/>
        </w:rPr>
        <w:t> </w:t>
      </w:r>
      <w:r>
        <w:rPr/>
        <w:t>年第五届董事会第四次会议决议，允许本公司之子公司 </w:t>
      </w:r>
      <w:r>
        <w:rPr>
          <w:spacing w:val="-2"/>
        </w:rPr>
        <w:t>北京飞杰信息技术有限公司使用本公司在中国民生银行综合授信额度，由本公司承担</w:t>
      </w:r>
      <w:r>
        <w:rPr>
          <w:spacing w:val="-94"/>
        </w:rPr>
        <w:t> </w:t>
      </w:r>
      <w:r>
        <w:rPr>
          <w:spacing w:val="-94"/>
        </w:rPr>
      </w:r>
      <w:r>
        <w:rPr/>
        <w:t>连带责任担保，金额为人民币</w:t>
      </w:r>
      <w:r>
        <w:rPr>
          <w:spacing w:val="-61"/>
        </w:rPr>
        <w:t> </w:t>
      </w:r>
      <w:r>
        <w:rPr>
          <w:rFonts w:ascii="宋体" w:hAnsi="宋体" w:cs="宋体" w:eastAsia="宋体" w:hint="default"/>
        </w:rPr>
        <w:t>1,000</w:t>
      </w:r>
      <w:r>
        <w:rPr>
          <w:rFonts w:ascii="宋体" w:hAnsi="宋体" w:cs="宋体" w:eastAsia="宋体" w:hint="default"/>
          <w:spacing w:val="-61"/>
        </w:rPr>
        <w:t> </w:t>
      </w:r>
      <w:r>
        <w:rPr/>
        <w:t>万元，期限两年；</w:t>
      </w:r>
    </w:p>
    <w:p>
      <w:pPr>
        <w:spacing w:after="0" w:line="312" w:lineRule="exact"/>
        <w:jc w:val="left"/>
        <w:sectPr>
          <w:footerReference w:type="default" r:id="rId76"/>
          <w:pgSz w:w="11910" w:h="16840"/>
          <w:pgMar w:footer="1195" w:header="0" w:top="1120" w:bottom="1380" w:left="1060" w:right="1440"/>
        </w:sectPr>
      </w:pPr>
    </w:p>
    <w:p>
      <w:pPr>
        <w:spacing w:line="240" w:lineRule="auto" w:before="13"/>
        <w:rPr>
          <w:rFonts w:ascii="宋体" w:hAnsi="宋体" w:cs="宋体" w:eastAsia="宋体" w:hint="default"/>
          <w:sz w:val="18"/>
          <w:szCs w:val="18"/>
        </w:rPr>
      </w:pPr>
    </w:p>
    <w:p>
      <w:pPr>
        <w:pStyle w:val="BodyText"/>
        <w:spacing w:line="237" w:lineRule="auto" w:before="28"/>
        <w:ind w:left="217" w:right="221" w:firstLine="566"/>
        <w:jc w:val="left"/>
      </w:pPr>
      <w:r>
        <w:rPr/>
        <w:t>（</w:t>
      </w:r>
      <w:r>
        <w:rPr>
          <w:rFonts w:ascii="宋体" w:hAnsi="宋体" w:cs="宋体" w:eastAsia="宋体" w:hint="default"/>
        </w:rPr>
        <w:t>6</w:t>
      </w:r>
      <w:r>
        <w:rPr/>
        <w:t>）根据本公司</w:t>
      </w:r>
      <w:r>
        <w:rPr>
          <w:spacing w:val="-61"/>
        </w:rPr>
        <w:t> </w:t>
      </w:r>
      <w:r>
        <w:rPr>
          <w:rFonts w:ascii="宋体" w:hAnsi="宋体" w:cs="宋体" w:eastAsia="宋体" w:hint="default"/>
        </w:rPr>
        <w:t>2015</w:t>
      </w:r>
      <w:r>
        <w:rPr>
          <w:rFonts w:ascii="宋体" w:hAnsi="宋体" w:cs="宋体" w:eastAsia="宋体" w:hint="default"/>
          <w:spacing w:val="-61"/>
        </w:rPr>
        <w:t> </w:t>
      </w:r>
      <w:r>
        <w:rPr/>
        <w:t>年第五届董事会第四次会议决议，允许本公司之全资子 </w:t>
      </w:r>
      <w:r>
        <w:rPr>
          <w:spacing w:val="-2"/>
        </w:rPr>
        <w:t>公司南京华胜天成信息技术有限公司使用本公司在中国民生银行的综合授信额度，由</w:t>
      </w:r>
      <w:r>
        <w:rPr>
          <w:spacing w:val="-94"/>
        </w:rPr>
        <w:t> </w:t>
      </w:r>
      <w:r>
        <w:rPr>
          <w:spacing w:val="-94"/>
        </w:rPr>
      </w:r>
      <w:r>
        <w:rPr/>
        <w:t>本公司承担连带责任担保，金额为不超过人民币</w:t>
      </w:r>
      <w:r>
        <w:rPr>
          <w:spacing w:val="-60"/>
        </w:rPr>
        <w:t> </w:t>
      </w:r>
      <w:r>
        <w:rPr>
          <w:rFonts w:ascii="宋体" w:hAnsi="宋体" w:cs="宋体" w:eastAsia="宋体" w:hint="default"/>
        </w:rPr>
        <w:t>5,000</w:t>
      </w:r>
      <w:r>
        <w:rPr>
          <w:rFonts w:ascii="宋体" w:hAnsi="宋体" w:cs="宋体" w:eastAsia="宋体" w:hint="default"/>
          <w:spacing w:val="-60"/>
        </w:rPr>
        <w:t> </w:t>
      </w:r>
      <w:r>
        <w:rPr/>
        <w:t>万元，期限两年；</w:t>
      </w:r>
    </w:p>
    <w:p>
      <w:pPr>
        <w:spacing w:line="240" w:lineRule="auto" w:before="8"/>
        <w:rPr>
          <w:rFonts w:ascii="宋体" w:hAnsi="宋体" w:cs="宋体" w:eastAsia="宋体" w:hint="default"/>
          <w:sz w:val="16"/>
          <w:szCs w:val="16"/>
        </w:rPr>
      </w:pPr>
    </w:p>
    <w:p>
      <w:pPr>
        <w:pStyle w:val="BodyText"/>
        <w:spacing w:line="237" w:lineRule="auto"/>
        <w:ind w:left="217" w:right="221" w:firstLine="566"/>
        <w:jc w:val="left"/>
      </w:pPr>
      <w:r>
        <w:rPr/>
        <w:t>（</w:t>
      </w:r>
      <w:r>
        <w:rPr>
          <w:rFonts w:ascii="宋体" w:hAnsi="宋体" w:cs="宋体" w:eastAsia="宋体" w:hint="default"/>
        </w:rPr>
        <w:t>7</w:t>
      </w:r>
      <w:r>
        <w:rPr/>
        <w:t>）根据本公司</w:t>
      </w:r>
      <w:r>
        <w:rPr>
          <w:spacing w:val="-61"/>
        </w:rPr>
        <w:t> </w:t>
      </w:r>
      <w:r>
        <w:rPr>
          <w:rFonts w:ascii="宋体" w:hAnsi="宋体" w:cs="宋体" w:eastAsia="宋体" w:hint="default"/>
        </w:rPr>
        <w:t>2015</w:t>
      </w:r>
      <w:r>
        <w:rPr>
          <w:rFonts w:ascii="宋体" w:hAnsi="宋体" w:cs="宋体" w:eastAsia="宋体" w:hint="default"/>
          <w:spacing w:val="-61"/>
        </w:rPr>
        <w:t> </w:t>
      </w:r>
      <w:r>
        <w:rPr/>
        <w:t>年第五届董事会第四次会议决议，本公司使用汇丰银行 </w:t>
      </w:r>
      <w:r>
        <w:rPr>
          <w:spacing w:val="-2"/>
        </w:rPr>
        <w:t>综合授信额度开立备用信用证为本公司之全资子公司华胜天成科技（香港）有限公司</w:t>
      </w:r>
      <w:r>
        <w:rPr>
          <w:spacing w:val="-94"/>
        </w:rPr>
        <w:t> </w:t>
      </w:r>
      <w:r>
        <w:rPr>
          <w:spacing w:val="-94"/>
        </w:rPr>
      </w:r>
      <w:r>
        <w:rPr/>
        <w:t>在汇丰银行申请贸易项下融资额度不超过人民币</w:t>
      </w:r>
      <w:r>
        <w:rPr>
          <w:spacing w:val="-60"/>
        </w:rPr>
        <w:t> </w:t>
      </w:r>
      <w:r>
        <w:rPr>
          <w:rFonts w:ascii="宋体" w:hAnsi="宋体" w:cs="宋体" w:eastAsia="宋体" w:hint="default"/>
        </w:rPr>
        <w:t>10,000</w:t>
      </w:r>
      <w:r>
        <w:rPr>
          <w:rFonts w:ascii="宋体" w:hAnsi="宋体" w:cs="宋体" w:eastAsia="宋体" w:hint="default"/>
          <w:spacing w:val="-60"/>
        </w:rPr>
        <w:t> </w:t>
      </w:r>
      <w:r>
        <w:rPr/>
        <w:t>万元；</w:t>
      </w:r>
    </w:p>
    <w:p>
      <w:pPr>
        <w:spacing w:line="240" w:lineRule="auto" w:before="9"/>
        <w:rPr>
          <w:rFonts w:ascii="宋体" w:hAnsi="宋体" w:cs="宋体" w:eastAsia="宋体" w:hint="default"/>
          <w:sz w:val="18"/>
          <w:szCs w:val="18"/>
        </w:rPr>
      </w:pPr>
    </w:p>
    <w:p>
      <w:pPr>
        <w:pStyle w:val="BodyText"/>
        <w:spacing w:line="312" w:lineRule="exact"/>
        <w:ind w:left="217" w:right="221" w:firstLine="566"/>
        <w:jc w:val="left"/>
      </w:pPr>
      <w:r>
        <w:rPr/>
        <w:t>（</w:t>
      </w:r>
      <w:r>
        <w:rPr>
          <w:rFonts w:ascii="宋体" w:hAnsi="宋体" w:cs="宋体" w:eastAsia="宋体" w:hint="default"/>
        </w:rPr>
        <w:t>8</w:t>
      </w:r>
      <w:r>
        <w:rPr/>
        <w:t>）根据本公司</w:t>
      </w:r>
      <w:r>
        <w:rPr>
          <w:spacing w:val="-61"/>
        </w:rPr>
        <w:t> </w:t>
      </w:r>
      <w:r>
        <w:rPr>
          <w:rFonts w:ascii="宋体" w:hAnsi="宋体" w:cs="宋体" w:eastAsia="宋体" w:hint="default"/>
        </w:rPr>
        <w:t>2015</w:t>
      </w:r>
      <w:r>
        <w:rPr>
          <w:rFonts w:ascii="宋体" w:hAnsi="宋体" w:cs="宋体" w:eastAsia="宋体" w:hint="default"/>
          <w:spacing w:val="-61"/>
        </w:rPr>
        <w:t> </w:t>
      </w:r>
      <w:r>
        <w:rPr/>
        <w:t>年第五届董事会第四次会议决议，本公司使用中国银行 </w:t>
      </w:r>
      <w:r>
        <w:rPr>
          <w:spacing w:val="-2"/>
        </w:rPr>
        <w:t>综合授信额度开立融资类保函为本公司之全资子公司华胜天成科技（香港）有限公司</w:t>
      </w:r>
      <w:r>
        <w:rPr>
          <w:spacing w:val="-94"/>
        </w:rPr>
        <w:t> </w:t>
      </w:r>
      <w:r>
        <w:rPr>
          <w:spacing w:val="-94"/>
        </w:rPr>
      </w:r>
      <w:r>
        <w:rPr/>
        <w:t>在中国银行（香港）有限公司申请贸易项下融资额度不超过美金</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7"/>
          <w:pgSz w:w="11910" w:h="16840"/>
          <w:pgMar w:footer="1195" w:header="0" w:top="1120" w:bottom="1380" w:left="1060" w:right="1560"/>
          <w:pgNumType w:start="191"/>
        </w:sectPr>
      </w:pPr>
    </w:p>
    <w:p>
      <w:pPr>
        <w:pStyle w:val="Heading2"/>
        <w:spacing w:line="240" w:lineRule="auto"/>
        <w:ind w:right="-18"/>
        <w:jc w:val="left"/>
        <w:rPr>
          <w:b w:val="0"/>
          <w:bCs w:val="0"/>
        </w:rPr>
      </w:pPr>
      <w:r>
        <w:rPr/>
        <w:t>十五、</w:t>
      </w:r>
      <w:r>
        <w:rPr>
          <w:spacing w:val="-6"/>
        </w:rPr>
        <w:t> </w:t>
      </w:r>
      <w:r>
        <w:rPr/>
        <w:t>资产负债表日后事项</w:t>
      </w:r>
      <w:r>
        <w:rPr>
          <w:b w:val="0"/>
          <w:bCs w:val="0"/>
        </w:rPr>
      </w:r>
    </w:p>
    <w:p>
      <w:pPr>
        <w:pStyle w:val="Heading2"/>
        <w:spacing w:line="240" w:lineRule="auto" w:before="58"/>
        <w:ind w:right="-20"/>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25"/>
        <w:ind w:left="217" w:right="-20"/>
        <w:jc w:val="left"/>
      </w:pPr>
      <w:r>
        <w:rPr/>
        <w:t>□适用</w:t>
      </w:r>
      <w:r>
        <w:rPr>
          <w:spacing w:val="-1"/>
        </w:rPr>
        <w:t> </w:t>
      </w:r>
      <w:r>
        <w:rPr/>
        <w:t>√不适用</w:t>
      </w:r>
    </w:p>
    <w:p>
      <w:pPr>
        <w:pStyle w:val="Heading2"/>
        <w:spacing w:line="240" w:lineRule="auto" w:before="58"/>
        <w:ind w:right="-20"/>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27"/>
        <w:ind w:left="21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226" w:space="2967"/>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23"/>
        <w:gridCol w:w="5327"/>
      </w:tblGrid>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3"/>
          <w:szCs w:val="23"/>
        </w:rPr>
      </w:pPr>
    </w:p>
    <w:p>
      <w:pPr>
        <w:pStyle w:val="Heading2"/>
        <w:spacing w:line="240" w:lineRule="auto"/>
        <w:ind w:right="2569"/>
        <w:jc w:val="left"/>
        <w:rPr>
          <w:b w:val="0"/>
          <w:bCs w:val="0"/>
        </w:rPr>
      </w:pPr>
      <w:r>
        <w:rPr>
          <w:rFonts w:ascii="Calibri" w:hAnsi="Calibri" w:cs="Calibri" w:eastAsia="Calibri" w:hint="default"/>
        </w:rPr>
        <w:t>3</w:t>
      </w:r>
      <w:r>
        <w:rPr/>
        <w:t>、</w:t>
      </w:r>
      <w:r>
        <w:rPr>
          <w:spacing w:val="-59"/>
        </w:rPr>
        <w:t> </w:t>
      </w:r>
      <w:r>
        <w:rPr/>
        <w:t>销售退回</w:t>
      </w:r>
      <w:r>
        <w:rPr>
          <w:b w:val="0"/>
          <w:bCs w:val="0"/>
        </w:rPr>
      </w:r>
    </w:p>
    <w:p>
      <w:pPr>
        <w:pStyle w:val="BodyText"/>
        <w:spacing w:line="240" w:lineRule="auto" w:before="27"/>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9"/>
        <w:jc w:val="left"/>
        <w:rPr>
          <w:b w:val="0"/>
          <w:bCs w:val="0"/>
        </w:rPr>
      </w:pPr>
      <w:r>
        <w:rPr>
          <w:rFonts w:ascii="Calibri" w:hAnsi="Calibri" w:cs="Calibri" w:eastAsia="Calibri" w:hint="default"/>
        </w:rPr>
        <w:t>4</w:t>
      </w:r>
      <w:r>
        <w:rPr/>
        <w:t>、</w:t>
      </w:r>
      <w:r>
        <w:rPr>
          <w:spacing w:val="-63"/>
        </w:rPr>
        <w:t> </w:t>
      </w:r>
      <w:r>
        <w:rPr/>
        <w:t>其他资产负债表日后事项说明</w:t>
      </w:r>
      <w:r>
        <w:rPr>
          <w:b w:val="0"/>
          <w:bCs w:val="0"/>
        </w:rPr>
      </w:r>
    </w:p>
    <w:p>
      <w:pPr>
        <w:pStyle w:val="BodyText"/>
        <w:spacing w:line="240" w:lineRule="auto" w:before="27"/>
        <w:ind w:left="217" w:right="2569"/>
        <w:jc w:val="left"/>
      </w:pPr>
      <w:r>
        <w:rPr>
          <w:rFonts w:ascii="Times New Roman" w:hAnsi="Times New Roman" w:cs="Times New Roman" w:eastAsia="Times New Roman" w:hint="default"/>
        </w:rPr>
      </w:r>
      <w:r>
        <w:rPr>
          <w:rFonts w:ascii="Times New Roman" w:hAnsi="Times New Roman" w:cs="Times New Roman" w:eastAsia="Times New Roman" w:hint="default"/>
          <w:spacing w:val="-60"/>
          <w:shd w:fill="C0C0C0" w:color="auto" w:val="clear"/>
        </w:rPr>
        <w:t> </w:t>
      </w:r>
      <w:r>
        <w:rPr>
          <w:shd w:fill="C0C0C0" w:color="auto" w:val="clear"/>
        </w:rPr>
        <w:t>（</w:t>
      </w:r>
      <w:r>
        <w:rPr>
          <w:rFonts w:ascii="宋体" w:hAnsi="宋体" w:cs="宋体" w:eastAsia="宋体" w:hint="default"/>
          <w:shd w:fill="C0C0C0" w:color="auto" w:val="clear"/>
        </w:rPr>
        <w:t>1</w:t>
      </w:r>
      <w:r>
        <w:rPr>
          <w:shd w:fill="C0C0C0" w:color="auto" w:val="clear"/>
        </w:rPr>
        <w:t>）</w:t>
      </w:r>
      <w:r>
        <w:rPr/>
        <w:t>重要的资产负债表日后事项说明</w:t>
      </w:r>
    </w:p>
    <w:p>
      <w:pPr>
        <w:spacing w:line="240" w:lineRule="auto" w:before="7"/>
        <w:rPr>
          <w:rFonts w:ascii="宋体" w:hAnsi="宋体" w:cs="宋体" w:eastAsia="宋体" w:hint="default"/>
          <w:sz w:val="16"/>
          <w:szCs w:val="16"/>
        </w:rPr>
      </w:pPr>
    </w:p>
    <w:p>
      <w:pPr>
        <w:pStyle w:val="BodyText"/>
        <w:spacing w:line="237" w:lineRule="auto"/>
        <w:ind w:left="262" w:right="102" w:firstLine="480"/>
        <w:jc w:val="left"/>
      </w:pPr>
      <w:r>
        <w:rPr/>
        <w:t>①根据本公司《北京华胜天成科技股份有限公司公开发行公司债券募集说明书》 </w:t>
      </w:r>
      <w:r>
        <w:rPr>
          <w:spacing w:val="-3"/>
        </w:rPr>
        <w:t>中所设定的公司债券回售条款，本公司发行公司债券的债券持有人有权选择在回售登</w:t>
      </w:r>
      <w:r>
        <w:rPr>
          <w:spacing w:val="-101"/>
        </w:rPr>
        <w:t> </w:t>
      </w:r>
      <w:r>
        <w:rPr>
          <w:spacing w:val="-101"/>
        </w:rPr>
      </w:r>
      <w:r>
        <w:rPr>
          <w:spacing w:val="-12"/>
        </w:rPr>
        <w:t>记期（即</w:t>
      </w:r>
      <w:r>
        <w:rPr>
          <w:spacing w:val="-61"/>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spacing w:val="-3"/>
        </w:rPr>
        <w:t>日）将其持有的债券全部或部分进行回售</w:t>
      </w:r>
    </w:p>
    <w:p>
      <w:pPr>
        <w:pStyle w:val="BodyText"/>
        <w:spacing w:line="310" w:lineRule="exact"/>
        <w:ind w:left="262" w:right="221"/>
        <w:jc w:val="left"/>
      </w:pPr>
      <w:r>
        <w:rPr/>
        <w:t>申报登记，回售的价格为债券面值</w:t>
      </w:r>
      <w:r>
        <w:rPr>
          <w:spacing w:val="-60"/>
        </w:rPr>
        <w:t> </w:t>
      </w:r>
      <w:r>
        <w:rPr>
          <w:rFonts w:ascii="宋体" w:hAnsi="宋体" w:cs="宋体" w:eastAsia="宋体" w:hint="default"/>
        </w:rPr>
        <w:t>100</w:t>
      </w:r>
      <w:r>
        <w:rPr>
          <w:rFonts w:ascii="宋体" w:hAnsi="宋体" w:cs="宋体" w:eastAsia="宋体" w:hint="default"/>
          <w:spacing w:val="-60"/>
        </w:rPr>
        <w:t> </w:t>
      </w:r>
      <w:r>
        <w:rPr/>
        <w:t>元</w:t>
      </w:r>
      <w:r>
        <w:rPr>
          <w:rFonts w:ascii="宋体" w:hAnsi="宋体" w:cs="宋体" w:eastAsia="宋体" w:hint="default"/>
        </w:rPr>
        <w:t>/</w:t>
      </w:r>
      <w:r>
        <w:rPr/>
        <w:t>张。根据中国证券登记结算有限责任公司</w:t>
      </w:r>
    </w:p>
    <w:p>
      <w:pPr>
        <w:pStyle w:val="BodyText"/>
        <w:spacing w:line="311" w:lineRule="exact"/>
        <w:ind w:left="262" w:right="221"/>
        <w:jc w:val="left"/>
        <w:rPr>
          <w:rFonts w:ascii="宋体" w:hAnsi="宋体" w:cs="宋体" w:eastAsia="宋体" w:hint="default"/>
        </w:rPr>
      </w:pPr>
      <w:r>
        <w:rPr/>
        <w:t>上海分公司对债券回售申报情况的统计，本次回售申报有效数量为</w:t>
      </w:r>
      <w:r>
        <w:rPr>
          <w:spacing w:val="-60"/>
        </w:rPr>
        <w:t> </w:t>
      </w:r>
      <w:r>
        <w:rPr>
          <w:rFonts w:ascii="宋体" w:hAnsi="宋体" w:cs="宋体" w:eastAsia="宋体" w:hint="default"/>
        </w:rPr>
        <w:t>5</w:t>
      </w:r>
      <w:r>
        <w:rPr>
          <w:rFonts w:ascii="宋体" w:hAnsi="宋体" w:cs="宋体" w:eastAsia="宋体" w:hint="default"/>
          <w:spacing w:val="-60"/>
        </w:rPr>
        <w:t> </w:t>
      </w:r>
      <w:r>
        <w:rPr/>
        <w:t>手（</w:t>
      </w:r>
      <w:r>
        <w:rPr>
          <w:rFonts w:ascii="宋体" w:hAnsi="宋体" w:cs="宋体" w:eastAsia="宋体" w:hint="default"/>
        </w:rPr>
        <w:t>1</w:t>
      </w:r>
      <w:r>
        <w:rPr>
          <w:rFonts w:ascii="宋体" w:hAnsi="宋体" w:cs="宋体" w:eastAsia="宋体" w:hint="default"/>
          <w:spacing w:val="-60"/>
        </w:rPr>
        <w:t> </w:t>
      </w:r>
      <w:r>
        <w:rPr/>
        <w:t>手为</w:t>
      </w:r>
      <w:r>
        <w:rPr>
          <w:spacing w:val="-60"/>
        </w:rPr>
        <w:t> </w:t>
      </w:r>
      <w:r>
        <w:rPr>
          <w:rFonts w:ascii="宋体" w:hAnsi="宋体" w:cs="宋体" w:eastAsia="宋体" w:hint="default"/>
        </w:rPr>
        <w:t>10</w:t>
      </w:r>
    </w:p>
    <w:p>
      <w:pPr>
        <w:pStyle w:val="BodyText"/>
        <w:spacing w:line="313" w:lineRule="exact"/>
        <w:ind w:left="262" w:right="2569"/>
        <w:jc w:val="left"/>
      </w:pPr>
      <w:r>
        <w:rPr/>
        <w:t>张），回售金额为</w:t>
      </w:r>
      <w:r>
        <w:rPr>
          <w:spacing w:val="-61"/>
        </w:rPr>
        <w:t> </w:t>
      </w:r>
      <w:r>
        <w:rPr>
          <w:rFonts w:ascii="宋体" w:hAnsi="宋体" w:cs="宋体" w:eastAsia="宋体" w:hint="default"/>
        </w:rPr>
        <w:t>5,000.00</w:t>
      </w:r>
      <w:r>
        <w:rPr>
          <w:rFonts w:ascii="宋体" w:hAnsi="宋体" w:cs="宋体" w:eastAsia="宋体" w:hint="default"/>
          <w:spacing w:val="-60"/>
        </w:rPr>
        <w:t> </w:t>
      </w:r>
      <w:r>
        <w:rPr/>
        <w:t>元。</w:t>
      </w:r>
    </w:p>
    <w:p>
      <w:pPr>
        <w:pStyle w:val="BodyText"/>
        <w:spacing w:line="237" w:lineRule="auto" w:before="120"/>
        <w:ind w:left="217" w:right="233" w:firstLine="480"/>
        <w:jc w:val="both"/>
      </w:pPr>
      <w:r>
        <w:rPr/>
        <w:t>②中国证券监督管理委员会发行审核委员会于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日对本公司非公开 发行股票申请进行了审核，根据会议审核结果，本公司本次非公开发行</w:t>
      </w:r>
      <w:r>
        <w:rPr>
          <w:spacing w:val="-83"/>
        </w:rPr>
        <w:t> </w:t>
      </w:r>
      <w:r>
        <w:rPr>
          <w:rFonts w:ascii="宋体" w:hAnsi="宋体" w:cs="宋体" w:eastAsia="宋体" w:hint="default"/>
        </w:rPr>
        <w:t>A</w:t>
      </w:r>
      <w:r>
        <w:rPr>
          <w:rFonts w:ascii="宋体" w:hAnsi="宋体" w:cs="宋体" w:eastAsia="宋体" w:hint="default"/>
          <w:spacing w:val="-83"/>
        </w:rPr>
        <w:t> </w:t>
      </w:r>
      <w:r>
        <w:rPr/>
        <w:t>股股票的申 请获得审核通过。</w:t>
      </w:r>
    </w:p>
    <w:p>
      <w:pPr>
        <w:pStyle w:val="BodyText"/>
        <w:spacing w:line="240" w:lineRule="auto" w:before="214"/>
        <w:ind w:left="217" w:right="2569"/>
        <w:jc w:val="left"/>
      </w:pPr>
      <w:r>
        <w:rPr>
          <w:rFonts w:ascii="宋体" w:hAnsi="宋体" w:cs="宋体" w:eastAsia="宋体" w:hint="default"/>
        </w:rPr>
        <w:t>（</w:t>
      </w:r>
      <w:r>
        <w:rPr>
          <w:rFonts w:ascii="宋体" w:hAnsi="宋体" w:cs="宋体" w:eastAsia="宋体" w:hint="default"/>
        </w:rPr>
        <w:t>2</w:t>
      </w:r>
      <w:r>
        <w:rPr/>
        <w:t>）资产负债表日后利润分配情况说明</w:t>
      </w:r>
    </w:p>
    <w:p>
      <w:pPr>
        <w:pStyle w:val="BodyText"/>
        <w:spacing w:line="312" w:lineRule="exact" w:before="118"/>
        <w:ind w:left="697" w:right="221"/>
        <w:jc w:val="left"/>
      </w:pPr>
      <w:r>
        <w:rPr/>
        <w:t>本公司</w:t>
      </w:r>
      <w:r>
        <w:rPr>
          <w:spacing w:val="-61"/>
        </w:rPr>
        <w:t> </w:t>
      </w:r>
      <w:r>
        <w:rPr>
          <w:rFonts w:ascii="宋体" w:hAnsi="宋体" w:cs="宋体" w:eastAsia="宋体" w:hint="default"/>
        </w:rPr>
        <w:t>2015</w:t>
      </w:r>
      <w:r>
        <w:rPr>
          <w:rFonts w:ascii="宋体" w:hAnsi="宋体" w:cs="宋体" w:eastAsia="宋体" w:hint="default"/>
          <w:spacing w:val="-60"/>
        </w:rPr>
        <w:t> </w:t>
      </w:r>
      <w:r>
        <w:rPr/>
        <w:t>年度利润分配预案已经本公司第五届董事会第六次会议通过，拟以</w:t>
      </w:r>
    </w:p>
    <w:p>
      <w:pPr>
        <w:pStyle w:val="BodyText"/>
        <w:spacing w:line="312" w:lineRule="exact"/>
        <w:ind w:left="217" w:right="102"/>
        <w:jc w:val="left"/>
      </w:pPr>
      <w:r>
        <w:rPr/>
        <w:t>总股本</w:t>
      </w:r>
      <w:r>
        <w:rPr>
          <w:spacing w:val="-60"/>
        </w:rPr>
        <w:t> </w:t>
      </w:r>
      <w:r>
        <w:rPr>
          <w:rFonts w:ascii="宋体" w:hAnsi="宋体" w:cs="宋体" w:eastAsia="宋体" w:hint="default"/>
        </w:rPr>
        <w:t>641,825,496</w:t>
      </w:r>
      <w:r>
        <w:rPr>
          <w:rFonts w:ascii="宋体" w:hAnsi="宋体" w:cs="宋体" w:eastAsia="宋体" w:hint="default"/>
          <w:spacing w:val="-59"/>
        </w:rPr>
        <w:t> </w:t>
      </w:r>
      <w:r>
        <w:rPr>
          <w:spacing w:val="-3"/>
        </w:rPr>
        <w:t>股为基准，向全体股东每</w:t>
      </w:r>
      <w:r>
        <w:rPr>
          <w:spacing w:val="-59"/>
        </w:rPr>
        <w:t> </w:t>
      </w:r>
      <w:r>
        <w:rPr>
          <w:rFonts w:ascii="宋体" w:hAnsi="宋体" w:cs="宋体" w:eastAsia="宋体" w:hint="default"/>
        </w:rPr>
        <w:t>10</w:t>
      </w:r>
      <w:r>
        <w:rPr>
          <w:rFonts w:ascii="宋体" w:hAnsi="宋体" w:cs="宋体" w:eastAsia="宋体" w:hint="default"/>
          <w:spacing w:val="-59"/>
        </w:rPr>
        <w:t> </w:t>
      </w:r>
      <w:r>
        <w:rPr/>
        <w:t>股派发现金红利人民币</w:t>
      </w:r>
      <w:r>
        <w:rPr>
          <w:spacing w:val="-59"/>
        </w:rPr>
        <w:t> </w:t>
      </w:r>
      <w:r>
        <w:rPr>
          <w:rFonts w:ascii="宋体" w:hAnsi="宋体" w:cs="宋体" w:eastAsia="宋体" w:hint="default"/>
        </w:rPr>
        <w:t>0.50</w:t>
      </w:r>
      <w:r>
        <w:rPr>
          <w:rFonts w:ascii="宋体" w:hAnsi="宋体" w:cs="宋体" w:eastAsia="宋体" w:hint="default"/>
          <w:spacing w:val="-59"/>
        </w:rPr>
        <w:t> </w:t>
      </w:r>
      <w:r>
        <w:rPr>
          <w:spacing w:val="-8"/>
        </w:rPr>
        <w:t>元（含</w:t>
      </w:r>
    </w:p>
    <w:p>
      <w:pPr>
        <w:spacing w:after="0" w:line="312" w:lineRule="exact"/>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spacing w:line="313" w:lineRule="exact" w:before="26"/>
        <w:ind w:left="857" w:right="0"/>
        <w:jc w:val="left"/>
      </w:pPr>
      <w:r>
        <w:rPr>
          <w:spacing w:val="-3"/>
        </w:rPr>
        <w:t>税），共计派发现金红利</w:t>
      </w:r>
      <w:r>
        <w:rPr>
          <w:spacing w:val="-68"/>
        </w:rPr>
        <w:t> </w:t>
      </w:r>
      <w:r>
        <w:rPr>
          <w:rFonts w:ascii="宋体" w:hAnsi="宋体" w:cs="宋体" w:eastAsia="宋体" w:hint="default"/>
        </w:rPr>
        <w:t>32,091,274.80</w:t>
      </w:r>
      <w:r>
        <w:rPr>
          <w:rFonts w:ascii="宋体" w:hAnsi="宋体" w:cs="宋体" w:eastAsia="宋体" w:hint="default"/>
          <w:spacing w:val="-68"/>
        </w:rPr>
        <w:t> </w:t>
      </w:r>
      <w:r>
        <w:rPr/>
        <w:t>元；同时，拟以资本公积金向全体股东转增</w:t>
      </w:r>
    </w:p>
    <w:p>
      <w:pPr>
        <w:pStyle w:val="BodyText"/>
        <w:spacing w:line="313" w:lineRule="exact"/>
        <w:ind w:left="857" w:right="0"/>
        <w:jc w:val="left"/>
      </w:pPr>
      <w:r>
        <w:rPr/>
        <w:t>股本，每</w:t>
      </w:r>
      <w:r>
        <w:rPr>
          <w:spacing w:val="-61"/>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4</w:t>
      </w:r>
      <w:r>
        <w:rPr>
          <w:rFonts w:ascii="宋体" w:hAnsi="宋体" w:cs="宋体" w:eastAsia="宋体" w:hint="default"/>
          <w:spacing w:val="-60"/>
        </w:rPr>
        <w:t> </w:t>
      </w:r>
      <w:r>
        <w:rPr/>
        <w:t>股，共计转增</w:t>
      </w:r>
      <w:r>
        <w:rPr>
          <w:spacing w:val="-60"/>
        </w:rPr>
        <w:t> </w:t>
      </w:r>
      <w:r>
        <w:rPr>
          <w:rFonts w:ascii="宋体" w:hAnsi="宋体" w:cs="宋体" w:eastAsia="宋体" w:hint="default"/>
        </w:rPr>
        <w:t>256,730,198</w:t>
      </w:r>
      <w:r>
        <w:rPr>
          <w:rFonts w:ascii="宋体" w:hAnsi="宋体" w:cs="宋体" w:eastAsia="宋体" w:hint="default"/>
          <w:spacing w:val="-60"/>
        </w:rPr>
        <w:t> </w:t>
      </w:r>
      <w:r>
        <w:rPr/>
        <w:t>股。</w:t>
      </w:r>
    </w:p>
    <w:p>
      <w:pPr>
        <w:pStyle w:val="BodyText"/>
        <w:spacing w:line="331" w:lineRule="auto" w:before="115"/>
        <w:ind w:left="857" w:right="2045" w:firstLine="525"/>
        <w:jc w:val="left"/>
        <w:rPr>
          <w:rFonts w:ascii="宋体" w:hAnsi="宋体" w:cs="宋体" w:eastAsia="宋体" w:hint="default"/>
        </w:rPr>
      </w:pPr>
      <w:r>
        <w:rPr/>
        <w:t>截至</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日，本集团不存在其他应披露的资产负债表日后事项。 </w:t>
      </w:r>
      <w:r>
        <w:rPr>
          <w:rFonts w:ascii="宋体" w:hAnsi="宋体" w:cs="宋体" w:eastAsia="宋体" w:hint="default"/>
          <w:b/>
          <w:bCs/>
        </w:rPr>
        <w:t>十六、</w:t>
      </w:r>
      <w:r>
        <w:rPr>
          <w:rFonts w:ascii="宋体" w:hAnsi="宋体" w:cs="宋体" w:eastAsia="宋体" w:hint="default"/>
          <w:b/>
          <w:bCs/>
          <w:spacing w:val="-7"/>
        </w:rPr>
        <w:t> </w:t>
      </w:r>
      <w:r>
        <w:rPr>
          <w:rFonts w:ascii="宋体" w:hAnsi="宋体" w:cs="宋体" w:eastAsia="宋体" w:hint="default"/>
          <w:b/>
          <w:bCs/>
        </w:rPr>
        <w:t>其他重要事项</w:t>
      </w:r>
      <w:r>
        <w:rPr>
          <w:rFonts w:ascii="宋体" w:hAnsi="宋体" w:cs="宋体" w:eastAsia="宋体" w:hint="default"/>
        </w:rPr>
      </w:r>
    </w:p>
    <w:p>
      <w:pPr>
        <w:pStyle w:val="Heading2"/>
        <w:spacing w:line="281" w:lineRule="exact" w:before="0"/>
        <w:ind w:left="857" w:right="0"/>
        <w:jc w:val="left"/>
        <w:rPr>
          <w:b w:val="0"/>
          <w:bCs w:val="0"/>
        </w:rPr>
      </w:pPr>
      <w:r>
        <w:rPr>
          <w:rFonts w:ascii="宋体" w:hAnsi="宋体" w:cs="宋体" w:eastAsia="宋体" w:hint="default"/>
        </w:rPr>
        <w:t>1</w:t>
      </w:r>
      <w:r>
        <w:rPr/>
        <w:t>、</w:t>
      </w:r>
      <w:r>
        <w:rPr>
          <w:spacing w:val="-61"/>
        </w:rPr>
        <w:t> </w:t>
      </w:r>
      <w:r>
        <w:rPr/>
        <w:t>前期会计差错更正</w:t>
      </w:r>
      <w:r>
        <w:rPr>
          <w:b w:val="0"/>
          <w:bCs w:val="0"/>
        </w:rPr>
      </w:r>
    </w:p>
    <w:p>
      <w:pPr>
        <w:pStyle w:val="BodyText"/>
        <w:spacing w:line="240" w:lineRule="auto" w:before="55"/>
        <w:ind w:left="857"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857" w:right="0"/>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58"/>
        <w:ind w:left="857"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857" w:right="0"/>
        <w:jc w:val="left"/>
        <w:rPr>
          <w:b w:val="0"/>
          <w:bCs w:val="0"/>
        </w:rPr>
      </w:pPr>
      <w:r>
        <w:rPr>
          <w:rFonts w:ascii="宋体" w:hAnsi="宋体" w:cs="宋体" w:eastAsia="宋体" w:hint="default"/>
        </w:rPr>
        <w:t>3</w:t>
      </w:r>
      <w:r>
        <w:rPr/>
        <w:t>、</w:t>
      </w:r>
      <w:r>
        <w:rPr>
          <w:spacing w:val="-59"/>
        </w:rPr>
        <w:t> </w:t>
      </w:r>
      <w:r>
        <w:rPr/>
        <w:t>资产置换</w:t>
      </w:r>
      <w:r>
        <w:rPr>
          <w:b w:val="0"/>
          <w:bCs w:val="0"/>
        </w:rPr>
      </w:r>
    </w:p>
    <w:p>
      <w:pPr>
        <w:pStyle w:val="BodyText"/>
        <w:spacing w:line="240" w:lineRule="auto" w:before="58"/>
        <w:ind w:left="85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857" w:right="0"/>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40" w:lineRule="auto" w:before="58"/>
        <w:ind w:left="85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857" w:right="0"/>
        <w:jc w:val="left"/>
        <w:rPr>
          <w:b w:val="0"/>
          <w:bCs w:val="0"/>
        </w:rPr>
      </w:pPr>
      <w:r>
        <w:rPr>
          <w:rFonts w:ascii="宋体" w:hAnsi="宋体" w:cs="宋体" w:eastAsia="宋体" w:hint="default"/>
        </w:rPr>
        <w:t>5</w:t>
      </w:r>
      <w:r>
        <w:rPr/>
        <w:t>、</w:t>
      </w:r>
      <w:r>
        <w:rPr>
          <w:spacing w:val="-59"/>
        </w:rPr>
        <w:t> </w:t>
      </w:r>
      <w:r>
        <w:rPr/>
        <w:t>终止经营</w:t>
      </w:r>
      <w:r>
        <w:rPr>
          <w:b w:val="0"/>
          <w:bCs w:val="0"/>
        </w:rPr>
      </w:r>
    </w:p>
    <w:p>
      <w:pPr>
        <w:pStyle w:val="BodyText"/>
        <w:spacing w:line="240" w:lineRule="auto" w:before="58"/>
        <w:ind w:left="85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2"/>
        <w:spacing w:line="240" w:lineRule="auto" w:before="0"/>
        <w:ind w:left="857" w:right="0"/>
        <w:jc w:val="left"/>
        <w:rPr>
          <w:b w:val="0"/>
          <w:bCs w:val="0"/>
        </w:rPr>
      </w:pPr>
      <w:r>
        <w:rPr>
          <w:rFonts w:ascii="宋体" w:hAnsi="宋体" w:cs="宋体" w:eastAsia="宋体" w:hint="default"/>
        </w:rPr>
        <w:t>6</w:t>
      </w:r>
      <w:r>
        <w:rPr/>
        <w:t>、</w:t>
      </w:r>
      <w:r>
        <w:rPr>
          <w:spacing w:val="-59"/>
        </w:rPr>
        <w:t> </w:t>
      </w:r>
      <w:r>
        <w:rPr/>
        <w:t>分部信息</w:t>
      </w:r>
      <w:r>
        <w:rPr>
          <w:b w:val="0"/>
          <w:bCs w:val="0"/>
        </w:rPr>
      </w:r>
    </w:p>
    <w:p>
      <w:pPr>
        <w:pStyle w:val="BodyText"/>
        <w:spacing w:line="240" w:lineRule="auto" w:before="55"/>
        <w:ind w:left="857"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321" w:lineRule="auto" w:before="0"/>
        <w:ind w:left="857" w:right="5369"/>
        <w:jc w:val="left"/>
        <w:rPr>
          <w:rFonts w:ascii="宋体" w:hAnsi="宋体" w:cs="宋体" w:eastAsia="宋体" w:hint="default"/>
          <w:b w:val="0"/>
          <w:bCs w:val="0"/>
        </w:rPr>
      </w:pPr>
      <w:r>
        <w:rPr>
          <w:rFonts w:ascii="宋体" w:hAnsi="宋体" w:cs="宋体" w:eastAsia="宋体" w:hint="default"/>
        </w:rPr>
        <w:t>7</w:t>
      </w:r>
      <w:r>
        <w:rPr/>
        <w:t>、</w:t>
      </w:r>
      <w:r>
        <w:rPr>
          <w:spacing w:val="-61"/>
        </w:rPr>
        <w:t> </w:t>
      </w:r>
      <w:r>
        <w:rPr/>
        <w:t>其他对投资者决策有影响的重要交易和事项</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before="0"/>
        <w:ind w:left="857" w:right="0"/>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spacing w:line="237" w:lineRule="auto" w:before="120"/>
        <w:ind w:left="857" w:right="1551" w:firstLine="480"/>
        <w:jc w:val="both"/>
      </w:pPr>
      <w:r>
        <w:rPr/>
        <w:t>本公司之控股子公司浙江兰德纵横网络技术股份有限公司于</w:t>
      </w:r>
      <w:r>
        <w:rPr>
          <w:spacing w:val="-68"/>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8"/>
        </w:rPr>
        <w:t> </w:t>
      </w:r>
      <w:r>
        <w:rPr/>
        <w:t>月</w:t>
      </w:r>
      <w:r>
        <w:rPr>
          <w:spacing w:val="-69"/>
        </w:rPr>
        <w:t> </w:t>
      </w:r>
      <w:r>
        <w:rPr>
          <w:rFonts w:ascii="宋体" w:hAnsi="宋体" w:cs="宋体" w:eastAsia="宋体" w:hint="default"/>
        </w:rPr>
        <w:t>8</w:t>
      </w:r>
      <w:r>
        <w:rPr>
          <w:rFonts w:ascii="宋体" w:hAnsi="宋体" w:cs="宋体" w:eastAsia="宋体" w:hint="default"/>
          <w:spacing w:val="-69"/>
        </w:rPr>
        <w:t> </w:t>
      </w:r>
      <w:r>
        <w:rPr/>
        <w:t>日在 </w:t>
      </w:r>
      <w:r>
        <w:rPr>
          <w:spacing w:val="-2"/>
        </w:rPr>
        <w:t>全国中小企业股份转让系统（简称“新三板”）正式挂牌。证券简称：兰德网络；证</w:t>
      </w:r>
      <w:r>
        <w:rPr>
          <w:spacing w:val="-96"/>
        </w:rPr>
        <w:t> </w:t>
      </w:r>
      <w:r>
        <w:rPr>
          <w:spacing w:val="-96"/>
        </w:rPr>
      </w:r>
      <w:r>
        <w:rPr/>
        <w:t>券代码</w:t>
      </w:r>
      <w:r>
        <w:rPr>
          <w:spacing w:val="-61"/>
        </w:rPr>
        <w:t> </w:t>
      </w:r>
      <w:r>
        <w:rPr>
          <w:rFonts w:ascii="宋体" w:hAnsi="宋体" w:cs="宋体" w:eastAsia="宋体" w:hint="default"/>
        </w:rPr>
        <w:t>834505</w:t>
      </w:r>
      <w:r>
        <w:rPr/>
        <w:t>。</w:t>
      </w:r>
    </w:p>
    <w:p>
      <w:pPr>
        <w:pStyle w:val="BodyText"/>
        <w:spacing w:line="240" w:lineRule="auto" w:before="118"/>
        <w:ind w:left="1337" w:right="0"/>
        <w:jc w:val="left"/>
      </w:pPr>
      <w:r>
        <w:rPr/>
        <w:t>截至</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日，本集团不存在应披露的其他重要事项。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420" w:right="240"/>
        </w:sectPr>
      </w:pPr>
    </w:p>
    <w:p>
      <w:pPr>
        <w:pStyle w:val="Heading2"/>
        <w:spacing w:line="240" w:lineRule="auto"/>
        <w:ind w:left="857" w:right="-17"/>
        <w:jc w:val="left"/>
        <w:rPr>
          <w:b w:val="0"/>
          <w:bCs w:val="0"/>
        </w:rPr>
      </w:pPr>
      <w:r>
        <w:rPr/>
        <w:t>十七、</w:t>
      </w:r>
      <w:r>
        <w:rPr>
          <w:spacing w:val="-8"/>
        </w:rPr>
        <w:t> </w:t>
      </w:r>
      <w:r>
        <w:rPr/>
        <w:t>母公司财务报表主要项目注释</w:t>
      </w:r>
      <w:r>
        <w:rPr>
          <w:b w:val="0"/>
          <w:bCs w:val="0"/>
        </w:rPr>
      </w:r>
    </w:p>
    <w:p>
      <w:pPr>
        <w:spacing w:before="58"/>
        <w:ind w:left="857" w:right="-17"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tabs>
          <w:tab w:pos="1697" w:val="left" w:leader="none"/>
        </w:tabs>
        <w:spacing w:line="240" w:lineRule="auto" w:before="55"/>
        <w:ind w:left="998" w:right="-17"/>
        <w:jc w:val="left"/>
        <w:rPr>
          <w:b w:val="0"/>
          <w:bCs w:val="0"/>
        </w:rPr>
      </w:pPr>
      <w:r>
        <w:rPr>
          <w:rFonts w:ascii="宋体" w:hAnsi="宋体" w:cs="宋体" w:eastAsia="宋体" w:hint="default"/>
        </w:rPr>
        <w:t>(1).</w:t>
        <w:tab/>
      </w:r>
      <w:r>
        <w:rPr/>
        <w:t>应收账款分类披露：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2057" w:val="left" w:leader="none"/>
        </w:tabs>
        <w:spacing w:line="240" w:lineRule="auto" w:before="197"/>
        <w:ind w:left="857" w:right="0"/>
        <w:jc w:val="left"/>
      </w:pPr>
      <w:r>
        <w:rPr/>
        <w:t>单位：元</w:t>
        <w:tab/>
        <w:t>币种：人民币</w:t>
      </w:r>
    </w:p>
    <w:p>
      <w:pPr>
        <w:spacing w:after="0" w:line="240" w:lineRule="auto"/>
        <w:jc w:val="left"/>
        <w:sectPr>
          <w:type w:val="continuous"/>
          <w:pgSz w:w="11910" w:h="16840"/>
          <w:pgMar w:top="1120" w:bottom="1380" w:left="420" w:right="240"/>
          <w:cols w:num="2" w:equalWidth="0">
            <w:col w:w="4829" w:space="1364"/>
            <w:col w:w="5057"/>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43"/>
        <w:gridCol w:w="5127"/>
        <w:gridCol w:w="4736"/>
      </w:tblGrid>
      <w:tr>
        <w:trPr>
          <w:trHeight w:val="269"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15"/>
                <w:szCs w:val="15"/>
              </w:rPr>
            </w:pPr>
            <w:r>
              <w:rPr>
                <w:rFonts w:ascii="宋体" w:hAnsi="宋体" w:cs="宋体" w:eastAsia="宋体" w:hint="default"/>
                <w:sz w:val="15"/>
                <w:szCs w:val="15"/>
              </w:rPr>
              <w:t>种类</w:t>
            </w:r>
          </w:p>
        </w:tc>
        <w:tc>
          <w:tcPr>
            <w:tcW w:w="5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15"/>
                <w:szCs w:val="15"/>
              </w:rPr>
            </w:pPr>
            <w:r>
              <w:rPr>
                <w:rFonts w:ascii="宋体" w:hAnsi="宋体" w:cs="宋体" w:eastAsia="宋体" w:hint="default"/>
                <w:sz w:val="15"/>
                <w:szCs w:val="15"/>
              </w:rPr>
              <w:t>期初余额</w:t>
            </w:r>
          </w:p>
        </w:tc>
      </w:tr>
    </w:tbl>
    <w:p>
      <w:pPr>
        <w:spacing w:after="0" w:line="240" w:lineRule="auto"/>
        <w:jc w:val="center"/>
        <w:rPr>
          <w:rFonts w:ascii="宋体" w:hAnsi="宋体" w:cs="宋体" w:eastAsia="宋体" w:hint="default"/>
          <w:sz w:val="15"/>
          <w:szCs w:val="15"/>
        </w:rPr>
        <w:sectPr>
          <w:type w:val="continuous"/>
          <w:pgSz w:w="11910" w:h="16840"/>
          <w:pgMar w:top="1120" w:bottom="1380" w:left="420" w:right="24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143"/>
        <w:gridCol w:w="1337"/>
        <w:gridCol w:w="514"/>
        <w:gridCol w:w="1335"/>
        <w:gridCol w:w="670"/>
        <w:gridCol w:w="1272"/>
        <w:gridCol w:w="1334"/>
        <w:gridCol w:w="514"/>
        <w:gridCol w:w="1047"/>
        <w:gridCol w:w="710"/>
        <w:gridCol w:w="1131"/>
      </w:tblGrid>
      <w:tr>
        <w:trPr>
          <w:trHeight w:val="238" w:hRule="exact"/>
        </w:trPr>
        <w:tc>
          <w:tcPr>
            <w:tcW w:w="1143" w:type="dxa"/>
            <w:vMerge w:val="restart"/>
            <w:tcBorders>
              <w:top w:val="single" w:sz="4" w:space="0" w:color="000000"/>
              <w:left w:val="single" w:sz="4" w:space="0" w:color="000000"/>
              <w:right w:val="single" w:sz="4" w:space="0" w:color="000000"/>
            </w:tcBorders>
          </w:tcPr>
          <w:p>
            <w:pPr/>
          </w:p>
        </w:tc>
        <w:tc>
          <w:tcPr>
            <w:tcW w:w="1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96"/>
              <w:ind w:left="477" w:right="48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7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before="96"/>
              <w:ind w:left="408" w:right="40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143"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6"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6" w:right="0"/>
              <w:jc w:val="left"/>
              <w:rPr>
                <w:rFonts w:ascii="宋体" w:hAnsi="宋体" w:cs="宋体" w:eastAsia="宋体" w:hint="default"/>
                <w:sz w:val="15"/>
                <w:szCs w:val="15"/>
              </w:rPr>
            </w:pPr>
            <w:r>
              <w:rPr>
                <w:rFonts w:ascii="宋体"/>
                <w:sz w:val="15"/>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right="1"/>
              <w:jc w:val="center"/>
              <w:rPr>
                <w:rFonts w:ascii="宋体" w:hAnsi="宋体" w:cs="宋体" w:eastAsia="宋体" w:hint="default"/>
                <w:sz w:val="15"/>
                <w:szCs w:val="15"/>
              </w:rPr>
            </w:pPr>
            <w:r>
              <w:rPr>
                <w:rFonts w:ascii="宋体"/>
                <w:sz w:val="15"/>
              </w:rPr>
              <w:t>(%)</w:t>
            </w:r>
          </w:p>
        </w:tc>
        <w:tc>
          <w:tcPr>
            <w:tcW w:w="1272" w:type="dxa"/>
            <w:vMerge/>
            <w:tcBorders>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6"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6" w:right="0"/>
              <w:jc w:val="left"/>
              <w:rPr>
                <w:rFonts w:ascii="宋体" w:hAnsi="宋体" w:cs="宋体" w:eastAsia="宋体" w:hint="default"/>
                <w:sz w:val="15"/>
                <w:szCs w:val="15"/>
              </w:rPr>
            </w:pPr>
            <w:r>
              <w:rPr>
                <w:rFonts w:ascii="宋体"/>
                <w:sz w:val="15"/>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right="1"/>
              <w:jc w:val="center"/>
              <w:rPr>
                <w:rFonts w:ascii="宋体" w:hAnsi="宋体" w:cs="宋体" w:eastAsia="宋体" w:hint="default"/>
                <w:sz w:val="15"/>
                <w:szCs w:val="15"/>
              </w:rPr>
            </w:pPr>
            <w:r>
              <w:rPr>
                <w:rFonts w:ascii="宋体"/>
                <w:sz w:val="15"/>
              </w:rPr>
              <w:t>(%)</w:t>
            </w:r>
          </w:p>
        </w:tc>
        <w:tc>
          <w:tcPr>
            <w:tcW w:w="1131" w:type="dxa"/>
            <w:vMerge/>
            <w:tcBorders>
              <w:left w:val="single" w:sz="4" w:space="0" w:color="000000"/>
              <w:bottom w:val="single" w:sz="4" w:space="0" w:color="000000"/>
              <w:right w:val="single" w:sz="4" w:space="0" w:color="000000"/>
            </w:tcBorders>
          </w:tcPr>
          <w:p>
            <w:pPr/>
          </w:p>
        </w:tc>
      </w:tr>
      <w:tr>
        <w:trPr>
          <w:trHeight w:val="59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3" w:right="53"/>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30,932,342.00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900,941.98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3" w:right="0"/>
              <w:jc w:val="left"/>
              <w:rPr>
                <w:rFonts w:ascii="宋体" w:hAnsi="宋体" w:cs="宋体" w:eastAsia="宋体" w:hint="default"/>
                <w:sz w:val="15"/>
                <w:szCs w:val="15"/>
              </w:rPr>
            </w:pPr>
            <w:r>
              <w:rPr>
                <w:rFonts w:ascii="宋体"/>
                <w:sz w:val="15"/>
              </w:rPr>
              <w:t>2.91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30,031,400.02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30,932,342.00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3.33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900,942.00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1" w:right="0"/>
              <w:jc w:val="left"/>
              <w:rPr>
                <w:rFonts w:ascii="宋体" w:hAnsi="宋体" w:cs="宋体" w:eastAsia="宋体" w:hint="default"/>
                <w:sz w:val="15"/>
                <w:szCs w:val="15"/>
              </w:rPr>
            </w:pPr>
            <w:r>
              <w:rPr>
                <w:rFonts w:ascii="宋体"/>
                <w:sz w:val="15"/>
              </w:rPr>
              <w:t>2.91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30,031,400.00</w:t>
            </w:r>
          </w:p>
        </w:tc>
      </w:tr>
      <w:tr>
        <w:trPr>
          <w:trHeight w:val="59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3"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3" w:right="53"/>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1,488,650,238.41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97.96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128,034,961.84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33" w:right="0"/>
              <w:jc w:val="left"/>
              <w:rPr>
                <w:rFonts w:ascii="宋体" w:hAnsi="宋体" w:cs="宋体" w:eastAsia="宋体" w:hint="default"/>
                <w:sz w:val="15"/>
                <w:szCs w:val="15"/>
              </w:rPr>
            </w:pPr>
            <w:r>
              <w:rPr>
                <w:rFonts w:ascii="宋体"/>
                <w:sz w:val="15"/>
              </w:rPr>
              <w:t>8.60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1,360,615,276.57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898,006,190.29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96.67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94,748,072.30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97" w:right="0"/>
              <w:jc w:val="left"/>
              <w:rPr>
                <w:rFonts w:ascii="宋体" w:hAnsi="宋体" w:cs="宋体" w:eastAsia="宋体" w:hint="default"/>
                <w:sz w:val="15"/>
                <w:szCs w:val="15"/>
              </w:rPr>
            </w:pPr>
            <w:r>
              <w:rPr>
                <w:rFonts w:ascii="宋体"/>
                <w:sz w:val="15"/>
              </w:rPr>
              <w:t>10.55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803,258,117.99</w:t>
            </w:r>
          </w:p>
        </w:tc>
      </w:tr>
      <w:tr>
        <w:trPr>
          <w:trHeight w:val="59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3" w:right="53"/>
              <w:jc w:val="left"/>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准备的应收账款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3" w:right="0"/>
              <w:jc w:val="left"/>
              <w:rPr>
                <w:rFonts w:ascii="宋体" w:hAnsi="宋体" w:cs="宋体" w:eastAsia="宋体" w:hint="default"/>
                <w:sz w:val="15"/>
                <w:szCs w:val="15"/>
              </w:rPr>
            </w:pPr>
            <w:r>
              <w:rPr>
                <w:rFonts w:ascii="宋体"/>
                <w:sz w:val="15"/>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1" w:right="0"/>
              <w:jc w:val="left"/>
              <w:rPr>
                <w:rFonts w:ascii="宋体" w:hAnsi="宋体" w:cs="宋体" w:eastAsia="宋体" w:hint="default"/>
                <w:sz w:val="15"/>
                <w:szCs w:val="15"/>
              </w:rPr>
            </w:pPr>
            <w:r>
              <w:rPr>
                <w:rFonts w:ascii="宋体"/>
                <w:sz w:val="15"/>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0.00</w:t>
            </w:r>
          </w:p>
        </w:tc>
      </w:tr>
      <w:tr>
        <w:trPr>
          <w:trHeight w:val="20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hAnsi="宋体" w:cs="宋体" w:eastAsia="宋体" w:hint="default"/>
                <w:sz w:val="15"/>
                <w:szCs w:val="15"/>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1,519,582,580.41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128,935,903.82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92" w:right="0"/>
              <w:jc w:val="left"/>
              <w:rPr>
                <w:rFonts w:ascii="宋体" w:hAnsi="宋体" w:cs="宋体" w:eastAsia="宋体" w:hint="default"/>
                <w:sz w:val="15"/>
                <w:szCs w:val="15"/>
              </w:rPr>
            </w:pPr>
            <w:r>
              <w:rPr>
                <w:rFonts w:ascii="宋体"/>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1,390,646,676.59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928,938,532.29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95,649,014.30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9" w:right="0"/>
              <w:jc w:val="left"/>
              <w:rPr>
                <w:rFonts w:ascii="宋体" w:hAnsi="宋体" w:cs="宋体" w:eastAsia="宋体" w:hint="default"/>
                <w:sz w:val="15"/>
                <w:szCs w:val="15"/>
              </w:rPr>
            </w:pPr>
            <w:r>
              <w:rPr>
                <w:rFonts w:ascii="宋体"/>
                <w:w w:val="100"/>
                <w:sz w:val="15"/>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833,289,517.99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420" w:right="240"/>
        </w:sectPr>
      </w:pPr>
    </w:p>
    <w:p>
      <w:pPr>
        <w:pStyle w:val="BodyText"/>
        <w:spacing w:line="240" w:lineRule="auto" w:before="26"/>
        <w:ind w:left="857" w:right="-19"/>
        <w:jc w:val="left"/>
      </w:pPr>
      <w:r>
        <w:rPr/>
        <w:t>期末单项金额重大并单项计提坏账准备的应收账款：</w:t>
      </w:r>
    </w:p>
    <w:p>
      <w:pPr>
        <w:pStyle w:val="BodyText"/>
        <w:spacing w:line="283" w:lineRule="auto" w:before="58"/>
        <w:ind w:left="857" w:right="221"/>
        <w:jc w:val="left"/>
      </w:pPr>
      <w:r>
        <w:rPr/>
        <w:t>□适用√不适用 组合中，按账龄分析法计提坏账准备的应收账款：</w:t>
      </w:r>
    </w:p>
    <w:p>
      <w:pPr>
        <w:pStyle w:val="BodyText"/>
        <w:spacing w:line="240" w:lineRule="auto" w:before="14"/>
        <w:ind w:left="85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831" w:val="left" w:leader="none"/>
        </w:tabs>
        <w:spacing w:line="240" w:lineRule="auto" w:before="196"/>
        <w:ind w:left="631" w:right="0"/>
        <w:jc w:val="left"/>
      </w:pPr>
      <w:r>
        <w:rPr/>
        <w:t>单位：元</w:t>
        <w:tab/>
        <w:t>币种：人民币</w:t>
      </w:r>
    </w:p>
    <w:p>
      <w:pPr>
        <w:spacing w:after="0" w:line="240" w:lineRule="auto"/>
        <w:jc w:val="left"/>
        <w:sectPr>
          <w:type w:val="continuous"/>
          <w:pgSz w:w="11910" w:h="16840"/>
          <w:pgMar w:top="1120" w:bottom="1380" w:left="420" w:right="240"/>
          <w:cols w:num="2" w:equalWidth="0">
            <w:col w:w="6379" w:space="40"/>
            <w:col w:w="4831"/>
          </w:cols>
        </w:sectPr>
      </w:pPr>
    </w:p>
    <w:p>
      <w:pPr>
        <w:spacing w:line="240" w:lineRule="auto" w:before="12"/>
        <w:rPr>
          <w:rFonts w:ascii="宋体" w:hAnsi="宋体" w:cs="宋体" w:eastAsia="宋体" w:hint="default"/>
          <w:sz w:val="2"/>
          <w:szCs w:val="2"/>
        </w:rPr>
      </w:pPr>
    </w:p>
    <w:tbl>
      <w:tblPr>
        <w:tblW w:w="0" w:type="auto"/>
        <w:jc w:val="left"/>
        <w:tblInd w:w="744" w:type="dxa"/>
        <w:tblLayout w:type="fixed"/>
        <w:tblCellMar>
          <w:top w:w="0" w:type="dxa"/>
          <w:left w:w="0" w:type="dxa"/>
          <w:bottom w:w="0" w:type="dxa"/>
          <w:right w:w="0" w:type="dxa"/>
        </w:tblCellMar>
        <w:tblLook w:val="01E0"/>
      </w:tblPr>
      <w:tblGrid>
        <w:gridCol w:w="2665"/>
        <w:gridCol w:w="2191"/>
        <w:gridCol w:w="2105"/>
        <w:gridCol w:w="2089"/>
      </w:tblGrid>
      <w:tr>
        <w:trPr>
          <w:trHeight w:val="319" w:hRule="exact"/>
        </w:trPr>
        <w:tc>
          <w:tcPr>
            <w:tcW w:w="2665"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665" w:type="dxa"/>
            <w:vMerge/>
            <w:tcBorders>
              <w:left w:val="single" w:sz="4" w:space="0" w:color="000000"/>
              <w:bottom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09"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6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59"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19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219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1,172,628,657.44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11,726,286.57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1,172,628,657.44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11,726,286.57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163,633,694.73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32,726,738.95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20.00</w:t>
            </w:r>
          </w:p>
        </w:tc>
      </w:tr>
      <w:tr>
        <w:trPr>
          <w:trHeight w:val="319"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91,204,187.25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36,481,674.90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26,095,737.23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15,657,442.34</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60.00</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18,225,713.40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14,580,570.72</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80.00</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16,862,248.36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16,862,248.36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1,488,650,238.41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128,034,961.84</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w:t>
            </w:r>
          </w:p>
        </w:tc>
      </w:tr>
    </w:tbl>
    <w:p>
      <w:pPr>
        <w:spacing w:line="240" w:lineRule="auto" w:before="5"/>
        <w:rPr>
          <w:rFonts w:ascii="宋体" w:hAnsi="宋体" w:cs="宋体" w:eastAsia="宋体" w:hint="default"/>
          <w:sz w:val="23"/>
          <w:szCs w:val="23"/>
        </w:rPr>
      </w:pPr>
    </w:p>
    <w:p>
      <w:pPr>
        <w:pStyle w:val="BodyText"/>
        <w:spacing w:line="240" w:lineRule="auto" w:before="26"/>
        <w:ind w:left="857" w:right="0"/>
        <w:jc w:val="left"/>
      </w:pPr>
      <w:r>
        <w:rPr/>
        <w:t>确定该组合依据的说明：</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spacing w:line="240" w:lineRule="auto"/>
        <w:ind w:left="857" w:right="0"/>
        <w:jc w:val="left"/>
      </w:pPr>
      <w:r>
        <w:rPr/>
        <w:t>组合中，采用余额百分比法计提坏账准备的应收账款：</w:t>
      </w:r>
    </w:p>
    <w:p>
      <w:pPr>
        <w:pStyle w:val="BodyText"/>
        <w:spacing w:line="240" w:lineRule="auto" w:before="55"/>
        <w:ind w:left="85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BodyText"/>
        <w:spacing w:line="283" w:lineRule="auto"/>
        <w:ind w:left="857" w:right="5089"/>
        <w:jc w:val="left"/>
      </w:pPr>
      <w:r>
        <w:rPr/>
        <w:t>组合中，采用其他方法计提坏账准备的应收账款： 无</w:t>
      </w:r>
    </w:p>
    <w:p>
      <w:pPr>
        <w:spacing w:line="240" w:lineRule="auto" w:before="13"/>
        <w:rPr>
          <w:rFonts w:ascii="宋体" w:hAnsi="宋体" w:cs="宋体" w:eastAsia="宋体" w:hint="default"/>
          <w:sz w:val="24"/>
          <w:szCs w:val="24"/>
        </w:rPr>
      </w:pPr>
    </w:p>
    <w:p>
      <w:pPr>
        <w:pStyle w:val="Heading2"/>
        <w:tabs>
          <w:tab w:pos="1697" w:val="left" w:leader="none"/>
        </w:tabs>
        <w:spacing w:line="240" w:lineRule="auto" w:before="0"/>
        <w:ind w:left="998" w:right="0"/>
        <w:jc w:val="left"/>
        <w:rPr>
          <w:b w:val="0"/>
          <w:bCs w:val="0"/>
        </w:rPr>
      </w:pPr>
      <w:r>
        <w:rPr>
          <w:rFonts w:ascii="宋体" w:hAnsi="宋体" w:cs="宋体" w:eastAsia="宋体" w:hint="default"/>
        </w:rPr>
        <w:t>(2).</w:t>
        <w:tab/>
      </w:r>
      <w:r>
        <w:rPr/>
        <w:t>本期计提、收回或转回的坏账准备情况：</w:t>
      </w:r>
      <w:r>
        <w:rPr>
          <w:b w:val="0"/>
          <w:bCs w:val="0"/>
        </w:rPr>
      </w:r>
    </w:p>
    <w:p>
      <w:pPr>
        <w:pStyle w:val="BodyText"/>
        <w:spacing w:line="477" w:lineRule="auto" w:before="55"/>
        <w:ind w:left="857" w:right="1969"/>
        <w:jc w:val="left"/>
      </w:pPr>
      <w:r>
        <w:rPr/>
        <w:t>本期计提坏账准备金额</w:t>
      </w:r>
      <w:r>
        <w:rPr>
          <w:spacing w:val="-61"/>
        </w:rPr>
        <w:t> </w:t>
      </w:r>
      <w:r>
        <w:rPr>
          <w:rFonts w:ascii="宋体" w:hAnsi="宋体" w:cs="宋体" w:eastAsia="宋体" w:hint="default"/>
        </w:rPr>
        <w:t>33,286,889.52</w:t>
      </w:r>
      <w:r>
        <w:rPr>
          <w:rFonts w:ascii="宋体" w:hAnsi="宋体" w:cs="宋体" w:eastAsia="宋体" w:hint="default"/>
          <w:spacing w:val="-60"/>
        </w:rPr>
        <w:t> </w:t>
      </w:r>
      <w:r>
        <w:rPr/>
        <w:t>元；本期收回或转回坏账准备金额</w:t>
      </w:r>
      <w:r>
        <w:rPr>
          <w:spacing w:val="-59"/>
        </w:rPr>
        <w:t> </w:t>
      </w:r>
      <w:r>
        <w:rPr>
          <w:rFonts w:ascii="宋体" w:hAnsi="宋体" w:cs="宋体" w:eastAsia="宋体" w:hint="default"/>
        </w:rPr>
        <w:t>0</w:t>
      </w:r>
      <w:r>
        <w:rPr>
          <w:rFonts w:ascii="宋体" w:hAnsi="宋体" w:cs="宋体" w:eastAsia="宋体" w:hint="default"/>
          <w:spacing w:val="-60"/>
        </w:rPr>
        <w:t> </w:t>
      </w:r>
      <w:r>
        <w:rPr/>
        <w:t>元。 其中本期坏账准备收回或转回金额重要的：</w:t>
      </w:r>
    </w:p>
    <w:p>
      <w:pPr>
        <w:spacing w:after="0" w:line="477" w:lineRule="auto"/>
        <w:jc w:val="left"/>
        <w:sectPr>
          <w:type w:val="continuous"/>
          <w:pgSz w:w="11910" w:h="16840"/>
          <w:pgMar w:top="1120" w:bottom="1380" w:left="420" w:right="240"/>
        </w:sectPr>
      </w:pPr>
    </w:p>
    <w:p>
      <w:pPr>
        <w:spacing w:line="240" w:lineRule="auto" w:before="13"/>
        <w:rPr>
          <w:rFonts w:ascii="宋体" w:hAnsi="宋体" w:cs="宋体" w:eastAsia="宋体" w:hint="default"/>
          <w:sz w:val="18"/>
          <w:szCs w:val="18"/>
        </w:rPr>
      </w:pPr>
    </w:p>
    <w:p>
      <w:pPr>
        <w:pStyle w:val="BodyText"/>
        <w:spacing w:line="240" w:lineRule="auto" w:before="26"/>
        <w:ind w:left="717"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tabs>
          <w:tab w:pos="1557" w:val="left" w:leader="none"/>
        </w:tabs>
        <w:spacing w:line="240" w:lineRule="auto" w:before="0"/>
        <w:ind w:left="858" w:right="0"/>
        <w:jc w:val="left"/>
        <w:rPr>
          <w:b w:val="0"/>
          <w:bCs w:val="0"/>
        </w:rPr>
      </w:pPr>
      <w:r>
        <w:rPr>
          <w:rFonts w:ascii="宋体" w:hAnsi="宋体" w:cs="宋体" w:eastAsia="宋体" w:hint="default"/>
        </w:rPr>
        <w:t>(3).</w:t>
        <w:tab/>
      </w:r>
      <w:r>
        <w:rPr/>
        <w:t>本期实际核销的应收账款情况</w:t>
      </w:r>
      <w:r>
        <w:rPr>
          <w:b w:val="0"/>
          <w:bCs w:val="0"/>
        </w:rPr>
      </w:r>
    </w:p>
    <w:p>
      <w:pPr>
        <w:pStyle w:val="BodyText"/>
        <w:spacing w:line="310" w:lineRule="exact" w:before="90"/>
        <w:ind w:left="717" w:right="6289"/>
        <w:jc w:val="left"/>
      </w:pPr>
      <w:r>
        <w:rPr/>
        <w:t>□适用</w:t>
      </w:r>
      <w:r>
        <w:rPr>
          <w:spacing w:val="-1"/>
        </w:rPr>
        <w:t> </w:t>
      </w:r>
      <w:r>
        <w:rPr/>
        <w:t>√不适用</w:t>
      </w:r>
      <w:r>
        <w:rPr/>
        <w:t> 其中重要的应收账款核销情况</w:t>
      </w:r>
    </w:p>
    <w:p>
      <w:pPr>
        <w:pStyle w:val="BodyText"/>
        <w:spacing w:line="284" w:lineRule="exact"/>
        <w:ind w:left="717"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557" w:val="left" w:leader="none"/>
        </w:tabs>
        <w:spacing w:line="240" w:lineRule="auto" w:before="0"/>
        <w:ind w:left="858" w:right="0"/>
        <w:jc w:val="left"/>
        <w:rPr>
          <w:b w:val="0"/>
          <w:bCs w:val="0"/>
        </w:rPr>
      </w:pPr>
      <w:r>
        <w:rPr>
          <w:rFonts w:ascii="宋体" w:hAnsi="宋体" w:cs="宋体" w:eastAsia="宋体" w:hint="default"/>
        </w:rPr>
        <w:t>(4).</w:t>
        <w:tab/>
      </w:r>
      <w:r>
        <w:rPr/>
        <w:t>按欠款方归集的期末余额前五名的应收账款情况：</w:t>
      </w:r>
      <w:r>
        <w:rPr>
          <w:b w:val="0"/>
          <w:bCs w:val="0"/>
        </w:rPr>
      </w:r>
    </w:p>
    <w:p>
      <w:pPr>
        <w:pStyle w:val="BodyText"/>
        <w:spacing w:line="237" w:lineRule="auto" w:before="58"/>
        <w:ind w:left="596" w:right="575" w:firstLine="480"/>
        <w:jc w:val="both"/>
      </w:pPr>
      <w:r>
        <w:rPr/>
        <w:t>本期按欠款方归集的期末余额前五名应收账款汇总金额</w:t>
      </w:r>
      <w:r>
        <w:rPr>
          <w:spacing w:val="-60"/>
        </w:rPr>
        <w:t> </w:t>
      </w:r>
      <w:r>
        <w:rPr>
          <w:rFonts w:ascii="宋体" w:hAnsi="宋体" w:cs="宋体" w:eastAsia="宋体" w:hint="default"/>
        </w:rPr>
        <w:t>491,811,553.15</w:t>
      </w:r>
      <w:r>
        <w:rPr>
          <w:rFonts w:ascii="宋体" w:hAnsi="宋体" w:cs="宋体" w:eastAsia="宋体" w:hint="default"/>
          <w:spacing w:val="-60"/>
        </w:rPr>
        <w:t> </w:t>
      </w:r>
      <w:r>
        <w:rPr>
          <w:spacing w:val="-12"/>
        </w:rPr>
        <w:t>元，占应</w:t>
      </w:r>
      <w:r>
        <w:rPr/>
        <w:t> </w:t>
      </w:r>
      <w:r>
        <w:rPr>
          <w:spacing w:val="19"/>
        </w:rPr>
        <w:t>收账款期末余额合计数的比例</w:t>
      </w:r>
      <w:r>
        <w:rPr>
          <w:spacing w:val="35"/>
        </w:rPr>
        <w:t> </w:t>
      </w:r>
      <w:r>
        <w:rPr>
          <w:rFonts w:ascii="宋体" w:hAnsi="宋体" w:cs="宋体" w:eastAsia="宋体" w:hint="default"/>
        </w:rPr>
        <w:t>32.36%</w:t>
      </w:r>
      <w:r>
        <w:rPr>
          <w:rFonts w:ascii="宋体" w:hAnsi="宋体" w:cs="宋体" w:eastAsia="宋体" w:hint="default"/>
          <w:spacing w:val="-97"/>
        </w:rPr>
        <w:t> </w:t>
      </w:r>
      <w:r>
        <w:rPr>
          <w:spacing w:val="19"/>
        </w:rPr>
        <w:t>，相应计提的坏账准备期末余额汇总金额</w:t>
      </w:r>
      <w:r>
        <w:rPr>
          <w:spacing w:val="-116"/>
        </w:rPr>
        <w:t> </w:t>
      </w:r>
      <w:r>
        <w:rPr>
          <w:rFonts w:ascii="宋体" w:hAnsi="宋体" w:cs="宋体" w:eastAsia="宋体" w:hint="default"/>
        </w:rPr>
        <w:t>15,426,731.18</w:t>
      </w:r>
      <w:r>
        <w:rPr>
          <w:rFonts w:ascii="宋体" w:hAnsi="宋体" w:cs="宋体" w:eastAsia="宋体" w:hint="default"/>
          <w:spacing w:val="-60"/>
        </w:rPr>
        <w:t> </w:t>
      </w:r>
      <w:r>
        <w:rPr/>
        <w:t>元。</w:t>
      </w:r>
    </w:p>
    <w:p>
      <w:pPr>
        <w:pStyle w:val="Heading2"/>
        <w:tabs>
          <w:tab w:pos="1557" w:val="left" w:leader="none"/>
        </w:tabs>
        <w:spacing w:line="240" w:lineRule="auto" w:before="56"/>
        <w:ind w:left="858" w:right="0"/>
        <w:jc w:val="left"/>
        <w:rPr>
          <w:b w:val="0"/>
          <w:bCs w:val="0"/>
        </w:rPr>
      </w:pPr>
      <w:r>
        <w:rPr>
          <w:rFonts w:ascii="宋体" w:hAnsi="宋体" w:cs="宋体" w:eastAsia="宋体" w:hint="default"/>
        </w:rPr>
        <w:t>(5).</w:t>
        <w:tab/>
      </w:r>
      <w:r>
        <w:rPr/>
        <w:t>因金融资产转移而终止确认的应收账款：</w:t>
      </w:r>
      <w:r>
        <w:rPr>
          <w:b w:val="0"/>
          <w:bCs w:val="0"/>
        </w:rPr>
      </w:r>
    </w:p>
    <w:p>
      <w:pPr>
        <w:pStyle w:val="BodyText"/>
        <w:spacing w:line="240" w:lineRule="auto" w:before="58"/>
        <w:ind w:left="596" w:right="0"/>
        <w:jc w:val="left"/>
      </w:pPr>
      <w:r>
        <w:rPr/>
        <w:t>无</w:t>
      </w:r>
    </w:p>
    <w:p>
      <w:pPr>
        <w:spacing w:line="240" w:lineRule="auto" w:before="7"/>
        <w:rPr>
          <w:rFonts w:ascii="宋体" w:hAnsi="宋体" w:cs="宋体" w:eastAsia="宋体" w:hint="default"/>
          <w:sz w:val="23"/>
          <w:szCs w:val="23"/>
        </w:rPr>
      </w:pPr>
    </w:p>
    <w:p>
      <w:pPr>
        <w:pStyle w:val="Heading2"/>
        <w:tabs>
          <w:tab w:pos="1557" w:val="left" w:leader="none"/>
        </w:tabs>
        <w:spacing w:line="240" w:lineRule="auto"/>
        <w:ind w:left="858" w:right="0"/>
        <w:jc w:val="left"/>
        <w:rPr>
          <w:b w:val="0"/>
          <w:bCs w:val="0"/>
        </w:rPr>
      </w:pPr>
      <w:r>
        <w:rPr>
          <w:rFonts w:ascii="宋体" w:hAnsi="宋体" w:cs="宋体" w:eastAsia="宋体" w:hint="default"/>
        </w:rPr>
        <w:t>(6).</w:t>
        <w:tab/>
      </w:r>
      <w:r>
        <w:rPr/>
        <w:t>转移应收账款且继续涉入形成的资产、负债金额：</w:t>
      </w:r>
      <w:r>
        <w:rPr>
          <w:b w:val="0"/>
          <w:bCs w:val="0"/>
        </w:rPr>
      </w:r>
    </w:p>
    <w:p>
      <w:pPr>
        <w:pStyle w:val="BodyText"/>
        <w:spacing w:line="240" w:lineRule="auto" w:before="55"/>
        <w:ind w:left="596" w:right="0"/>
        <w:jc w:val="left"/>
      </w:pPr>
      <w:r>
        <w:rPr/>
        <w:t>无</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560" w:right="1200"/>
        </w:sectPr>
      </w:pPr>
    </w:p>
    <w:p>
      <w:pPr>
        <w:pStyle w:val="BodyText"/>
        <w:spacing w:line="312" w:lineRule="exact" w:before="56"/>
        <w:ind w:left="596" w:right="1796" w:firstLine="120"/>
        <w:jc w:val="left"/>
      </w:pPr>
      <w:r>
        <w:rPr/>
        <w:t>其他说明： 无</w:t>
      </w:r>
    </w:p>
    <w:p>
      <w:pPr>
        <w:spacing w:before="27"/>
        <w:ind w:left="717" w:right="-16"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58"/>
        <w:ind w:left="717" w:right="-16"/>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796" w:val="left" w:leader="none"/>
        </w:tabs>
        <w:spacing w:line="240" w:lineRule="auto" w:before="195"/>
        <w:ind w:left="596" w:right="0"/>
        <w:jc w:val="left"/>
      </w:pPr>
      <w:r>
        <w:rPr/>
        <w:t>单位：元</w:t>
        <w:tab/>
        <w:t>币种：人民币</w:t>
      </w:r>
    </w:p>
    <w:p>
      <w:pPr>
        <w:spacing w:after="0" w:line="240" w:lineRule="auto"/>
        <w:jc w:val="left"/>
        <w:sectPr>
          <w:type w:val="continuous"/>
          <w:pgSz w:w="11910" w:h="16840"/>
          <w:pgMar w:top="1120" w:bottom="1380" w:left="560" w:right="1200"/>
          <w:cols w:num="2" w:equalWidth="0">
            <w:col w:w="3733" w:space="2581"/>
            <w:col w:w="3836"/>
          </w:cols>
        </w:sectPr>
      </w:pP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12"/>
        <w:gridCol w:w="1272"/>
        <w:gridCol w:w="442"/>
        <w:gridCol w:w="1047"/>
        <w:gridCol w:w="362"/>
        <w:gridCol w:w="1275"/>
        <w:gridCol w:w="1121"/>
        <w:gridCol w:w="442"/>
        <w:gridCol w:w="1047"/>
        <w:gridCol w:w="365"/>
        <w:gridCol w:w="1121"/>
      </w:tblGrid>
      <w:tr>
        <w:trPr>
          <w:trHeight w:val="295" w:hRule="exact"/>
        </w:trPr>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412" w:type="dxa"/>
            <w:vMerge/>
            <w:tcBorders>
              <w:left w:val="single" w:sz="4" w:space="0" w:color="000000"/>
              <w:right w:val="single" w:sz="4" w:space="0" w:color="000000"/>
            </w:tcBorders>
          </w:tcPr>
          <w:p>
            <w:pP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2" w:right="47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03" w:right="40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412"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4"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75"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6"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21" w:type="dxa"/>
            <w:vMerge/>
            <w:tcBorders>
              <w:left w:val="single" w:sz="4" w:space="0" w:color="000000"/>
              <w:bottom w:val="single" w:sz="4" w:space="0" w:color="000000"/>
              <w:right w:val="single" w:sz="4" w:space="0" w:color="000000"/>
            </w:tcBorders>
          </w:tcPr>
          <w:p>
            <w:pPr/>
          </w:p>
        </w:tc>
      </w:tr>
      <w:tr>
        <w:trPr>
          <w:trHeight w:val="59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单项金额重大并单独</w:t>
            </w:r>
          </w:p>
          <w:p>
            <w:pPr>
              <w:pStyle w:val="TableParagraph"/>
              <w:spacing w:line="240" w:lineRule="auto"/>
              <w:ind w:left="24" w:right="22"/>
              <w:jc w:val="left"/>
              <w:rPr>
                <w:rFonts w:ascii="宋体" w:hAnsi="宋体" w:cs="宋体" w:eastAsia="宋体" w:hint="default"/>
                <w:sz w:val="15"/>
                <w:szCs w:val="15"/>
              </w:rPr>
            </w:pPr>
            <w:r>
              <w:rPr>
                <w:rFonts w:ascii="宋体" w:hAnsi="宋体" w:cs="宋体" w:eastAsia="宋体" w:hint="default"/>
                <w:sz w:val="15"/>
                <w:szCs w:val="15"/>
              </w:rPr>
              <w:t>计提坏账准备的其他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0.00</w:t>
            </w:r>
          </w:p>
        </w:tc>
      </w:tr>
      <w:tr>
        <w:trPr>
          <w:trHeight w:val="59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按信用风险特征组合</w:t>
            </w:r>
          </w:p>
          <w:p>
            <w:pPr>
              <w:pStyle w:val="TableParagraph"/>
              <w:spacing w:line="240" w:lineRule="auto"/>
              <w:ind w:left="24" w:right="22"/>
              <w:jc w:val="left"/>
              <w:rPr>
                <w:rFonts w:ascii="宋体" w:hAnsi="宋体" w:cs="宋体" w:eastAsia="宋体" w:hint="default"/>
                <w:sz w:val="15"/>
                <w:szCs w:val="15"/>
              </w:rPr>
            </w:pPr>
            <w:r>
              <w:rPr>
                <w:rFonts w:ascii="宋体" w:hAnsi="宋体" w:cs="宋体" w:eastAsia="宋体" w:hint="default"/>
                <w:sz w:val="15"/>
                <w:szCs w:val="15"/>
              </w:rPr>
              <w:t>计提坏账准备的其他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1,035,973,756.60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99.91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26,579,155.82</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1,009,394,600.78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220,325,548.19</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99.54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13,165,729.83</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5.98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207,159,818.36</w:t>
            </w:r>
          </w:p>
        </w:tc>
      </w:tr>
      <w:tr>
        <w:trPr>
          <w:trHeight w:val="59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单项金额不重大但单</w:t>
            </w:r>
          </w:p>
          <w:p>
            <w:pPr>
              <w:pStyle w:val="TableParagraph"/>
              <w:spacing w:line="240" w:lineRule="auto"/>
              <w:ind w:left="24" w:right="22"/>
              <w:jc w:val="left"/>
              <w:rPr>
                <w:rFonts w:ascii="宋体" w:hAnsi="宋体" w:cs="宋体" w:eastAsia="宋体" w:hint="default"/>
                <w:sz w:val="15"/>
                <w:szCs w:val="15"/>
              </w:rPr>
            </w:pPr>
            <w:r>
              <w:rPr>
                <w:rFonts w:ascii="宋体" w:hAnsi="宋体" w:cs="宋体" w:eastAsia="宋体" w:hint="default"/>
                <w:sz w:val="15"/>
                <w:szCs w:val="15"/>
              </w:rPr>
              <w:t>独计提坏账准备的其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968,926.60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0.09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968,926.60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1,009,680.80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0.46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1,009,680.80</w:t>
            </w:r>
          </w:p>
        </w:tc>
      </w:tr>
      <w:tr>
        <w:trPr>
          <w:trHeight w:val="20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1,036,942,683.20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
              <w:jc w:val="center"/>
              <w:rPr>
                <w:rFonts w:ascii="宋体" w:hAnsi="宋体" w:cs="宋体" w:eastAsia="宋体" w:hint="default"/>
                <w:sz w:val="15"/>
                <w:szCs w:val="15"/>
              </w:rPr>
            </w:pPr>
            <w:r>
              <w:rPr>
                <w:rFonts w:ascii="宋体"/>
                <w:w w:val="100"/>
                <w:sz w:val="15"/>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26,579,155.82</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1,010,363,527.38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221,335,228.99</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13,165,729.83</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
              <w:jc w:val="center"/>
              <w:rPr>
                <w:rFonts w:ascii="宋体" w:hAnsi="宋体" w:cs="宋体" w:eastAsia="宋体" w:hint="default"/>
                <w:sz w:val="15"/>
                <w:szCs w:val="15"/>
              </w:rPr>
            </w:pPr>
            <w:r>
              <w:rPr>
                <w:rFonts w:ascii="宋体"/>
                <w:w w:val="100"/>
                <w:sz w:val="15"/>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208,169,499.16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560" w:right="1200"/>
        </w:sectPr>
      </w:pPr>
    </w:p>
    <w:p>
      <w:pPr>
        <w:pStyle w:val="BodyText"/>
        <w:spacing w:line="240" w:lineRule="auto" w:before="26"/>
        <w:ind w:left="717" w:right="-19"/>
        <w:jc w:val="left"/>
      </w:pPr>
      <w:r>
        <w:rPr/>
        <w:t>期末单项金额重大并单项计提坏账准备的其他应收款：</w:t>
      </w:r>
    </w:p>
    <w:p>
      <w:pPr>
        <w:pStyle w:val="BodyText"/>
        <w:spacing w:line="283" w:lineRule="auto" w:before="55"/>
        <w:ind w:left="717" w:right="221"/>
        <w:jc w:val="left"/>
      </w:pPr>
      <w:r>
        <w:rPr/>
        <w:t>□适用√不适用 组合中，按账龄分析法计提坏账准备的其他应收款：</w:t>
      </w:r>
    </w:p>
    <w:p>
      <w:pPr>
        <w:pStyle w:val="BodyText"/>
        <w:spacing w:line="240" w:lineRule="auto" w:before="14"/>
        <w:ind w:left="717" w:right="-19"/>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591" w:val="left" w:leader="none"/>
        </w:tabs>
        <w:spacing w:line="240" w:lineRule="auto" w:before="195"/>
        <w:ind w:left="391" w:right="0"/>
        <w:jc w:val="left"/>
      </w:pPr>
      <w:r>
        <w:rPr/>
        <w:t>单位：元</w:t>
        <w:tab/>
        <w:t>币种：人民币</w:t>
      </w:r>
    </w:p>
    <w:p>
      <w:pPr>
        <w:spacing w:after="0" w:line="240" w:lineRule="auto"/>
        <w:jc w:val="left"/>
        <w:sectPr>
          <w:type w:val="continuous"/>
          <w:pgSz w:w="11910" w:h="16840"/>
          <w:pgMar w:top="1120" w:bottom="1380" w:left="560" w:right="1200"/>
          <w:cols w:num="2" w:equalWidth="0">
            <w:col w:w="6479" w:space="40"/>
            <w:col w:w="3631"/>
          </w:cols>
        </w:sectPr>
      </w:pPr>
    </w:p>
    <w:p>
      <w:pPr>
        <w:spacing w:line="240" w:lineRule="auto" w:before="10"/>
        <w:rPr>
          <w:rFonts w:ascii="宋体" w:hAnsi="宋体" w:cs="宋体" w:eastAsia="宋体" w:hint="default"/>
          <w:sz w:val="2"/>
          <w:szCs w:val="2"/>
        </w:rPr>
      </w:pPr>
    </w:p>
    <w:tbl>
      <w:tblPr>
        <w:tblW w:w="0" w:type="auto"/>
        <w:jc w:val="left"/>
        <w:tblInd w:w="604" w:type="dxa"/>
        <w:tblLayout w:type="fixed"/>
        <w:tblCellMar>
          <w:top w:w="0" w:type="dxa"/>
          <w:left w:w="0" w:type="dxa"/>
          <w:bottom w:w="0" w:type="dxa"/>
          <w:right w:w="0" w:type="dxa"/>
        </w:tblCellMar>
        <w:tblLook w:val="01E0"/>
      </w:tblPr>
      <w:tblGrid>
        <w:gridCol w:w="3503"/>
        <w:gridCol w:w="5547"/>
      </w:tblGrid>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bl>
    <w:p>
      <w:pPr>
        <w:spacing w:after="0" w:line="274" w:lineRule="exact"/>
        <w:jc w:val="center"/>
        <w:rPr>
          <w:rFonts w:ascii="宋体" w:hAnsi="宋体" w:cs="宋体" w:eastAsia="宋体" w:hint="default"/>
          <w:sz w:val="24"/>
          <w:szCs w:val="24"/>
        </w:rPr>
        <w:sectPr>
          <w:type w:val="continuous"/>
          <w:pgSz w:w="11910" w:h="16840"/>
          <w:pgMar w:top="1120" w:bottom="1380" w:left="560" w:right="12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503"/>
        <w:gridCol w:w="2254"/>
        <w:gridCol w:w="1822"/>
        <w:gridCol w:w="1472"/>
      </w:tblGrid>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0"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25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225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960,097,835.91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9,600,978.36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960,097,835.91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9,600,978.36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67,054,284.55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13,410,856.91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8,652,470.92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3,460,988.37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14,165.22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11,332.18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w:t>
            </w:r>
          </w:p>
        </w:tc>
      </w:tr>
      <w:tr>
        <w:trPr>
          <w:trHeight w:val="32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1,035,973,756.60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26,579,155.82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w:t>
            </w:r>
          </w:p>
        </w:tc>
      </w:tr>
    </w:tbl>
    <w:p>
      <w:pPr>
        <w:spacing w:line="240" w:lineRule="auto" w:before="8"/>
        <w:rPr>
          <w:rFonts w:ascii="宋体" w:hAnsi="宋体" w:cs="宋体" w:eastAsia="宋体" w:hint="default"/>
          <w:sz w:val="18"/>
          <w:szCs w:val="18"/>
        </w:rPr>
      </w:pPr>
    </w:p>
    <w:p>
      <w:pPr>
        <w:pStyle w:val="BodyText"/>
        <w:spacing w:line="240" w:lineRule="auto" w:before="26"/>
        <w:ind w:left="217" w:right="2569"/>
        <w:jc w:val="left"/>
      </w:pPr>
      <w:r>
        <w:rPr/>
        <w:t>确定该组合依据的说明：</w:t>
      </w:r>
    </w:p>
    <w:p>
      <w:pPr>
        <w:spacing w:line="240" w:lineRule="auto" w:before="11"/>
        <w:rPr>
          <w:rFonts w:ascii="宋体" w:hAnsi="宋体" w:cs="宋体" w:eastAsia="宋体" w:hint="default"/>
          <w:sz w:val="23"/>
          <w:szCs w:val="23"/>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240" w:lineRule="auto" w:before="26"/>
        <w:ind w:left="217" w:right="2569"/>
        <w:jc w:val="left"/>
      </w:pPr>
      <w:r>
        <w:rPr/>
        <w:t>组合中，采用余额百分比法计提坏账准备的其他应收款：</w:t>
      </w:r>
    </w:p>
    <w:p>
      <w:pPr>
        <w:pStyle w:val="BodyText"/>
        <w:spacing w:line="240" w:lineRule="auto" w:before="58"/>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BodyText"/>
        <w:spacing w:line="283" w:lineRule="auto"/>
        <w:ind w:left="217" w:right="3529"/>
        <w:jc w:val="left"/>
      </w:pPr>
      <w:r>
        <w:rPr/>
        <w:t>组合中，采用其他方法计提坏账准备的其他应收款： 无</w:t>
      </w:r>
    </w:p>
    <w:p>
      <w:pPr>
        <w:spacing w:line="240" w:lineRule="auto" w:before="11"/>
        <w:rPr>
          <w:rFonts w:ascii="宋体" w:hAnsi="宋体" w:cs="宋体" w:eastAsia="宋体" w:hint="default"/>
          <w:sz w:val="24"/>
          <w:szCs w:val="24"/>
        </w:rPr>
      </w:pPr>
    </w:p>
    <w:p>
      <w:pPr>
        <w:pStyle w:val="Heading2"/>
        <w:spacing w:line="240" w:lineRule="auto" w:before="0"/>
        <w:ind w:right="2569"/>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312" w:lineRule="exact" w:before="88"/>
        <w:ind w:left="217" w:right="110" w:firstLine="480"/>
        <w:jc w:val="left"/>
      </w:pPr>
      <w:r>
        <w:rPr/>
        <w:t>本期计提坏账准备金额</w:t>
      </w:r>
      <w:r>
        <w:rPr>
          <w:spacing w:val="-48"/>
        </w:rPr>
        <w:t> </w:t>
      </w:r>
      <w:r>
        <w:rPr>
          <w:rFonts w:ascii="宋体" w:hAnsi="宋体" w:cs="宋体" w:eastAsia="宋体" w:hint="default"/>
        </w:rPr>
        <w:t>13,413,425.99</w:t>
      </w:r>
      <w:r>
        <w:rPr>
          <w:rFonts w:ascii="宋体" w:hAnsi="宋体" w:cs="宋体" w:eastAsia="宋体" w:hint="default"/>
          <w:spacing w:val="-42"/>
        </w:rPr>
        <w:t> </w:t>
      </w:r>
      <w:r>
        <w:rPr/>
        <w:t>元；本期收回或转回坏账准备金额</w:t>
      </w:r>
      <w:r>
        <w:rPr>
          <w:spacing w:val="-45"/>
        </w:rPr>
        <w:t> </w:t>
      </w:r>
      <w:r>
        <w:rPr>
          <w:rFonts w:ascii="宋体" w:hAnsi="宋体" w:cs="宋体" w:eastAsia="宋体" w:hint="default"/>
        </w:rPr>
        <w:t>0</w:t>
      </w:r>
      <w:r>
        <w:rPr>
          <w:rFonts w:ascii="宋体" w:hAnsi="宋体" w:cs="宋体" w:eastAsia="宋体" w:hint="default"/>
          <w:spacing w:val="-46"/>
        </w:rPr>
        <w:t> </w:t>
      </w:r>
      <w:r>
        <w:rPr/>
        <w:t>元。</w:t>
      </w:r>
      <w:r>
        <w:rPr>
          <w:spacing w:val="2"/>
        </w:rPr>
        <w:t> </w:t>
      </w:r>
      <w:r>
        <w:rPr/>
        <w:t>其中本期坏账准备转回或收回金额重要的：</w:t>
      </w:r>
    </w:p>
    <w:p>
      <w:pPr>
        <w:pStyle w:val="BodyText"/>
        <w:spacing w:line="283" w:lineRule="exact"/>
        <w:ind w:left="217" w:right="256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9"/>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55"/>
        <w:ind w:left="217" w:right="2569"/>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060" w:right="156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2"/>
        </w:rPr>
        <w:t> </w:t>
      </w:r>
      <w:r>
        <w:rPr/>
        <w:t>其他应收款按款项性质分类情况</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4196" w:space="1997"/>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778,229.60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1,009,680.80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60,442,998.17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41,806,495.81</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2,311,689.83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3,913,970.38</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4,160,310.08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2,029,131.77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969,249,455.52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172,575,950.23</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1,036,942,683.20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221,335,228.99</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58"/>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208" w:val="left" w:leader="none"/>
        </w:tabs>
        <w:spacing w:line="240" w:lineRule="auto"/>
        <w:ind w:left="8" w:right="0"/>
        <w:jc w:val="left"/>
      </w:pPr>
      <w:r>
        <w:rPr/>
        <w:t>单位：元</w:t>
        <w:tab/>
        <w:t>币种：人民币</w:t>
      </w:r>
    </w:p>
    <w:p>
      <w:pPr>
        <w:spacing w:after="0" w:line="240" w:lineRule="auto"/>
        <w:jc w:val="left"/>
        <w:sectPr>
          <w:type w:val="continuous"/>
          <w:pgSz w:w="11910" w:h="16840"/>
          <w:pgMar w:top="1120" w:bottom="1380" w:left="1060" w:right="1560"/>
          <w:cols w:num="2" w:equalWidth="0">
            <w:col w:w="6362" w:space="40"/>
            <w:col w:w="2888"/>
          </w:cols>
        </w:sectPr>
      </w:pP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505"/>
        <w:gridCol w:w="1323"/>
        <w:gridCol w:w="1394"/>
        <w:gridCol w:w="1299"/>
        <w:gridCol w:w="1730"/>
        <w:gridCol w:w="1645"/>
      </w:tblGrid>
      <w:tr>
        <w:trPr>
          <w:trHeight w:val="48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hanging="44"/>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6"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南京华胜天成信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639,601,887.44</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61.68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6,396,018.87</w:t>
            </w:r>
          </w:p>
        </w:tc>
      </w:tr>
      <w:tr>
        <w:trPr>
          <w:trHeight w:val="48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华胜信泰科技有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104,327,433.81</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1,043,274.34</w:t>
            </w:r>
          </w:p>
        </w:tc>
      </w:tr>
      <w:tr>
        <w:trPr>
          <w:trHeight w:val="715"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北京华胜天成基</w:t>
            </w:r>
          </w:p>
          <w:p>
            <w:pPr>
              <w:pStyle w:val="TableParagraph"/>
              <w:spacing w:line="232" w:lineRule="exact" w:before="23"/>
              <w:ind w:left="24" w:right="204"/>
              <w:jc w:val="left"/>
              <w:rPr>
                <w:rFonts w:ascii="宋体" w:hAnsi="宋体" w:cs="宋体" w:eastAsia="宋体" w:hint="default"/>
                <w:sz w:val="18"/>
                <w:szCs w:val="18"/>
              </w:rPr>
            </w:pPr>
            <w:r>
              <w:rPr>
                <w:rFonts w:ascii="宋体" w:hAnsi="宋体" w:cs="宋体" w:eastAsia="宋体" w:hint="default"/>
                <w:sz w:val="18"/>
                <w:szCs w:val="18"/>
              </w:rPr>
              <w:t>金投资管理有限 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83,000,000.00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8.00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830,000.00</w:t>
            </w:r>
          </w:p>
        </w:tc>
      </w:tr>
      <w:tr>
        <w:trPr>
          <w:trHeight w:val="48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北京华胜天成软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件技术有限公司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80,863,644.85</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年以内</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年</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7.80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5,984,607.56</w:t>
            </w:r>
          </w:p>
        </w:tc>
      </w:tr>
      <w:tr>
        <w:trPr>
          <w:trHeight w:val="48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天津摩卡软件有</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39,594,185.18</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年以内</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年</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3.82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396,326.65</w:t>
            </w:r>
          </w:p>
        </w:tc>
      </w:tr>
      <w:tr>
        <w:trPr>
          <w:trHeight w:val="25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5"/>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
              <w:jc w:val="center"/>
              <w:rPr>
                <w:rFonts w:ascii="宋体" w:hAnsi="宋体" w:cs="宋体" w:eastAsia="宋体" w:hint="default"/>
                <w:sz w:val="18"/>
                <w:szCs w:val="18"/>
              </w:rPr>
            </w:pPr>
            <w:r>
              <w:rPr>
                <w:rFonts w:ascii="宋体"/>
                <w:sz w:val="18"/>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947,387,151.28</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5"/>
              <w:jc w:val="center"/>
              <w:rPr>
                <w:rFonts w:ascii="宋体" w:hAnsi="宋体" w:cs="宋体" w:eastAsia="宋体" w:hint="default"/>
                <w:sz w:val="18"/>
                <w:szCs w:val="18"/>
              </w:rPr>
            </w:pPr>
            <w:r>
              <w:rPr>
                <w:rFonts w:ascii="宋体"/>
                <w:sz w:val="18"/>
              </w:rPr>
              <w:t>/</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91.36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14,650,227.42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right="2569"/>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spacing w:line="240" w:lineRule="auto" w:before="58"/>
        <w:ind w:left="217" w:right="256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85" w:lineRule="auto" w:before="0"/>
        <w:ind w:right="3869"/>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因金融资产转移而终止确认的其他应收款：</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4"/>
          <w:szCs w:val="24"/>
        </w:rPr>
      </w:pPr>
    </w:p>
    <w:p>
      <w:pPr>
        <w:pStyle w:val="Heading2"/>
        <w:spacing w:line="283" w:lineRule="auto" w:before="0"/>
        <w:ind w:right="2908"/>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w w:val="99"/>
        </w:rPr>
        <w:t> </w:t>
      </w:r>
      <w:r>
        <w:rPr>
          <w:rFonts w:ascii="宋体" w:hAnsi="宋体" w:cs="宋体" w:eastAsia="宋体" w:hint="default"/>
          <w:b w:val="0"/>
          <w:bCs w:val="0"/>
        </w:rPr>
        <w:t>无</w:t>
      </w:r>
    </w:p>
    <w:p>
      <w:pPr>
        <w:spacing w:line="240" w:lineRule="auto" w:before="7"/>
        <w:rPr>
          <w:rFonts w:ascii="宋体" w:hAnsi="宋体" w:cs="宋体" w:eastAsia="宋体" w:hint="default"/>
          <w:sz w:val="22"/>
          <w:szCs w:val="22"/>
        </w:rPr>
      </w:pPr>
    </w:p>
    <w:p>
      <w:pPr>
        <w:pStyle w:val="BodyText"/>
        <w:spacing w:line="312" w:lineRule="exact"/>
        <w:ind w:left="217" w:right="7849"/>
        <w:jc w:val="left"/>
      </w:pPr>
      <w:r>
        <w:rPr/>
        <w:t>其他说明： 无</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spacing w:before="26"/>
        <w:ind w:left="217" w:right="-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87" w:space="4106"/>
            <w:col w:w="3097"/>
          </w:cols>
        </w:sectPr>
      </w:pPr>
    </w:p>
    <w:p>
      <w:pPr>
        <w:spacing w:line="240" w:lineRule="auto" w:before="10"/>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988"/>
        <w:gridCol w:w="1321"/>
        <w:gridCol w:w="804"/>
        <w:gridCol w:w="1323"/>
        <w:gridCol w:w="1322"/>
        <w:gridCol w:w="818"/>
        <w:gridCol w:w="1321"/>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1988" w:type="dxa"/>
            <w:vMerge/>
            <w:tcBorders>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934,915,285.24</w:t>
            </w:r>
          </w:p>
        </w:tc>
        <w:tc>
          <w:tcPr>
            <w:tcW w:w="80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934,915,285.24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801,037,279.72</w:t>
            </w:r>
          </w:p>
        </w:tc>
        <w:tc>
          <w:tcPr>
            <w:tcW w:w="818"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801,037,279.72</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21"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934,915,285.24</w:t>
            </w:r>
          </w:p>
        </w:tc>
        <w:tc>
          <w:tcPr>
            <w:tcW w:w="80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934,915,285.24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801,037,279.72</w:t>
            </w:r>
          </w:p>
        </w:tc>
        <w:tc>
          <w:tcPr>
            <w:tcW w:w="818"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801,037,279.72</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2"/>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62"/>
        </w:rPr>
        <w:t> </w:t>
      </w:r>
      <w:r>
        <w:rPr/>
        <w:t>对子公司投资</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87" w:space="4106"/>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12"/>
        <w:gridCol w:w="1477"/>
        <w:gridCol w:w="1476"/>
        <w:gridCol w:w="1296"/>
        <w:gridCol w:w="1476"/>
        <w:gridCol w:w="908"/>
        <w:gridCol w:w="905"/>
      </w:tblGrid>
      <w:tr>
        <w:trPr>
          <w:trHeight w:val="71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40" w:lineRule="auto"/>
              <w:ind w:left="266" w:right="182" w:hanging="92"/>
              <w:jc w:val="left"/>
              <w:rPr>
                <w:rFonts w:ascii="宋体" w:hAnsi="宋体" w:cs="宋体" w:eastAsia="宋体" w:hint="default"/>
                <w:sz w:val="18"/>
                <w:szCs w:val="18"/>
              </w:rPr>
            </w:pPr>
            <w:r>
              <w:rPr>
                <w:rFonts w:ascii="宋体" w:hAnsi="宋体" w:cs="宋体" w:eastAsia="宋体" w:hint="default"/>
                <w:sz w:val="18"/>
                <w:szCs w:val="18"/>
              </w:rPr>
              <w:t>提减值 准备</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ind w:left="266" w:right="179" w:hanging="92"/>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24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7"/>
              <w:jc w:val="right"/>
              <w:rPr>
                <w:rFonts w:ascii="宋体" w:hAnsi="宋体" w:cs="宋体" w:eastAsia="宋体" w:hint="default"/>
                <w:sz w:val="18"/>
                <w:szCs w:val="18"/>
              </w:rPr>
            </w:pPr>
            <w:r>
              <w:rPr>
                <w:rFonts w:ascii="宋体" w:hAnsi="宋体" w:cs="宋体" w:eastAsia="宋体" w:hint="default"/>
                <w:sz w:val="18"/>
                <w:szCs w:val="18"/>
              </w:rPr>
              <w:t>华胜天成科技</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359,045,504.18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1" w:right="0"/>
              <w:jc w:val="lef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359,045,504.18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1" w:right="0"/>
              <w:jc w:val="lef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1" w:right="0"/>
              <w:jc w:val="left"/>
              <w:rPr>
                <w:rFonts w:ascii="宋体" w:hAnsi="宋体" w:cs="宋体" w:eastAsia="宋体" w:hint="default"/>
                <w:sz w:val="18"/>
                <w:szCs w:val="18"/>
              </w:rPr>
            </w:pPr>
            <w:r>
              <w:rPr>
                <w:rFonts w:ascii="宋体"/>
                <w:sz w:val="18"/>
              </w:rPr>
              <w:t>0.00</w:t>
            </w:r>
          </w:p>
        </w:tc>
      </w:tr>
    </w:tbl>
    <w:p>
      <w:pPr>
        <w:spacing w:after="0" w:line="205" w:lineRule="exact"/>
        <w:jc w:val="left"/>
        <w:rPr>
          <w:rFonts w:ascii="宋体" w:hAnsi="宋体" w:cs="宋体" w:eastAsia="宋体" w:hint="default"/>
          <w:sz w:val="18"/>
          <w:szCs w:val="18"/>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512"/>
        <w:gridCol w:w="1477"/>
        <w:gridCol w:w="1476"/>
        <w:gridCol w:w="1296"/>
        <w:gridCol w:w="1476"/>
        <w:gridCol w:w="908"/>
        <w:gridCol w:w="905"/>
      </w:tblGrid>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华胜天成科技</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（美国）有限公 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7,874,455.00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7,874,455.00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件技术有限公司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39,659,226.40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11,486,610.78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51,145,837.18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深圳华胜天成信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20,097,899.99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20,097,899.99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北京交大思源科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3,604,112.49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3,604,112.49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北京飞杰信息技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4,998,000.00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50,691.85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5,048,691.85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南京华胜天成信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50,000,000.00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19,713.48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50,019,713.48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成都华胜天成信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20,000,000.00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翰竺科技（北京）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293,700.00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22,529.71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316,229.71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广州石竹计算机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123,364,381.66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123,364,381.66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71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北京华胜天成股</w:t>
            </w:r>
          </w:p>
          <w:p>
            <w:pPr>
              <w:pStyle w:val="TableParagraph"/>
              <w:spacing w:line="232" w:lineRule="exact" w:before="24"/>
              <w:ind w:left="103" w:right="137"/>
              <w:jc w:val="left"/>
              <w:rPr>
                <w:rFonts w:ascii="宋体" w:hAnsi="宋体" w:cs="宋体" w:eastAsia="宋体" w:hint="default"/>
                <w:sz w:val="18"/>
                <w:szCs w:val="18"/>
              </w:rPr>
            </w:pPr>
            <w:r>
              <w:rPr>
                <w:rFonts w:ascii="宋体" w:hAnsi="宋体" w:cs="宋体" w:eastAsia="宋体" w:hint="default"/>
                <w:sz w:val="18"/>
                <w:szCs w:val="18"/>
              </w:rPr>
              <w:t>权投资中心（有 限合伙）</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71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北京新云东方系</w:t>
            </w:r>
          </w:p>
          <w:p>
            <w:pPr>
              <w:pStyle w:val="TableParagraph"/>
              <w:spacing w:line="232" w:lineRule="exact" w:before="24"/>
              <w:ind w:left="103" w:right="137"/>
              <w:jc w:val="left"/>
              <w:rPr>
                <w:rFonts w:ascii="宋体" w:hAnsi="宋体" w:cs="宋体" w:eastAsia="宋体" w:hint="default"/>
                <w:sz w:val="18"/>
                <w:szCs w:val="18"/>
              </w:rPr>
            </w:pPr>
            <w:r>
              <w:rPr>
                <w:rFonts w:ascii="宋体" w:hAnsi="宋体" w:cs="宋体" w:eastAsia="宋体" w:hint="default"/>
                <w:sz w:val="18"/>
                <w:szCs w:val="18"/>
              </w:rPr>
              <w:t>统科技有限责任 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275,988.99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35,275,988.99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华胜信泰科技有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112,306,967.31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212,306,967.31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71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北京华胜天成低</w:t>
            </w:r>
          </w:p>
          <w:p>
            <w:pPr>
              <w:pStyle w:val="TableParagraph"/>
              <w:spacing w:line="240" w:lineRule="auto"/>
              <w:ind w:left="103" w:right="137"/>
              <w:jc w:val="left"/>
              <w:rPr>
                <w:rFonts w:ascii="宋体" w:hAnsi="宋体" w:cs="宋体" w:eastAsia="宋体" w:hint="default"/>
                <w:sz w:val="18"/>
                <w:szCs w:val="18"/>
              </w:rPr>
            </w:pPr>
            <w:r>
              <w:rPr>
                <w:rFonts w:ascii="宋体" w:hAnsi="宋体" w:cs="宋体" w:eastAsia="宋体" w:hint="default"/>
                <w:sz w:val="18"/>
                <w:szCs w:val="18"/>
              </w:rPr>
              <w:t>碳产业创业投资 中心</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50,000,000.00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天津华胜天成信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419,615.89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419,615.89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24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801,037,279.72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139,582,118.01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5,704,112.49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934,915,285.24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right="2569"/>
        <w:jc w:val="left"/>
        <w:rPr>
          <w:b w:val="0"/>
          <w:bCs w:val="0"/>
        </w:rPr>
      </w:pPr>
      <w:r>
        <w:rPr>
          <w:rFonts w:ascii="宋体" w:hAnsi="宋体" w:cs="宋体" w:eastAsia="宋体" w:hint="default"/>
        </w:rPr>
        <w:t>(2)</w:t>
      </w:r>
      <w:r>
        <w:rPr>
          <w:rFonts w:ascii="宋体" w:hAnsi="宋体" w:cs="宋体" w:eastAsia="宋体" w:hint="default"/>
          <w:spacing w:val="-62"/>
        </w:rPr>
        <w:t> </w:t>
      </w:r>
      <w:r>
        <w:rPr/>
        <w:t>对联营、合营企业投资</w:t>
      </w:r>
      <w:r>
        <w:rPr>
          <w:b w:val="0"/>
          <w:bCs w:val="0"/>
        </w:rPr>
      </w:r>
    </w:p>
    <w:p>
      <w:pPr>
        <w:pStyle w:val="BodyText"/>
        <w:spacing w:line="312" w:lineRule="exact" w:before="86"/>
        <w:ind w:left="217" w:right="7250"/>
        <w:jc w:val="left"/>
      </w:pPr>
      <w:r>
        <w:rPr/>
        <w:t>□适用</w:t>
      </w:r>
      <w:r>
        <w:rPr>
          <w:spacing w:val="-1"/>
        </w:rPr>
        <w:t> </w:t>
      </w:r>
      <w:r>
        <w:rPr/>
        <w:t>√不适用</w:t>
      </w:r>
      <w:r>
        <w:rPr/>
        <w:t> 其他说明：</w:t>
      </w:r>
    </w:p>
    <w:p>
      <w:pPr>
        <w:pStyle w:val="BodyText"/>
        <w:spacing w:line="284" w:lineRule="exact"/>
        <w:ind w:left="217" w:right="2569"/>
        <w:jc w:val="left"/>
      </w:pPr>
      <w:r>
        <w:rPr/>
        <w:t>无</w:t>
      </w:r>
    </w:p>
    <w:p>
      <w:pPr>
        <w:spacing w:line="240" w:lineRule="auto" w:before="1"/>
        <w:rPr>
          <w:rFonts w:ascii="宋体" w:hAnsi="宋体" w:cs="宋体" w:eastAsia="宋体" w:hint="default"/>
          <w:sz w:val="26"/>
          <w:szCs w:val="26"/>
        </w:rPr>
      </w:pPr>
    </w:p>
    <w:p>
      <w:pPr>
        <w:spacing w:before="26"/>
        <w:ind w:left="217" w:right="2569"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BodyText"/>
        <w:tabs>
          <w:tab w:pos="1199" w:val="left" w:leader="none"/>
        </w:tabs>
        <w:spacing w:line="240" w:lineRule="auto" w:before="58"/>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2,883,982,332.84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2,435,171,024.67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2,361,613,208.37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1,918,621,182.76</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53,953,944.05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32,921,097.53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14,080,521.57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1,295,710.58</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3"/>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2,937,936,276.89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2,468,092,122.20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2,375,693,729.94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1,919,916,893.34</w:t>
            </w:r>
          </w:p>
        </w:tc>
      </w:tr>
    </w:tbl>
    <w:p>
      <w:pPr>
        <w:spacing w:line="240" w:lineRule="auto" w:before="3"/>
        <w:rPr>
          <w:rFonts w:ascii="宋体" w:hAnsi="宋体" w:cs="宋体" w:eastAsia="宋体" w:hint="default"/>
          <w:sz w:val="23"/>
          <w:szCs w:val="23"/>
        </w:rPr>
      </w:pPr>
    </w:p>
    <w:p>
      <w:pPr>
        <w:pStyle w:val="BodyText"/>
        <w:spacing w:line="283" w:lineRule="auto" w:before="26"/>
        <w:ind w:left="217" w:right="7849"/>
        <w:jc w:val="left"/>
      </w:pPr>
      <w:r>
        <w:rPr/>
        <w:t>其他说明： 无</w:t>
      </w:r>
    </w:p>
    <w:p>
      <w:pPr>
        <w:spacing w:after="0" w:line="283" w:lineRule="auto"/>
        <w:jc w:val="left"/>
        <w:sectPr>
          <w:pgSz w:w="11910" w:h="16840"/>
          <w:pgMar w:header="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060" w:right="1560"/>
        </w:sectPr>
      </w:pPr>
    </w:p>
    <w:p>
      <w:pPr>
        <w:spacing w:before="26"/>
        <w:ind w:left="217" w:right="-19"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55"/>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2018" w:space="4175"/>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21,300,000.00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4,301,787.51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10,569,863.01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19,591,643.55</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14,871,650.52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40,891,643.55</w:t>
            </w:r>
          </w:p>
        </w:tc>
      </w:tr>
    </w:tbl>
    <w:p>
      <w:pPr>
        <w:spacing w:line="240" w:lineRule="auto" w:before="2"/>
        <w:rPr>
          <w:rFonts w:ascii="宋体" w:hAnsi="宋体" w:cs="宋体" w:eastAsia="宋体" w:hint="default"/>
          <w:sz w:val="23"/>
          <w:szCs w:val="23"/>
        </w:rPr>
      </w:pPr>
    </w:p>
    <w:p>
      <w:pPr>
        <w:spacing w:line="285" w:lineRule="auto" w:before="26"/>
        <w:ind w:left="217" w:right="8141"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b/>
          <w:bCs/>
          <w:spacing w:val="2"/>
          <w:w w:val="99"/>
          <w:sz w:val="24"/>
          <w:szCs w:val="24"/>
        </w:rPr>
        <w:t> </w:t>
      </w:r>
      <w:r>
        <w:rPr>
          <w:rFonts w:ascii="宋体" w:hAnsi="宋体" w:cs="宋体" w:eastAsia="宋体" w:hint="default"/>
          <w:sz w:val="24"/>
          <w:szCs w:val="24"/>
        </w:rPr>
        <w:t>无</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ind w:right="-18"/>
        <w:jc w:val="left"/>
        <w:rPr>
          <w:b w:val="0"/>
          <w:bCs w:val="0"/>
        </w:rPr>
      </w:pPr>
      <w:r>
        <w:rPr/>
        <w:t>十八、</w:t>
      </w:r>
      <w:r>
        <w:rPr>
          <w:spacing w:val="-5"/>
        </w:rPr>
        <w:t> </w:t>
      </w:r>
      <w:r>
        <w:rPr/>
        <w:t>补充资料</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060" w:right="1560"/>
          <w:cols w:num="2" w:equalWidth="0">
            <w:col w:w="3349" w:space="2844"/>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-22,326,255.29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27,120,486.84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14,126,693.51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59"/>
        <w:gridCol w:w="2489"/>
        <w:gridCol w:w="2501"/>
      </w:tblGrid>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-7,627,065.31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66,139,116.00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126,977.67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4,219,825.92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非同一控制下企业合并或有对价调整</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990,066.75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-14,852,950.01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-44,973,975.57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22,942,920.51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110"/>
        <w:ind w:left="217" w:right="233"/>
        <w:jc w:val="left"/>
      </w:pPr>
      <w:r>
        <w:rPr/>
        <w:t>说明：本期营业外收入中税收返还金额</w:t>
      </w:r>
      <w:r>
        <w:rPr>
          <w:spacing w:val="-60"/>
        </w:rPr>
        <w:t> </w:t>
      </w:r>
      <w:r>
        <w:rPr>
          <w:rFonts w:ascii="宋体" w:hAnsi="宋体" w:cs="宋体" w:eastAsia="宋体" w:hint="default"/>
        </w:rPr>
        <w:t>8,611,906.74</w:t>
      </w:r>
      <w:r>
        <w:rPr>
          <w:rFonts w:ascii="宋体" w:hAnsi="宋体" w:cs="宋体" w:eastAsia="宋体" w:hint="default"/>
          <w:spacing w:val="-60"/>
        </w:rPr>
        <w:t> </w:t>
      </w:r>
      <w:r>
        <w:rPr/>
        <w:t>元，与公司正常经营业务密切 </w:t>
      </w:r>
      <w:r>
        <w:rPr>
          <w:spacing w:val="-8"/>
        </w:rPr>
        <w:t>相关，符合国家政策规定、按照一定标准定额或定量持续享受，不计入非经常性损益。</w:t>
      </w:r>
    </w:p>
    <w:p>
      <w:pPr>
        <w:spacing w:line="240" w:lineRule="auto" w:before="1"/>
        <w:rPr>
          <w:rFonts w:ascii="宋体" w:hAnsi="宋体" w:cs="宋体" w:eastAsia="宋体" w:hint="default"/>
          <w:sz w:val="35"/>
          <w:szCs w:val="35"/>
        </w:rPr>
      </w:pPr>
    </w:p>
    <w:p>
      <w:pPr>
        <w:pStyle w:val="Heading2"/>
        <w:spacing w:line="240" w:lineRule="auto" w:before="0"/>
        <w:ind w:right="2569"/>
        <w:jc w:val="left"/>
        <w:rPr>
          <w:b w:val="0"/>
          <w:bCs w:val="0"/>
        </w:rPr>
      </w:pPr>
      <w:r>
        <w:rPr>
          <w:rFonts w:ascii="宋体" w:hAnsi="宋体" w:cs="宋体" w:eastAsia="宋体" w:hint="default"/>
        </w:rPr>
        <w:t>2</w:t>
      </w:r>
      <w:r>
        <w:rPr/>
        <w:t>、</w:t>
      </w:r>
      <w:r>
        <w:rPr>
          <w:spacing w:val="-4"/>
        </w:rPr>
        <w:t> </w:t>
      </w:r>
      <w:r>
        <w:rPr/>
        <w:t>净资产收益率及每股收益</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15"/>
        <w:gridCol w:w="1841"/>
        <w:gridCol w:w="2218"/>
        <w:gridCol w:w="2077"/>
      </w:tblGrid>
      <w:tr>
        <w:trPr>
          <w:trHeight w:val="322" w:hRule="exact"/>
        </w:trPr>
        <w:tc>
          <w:tcPr>
            <w:tcW w:w="2915" w:type="dxa"/>
            <w:vMerge w:val="restart"/>
            <w:tcBorders>
              <w:top w:val="single" w:sz="4" w:space="0" w:color="000000"/>
              <w:left w:val="single" w:sz="4" w:space="0" w:color="000000"/>
              <w:right w:val="single" w:sz="4" w:space="0" w:color="000000"/>
            </w:tcBorders>
          </w:tcPr>
          <w:p>
            <w:pPr>
              <w:pStyle w:val="TableParagraph"/>
              <w:spacing w:line="240" w:lineRule="auto" w:before="144"/>
              <w:ind w:left="852"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312" w:lineRule="exact" w:before="19"/>
              <w:ind w:left="131" w:right="137" w:firstLine="60"/>
              <w:jc w:val="left"/>
              <w:rPr>
                <w:rFonts w:ascii="宋体" w:hAnsi="宋体" w:cs="宋体" w:eastAsia="宋体" w:hint="default"/>
                <w:sz w:val="24"/>
                <w:szCs w:val="24"/>
              </w:rPr>
            </w:pPr>
            <w:r>
              <w:rPr>
                <w:rFonts w:ascii="宋体" w:hAnsi="宋体" w:cs="宋体" w:eastAsia="宋体" w:hint="default"/>
                <w:sz w:val="24"/>
                <w:szCs w:val="24"/>
              </w:rPr>
              <w:t>加权平均净资 产收益率（</w:t>
            </w:r>
            <w:r>
              <w:rPr>
                <w:rFonts w:ascii="宋体" w:hAnsi="宋体" w:cs="宋体" w:eastAsia="宋体" w:hint="default"/>
                <w:sz w:val="24"/>
                <w:szCs w:val="24"/>
              </w:rPr>
              <w:t>%</w:t>
            </w:r>
            <w:r>
              <w:rPr>
                <w:rFonts w:ascii="宋体" w:hAnsi="宋体" w:cs="宋体" w:eastAsia="宋体" w:hint="default"/>
                <w:sz w:val="24"/>
                <w:szCs w:val="24"/>
              </w:rPr>
              <w:t>）</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每股收益</w:t>
            </w:r>
          </w:p>
        </w:tc>
      </w:tr>
      <w:tr>
        <w:trPr>
          <w:trHeight w:val="370" w:hRule="exact"/>
        </w:trPr>
        <w:tc>
          <w:tcPr>
            <w:tcW w:w="2915"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84"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12" w:right="0"/>
              <w:jc w:val="left"/>
              <w:rPr>
                <w:rFonts w:ascii="宋体" w:hAnsi="宋体" w:cs="宋体" w:eastAsia="宋体" w:hint="default"/>
                <w:sz w:val="24"/>
                <w:szCs w:val="24"/>
              </w:rPr>
            </w:pPr>
            <w:r>
              <w:rPr>
                <w:rFonts w:ascii="宋体" w:hAnsi="宋体" w:cs="宋体" w:eastAsia="宋体" w:hint="default"/>
                <w:sz w:val="24"/>
                <w:szCs w:val="24"/>
              </w:rPr>
              <w:t>稀释每股收益</w:t>
            </w:r>
          </w:p>
        </w:tc>
      </w:tr>
      <w:tr>
        <w:trPr>
          <w:trHeight w:val="63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2.22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0.0812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0.0811</w:t>
            </w:r>
          </w:p>
        </w:tc>
      </w:tr>
      <w:tr>
        <w:trPr>
          <w:trHeight w:val="94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扣除非经常性损益后归属</w:t>
            </w:r>
          </w:p>
          <w:p>
            <w:pPr>
              <w:pStyle w:val="TableParagraph"/>
              <w:spacing w:line="312" w:lineRule="exact" w:before="28"/>
              <w:ind w:left="103" w:right="159"/>
              <w:jc w:val="left"/>
              <w:rPr>
                <w:rFonts w:ascii="宋体" w:hAnsi="宋体" w:cs="宋体" w:eastAsia="宋体" w:hint="default"/>
                <w:sz w:val="24"/>
                <w:szCs w:val="24"/>
              </w:rPr>
            </w:pPr>
            <w:r>
              <w:rPr>
                <w:rFonts w:ascii="宋体" w:hAnsi="宋体" w:cs="宋体" w:eastAsia="宋体" w:hint="default"/>
                <w:sz w:val="24"/>
                <w:szCs w:val="24"/>
              </w:rPr>
              <w:t>于公司普通股股东的净利 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1.24</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0.0452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0.0452</w:t>
            </w:r>
          </w:p>
        </w:tc>
      </w:tr>
    </w:tbl>
    <w:p>
      <w:pPr>
        <w:spacing w:line="240" w:lineRule="auto" w:before="5"/>
        <w:rPr>
          <w:rFonts w:ascii="宋体" w:hAnsi="宋体" w:cs="宋体" w:eastAsia="宋体" w:hint="default"/>
          <w:b/>
          <w:bCs/>
          <w:sz w:val="23"/>
          <w:szCs w:val="23"/>
        </w:rPr>
      </w:pPr>
    </w:p>
    <w:p>
      <w:pPr>
        <w:pStyle w:val="Heading2"/>
        <w:spacing w:line="240" w:lineRule="auto"/>
        <w:ind w:right="2569"/>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BodyText"/>
        <w:spacing w:line="240" w:lineRule="auto" w:before="55"/>
        <w:ind w:left="217" w:right="256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85" w:lineRule="auto" w:before="0"/>
        <w:ind w:right="8083"/>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其他</w:t>
      </w:r>
      <w:r>
        <w:rPr>
          <w:spacing w:val="2"/>
          <w:w w:val="99"/>
        </w:rPr>
        <w:t> </w:t>
      </w:r>
      <w:r>
        <w:rPr>
          <w:rFonts w:ascii="宋体" w:hAnsi="宋体" w:cs="宋体" w:eastAsia="宋体" w:hint="default"/>
          <w:b w:val="0"/>
          <w:bCs w:val="0"/>
        </w:rPr>
        <w:t>无</w:t>
      </w:r>
    </w:p>
    <w:p>
      <w:pPr>
        <w:spacing w:after="0" w:line="285" w:lineRule="auto"/>
        <w:jc w:val="left"/>
        <w:rPr>
          <w:rFonts w:ascii="宋体" w:hAnsi="宋体" w:cs="宋体" w:eastAsia="宋体" w:hint="default"/>
        </w:rPr>
        <w:sectPr>
          <w:pgSz w:w="11910" w:h="16840"/>
          <w:pgMar w:header="0" w:footer="1195" w:top="1120" w:bottom="1380" w:left="1060" w:right="15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78"/>
          <w:pgSz w:w="11910" w:h="16840"/>
          <w:pgMar w:footer="1195" w:header="0" w:top="1120" w:bottom="1380" w:left="114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8"/>
        <w:ind w:left="3062" w:right="3078"/>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0" w:type="dxa"/>
        <w:tblLayout w:type="fixed"/>
        <w:tblCellMar>
          <w:top w:w="0" w:type="dxa"/>
          <w:left w:w="0" w:type="dxa"/>
          <w:bottom w:w="0" w:type="dxa"/>
          <w:right w:w="0" w:type="dxa"/>
        </w:tblCellMar>
        <w:tblLook w:val="01E0"/>
      </w:tblPr>
      <w:tblGrid>
        <w:gridCol w:w="2295"/>
        <w:gridCol w:w="6602"/>
      </w:tblGrid>
      <w:tr>
        <w:trPr>
          <w:trHeight w:val="31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载有董事长签名的本年度报告文本；</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载有公司负责人、主管会计工作的负责人、会计机构负责人签</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名并盖章的财务报告文本；</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报告期内在《中国证券报》、《上海证券报》上刊登的所有文</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件正本和公告原稿。</w:t>
            </w:r>
          </w:p>
        </w:tc>
      </w:tr>
    </w:tbl>
    <w:p>
      <w:pPr>
        <w:pStyle w:val="BodyText"/>
        <w:spacing w:line="276" w:lineRule="auto" w:before="7"/>
        <w:ind w:left="4825" w:right="141" w:firstLine="2460"/>
        <w:jc w:val="left"/>
      </w:pPr>
      <w:r>
        <w:rPr/>
        <w:t>董事长：王维航 董事会批准报送日期：</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ind w:left="137" w:right="144"/>
        <w:jc w:val="left"/>
        <w:rPr>
          <w:b w:val="0"/>
          <w:bCs w:val="0"/>
        </w:rPr>
      </w:pPr>
      <w:r>
        <w:rPr/>
        <w:t>修订信息</w:t>
      </w:r>
      <w:r>
        <w:rPr>
          <w:b w:val="0"/>
          <w:bCs w:val="0"/>
        </w:rPr>
      </w:r>
    </w:p>
    <w:p>
      <w:pPr>
        <w:spacing w:line="240" w:lineRule="auto" w:before="12"/>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2965"/>
        <w:gridCol w:w="2967"/>
        <w:gridCol w:w="2965"/>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8" w:right="0"/>
              <w:jc w:val="left"/>
              <w:rPr>
                <w:rFonts w:ascii="宋体" w:hAnsi="宋体" w:cs="宋体" w:eastAsia="宋体" w:hint="default"/>
                <w:sz w:val="24"/>
                <w:szCs w:val="24"/>
              </w:rPr>
            </w:pPr>
            <w:r>
              <w:rPr>
                <w:rFonts w:ascii="宋体" w:hAnsi="宋体" w:cs="宋体" w:eastAsia="宋体" w:hint="default"/>
                <w:sz w:val="24"/>
                <w:szCs w:val="24"/>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5" w:right="0"/>
              <w:jc w:val="left"/>
              <w:rPr>
                <w:rFonts w:ascii="宋体" w:hAnsi="宋体" w:cs="宋体" w:eastAsia="宋体" w:hint="default"/>
                <w:sz w:val="24"/>
                <w:szCs w:val="24"/>
              </w:rPr>
            </w:pPr>
            <w:r>
              <w:rPr>
                <w:rFonts w:ascii="宋体" w:hAnsi="宋体" w:cs="宋体" w:eastAsia="宋体" w:hint="default"/>
                <w:sz w:val="24"/>
                <w:szCs w:val="24"/>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5" w:right="0"/>
              <w:jc w:val="left"/>
              <w:rPr>
                <w:rFonts w:ascii="宋体" w:hAnsi="宋体" w:cs="宋体" w:eastAsia="宋体" w:hint="default"/>
                <w:sz w:val="24"/>
                <w:szCs w:val="24"/>
              </w:rPr>
            </w:pPr>
            <w:r>
              <w:rPr>
                <w:rFonts w:ascii="宋体" w:hAnsi="宋体" w:cs="宋体" w:eastAsia="宋体" w:hint="default"/>
                <w:sz w:val="24"/>
                <w:szCs w:val="24"/>
              </w:rPr>
              <w:t>更正、补充公告内容</w:t>
            </w:r>
          </w:p>
        </w:tc>
      </w:tr>
      <w:tr>
        <w:trPr>
          <w:trHeight w:val="319"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79"/>
      <w:pgSz w:w="11910" w:h="16840"/>
      <w:pgMar w:footer="1195" w:header="0" w:top="1120" w:bottom="1380" w:left="11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450012pt;margin-top:771.169983pt;width:8.6pt;height:11pt;mso-position-horizontal-relative:page;mso-position-vertical-relative:page;z-index:-1018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8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8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1001pt;margin-top:524.546021pt;width:13.15pt;height:11pt;mso-position-horizontal-relative:page;mso-position-vertical-relative:page;z-index:-101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52</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57</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7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7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7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410004pt;margin-top:771.169983pt;width:8.6pt;height:11pt;mso-position-horizontal-relative:page;mso-position-vertical-relative:page;z-index:-101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7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1001pt;margin-top:524.546021pt;width:13.15pt;height:11pt;mso-position-horizontal-relative:page;mso-position-vertical-relative:page;z-index:-101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82</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7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87</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7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7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7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7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8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127</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30011pt;margin-top:524.546021pt;width:16.7pt;height:11pt;mso-position-horizontal-relative:page;mso-position-vertical-relative:page;z-index:-1017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w:t>
                </w:r>
                <w:r>
                  <w:rPr/>
                  <w:fldChar w:fldCharType="end"/>
                </w:r>
                <w:r>
                  <w:rPr>
                    <w:rFonts w:ascii="Calibri"/>
                    <w:sz w:val="18"/>
                  </w:rPr>
                  <w:t>9</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30011pt;margin-top:524.546021pt;width:17.7pt;height:11pt;mso-position-horizontal-relative:page;mso-position-vertical-relative:page;z-index:-101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133</w:t>
                </w:r>
                <w:r>
                  <w:rPr/>
                  <w:fldChar w:fldCharType="end"/>
                </w:r>
                <w:r>
                  <w:rPr>
                    <w:rFonts w:ascii="Calibri"/>
                    <w:spacing w:val="-1"/>
                    <w:sz w:val="18"/>
                  </w:rPr>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135</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7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7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7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7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30011pt;margin-top:524.546021pt;width:17.7pt;height:11pt;mso-position-horizontal-relative:page;mso-position-vertical-relative:page;z-index:-1016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168</w:t>
                </w:r>
                <w:r>
                  <w:rPr/>
                  <w:fldChar w:fldCharType="end"/>
                </w:r>
                <w:r>
                  <w:rPr>
                    <w:rFonts w:ascii="Calibri"/>
                    <w:spacing w:val="-1"/>
                    <w:sz w:val="18"/>
                  </w:rPr>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170</w:t>
                </w:r>
                <w:r>
                  <w:rPr/>
                  <w:fldChar w:fldCharType="end"/>
                </w:r>
                <w:r>
                  <w:rPr>
                    <w:rFonts w:ascii="Calibri"/>
                    <w:spacing w:val="-1"/>
                    <w:sz w:val="18"/>
                  </w:rPr>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6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175</w:t>
                </w:r>
                <w:r>
                  <w:rPr/>
                  <w:fldChar w:fldCharType="end"/>
                </w:r>
                <w:r>
                  <w:rPr>
                    <w:rFonts w:ascii="Calibri"/>
                    <w:spacing w:val="-1"/>
                    <w:sz w:val="18"/>
                  </w:rPr>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6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180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6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181</w:t>
                </w:r>
                <w:r>
                  <w:rPr/>
                  <w:fldChar w:fldCharType="end"/>
                </w:r>
                <w:r>
                  <w:rPr>
                    <w:rFonts w:ascii="Calibri"/>
                    <w:spacing w:val="-1"/>
                    <w:sz w:val="18"/>
                  </w:rPr>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6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190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8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850006pt;margin-top:771.169983pt;width:17.7pt;height:11pt;mso-position-horizontal-relative:page;mso-position-vertical-relative:page;z-index:-1016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191</w:t>
                </w:r>
                <w:r>
                  <w:rPr/>
                  <w:fldChar w:fldCharType="end"/>
                </w:r>
                <w:r>
                  <w:rPr>
                    <w:rFonts w:ascii="Calibri"/>
                    <w:spacing w:val="-1"/>
                    <w:sz w:val="18"/>
                  </w:rPr>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6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850006pt;margin-top:771.169983pt;width:15.7pt;height:11pt;mso-position-horizontal-relative:page;mso-position-vertical-relative:page;z-index:-1016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8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69983pt;width:13.15pt;height:11pt;mso-position-horizontal-relative:page;mso-position-vertical-relative:page;z-index:-1018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69983pt;width:11.15pt;height:11pt;mso-position-horizontal-relative:page;mso-position-vertical-relative:page;z-index:-1018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018456"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2.169998pt;margin-top:42.985607pt;width:195.85pt;height:12pt;mso-position-horizontal-relative:page;mso-position-vertical-relative:page;z-index:-1018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017280"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24.489990pt;margin-top:43.105633pt;width:195.85pt;height:12pt;mso-position-horizontal-relative:page;mso-position-vertical-relative:page;z-index:-1017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017208"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186.100006pt;margin-top:43.105606pt;width:195.85pt;height:12pt;mso-position-horizontal-relative:page;mso-position-vertical-relative:page;z-index:-1017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016992"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24.489990pt;margin-top:43.105633pt;width:195.85pt;height:12pt;mso-position-horizontal-relative:page;mso-position-vertical-relative:page;z-index:-1016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016920"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186.100006pt;margin-top:43.105606pt;width:195.85pt;height:12pt;mso-position-horizontal-relative:page;mso-position-vertical-relative:page;z-index:-101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018384"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186.100006pt;margin-top:42.985607pt;width:195.85pt;height:12pt;mso-position-horizontal-relative:page;mso-position-vertical-relative:page;z-index:-1018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018072"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24.489990pt;margin-top:43.105633pt;width:195.85pt;height:12pt;mso-position-horizontal-relative:page;mso-position-vertical-relative:page;z-index:-1018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018000"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186.100006pt;margin-top:43.105606pt;width:195.85pt;height:12pt;mso-position-horizontal-relative:page;mso-position-vertical-relative:page;z-index:-1017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01778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24.489990pt;margin-top:43.105633pt;width:195.85pt;height:12pt;mso-position-horizontal-relative:page;mso-position-vertical-relative:page;z-index:-1017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01771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186.100006pt;margin-top:43.105606pt;width:195.85pt;height:12pt;mso-position-horizontal-relative:page;mso-position-vertical-relative:page;z-index:-10176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01742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24.489990pt;margin-top:43.105633pt;width:195.85pt;height:12pt;mso-position-horizontal-relative:page;mso-position-vertical-relative:page;z-index:-1017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01735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186.100006pt;margin-top:43.105606pt;width:195.85pt;height:12pt;mso-position-horizontal-relative:page;mso-position-vertical-relative:page;z-index:-1017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5"/>
      <w:ind w:left="138"/>
    </w:pPr>
    <w:rPr>
      <w:rFonts w:ascii="宋体" w:hAnsi="宋体" w:eastAsia="宋体"/>
      <w:b/>
      <w:bCs/>
      <w:sz w:val="28"/>
      <w:szCs w:val="28"/>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ind w:left="217"/>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ecurities@teamsun.com.cn" TargetMode="External"/><Relationship Id="rId10" Type="http://schemas.openxmlformats.org/officeDocument/2006/relationships/hyperlink" Target="http://www.teamsun.com.cn/"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woqutech.com/product.html#oracle" TargetMode="External"/><Relationship Id="rId15" Type="http://schemas.openxmlformats.org/officeDocument/2006/relationships/hyperlink" Target="http://www.woqutech.com/product.html#mysql" TargetMode="External"/><Relationship Id="rId16" Type="http://schemas.openxmlformats.org/officeDocument/2006/relationships/hyperlink" Target="http://www.woqutech.com/product.html#qmonitor"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image" Target="media/image1.png"/><Relationship Id="rId25" Type="http://schemas.openxmlformats.org/officeDocument/2006/relationships/footer" Target="footer12.xml"/><Relationship Id="rId26" Type="http://schemas.openxmlformats.org/officeDocument/2006/relationships/header" Target="header3.xml"/><Relationship Id="rId27" Type="http://schemas.openxmlformats.org/officeDocument/2006/relationships/footer" Target="footer13.xml"/><Relationship Id="rId28" Type="http://schemas.openxmlformats.org/officeDocument/2006/relationships/header" Target="header4.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yperlink" Target="http://www.sse.com/" TargetMode="External"/><Relationship Id="rId33" Type="http://schemas.openxmlformats.org/officeDocument/2006/relationships/hyperlink" Target="http://www.sse.com.cn&#30456;&#20851;&#20844;&#21578;/" TargetMode="Externa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header" Target="header5.xml"/><Relationship Id="rId39" Type="http://schemas.openxmlformats.org/officeDocument/2006/relationships/footer" Target="footer21.xml"/><Relationship Id="rId40" Type="http://schemas.openxmlformats.org/officeDocument/2006/relationships/header" Target="header6.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header" Target="header7.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header" Target="header8.xml"/><Relationship Id="rId54" Type="http://schemas.openxmlformats.org/officeDocument/2006/relationships/footer" Target="footer33.xml"/><Relationship Id="rId55" Type="http://schemas.openxmlformats.org/officeDocument/2006/relationships/header" Target="header9.xml"/><Relationship Id="rId56" Type="http://schemas.openxmlformats.org/officeDocument/2006/relationships/footer" Target="footer34.xml"/><Relationship Id="rId57" Type="http://schemas.openxmlformats.org/officeDocument/2006/relationships/header" Target="header10.xml"/><Relationship Id="rId58" Type="http://schemas.openxmlformats.org/officeDocument/2006/relationships/footer" Target="footer35.xml"/><Relationship Id="rId59" Type="http://schemas.openxmlformats.org/officeDocument/2006/relationships/header" Target="header11.xml"/><Relationship Id="rId60" Type="http://schemas.openxmlformats.org/officeDocument/2006/relationships/footer" Target="footer36.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header" Target="header12.xml"/><Relationship Id="rId68" Type="http://schemas.openxmlformats.org/officeDocument/2006/relationships/footer" Target="footer43.xml"/><Relationship Id="rId69" Type="http://schemas.openxmlformats.org/officeDocument/2006/relationships/header" Target="header13.xml"/><Relationship Id="rId70" Type="http://schemas.openxmlformats.org/officeDocument/2006/relationships/footer" Target="footer44.xml"/><Relationship Id="rId71" Type="http://schemas.openxmlformats.org/officeDocument/2006/relationships/header" Target="header14.xml"/><Relationship Id="rId72" Type="http://schemas.openxmlformats.org/officeDocument/2006/relationships/footer" Target="footer45.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footer" Target="footer49.xml"/><Relationship Id="rId77" Type="http://schemas.openxmlformats.org/officeDocument/2006/relationships/footer" Target="footer50.xml"/><Relationship Id="rId78" Type="http://schemas.openxmlformats.org/officeDocument/2006/relationships/footer" Target="footer51.xml"/><Relationship Id="rId79" Type="http://schemas.openxmlformats.org/officeDocument/2006/relationships/footer" Target="foot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2020-05-04T18:49:29Z</dcterms:created>
  <dcterms:modified xsi:type="dcterms:W3CDTF">2020-05-04T18:49:29Z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2016-04-07T00:00:00Z</vt:filetime>
  </property>
  <property fmtid="{D5CDD505-2E9C-101B-9397-08002B2CF9AE}" pid="3" name="Creator">
    <vt:lpwstr>Microsoft® Office Word 2007</vt:lpwstr>
  </property>
  <property fmtid="{D5CDD505-2E9C-101B-9397-08002B2CF9AE}" pid="4" name="LastSaved">
    <vt:filetime>2020-05-04T00:00:00Z</vt:filetime>
  </property>
</Properties>
</file>