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145" w:right="-20" w:firstLine="0"/>
        <w:jc w:val="left"/>
        <w:rPr>
          <w:rFonts w:ascii="宋体" w:hAnsi="宋体" w:cs="宋体" w:eastAsia="宋体" w:hint="default"/>
          <w:sz w:val="18"/>
          <w:szCs w:val="18"/>
        </w:rPr>
      </w:pPr>
      <w:r>
        <w:rPr/>
        <w:pict>
          <v:group style="position:absolute;margin-left:74.760002pt;margin-top:16.08172pt;width:343.5pt;height:.1pt;mso-position-horizontal-relative:page;mso-position-vertical-relative:paragraph;z-index:0" coordorigin="1495,322" coordsize="6870,2">
            <v:shape style="position:absolute;left:1495;top:322;width:6870;height:2" coordorigin="1495,322" coordsize="6870,0" path="m1495,322l8365,322e" filled="false" stroked="true" strokeweight=".72pt" strokecolor="#000000">
              <v:path arrowok="t"/>
            </v:shape>
            <w10:wrap type="none"/>
          </v:group>
        </w:pict>
      </w:r>
      <w:r>
        <w:rPr>
          <w:rFonts w:ascii="宋体" w:hAnsi="宋体" w:cs="宋体" w:eastAsia="宋体" w:hint="default"/>
          <w:sz w:val="18"/>
          <w:szCs w:val="18"/>
        </w:rPr>
        <w:t>深圳市金证科技股份有限公司</w:t>
      </w:r>
    </w:p>
    <w:p>
      <w:pPr>
        <w:spacing w:before="181"/>
        <w:ind w:left="145" w:right="0" w:firstLine="0"/>
        <w:jc w:val="left"/>
        <w:rPr>
          <w:rFonts w:ascii="隶书" w:hAnsi="隶书" w:cs="隶书" w:eastAsia="隶书" w:hint="default"/>
          <w:sz w:val="28"/>
          <w:szCs w:val="28"/>
        </w:rPr>
      </w:pPr>
      <w:r>
        <w:rPr/>
        <w:br w:type="column"/>
      </w:r>
      <w:r>
        <w:rPr>
          <w:rFonts w:ascii="隶书" w:hAnsi="隶书" w:cs="隶书" w:eastAsia="隶书" w:hint="default"/>
          <w:sz w:val="24"/>
          <w:szCs w:val="24"/>
        </w:rPr>
        <w:t>2007</w:t>
      </w:r>
      <w:r>
        <w:rPr>
          <w:rFonts w:ascii="隶书" w:hAnsi="隶书" w:cs="隶书" w:eastAsia="隶书" w:hint="default"/>
          <w:spacing w:val="-63"/>
          <w:sz w:val="24"/>
          <w:szCs w:val="24"/>
        </w:rPr>
        <w:t> </w:t>
      </w:r>
      <w:r>
        <w:rPr>
          <w:rFonts w:ascii="隶书" w:hAnsi="隶书" w:cs="隶书" w:eastAsia="隶书" w:hint="default"/>
          <w:sz w:val="28"/>
          <w:szCs w:val="28"/>
        </w:rPr>
        <w:t>年度报告正文</w:t>
      </w:r>
    </w:p>
    <w:p>
      <w:pPr>
        <w:spacing w:after="0"/>
        <w:jc w:val="left"/>
        <w:rPr>
          <w:rFonts w:ascii="隶书" w:hAnsi="隶书" w:cs="隶书" w:eastAsia="隶书" w:hint="default"/>
          <w:sz w:val="28"/>
          <w:szCs w:val="28"/>
        </w:rPr>
        <w:sectPr>
          <w:type w:val="continuous"/>
          <w:pgSz w:w="12240" w:h="15840"/>
          <w:pgMar w:top="660" w:bottom="280" w:left="1380" w:right="1400"/>
          <w:cols w:num="2" w:equalWidth="0">
            <w:col w:w="2486" w:space="4498"/>
            <w:col w:w="2476"/>
          </w:cols>
        </w:sect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8"/>
        <w:rPr>
          <w:rFonts w:ascii="隶书" w:hAnsi="隶书" w:cs="隶书" w:eastAsia="隶书" w:hint="default"/>
          <w:sz w:val="18"/>
          <w:szCs w:val="18"/>
        </w:rPr>
      </w:pPr>
    </w:p>
    <w:p>
      <w:pPr>
        <w:spacing w:line="620" w:lineRule="exact" w:before="0"/>
        <w:ind w:left="1352" w:right="1281" w:firstLine="0"/>
        <w:jc w:val="center"/>
        <w:rPr>
          <w:rFonts w:ascii="黑体" w:hAnsi="黑体" w:cs="黑体" w:eastAsia="黑体" w:hint="default"/>
          <w:sz w:val="52"/>
          <w:szCs w:val="52"/>
        </w:rPr>
      </w:pPr>
      <w:r>
        <w:rPr>
          <w:rFonts w:ascii="黑体" w:hAnsi="黑体" w:cs="黑体" w:eastAsia="黑体" w:hint="default"/>
          <w:b/>
          <w:bCs/>
          <w:color w:val="FF0000"/>
          <w:sz w:val="52"/>
          <w:szCs w:val="52"/>
        </w:rPr>
        <w:t>深圳市金证科技股份有限公司</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before="343"/>
        <w:ind w:left="1351" w:right="1281" w:firstLine="0"/>
        <w:jc w:val="center"/>
        <w:rPr>
          <w:rFonts w:ascii="黑体" w:hAnsi="黑体" w:cs="黑体" w:eastAsia="黑体" w:hint="default"/>
          <w:sz w:val="52"/>
          <w:szCs w:val="52"/>
        </w:rPr>
      </w:pPr>
      <w:r>
        <w:rPr>
          <w:rFonts w:ascii="黑体" w:hAnsi="黑体" w:cs="黑体" w:eastAsia="黑体" w:hint="default"/>
          <w:b/>
          <w:bCs/>
          <w:color w:val="FF0000"/>
          <w:sz w:val="52"/>
          <w:szCs w:val="52"/>
        </w:rPr>
        <w:t>二○○七年度报告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before="351"/>
        <w:ind w:left="1351" w:right="1281" w:firstLine="0"/>
        <w:jc w:val="center"/>
        <w:rPr>
          <w:rFonts w:ascii="黑体" w:hAnsi="黑体" w:cs="黑体" w:eastAsia="黑体" w:hint="default"/>
          <w:sz w:val="48"/>
          <w:szCs w:val="48"/>
        </w:rPr>
      </w:pPr>
      <w:r>
        <w:rPr>
          <w:rFonts w:ascii="黑体" w:hAnsi="黑体" w:cs="黑体" w:eastAsia="黑体" w:hint="default"/>
          <w:sz w:val="48"/>
          <w:szCs w:val="48"/>
        </w:rPr>
        <w:t>二○○八年四月十一日</w:t>
      </w:r>
    </w:p>
    <w:p>
      <w:pPr>
        <w:spacing w:after="0"/>
        <w:jc w:val="center"/>
        <w:rPr>
          <w:rFonts w:ascii="黑体" w:hAnsi="黑体" w:cs="黑体" w:eastAsia="黑体" w:hint="default"/>
          <w:sz w:val="48"/>
          <w:szCs w:val="48"/>
        </w:rPr>
        <w:sectPr>
          <w:type w:val="continuous"/>
          <w:pgSz w:w="12240" w:h="15840"/>
          <w:pgMar w:top="660" w:bottom="280" w:left="1380" w:right="14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8"/>
          <w:szCs w:val="18"/>
        </w:rPr>
      </w:pPr>
    </w:p>
    <w:p>
      <w:pPr>
        <w:spacing w:line="580" w:lineRule="exact" w:before="0"/>
        <w:ind w:left="4263" w:right="4213" w:firstLine="0"/>
        <w:jc w:val="center"/>
        <w:rPr>
          <w:rFonts w:ascii="宋体" w:hAnsi="宋体" w:cs="宋体" w:eastAsia="宋体" w:hint="default"/>
          <w:sz w:val="48"/>
          <w:szCs w:val="48"/>
        </w:rPr>
      </w:pPr>
      <w:r>
        <w:rPr>
          <w:rFonts w:ascii="宋体" w:hAnsi="宋体" w:cs="宋体" w:eastAsia="宋体" w:hint="default"/>
          <w:b/>
          <w:bCs/>
          <w:sz w:val="48"/>
          <w:szCs w:val="48"/>
        </w:rPr>
        <w:t>目录</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375" w:val="right" w:leader="dot"/>
            </w:tabs>
            <w:spacing w:line="240" w:lineRule="auto" w:before="410"/>
            <w:ind w:right="0"/>
            <w:jc w:val="left"/>
          </w:pPr>
          <w:hyperlink w:history="true" w:anchor="_TOC_250010">
            <w:r>
              <w:rPr/>
              <w:t>一、重要提示</w:t>
            </w:r>
            <w:r>
              <w:rPr>
                <w:rFonts w:ascii="Times New Roman" w:hAnsi="Times New Roman" w:cs="Times New Roman" w:eastAsia="Times New Roman" w:hint="default"/>
              </w:rPr>
              <w:tab/>
            </w:r>
            <w:r>
              <w:rPr/>
              <w:t>2</w:t>
            </w:r>
          </w:hyperlink>
        </w:p>
        <w:p>
          <w:pPr>
            <w:pStyle w:val="TOC1"/>
            <w:tabs>
              <w:tab w:pos="9375" w:val="right" w:leader="dot"/>
            </w:tabs>
            <w:spacing w:line="240" w:lineRule="auto" w:before="116"/>
            <w:ind w:right="0"/>
            <w:jc w:val="left"/>
          </w:pPr>
          <w:hyperlink w:history="true" w:anchor="_TOC_250009">
            <w:r>
              <w:rPr/>
              <w:t>二、公司基本情况简介</w:t>
            </w:r>
            <w:r>
              <w:rPr>
                <w:rFonts w:ascii="Times New Roman" w:hAnsi="Times New Roman" w:cs="Times New Roman" w:eastAsia="Times New Roman" w:hint="default"/>
              </w:rPr>
              <w:tab/>
            </w:r>
            <w:r>
              <w:rPr/>
              <w:t>2</w:t>
            </w:r>
          </w:hyperlink>
        </w:p>
        <w:p>
          <w:pPr>
            <w:pStyle w:val="TOC1"/>
            <w:tabs>
              <w:tab w:pos="9375" w:val="right" w:leader="dot"/>
            </w:tabs>
            <w:spacing w:line="240" w:lineRule="auto"/>
            <w:ind w:right="0"/>
            <w:jc w:val="left"/>
          </w:pPr>
          <w:hyperlink w:history="true" w:anchor="_TOC_250008">
            <w:r>
              <w:rPr/>
              <w:t>三、主要财务数据和指标：</w:t>
            </w:r>
            <w:r>
              <w:rPr>
                <w:rFonts w:ascii="Times New Roman" w:hAnsi="Times New Roman" w:cs="Times New Roman" w:eastAsia="Times New Roman" w:hint="default"/>
              </w:rPr>
              <w:tab/>
            </w:r>
            <w:r>
              <w:rPr/>
              <w:t>3</w:t>
            </w:r>
          </w:hyperlink>
        </w:p>
        <w:p>
          <w:pPr>
            <w:pStyle w:val="TOC1"/>
            <w:tabs>
              <w:tab w:pos="9374" w:val="right" w:leader="dot"/>
            </w:tabs>
            <w:spacing w:line="240" w:lineRule="auto" w:before="116"/>
            <w:ind w:right="0"/>
            <w:jc w:val="left"/>
          </w:pPr>
          <w:hyperlink w:history="true" w:anchor="_TOC_250007">
            <w:r>
              <w:rPr/>
              <w:t>四、股本变动及股东情况</w:t>
            </w:r>
            <w:r>
              <w:rPr>
                <w:rFonts w:ascii="Times New Roman" w:hAnsi="Times New Roman" w:cs="Times New Roman" w:eastAsia="Times New Roman" w:hint="default"/>
              </w:rPr>
              <w:tab/>
            </w:r>
            <w:r>
              <w:rPr/>
              <w:t>4</w:t>
            </w:r>
          </w:hyperlink>
        </w:p>
        <w:p>
          <w:pPr>
            <w:pStyle w:val="TOC1"/>
            <w:tabs>
              <w:tab w:pos="9375" w:val="right" w:leader="dot"/>
            </w:tabs>
            <w:spacing w:line="240" w:lineRule="auto"/>
            <w:ind w:right="0"/>
            <w:jc w:val="left"/>
          </w:pPr>
          <w:r>
            <w:rPr/>
            <w:t>五、董事、监事和高级管理人员</w:t>
          </w:r>
          <w:r>
            <w:rPr>
              <w:rFonts w:ascii="Times New Roman" w:hAnsi="Times New Roman" w:cs="Times New Roman" w:eastAsia="Times New Roman" w:hint="default"/>
            </w:rPr>
            <w:tab/>
          </w:r>
          <w:r>
            <w:rPr/>
            <w:t>8</w:t>
          </w:r>
        </w:p>
        <w:p>
          <w:pPr>
            <w:pStyle w:val="TOC1"/>
            <w:tabs>
              <w:tab w:pos="9375" w:val="right" w:leader="dot"/>
            </w:tabs>
            <w:spacing w:line="240" w:lineRule="auto"/>
            <w:ind w:right="0"/>
            <w:jc w:val="left"/>
          </w:pPr>
          <w:hyperlink w:history="true" w:anchor="_TOC_250006">
            <w:r>
              <w:rPr/>
              <w:t>六、公司治理结构</w:t>
            </w:r>
            <w:r>
              <w:rPr>
                <w:rFonts w:ascii="Times New Roman" w:hAnsi="Times New Roman" w:cs="Times New Roman" w:eastAsia="Times New Roman" w:hint="default"/>
              </w:rPr>
              <w:tab/>
            </w:r>
            <w:r>
              <w:rPr/>
              <w:t>12</w:t>
            </w:r>
          </w:hyperlink>
        </w:p>
        <w:p>
          <w:pPr>
            <w:pStyle w:val="TOC1"/>
            <w:tabs>
              <w:tab w:pos="9375" w:val="right" w:leader="dot"/>
            </w:tabs>
            <w:spacing w:line="240" w:lineRule="auto" w:before="116"/>
            <w:ind w:right="0"/>
            <w:jc w:val="left"/>
          </w:pPr>
          <w:hyperlink w:history="true" w:anchor="_TOC_250005">
            <w:r>
              <w:rPr/>
              <w:t>七、股东大会情况简介</w:t>
            </w:r>
            <w:r>
              <w:rPr>
                <w:rFonts w:ascii="Times New Roman" w:hAnsi="Times New Roman" w:cs="Times New Roman" w:eastAsia="Times New Roman" w:hint="default"/>
              </w:rPr>
              <w:tab/>
            </w:r>
            <w:r>
              <w:rPr/>
              <w:t>16</w:t>
            </w:r>
          </w:hyperlink>
        </w:p>
        <w:p>
          <w:pPr>
            <w:pStyle w:val="TOC1"/>
            <w:tabs>
              <w:tab w:pos="9375" w:val="right" w:leader="dot"/>
            </w:tabs>
            <w:spacing w:line="240" w:lineRule="auto"/>
            <w:ind w:right="0"/>
            <w:jc w:val="left"/>
          </w:pPr>
          <w:hyperlink w:history="true" w:anchor="_TOC_250004">
            <w:r>
              <w:rPr/>
              <w:t>八、董事会报告</w:t>
            </w:r>
            <w:r>
              <w:rPr>
                <w:rFonts w:ascii="Times New Roman" w:hAnsi="Times New Roman" w:cs="Times New Roman" w:eastAsia="Times New Roman" w:hint="default"/>
              </w:rPr>
              <w:tab/>
            </w:r>
            <w:r>
              <w:rPr/>
              <w:t>17</w:t>
            </w:r>
          </w:hyperlink>
        </w:p>
        <w:p>
          <w:pPr>
            <w:pStyle w:val="TOC1"/>
            <w:tabs>
              <w:tab w:pos="9375" w:val="right" w:leader="dot"/>
            </w:tabs>
            <w:spacing w:line="240" w:lineRule="auto" w:before="116"/>
            <w:ind w:right="0"/>
            <w:jc w:val="left"/>
          </w:pPr>
          <w:hyperlink w:history="true" w:anchor="_TOC_250003">
            <w:r>
              <w:rPr/>
              <w:t>九、监事会报告</w:t>
            </w:r>
            <w:r>
              <w:rPr>
                <w:rFonts w:ascii="Times New Roman" w:hAnsi="Times New Roman" w:cs="Times New Roman" w:eastAsia="Times New Roman" w:hint="default"/>
              </w:rPr>
              <w:tab/>
            </w:r>
            <w:r>
              <w:rPr/>
              <w:t>25</w:t>
            </w:r>
          </w:hyperlink>
        </w:p>
        <w:p>
          <w:pPr>
            <w:pStyle w:val="TOC1"/>
            <w:tabs>
              <w:tab w:pos="9376" w:val="right" w:leader="dot"/>
            </w:tabs>
            <w:spacing w:line="240" w:lineRule="auto"/>
            <w:ind w:right="0"/>
            <w:jc w:val="left"/>
          </w:pPr>
          <w:hyperlink w:history="true" w:anchor="_TOC_250002">
            <w:r>
              <w:rPr/>
              <w:t>十、重要事项</w:t>
            </w:r>
            <w:r>
              <w:rPr>
                <w:rFonts w:ascii="Times New Roman" w:hAnsi="Times New Roman" w:cs="Times New Roman" w:eastAsia="Times New Roman" w:hint="default"/>
              </w:rPr>
              <w:tab/>
            </w:r>
            <w:r>
              <w:rPr/>
              <w:t>27</w:t>
            </w:r>
          </w:hyperlink>
        </w:p>
        <w:p>
          <w:pPr>
            <w:pStyle w:val="TOC1"/>
            <w:tabs>
              <w:tab w:pos="9376" w:val="right" w:leader="dot"/>
            </w:tabs>
            <w:spacing w:line="240" w:lineRule="auto"/>
            <w:ind w:right="0"/>
            <w:jc w:val="left"/>
          </w:pPr>
          <w:hyperlink w:history="true" w:anchor="_TOC_250001">
            <w:r>
              <w:rPr/>
              <w:t>十一、财务会计报告</w:t>
            </w:r>
            <w:r>
              <w:rPr>
                <w:rFonts w:ascii="Times New Roman" w:hAnsi="Times New Roman" w:cs="Times New Roman" w:eastAsia="Times New Roman" w:hint="default"/>
              </w:rPr>
              <w:tab/>
            </w:r>
            <w:r>
              <w:rPr/>
              <w:t>33</w:t>
            </w:r>
          </w:hyperlink>
        </w:p>
        <w:p>
          <w:pPr>
            <w:pStyle w:val="TOC1"/>
            <w:tabs>
              <w:tab w:pos="9376" w:val="right" w:leader="dot"/>
            </w:tabs>
            <w:spacing w:line="240" w:lineRule="auto" w:before="116"/>
            <w:ind w:right="0"/>
            <w:jc w:val="left"/>
          </w:pPr>
          <w:hyperlink w:history="true" w:anchor="_TOC_250000">
            <w:r>
              <w:rPr/>
              <w:t>十二、备查文件目录</w:t>
            </w:r>
            <w:r>
              <w:rPr>
                <w:rFonts w:ascii="Times New Roman" w:hAnsi="Times New Roman" w:cs="Times New Roman" w:eastAsia="Times New Roman" w:hint="default"/>
              </w:rPr>
              <w:tab/>
            </w:r>
            <w:r>
              <w:rPr/>
              <w:t>87</w:t>
            </w:r>
          </w:hyperlink>
        </w:p>
      </w:sdtContent>
    </w:sdt>
    <w:p>
      <w:pPr>
        <w:spacing w:after="0" w:line="240" w:lineRule="auto"/>
        <w:jc w:val="left"/>
        <w:sectPr>
          <w:headerReference w:type="default" r:id="rId5"/>
          <w:footerReference w:type="default" r:id="rId6"/>
          <w:pgSz w:w="12240" w:h="15840"/>
          <w:pgMar w:header="747" w:footer="727" w:top="1040" w:bottom="920" w:left="1380" w:right="1380"/>
          <w:pgNumType w:start="1"/>
        </w:sectPr>
      </w:pPr>
    </w:p>
    <w:p>
      <w:pPr>
        <w:spacing w:line="240" w:lineRule="auto" w:before="7"/>
        <w:rPr>
          <w:rFonts w:ascii="宋体" w:hAnsi="宋体" w:cs="宋体" w:eastAsia="宋体" w:hint="default"/>
          <w:sz w:val="36"/>
          <w:szCs w:val="36"/>
        </w:rPr>
      </w:pPr>
    </w:p>
    <w:p>
      <w:pPr>
        <w:pStyle w:val="Heading1"/>
        <w:spacing w:line="240" w:lineRule="auto"/>
        <w:ind w:right="0"/>
        <w:jc w:val="left"/>
        <w:rPr>
          <w:b w:val="0"/>
          <w:bCs w:val="0"/>
        </w:rPr>
      </w:pPr>
      <w:bookmarkStart w:name="_TOC_250010" w:id="1"/>
      <w:r>
        <w:rPr/>
        <w:t>一、重要提示</w:t>
      </w:r>
      <w:bookmarkEnd w:id="1"/>
      <w:r>
        <w:rPr>
          <w:b w:val="0"/>
          <w:bCs w:val="0"/>
        </w:rPr>
      </w:r>
    </w:p>
    <w:p>
      <w:pPr>
        <w:spacing w:line="240" w:lineRule="auto" w:before="8"/>
        <w:rPr>
          <w:rFonts w:ascii="黑体" w:hAnsi="黑体" w:cs="黑体" w:eastAsia="黑体" w:hint="default"/>
          <w:b/>
          <w:bCs/>
          <w:sz w:val="44"/>
          <w:szCs w:val="44"/>
        </w:rPr>
      </w:pPr>
    </w:p>
    <w:p>
      <w:pPr>
        <w:pStyle w:val="BodyText"/>
        <w:spacing w:line="272" w:lineRule="exact"/>
        <w:ind w:right="0" w:firstLine="540"/>
        <w:jc w:val="left"/>
      </w:pPr>
      <w:r>
        <w:rPr>
          <w:rFonts w:ascii="Arial" w:hAnsi="Arial" w:cs="Arial" w:eastAsia="Arial" w:hint="default"/>
          <w:spacing w:val="-1"/>
        </w:rPr>
        <w:t>1</w:t>
      </w:r>
      <w:r>
        <w:rPr>
          <w:spacing w:val="-1"/>
        </w:rPr>
        <w:t>、本公司董事会、监事会及董事、监事、高级管理人员保证本报告所载资料不存在任何虚假记</w:t>
      </w:r>
      <w:r>
        <w:rPr/>
        <w:t> 载、误导性陈述或者重大遗漏，并对其内容的真实性、准确性和完整性承担个别及连带责任。</w:t>
      </w:r>
    </w:p>
    <w:p>
      <w:pPr>
        <w:pStyle w:val="BodyText"/>
        <w:spacing w:line="272" w:lineRule="exact" w:before="120"/>
        <w:ind w:left="144" w:right="0" w:firstLine="540"/>
        <w:jc w:val="left"/>
      </w:pPr>
      <w:r>
        <w:rPr>
          <w:rFonts w:ascii="Arial" w:hAnsi="Arial" w:cs="Arial" w:eastAsia="Arial" w:hint="default"/>
          <w:spacing w:val="-1"/>
        </w:rPr>
        <w:t>2</w:t>
      </w:r>
      <w:r>
        <w:rPr>
          <w:spacing w:val="-1"/>
        </w:rPr>
        <w:t>、公司除董事徐岷波因工作原因出差未能亲自参加会议，委托董事赵剑出席会议并行使表决权</w:t>
      </w:r>
      <w:r>
        <w:rPr/>
        <w:t> 之外，其它董事全部出席董事会会议。</w:t>
      </w:r>
    </w:p>
    <w:p>
      <w:pPr>
        <w:pStyle w:val="BodyText"/>
        <w:spacing w:line="240" w:lineRule="auto" w:before="93"/>
        <w:ind w:left="684" w:right="0"/>
        <w:jc w:val="left"/>
      </w:pPr>
      <w:r>
        <w:rPr>
          <w:rFonts w:ascii="Arial" w:hAnsi="Arial" w:cs="Arial" w:eastAsia="Arial" w:hint="default"/>
        </w:rPr>
        <w:t>3</w:t>
      </w:r>
      <w:r>
        <w:rPr/>
        <w:t>、北京立信会计师事务所有限公司为本公司出具了标准无保留意见的审计报告。</w:t>
      </w:r>
    </w:p>
    <w:p>
      <w:pPr>
        <w:pStyle w:val="BodyText"/>
        <w:spacing w:line="272" w:lineRule="exact" w:before="130"/>
        <w:ind w:left="144" w:right="0" w:firstLine="540"/>
        <w:jc w:val="left"/>
      </w:pPr>
      <w:r>
        <w:rPr>
          <w:rFonts w:ascii="Arial" w:hAnsi="Arial" w:cs="Arial" w:eastAsia="Arial" w:hint="default"/>
          <w:spacing w:val="-1"/>
        </w:rPr>
        <w:t>4</w:t>
      </w:r>
      <w:r>
        <w:rPr>
          <w:spacing w:val="-1"/>
        </w:rPr>
        <w:t>、公司负责人杜宣，主管会计工作负责人周永洪及会计机构负责人（会计主管人员）周永洪声</w:t>
      </w:r>
      <w:r>
        <w:rPr/>
        <w:t> 明：保证年度报告中财务报告的真实、完整。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1"/>
        <w:spacing w:line="240" w:lineRule="auto"/>
        <w:ind w:right="0"/>
        <w:jc w:val="left"/>
        <w:rPr>
          <w:b w:val="0"/>
          <w:bCs w:val="0"/>
        </w:rPr>
      </w:pPr>
      <w:bookmarkStart w:name="_TOC_250009" w:id="2"/>
      <w:r>
        <w:rPr/>
        <w:t>二、公司基本情况简介</w:t>
      </w:r>
      <w:bookmarkEnd w:id="2"/>
      <w:r>
        <w:rPr>
          <w:b w:val="0"/>
          <w:bCs w:val="0"/>
        </w:rPr>
      </w:r>
    </w:p>
    <w:p>
      <w:pPr>
        <w:spacing w:line="240" w:lineRule="auto" w:before="0"/>
        <w:rPr>
          <w:rFonts w:ascii="黑体" w:hAnsi="黑体" w:cs="黑体" w:eastAsia="黑体" w:hint="default"/>
          <w:b/>
          <w:bCs/>
          <w:sz w:val="30"/>
          <w:szCs w:val="30"/>
        </w:rPr>
      </w:pPr>
    </w:p>
    <w:p>
      <w:pPr>
        <w:spacing w:line="240" w:lineRule="auto" w:before="12"/>
        <w:rPr>
          <w:rFonts w:ascii="黑体" w:hAnsi="黑体" w:cs="黑体" w:eastAsia="黑体" w:hint="default"/>
          <w:b/>
          <w:bCs/>
          <w:sz w:val="20"/>
          <w:szCs w:val="20"/>
        </w:rPr>
      </w:pPr>
    </w:p>
    <w:p>
      <w:pPr>
        <w:pStyle w:val="BodyText"/>
        <w:spacing w:line="331" w:lineRule="auto"/>
        <w:ind w:left="1043" w:right="3849" w:hanging="359"/>
        <w:jc w:val="left"/>
      </w:pPr>
      <w:r>
        <w:rPr>
          <w:rFonts w:ascii="Arial" w:hAnsi="Arial" w:cs="Arial" w:eastAsia="Arial" w:hint="default"/>
        </w:rPr>
        <w:t>1</w:t>
      </w:r>
      <w:r>
        <w:rPr/>
        <w:t>、公司法定中文名称：深圳市金证科技股份有限公司 公司法定中文名称缩写：金证股份</w:t>
      </w:r>
    </w:p>
    <w:p>
      <w:pPr>
        <w:pStyle w:val="BodyText"/>
        <w:spacing w:line="240" w:lineRule="auto" w:before="45"/>
        <w:ind w:left="684" w:right="0"/>
        <w:jc w:val="left"/>
      </w:pPr>
      <w:r>
        <w:rPr>
          <w:rFonts w:ascii="Arial" w:hAnsi="Arial" w:cs="Arial" w:eastAsia="Arial" w:hint="default"/>
        </w:rPr>
        <w:t>2</w:t>
      </w:r>
      <w:r>
        <w:rPr/>
        <w:t>、公司法定代表人：杜宣</w:t>
      </w:r>
    </w:p>
    <w:p>
      <w:pPr>
        <w:pStyle w:val="BodyText"/>
        <w:spacing w:line="331" w:lineRule="auto" w:before="110"/>
        <w:ind w:left="1043" w:right="6176" w:hanging="359"/>
        <w:jc w:val="both"/>
        <w:rPr>
          <w:rFonts w:ascii="Arial" w:hAnsi="Arial" w:cs="Arial" w:eastAsia="Arial" w:hint="default"/>
        </w:rPr>
      </w:pPr>
      <w:r>
        <w:rPr>
          <w:rFonts w:ascii="Arial" w:hAnsi="Arial" w:cs="Arial" w:eastAsia="Arial" w:hint="default"/>
        </w:rPr>
        <w:t>3</w:t>
      </w:r>
      <w:r>
        <w:rPr/>
        <w:t>、公司董事会秘书：杨德仁 电话：</w:t>
      </w:r>
      <w:r>
        <w:rPr>
          <w:rFonts w:ascii="Arial" w:hAnsi="Arial" w:cs="Arial" w:eastAsia="Arial" w:hint="default"/>
        </w:rPr>
        <w:t>0755—82955524</w:t>
      </w:r>
      <w:r>
        <w:rPr>
          <w:rFonts w:ascii="Arial" w:hAnsi="Arial" w:cs="Arial" w:eastAsia="Arial" w:hint="default"/>
          <w:w w:val="99"/>
        </w:rPr>
        <w:t> </w:t>
      </w:r>
      <w:r>
        <w:rPr/>
        <w:t>传真：</w:t>
      </w:r>
      <w:r>
        <w:rPr>
          <w:rFonts w:ascii="Arial" w:hAnsi="Arial" w:cs="Arial" w:eastAsia="Arial" w:hint="default"/>
        </w:rPr>
        <w:t>0755</w:t>
      </w:r>
      <w:r>
        <w:rPr/>
        <w:t>－</w:t>
      </w:r>
      <w:r>
        <w:rPr>
          <w:rFonts w:ascii="Arial" w:hAnsi="Arial" w:cs="Arial" w:eastAsia="Arial" w:hint="default"/>
        </w:rPr>
        <w:t>82955534</w:t>
      </w:r>
    </w:p>
    <w:p>
      <w:pPr>
        <w:pStyle w:val="BodyText"/>
        <w:spacing w:line="240" w:lineRule="auto" w:before="20"/>
        <w:ind w:left="1043" w:right="0"/>
        <w:jc w:val="left"/>
        <w:rPr>
          <w:rFonts w:ascii="Arial" w:hAnsi="Arial" w:cs="Arial" w:eastAsia="Arial" w:hint="default"/>
        </w:rPr>
      </w:pPr>
      <w:r>
        <w:rPr>
          <w:rFonts w:ascii="Arial" w:hAnsi="Arial" w:cs="Arial" w:eastAsia="Arial" w:hint="default"/>
        </w:rPr>
        <w:t>E-mail</w:t>
      </w:r>
      <w:r>
        <w:rPr/>
        <w:t>：</w:t>
      </w:r>
      <w:r>
        <w:rPr>
          <w:rFonts w:ascii="Arial" w:hAnsi="Arial" w:cs="Arial" w:eastAsia="Arial" w:hint="default"/>
        </w:rPr>
      </w:r>
      <w:hyperlink r:id="rId7">
        <w:r>
          <w:rPr>
            <w:rFonts w:ascii="Arial" w:hAnsi="Arial" w:cs="Arial" w:eastAsia="Arial" w:hint="default"/>
            <w:u w:val="single" w:color="000000"/>
          </w:rPr>
          <w:t>yangdr@mail.szkingdom.com</w:t>
        </w:r>
        <w:r>
          <w:rPr>
            <w:rFonts w:ascii="Arial" w:hAnsi="Arial" w:cs="Arial" w:eastAsia="Arial" w:hint="default"/>
          </w:rPr>
        </w:r>
      </w:hyperlink>
    </w:p>
    <w:p>
      <w:pPr>
        <w:pStyle w:val="BodyText"/>
        <w:spacing w:line="240" w:lineRule="auto" w:before="111"/>
        <w:ind w:left="1043" w:right="0"/>
        <w:jc w:val="left"/>
      </w:pPr>
      <w:r>
        <w:rPr/>
        <w:t>联系地址：深圳市福田区福华路</w:t>
      </w:r>
      <w:r>
        <w:rPr>
          <w:spacing w:val="-54"/>
        </w:rPr>
        <w:t> </w:t>
      </w:r>
      <w:r>
        <w:rPr>
          <w:rFonts w:ascii="Arial" w:hAnsi="Arial" w:cs="Arial" w:eastAsia="Arial" w:hint="default"/>
        </w:rPr>
        <w:t>322</w:t>
      </w:r>
      <w:r>
        <w:rPr>
          <w:rFonts w:ascii="Arial" w:hAnsi="Arial" w:cs="Arial" w:eastAsia="Arial" w:hint="default"/>
          <w:spacing w:val="-7"/>
        </w:rPr>
        <w:t> </w:t>
      </w:r>
      <w:r>
        <w:rPr/>
        <w:t>号文蔚大厦</w:t>
      </w:r>
      <w:r>
        <w:rPr>
          <w:spacing w:val="-54"/>
        </w:rPr>
        <w:t> </w:t>
      </w:r>
      <w:r>
        <w:rPr>
          <w:rFonts w:ascii="Arial" w:hAnsi="Arial" w:cs="Arial" w:eastAsia="Arial" w:hint="default"/>
        </w:rPr>
        <w:t>22</w:t>
      </w:r>
      <w:r>
        <w:rPr>
          <w:rFonts w:ascii="Arial" w:hAnsi="Arial" w:cs="Arial" w:eastAsia="Arial" w:hint="default"/>
          <w:spacing w:val="-7"/>
        </w:rPr>
        <w:t> </w:t>
      </w:r>
      <w:r>
        <w:rPr/>
        <w:t>楼</w:t>
      </w:r>
    </w:p>
    <w:p>
      <w:pPr>
        <w:pStyle w:val="BodyText"/>
        <w:spacing w:line="331" w:lineRule="auto" w:before="110"/>
        <w:ind w:left="1043" w:right="2588" w:hanging="356"/>
        <w:jc w:val="left"/>
        <w:rPr>
          <w:rFonts w:ascii="Arial" w:hAnsi="Arial" w:cs="Arial" w:eastAsia="Arial" w:hint="default"/>
        </w:rPr>
      </w:pPr>
      <w:r>
        <w:rPr>
          <w:rFonts w:ascii="Arial" w:hAnsi="Arial" w:cs="Arial" w:eastAsia="Arial" w:hint="default"/>
        </w:rPr>
        <w:t>4</w:t>
      </w:r>
      <w:r>
        <w:rPr/>
        <w:t>、公司注册地址：深圳市福田区福华路</w:t>
      </w:r>
      <w:r>
        <w:rPr>
          <w:spacing w:val="-55"/>
        </w:rPr>
        <w:t> </w:t>
      </w:r>
      <w:r>
        <w:rPr>
          <w:rFonts w:ascii="Arial" w:hAnsi="Arial" w:cs="Arial" w:eastAsia="Arial" w:hint="default"/>
        </w:rPr>
        <w:t>322</w:t>
      </w:r>
      <w:r>
        <w:rPr>
          <w:rFonts w:ascii="Arial" w:hAnsi="Arial" w:cs="Arial" w:eastAsia="Arial" w:hint="default"/>
          <w:spacing w:val="-8"/>
        </w:rPr>
        <w:t> </w:t>
      </w:r>
      <w:r>
        <w:rPr/>
        <w:t>号文蔚大厦</w:t>
      </w:r>
      <w:r>
        <w:rPr>
          <w:spacing w:val="-55"/>
        </w:rPr>
        <w:t> </w:t>
      </w:r>
      <w:r>
        <w:rPr>
          <w:rFonts w:ascii="Arial" w:hAnsi="Arial" w:cs="Arial" w:eastAsia="Arial" w:hint="default"/>
        </w:rPr>
        <w:t>20</w:t>
      </w:r>
      <w:r>
        <w:rPr/>
        <w:t>－</w:t>
      </w:r>
      <w:r>
        <w:rPr>
          <w:rFonts w:ascii="Arial" w:hAnsi="Arial" w:cs="Arial" w:eastAsia="Arial" w:hint="default"/>
        </w:rPr>
        <w:t>22</w:t>
      </w:r>
      <w:r>
        <w:rPr>
          <w:rFonts w:ascii="Arial" w:hAnsi="Arial" w:cs="Arial" w:eastAsia="Arial" w:hint="default"/>
          <w:spacing w:val="-8"/>
        </w:rPr>
        <w:t> </w:t>
      </w:r>
      <w:r>
        <w:rPr/>
        <w:t>楼 公司办公地址：深圳市福田区福华路</w:t>
      </w:r>
      <w:r>
        <w:rPr>
          <w:spacing w:val="-55"/>
        </w:rPr>
        <w:t> </w:t>
      </w:r>
      <w:r>
        <w:rPr>
          <w:rFonts w:ascii="Arial" w:hAnsi="Arial" w:cs="Arial" w:eastAsia="Arial" w:hint="default"/>
        </w:rPr>
        <w:t>322</w:t>
      </w:r>
      <w:r>
        <w:rPr>
          <w:rFonts w:ascii="Arial" w:hAnsi="Arial" w:cs="Arial" w:eastAsia="Arial" w:hint="default"/>
          <w:spacing w:val="-8"/>
        </w:rPr>
        <w:t> </w:t>
      </w:r>
      <w:r>
        <w:rPr/>
        <w:t>号文蔚大厦</w:t>
      </w:r>
      <w:r>
        <w:rPr>
          <w:spacing w:val="-55"/>
        </w:rPr>
        <w:t> </w:t>
      </w:r>
      <w:r>
        <w:rPr>
          <w:rFonts w:ascii="Arial" w:hAnsi="Arial" w:cs="Arial" w:eastAsia="Arial" w:hint="default"/>
        </w:rPr>
        <w:t>20</w:t>
      </w:r>
      <w:r>
        <w:rPr/>
        <w:t>－</w:t>
      </w:r>
      <w:r>
        <w:rPr>
          <w:rFonts w:ascii="Arial" w:hAnsi="Arial" w:cs="Arial" w:eastAsia="Arial" w:hint="default"/>
        </w:rPr>
        <w:t>22</w:t>
      </w:r>
      <w:r>
        <w:rPr>
          <w:rFonts w:ascii="Arial" w:hAnsi="Arial" w:cs="Arial" w:eastAsia="Arial" w:hint="default"/>
          <w:spacing w:val="-8"/>
        </w:rPr>
        <w:t> </w:t>
      </w:r>
      <w:r>
        <w:rPr/>
        <w:t>楼 邮政编码：</w:t>
      </w:r>
      <w:r>
        <w:rPr>
          <w:rFonts w:ascii="Arial" w:hAnsi="Arial" w:cs="Arial" w:eastAsia="Arial" w:hint="default"/>
        </w:rPr>
        <w:t>518024</w:t>
      </w:r>
      <w:r>
        <w:rPr>
          <w:rFonts w:ascii="Arial" w:hAnsi="Arial" w:cs="Arial" w:eastAsia="Arial" w:hint="default"/>
          <w:w w:val="99"/>
        </w:rPr>
        <w:t> </w:t>
      </w:r>
      <w:r>
        <w:rPr/>
        <w:t>公司国际互联网网址：</w:t>
      </w:r>
      <w:r>
        <w:rPr>
          <w:rFonts w:ascii="Arial" w:hAnsi="Arial" w:cs="Arial" w:eastAsia="Arial" w:hint="default"/>
        </w:rPr>
      </w:r>
      <w:hyperlink r:id="rId8">
        <w:r>
          <w:rPr>
            <w:rFonts w:ascii="Arial" w:hAnsi="Arial" w:cs="Arial" w:eastAsia="Arial" w:hint="default"/>
            <w:u w:val="single" w:color="000000"/>
          </w:rPr>
          <w:t>http://www.szkingdom.com</w:t>
        </w:r>
        <w:r>
          <w:rPr>
            <w:rFonts w:ascii="Arial" w:hAnsi="Arial" w:cs="Arial" w:eastAsia="Arial" w:hint="default"/>
            <w:spacing w:val="-1"/>
          </w:rPr>
        </w:r>
      </w:hyperlink>
      <w:r>
        <w:rPr>
          <w:rFonts w:ascii="Arial" w:hAnsi="Arial" w:cs="Arial" w:eastAsia="Arial" w:hint="default"/>
          <w:spacing w:val="-1"/>
        </w:rPr>
        <w:t> </w:t>
      </w:r>
      <w:r>
        <w:rPr/>
        <w:t>公司电子信箱：</w:t>
      </w:r>
      <w:hyperlink r:id="rId9">
        <w:r>
          <w:rPr>
            <w:rFonts w:ascii="Arial" w:hAnsi="Arial" w:cs="Arial" w:eastAsia="Arial" w:hint="default"/>
          </w:rPr>
        </w:r>
        <w:r>
          <w:rPr>
            <w:rFonts w:ascii="Arial" w:hAnsi="Arial" w:cs="Arial" w:eastAsia="Arial" w:hint="default"/>
            <w:u w:val="single" w:color="000000"/>
          </w:rPr>
          <w:t>jzkj@mail.szkingdom.com</w:t>
        </w:r>
        <w:r>
          <w:rPr>
            <w:rFonts w:ascii="Arial" w:hAnsi="Arial" w:cs="Arial" w:eastAsia="Arial" w:hint="default"/>
          </w:rPr>
        </w:r>
      </w:hyperlink>
    </w:p>
    <w:p>
      <w:pPr>
        <w:pStyle w:val="BodyText"/>
        <w:spacing w:line="331" w:lineRule="auto" w:before="22"/>
        <w:ind w:left="1043" w:right="0" w:hanging="357"/>
        <w:jc w:val="left"/>
      </w:pPr>
      <w:r>
        <w:rPr>
          <w:rFonts w:ascii="Arial" w:hAnsi="Arial" w:cs="Arial" w:eastAsia="Arial" w:hint="default"/>
        </w:rPr>
        <w:t>5</w:t>
      </w:r>
      <w:r>
        <w:rPr/>
        <w:t>、公司信息披露报纸名称：证券时报、上海证券报 </w:t>
      </w:r>
      <w:r>
        <w:rPr>
          <w:spacing w:val="-1"/>
        </w:rPr>
        <w:t>登载公司年度报告的中国证监会指定国际互联网网址：</w:t>
      </w:r>
      <w:r>
        <w:rPr>
          <w:rFonts w:ascii="Arial" w:hAnsi="Arial" w:cs="Arial" w:eastAsia="Arial" w:hint="default"/>
          <w:spacing w:val="-1"/>
        </w:rPr>
      </w:r>
      <w:hyperlink r:id="rId10">
        <w:r>
          <w:rPr>
            <w:rFonts w:ascii="Arial" w:hAnsi="Arial" w:cs="Arial" w:eastAsia="Arial" w:hint="default"/>
            <w:spacing w:val="-1"/>
            <w:u w:val="single" w:color="000000"/>
          </w:rPr>
          <w:t>http://www.sse.com.cn</w:t>
        </w:r>
        <w:r>
          <w:rPr>
            <w:rFonts w:ascii="Arial" w:hAnsi="Arial" w:cs="Arial" w:eastAsia="Arial" w:hint="default"/>
          </w:rPr>
        </w:r>
      </w:hyperlink>
      <w:r>
        <w:rPr>
          <w:rFonts w:ascii="Arial" w:hAnsi="Arial" w:cs="Arial" w:eastAsia="Arial" w:hint="default"/>
        </w:rPr>
        <w:t> </w:t>
      </w:r>
      <w:r>
        <w:rPr/>
        <w:t>公司年度报告备置地点：上海证券交易所与公司董事会秘书办公室</w:t>
      </w:r>
    </w:p>
    <w:p>
      <w:pPr>
        <w:pStyle w:val="BodyText"/>
        <w:spacing w:line="331" w:lineRule="auto" w:before="46"/>
        <w:ind w:left="1043" w:right="4864" w:hanging="357"/>
        <w:jc w:val="left"/>
      </w:pPr>
      <w:r>
        <w:rPr>
          <w:rFonts w:ascii="Arial" w:hAnsi="Arial" w:cs="Arial" w:eastAsia="Arial" w:hint="default"/>
        </w:rPr>
        <w:t>6</w:t>
      </w:r>
      <w:r>
        <w:rPr/>
        <w:t>、公司</w:t>
      </w:r>
      <w:r>
        <w:rPr>
          <w:spacing w:val="-54"/>
        </w:rPr>
        <w:t> </w:t>
      </w:r>
      <w:r>
        <w:rPr>
          <w:rFonts w:ascii="Arial" w:hAnsi="Arial" w:cs="Arial" w:eastAsia="Arial" w:hint="default"/>
        </w:rPr>
        <w:t>A</w:t>
      </w:r>
      <w:r>
        <w:rPr>
          <w:rFonts w:ascii="Arial" w:hAnsi="Arial" w:cs="Arial" w:eastAsia="Arial" w:hint="default"/>
          <w:spacing w:val="-7"/>
        </w:rPr>
        <w:t> </w:t>
      </w:r>
      <w:r>
        <w:rPr/>
        <w:t>股上市交易所：上海证券交易所 公司</w:t>
      </w:r>
      <w:r>
        <w:rPr>
          <w:spacing w:val="-54"/>
        </w:rPr>
        <w:t> </w:t>
      </w:r>
      <w:r>
        <w:rPr>
          <w:rFonts w:ascii="Arial" w:hAnsi="Arial" w:cs="Arial" w:eastAsia="Arial" w:hint="default"/>
        </w:rPr>
        <w:t>A</w:t>
      </w:r>
      <w:r>
        <w:rPr>
          <w:rFonts w:ascii="Arial" w:hAnsi="Arial" w:cs="Arial" w:eastAsia="Arial" w:hint="default"/>
          <w:spacing w:val="-7"/>
        </w:rPr>
        <w:t> </w:t>
      </w:r>
      <w:r>
        <w:rPr/>
        <w:t>股简称：金证股份</w:t>
      </w:r>
    </w:p>
    <w:p>
      <w:pPr>
        <w:pStyle w:val="BodyText"/>
        <w:spacing w:line="331" w:lineRule="auto" w:before="20"/>
        <w:ind w:left="686" w:right="6240" w:firstLine="356"/>
        <w:jc w:val="left"/>
      </w:pPr>
      <w:r>
        <w:rPr/>
        <w:t>公司</w:t>
      </w:r>
      <w:r>
        <w:rPr>
          <w:spacing w:val="-57"/>
        </w:rPr>
        <w:t> </w:t>
      </w:r>
      <w:r>
        <w:rPr>
          <w:rFonts w:ascii="Arial" w:hAnsi="Arial" w:cs="Arial" w:eastAsia="Arial" w:hint="default"/>
        </w:rPr>
        <w:t>A</w:t>
      </w:r>
      <w:r>
        <w:rPr>
          <w:rFonts w:ascii="Arial" w:hAnsi="Arial" w:cs="Arial" w:eastAsia="Arial" w:hint="default"/>
          <w:spacing w:val="-10"/>
        </w:rPr>
        <w:t> </w:t>
      </w:r>
      <w:r>
        <w:rPr/>
        <w:t>股代码：</w:t>
      </w:r>
      <w:r>
        <w:rPr>
          <w:rFonts w:ascii="Arial" w:hAnsi="Arial" w:cs="Arial" w:eastAsia="Arial" w:hint="default"/>
        </w:rPr>
        <w:t>600446</w:t>
      </w:r>
      <w:r>
        <w:rPr>
          <w:rFonts w:ascii="Arial" w:hAnsi="Arial" w:cs="Arial" w:eastAsia="Arial" w:hint="default"/>
          <w:spacing w:val="-1"/>
          <w:w w:val="99"/>
        </w:rPr>
        <w:t> </w:t>
      </w:r>
      <w:r>
        <w:rPr>
          <w:rFonts w:ascii="Arial" w:hAnsi="Arial" w:cs="Arial" w:eastAsia="Arial" w:hint="default"/>
        </w:rPr>
        <w:t>7</w:t>
      </w:r>
      <w:r>
        <w:rPr/>
        <w:t>、其他有关资料</w:t>
      </w:r>
    </w:p>
    <w:p>
      <w:pPr>
        <w:pStyle w:val="BodyText"/>
        <w:spacing w:line="240" w:lineRule="auto" w:before="20"/>
        <w:ind w:left="1043" w:right="0"/>
        <w:jc w:val="left"/>
      </w:pPr>
      <w:r>
        <w:rPr/>
        <w:t>公司首次注册登记日期：</w:t>
      </w:r>
      <w:r>
        <w:rPr>
          <w:rFonts w:ascii="Arial" w:hAnsi="Arial" w:cs="Arial" w:eastAsia="Arial" w:hint="default"/>
        </w:rPr>
        <w:t>1998</w:t>
      </w:r>
      <w:r>
        <w:rPr>
          <w:rFonts w:ascii="Arial" w:hAnsi="Arial" w:cs="Arial" w:eastAsia="Arial" w:hint="default"/>
          <w:spacing w:val="-7"/>
        </w:rPr>
        <w:t> </w:t>
      </w:r>
      <w:r>
        <w:rPr/>
        <w:t>年</w:t>
      </w:r>
      <w:r>
        <w:rPr>
          <w:spacing w:val="-54"/>
        </w:rPr>
        <w:t> </w:t>
      </w:r>
      <w:r>
        <w:rPr>
          <w:rFonts w:ascii="Arial" w:hAnsi="Arial" w:cs="Arial" w:eastAsia="Arial" w:hint="default"/>
        </w:rPr>
        <w:t>8</w:t>
      </w:r>
      <w:r>
        <w:rPr>
          <w:rFonts w:ascii="Arial" w:hAnsi="Arial" w:cs="Arial" w:eastAsia="Arial" w:hint="default"/>
          <w:spacing w:val="-6"/>
        </w:rPr>
        <w:t> </w:t>
      </w:r>
      <w:r>
        <w:rPr/>
        <w:t>月</w:t>
      </w:r>
      <w:r>
        <w:rPr>
          <w:spacing w:val="-54"/>
        </w:rPr>
        <w:t> </w:t>
      </w:r>
      <w:r>
        <w:rPr>
          <w:rFonts w:ascii="Arial" w:hAnsi="Arial" w:cs="Arial" w:eastAsia="Arial" w:hint="default"/>
        </w:rPr>
        <w:t>21</w:t>
      </w:r>
      <w:r>
        <w:rPr>
          <w:rFonts w:ascii="Arial" w:hAnsi="Arial" w:cs="Arial" w:eastAsia="Arial" w:hint="default"/>
          <w:spacing w:val="-7"/>
        </w:rPr>
        <w:t> </w:t>
      </w:r>
      <w:r>
        <w:rPr/>
        <w:t>日</w:t>
      </w:r>
    </w:p>
    <w:p>
      <w:pPr>
        <w:spacing w:after="0" w:line="240" w:lineRule="auto"/>
        <w:jc w:val="left"/>
        <w:sectPr>
          <w:pgSz w:w="12240" w:h="15840"/>
          <w:pgMar w:header="747" w:footer="727" w:top="1040" w:bottom="920" w:left="1380" w:right="13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38" w:lineRule="auto"/>
        <w:ind w:left="1043" w:right="2197"/>
        <w:jc w:val="left"/>
      </w:pPr>
      <w:r>
        <w:rPr/>
        <w:t>公司首次注册登记地点：深圳市 公司法人营业执照注册号：</w:t>
      </w:r>
      <w:r>
        <w:rPr>
          <w:rFonts w:ascii="Arial" w:hAnsi="Arial" w:cs="Arial" w:eastAsia="Arial" w:hint="default"/>
        </w:rPr>
        <w:t>4403012005330</w:t>
      </w:r>
      <w:r>
        <w:rPr>
          <w:rFonts w:ascii="Arial" w:hAnsi="Arial" w:cs="Arial" w:eastAsia="Arial" w:hint="default"/>
          <w:spacing w:val="-1"/>
          <w:w w:val="99"/>
        </w:rPr>
        <w:t> </w:t>
      </w:r>
      <w:r>
        <w:rPr/>
        <w:t>公司税务登记号码：国税深字</w:t>
      </w:r>
      <w:r>
        <w:rPr>
          <w:spacing w:val="-54"/>
        </w:rPr>
        <w:t> </w:t>
      </w:r>
      <w:r>
        <w:rPr>
          <w:rFonts w:ascii="Arial" w:hAnsi="Arial" w:cs="Arial" w:eastAsia="Arial" w:hint="default"/>
        </w:rPr>
        <w:t>440301708447860</w:t>
      </w:r>
      <w:r>
        <w:rPr>
          <w:rFonts w:ascii="Arial" w:hAnsi="Arial" w:cs="Arial" w:eastAsia="Arial" w:hint="default"/>
          <w:w w:val="99"/>
        </w:rPr>
        <w:t> </w:t>
      </w:r>
      <w:r>
        <w:rPr/>
        <w:t>公司聘请的境内会计师事务所名称：北京立信会计师事务所有限公司</w:t>
      </w:r>
    </w:p>
    <w:p>
      <w:pPr>
        <w:pStyle w:val="BodyText"/>
        <w:spacing w:line="240" w:lineRule="auto" w:before="38"/>
        <w:ind w:left="1044" w:right="0"/>
        <w:jc w:val="left"/>
      </w:pPr>
      <w:r>
        <w:rPr/>
        <w:t>公司聘请的境内会计师事务所办公地址：北京市东城区东长安街</w:t>
      </w:r>
      <w:r>
        <w:rPr>
          <w:spacing w:val="-54"/>
        </w:rPr>
        <w:t> </w:t>
      </w:r>
      <w:r>
        <w:rPr>
          <w:rFonts w:ascii="Arial" w:hAnsi="Arial" w:cs="Arial" w:eastAsia="Arial" w:hint="default"/>
        </w:rPr>
        <w:t>10</w:t>
      </w:r>
      <w:r>
        <w:rPr>
          <w:rFonts w:ascii="Arial" w:hAnsi="Arial" w:cs="Arial" w:eastAsia="Arial" w:hint="default"/>
          <w:spacing w:val="-7"/>
        </w:rPr>
        <w:t> </w:t>
      </w:r>
      <w:r>
        <w:rPr/>
        <w:t>号长安大厦</w:t>
      </w:r>
      <w:r>
        <w:rPr>
          <w:spacing w:val="-54"/>
        </w:rPr>
        <w:t> </w:t>
      </w:r>
      <w:r>
        <w:rPr>
          <w:rFonts w:ascii="Arial" w:hAnsi="Arial" w:cs="Arial" w:eastAsia="Arial" w:hint="default"/>
        </w:rPr>
        <w:t>3</w:t>
      </w:r>
      <w:r>
        <w:rPr>
          <w:rFonts w:ascii="Arial" w:hAnsi="Arial" w:cs="Arial" w:eastAsia="Arial" w:hint="default"/>
          <w:spacing w:val="-7"/>
        </w:rPr>
        <w:t> </w:t>
      </w:r>
      <w:r>
        <w:rPr/>
        <w:t>层</w:t>
      </w:r>
    </w:p>
    <w:p>
      <w:pPr>
        <w:spacing w:line="240" w:lineRule="auto" w:before="10"/>
        <w:rPr>
          <w:rFonts w:ascii="宋体" w:hAnsi="宋体" w:cs="宋体" w:eastAsia="宋体" w:hint="default"/>
          <w:sz w:val="18"/>
          <w:szCs w:val="18"/>
        </w:rPr>
      </w:pPr>
    </w:p>
    <w:p>
      <w:pPr>
        <w:pStyle w:val="Heading1"/>
        <w:spacing w:line="240" w:lineRule="auto"/>
        <w:ind w:right="2197"/>
        <w:jc w:val="left"/>
        <w:rPr>
          <w:b w:val="0"/>
          <w:bCs w:val="0"/>
        </w:rPr>
      </w:pPr>
      <w:bookmarkStart w:name="_TOC_250008" w:id="3"/>
      <w:r>
        <w:rPr/>
        <w:t>三、主要财务数据和指标</w:t>
      </w:r>
      <w:bookmarkEnd w:id="3"/>
      <w:r>
        <w:rPr>
          <w:b w:val="0"/>
          <w:bCs w:val="0"/>
        </w:rPr>
      </w: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9"/>
          <w:szCs w:val="19"/>
        </w:rPr>
      </w:pPr>
    </w:p>
    <w:p>
      <w:pPr>
        <w:pStyle w:val="BodyText"/>
        <w:spacing w:line="281" w:lineRule="exact" w:before="35"/>
        <w:ind w:left="504" w:right="2197"/>
        <w:jc w:val="left"/>
      </w:pPr>
      <w:r>
        <w:rPr>
          <w:rFonts w:ascii="Arial" w:hAnsi="Arial" w:cs="Arial" w:eastAsia="Arial" w:hint="default"/>
        </w:rPr>
        <w:t>(</w:t>
      </w:r>
      <w:r>
        <w:rPr/>
        <w:t>一</w:t>
      </w:r>
      <w:r>
        <w:rPr>
          <w:rFonts w:ascii="Arial" w:hAnsi="Arial" w:cs="Arial" w:eastAsia="Arial" w:hint="default"/>
        </w:rPr>
        <w:t>)</w:t>
      </w:r>
      <w:r>
        <w:rPr/>
        <w:t>本报告期主要财务数据</w:t>
      </w:r>
    </w:p>
    <w:p>
      <w:pPr>
        <w:pStyle w:val="BodyText"/>
        <w:tabs>
          <w:tab w:pos="1259" w:val="left" w:leader="none"/>
        </w:tabs>
        <w:spacing w:line="266" w:lineRule="exact"/>
        <w:ind w:left="0" w:right="381"/>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634"/>
        <w:gridCol w:w="3666"/>
      </w:tblGrid>
      <w:tr>
        <w:trPr>
          <w:trHeight w:val="464" w:hRule="exact"/>
        </w:trPr>
        <w:tc>
          <w:tcPr>
            <w:tcW w:w="56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6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42,930,254.90</w:t>
            </w:r>
          </w:p>
        </w:tc>
      </w:tr>
      <w:tr>
        <w:trPr>
          <w:trHeight w:val="287" w:hRule="exact"/>
        </w:trPr>
        <w:tc>
          <w:tcPr>
            <w:tcW w:w="56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46,135,230.05</w:t>
            </w:r>
          </w:p>
        </w:tc>
      </w:tr>
      <w:tr>
        <w:trPr>
          <w:trHeight w:val="288" w:hRule="exact"/>
        </w:trPr>
        <w:tc>
          <w:tcPr>
            <w:tcW w:w="56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34,282,858.66</w:t>
            </w:r>
          </w:p>
        </w:tc>
      </w:tr>
      <w:tr>
        <w:trPr>
          <w:trHeight w:val="287" w:hRule="exact"/>
        </w:trPr>
        <w:tc>
          <w:tcPr>
            <w:tcW w:w="56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16,347,674.55</w:t>
            </w:r>
          </w:p>
        </w:tc>
      </w:tr>
      <w:tr>
        <w:trPr>
          <w:trHeight w:val="288" w:hRule="exact"/>
        </w:trPr>
        <w:tc>
          <w:tcPr>
            <w:tcW w:w="56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6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84,098,722.87</w:t>
            </w:r>
          </w:p>
        </w:tc>
      </w:tr>
    </w:tbl>
    <w:p>
      <w:pPr>
        <w:spacing w:line="240" w:lineRule="auto" w:before="0"/>
        <w:rPr>
          <w:rFonts w:ascii="宋体" w:hAnsi="宋体" w:cs="宋体" w:eastAsia="宋体" w:hint="default"/>
          <w:sz w:val="20"/>
          <w:szCs w:val="20"/>
        </w:rPr>
      </w:pPr>
    </w:p>
    <w:p>
      <w:pPr>
        <w:pStyle w:val="BodyText"/>
        <w:spacing w:line="281" w:lineRule="exact" w:before="186"/>
        <w:ind w:left="504" w:right="2197"/>
        <w:jc w:val="left"/>
      </w:pPr>
      <w:r>
        <w:rPr>
          <w:rFonts w:ascii="Arial" w:hAnsi="Arial" w:cs="Arial" w:eastAsia="Arial" w:hint="default"/>
        </w:rPr>
        <w:t>(</w:t>
      </w:r>
      <w:r>
        <w:rPr/>
        <w:t>二</w:t>
      </w:r>
      <w:r>
        <w:rPr>
          <w:rFonts w:ascii="Arial" w:hAnsi="Arial" w:cs="Arial" w:eastAsia="Arial" w:hint="default"/>
        </w:rPr>
        <w:t>)</w:t>
      </w:r>
      <w:r>
        <w:rPr/>
        <w:t>扣除非经常性损益项目和金额</w:t>
      </w:r>
    </w:p>
    <w:p>
      <w:pPr>
        <w:pStyle w:val="BodyText"/>
        <w:tabs>
          <w:tab w:pos="1468" w:val="left" w:leader="none"/>
        </w:tabs>
        <w:spacing w:line="266" w:lineRule="exact"/>
        <w:ind w:left="0" w:right="171"/>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6386"/>
        <w:gridCol w:w="2914"/>
      </w:tblGrid>
      <w:tr>
        <w:trPr>
          <w:trHeight w:val="287" w:hRule="exact"/>
        </w:trPr>
        <w:tc>
          <w:tcPr>
            <w:tcW w:w="63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91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63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9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15,254.28</w:t>
            </w:r>
            <w:r>
              <w:rPr>
                <w:rFonts w:ascii="Arial"/>
                <w:sz w:val="21"/>
              </w:rPr>
            </w:r>
          </w:p>
        </w:tc>
      </w:tr>
      <w:tr>
        <w:trPr>
          <w:trHeight w:val="560" w:hRule="exact"/>
        </w:trPr>
        <w:tc>
          <w:tcPr>
            <w:tcW w:w="638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计入当期损益的政府补助，但与公司业务密切相关，按照国家统一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29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3,154,484.53</w:t>
            </w:r>
          </w:p>
        </w:tc>
      </w:tr>
      <w:tr>
        <w:trPr>
          <w:trHeight w:val="287" w:hRule="exact"/>
        </w:trPr>
        <w:tc>
          <w:tcPr>
            <w:tcW w:w="63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委托投资损益</w:t>
            </w:r>
          </w:p>
        </w:tc>
        <w:tc>
          <w:tcPr>
            <w:tcW w:w="29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12,000,000.00</w:t>
            </w:r>
          </w:p>
        </w:tc>
      </w:tr>
      <w:tr>
        <w:trPr>
          <w:trHeight w:val="288" w:hRule="exact"/>
        </w:trPr>
        <w:tc>
          <w:tcPr>
            <w:tcW w:w="63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29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35,236.34</w:t>
            </w:r>
            <w:r>
              <w:rPr>
                <w:rFonts w:ascii="Arial"/>
                <w:sz w:val="21"/>
              </w:rPr>
            </w:r>
          </w:p>
        </w:tc>
      </w:tr>
      <w:tr>
        <w:trPr>
          <w:trHeight w:val="287" w:hRule="exact"/>
        </w:trPr>
        <w:tc>
          <w:tcPr>
            <w:tcW w:w="63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其他非经常性损益项目</w:t>
            </w:r>
          </w:p>
        </w:tc>
        <w:tc>
          <w:tcPr>
            <w:tcW w:w="29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2,730,208.96</w:t>
            </w:r>
          </w:p>
        </w:tc>
      </w:tr>
      <w:tr>
        <w:trPr>
          <w:trHeight w:val="288" w:hRule="exact"/>
        </w:trPr>
        <w:tc>
          <w:tcPr>
            <w:tcW w:w="63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2"/>
                <w:sz w:val="21"/>
              </w:rPr>
              <w:t>17,935,184.11</w:t>
            </w:r>
          </w:p>
        </w:tc>
      </w:tr>
    </w:tbl>
    <w:p>
      <w:pPr>
        <w:pStyle w:val="BodyText"/>
        <w:spacing w:line="255" w:lineRule="exact"/>
        <w:ind w:left="262" w:right="2197"/>
        <w:jc w:val="left"/>
      </w:pPr>
      <w:r>
        <w:rPr/>
        <w:t>注</w:t>
      </w:r>
      <w:r>
        <w:rPr>
          <w:spacing w:val="-50"/>
        </w:rPr>
        <w:t> </w:t>
      </w:r>
      <w:r>
        <w:rPr>
          <w:rFonts w:ascii="Arial" w:hAnsi="Arial" w:cs="Arial" w:eastAsia="Arial" w:hint="default"/>
        </w:rPr>
        <w:t>1</w:t>
      </w:r>
      <w:r>
        <w:rPr/>
        <w:t>、上表所列金额已扣除少数股东收益因素、所得税影响因素的影响。</w:t>
      </w:r>
    </w:p>
    <w:p>
      <w:pPr>
        <w:spacing w:line="240" w:lineRule="auto" w:before="0"/>
        <w:rPr>
          <w:rFonts w:ascii="宋体" w:hAnsi="宋体" w:cs="宋体" w:eastAsia="宋体" w:hint="default"/>
          <w:sz w:val="17"/>
          <w:szCs w:val="17"/>
        </w:rPr>
      </w:pPr>
    </w:p>
    <w:p>
      <w:pPr>
        <w:pStyle w:val="BodyText"/>
        <w:spacing w:line="240" w:lineRule="auto"/>
        <w:ind w:left="564" w:right="0"/>
        <w:jc w:val="left"/>
      </w:pPr>
      <w:r>
        <w:rPr>
          <w:rFonts w:ascii="Arial" w:hAnsi="Arial" w:cs="Arial" w:eastAsia="Arial" w:hint="default"/>
        </w:rPr>
        <w:t>2</w:t>
      </w:r>
      <w:r>
        <w:rPr/>
        <w:t>、上表中</w:t>
      </w:r>
      <w:r>
        <w:rPr>
          <w:rFonts w:ascii="Arial" w:hAnsi="Arial" w:cs="Arial" w:eastAsia="Arial" w:hint="default"/>
        </w:rPr>
        <w:t>“</w:t>
      </w:r>
      <w:r>
        <w:rPr/>
        <w:t>其他非经常性损益项目</w:t>
      </w:r>
      <w:r>
        <w:rPr>
          <w:rFonts w:ascii="Arial" w:hAnsi="Arial" w:cs="Arial" w:eastAsia="Arial" w:hint="default"/>
        </w:rPr>
        <w:t>”</w:t>
      </w:r>
      <w:r>
        <w:rPr/>
        <w:t>列示的金额为本期职工福利费余额冲减管理费用的金额。</w:t>
      </w:r>
    </w:p>
    <w:p>
      <w:pPr>
        <w:spacing w:line="240" w:lineRule="auto" w:before="4"/>
        <w:rPr>
          <w:rFonts w:ascii="宋体" w:hAnsi="宋体" w:cs="宋体" w:eastAsia="宋体" w:hint="default"/>
          <w:sz w:val="14"/>
          <w:szCs w:val="14"/>
        </w:rPr>
      </w:pPr>
    </w:p>
    <w:p>
      <w:pPr>
        <w:pStyle w:val="BodyText"/>
        <w:spacing w:line="282" w:lineRule="exact" w:before="35"/>
        <w:ind w:left="503" w:right="219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报告期末公司前三年主要会计数据和财务指标</w:t>
      </w:r>
    </w:p>
    <w:p>
      <w:pPr>
        <w:pStyle w:val="BodyText"/>
        <w:tabs>
          <w:tab w:pos="1365" w:val="left" w:leader="none"/>
        </w:tabs>
        <w:spacing w:line="266" w:lineRule="exact"/>
        <w:ind w:left="0" w:right="172"/>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570"/>
        <w:gridCol w:w="1874"/>
        <w:gridCol w:w="1876"/>
        <w:gridCol w:w="2106"/>
        <w:gridCol w:w="1874"/>
      </w:tblGrid>
      <w:tr>
        <w:trPr>
          <w:trHeight w:val="464"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236"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28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88"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958,335,785.26</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932,495,918.35</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2.77</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706,145,542.81</w:t>
            </w:r>
          </w:p>
        </w:tc>
      </w:tr>
      <w:tr>
        <w:trPr>
          <w:trHeight w:val="287"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46,135,230.05</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71,642,504.64</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-35.60</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-33,858,346.94</w:t>
            </w:r>
          </w:p>
        </w:tc>
      </w:tr>
      <w:tr>
        <w:trPr>
          <w:trHeight w:val="482"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34,282,858.66</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55,786,104.70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-38.55</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-40,686,338.03</w:t>
            </w:r>
          </w:p>
        </w:tc>
      </w:tr>
      <w:tr>
        <w:trPr>
          <w:trHeight w:val="240" w:hRule="exact"/>
        </w:trPr>
        <w:tc>
          <w:tcPr>
            <w:tcW w:w="1570"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w:t>
            </w:r>
          </w:p>
        </w:tc>
        <w:tc>
          <w:tcPr>
            <w:tcW w:w="1874" w:type="dxa"/>
            <w:tcBorders>
              <w:top w:val="single" w:sz="6" w:space="0" w:color="101010"/>
              <w:left w:val="single" w:sz="6" w:space="0" w:color="101010"/>
              <w:bottom w:val="nil" w:sz="6" w:space="0" w:color="auto"/>
              <w:right w:val="single" w:sz="6" w:space="0" w:color="101010"/>
            </w:tcBorders>
          </w:tcPr>
          <w:p>
            <w:pPr/>
          </w:p>
        </w:tc>
        <w:tc>
          <w:tcPr>
            <w:tcW w:w="1876" w:type="dxa"/>
            <w:tcBorders>
              <w:top w:val="single" w:sz="6" w:space="0" w:color="101010"/>
              <w:left w:val="single" w:sz="6" w:space="0" w:color="101010"/>
              <w:bottom w:val="nil" w:sz="6" w:space="0" w:color="auto"/>
              <w:right w:val="single" w:sz="6" w:space="0" w:color="101010"/>
            </w:tcBorders>
          </w:tcPr>
          <w:p>
            <w:pPr/>
          </w:p>
        </w:tc>
        <w:tc>
          <w:tcPr>
            <w:tcW w:w="2106" w:type="dxa"/>
            <w:tcBorders>
              <w:top w:val="single" w:sz="6" w:space="0" w:color="101010"/>
              <w:left w:val="single" w:sz="6" w:space="0" w:color="101010"/>
              <w:bottom w:val="nil" w:sz="6" w:space="0" w:color="auto"/>
              <w:right w:val="single" w:sz="6" w:space="0" w:color="101010"/>
            </w:tcBorders>
          </w:tcPr>
          <w:p>
            <w:pPr/>
          </w:p>
        </w:tc>
        <w:tc>
          <w:tcPr>
            <w:tcW w:w="1874" w:type="dxa"/>
            <w:tcBorders>
              <w:top w:val="single" w:sz="6" w:space="0" w:color="101010"/>
              <w:left w:val="single" w:sz="6" w:space="0" w:color="101010"/>
              <w:bottom w:val="nil" w:sz="6" w:space="0" w:color="auto"/>
              <w:right w:val="single" w:sz="6" w:space="0" w:color="101010"/>
            </w:tcBorders>
          </w:tcPr>
          <w:p>
            <w:pPr/>
          </w:p>
        </w:tc>
      </w:tr>
      <w:tr>
        <w:trPr>
          <w:trHeight w:val="467" w:hRule="exact"/>
        </w:trPr>
        <w:tc>
          <w:tcPr>
            <w:tcW w:w="1570"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股东的扣除非经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常性损益的净利</w:t>
            </w:r>
          </w:p>
        </w:tc>
        <w:tc>
          <w:tcPr>
            <w:tcW w:w="1874" w:type="dxa"/>
            <w:tcBorders>
              <w:top w:val="nil" w:sz="6" w:space="0" w:color="auto"/>
              <w:left w:val="single" w:sz="6" w:space="0" w:color="101010"/>
              <w:bottom w:val="nil" w:sz="6" w:space="0" w:color="auto"/>
              <w:right w:val="single" w:sz="6" w:space="0" w:color="10101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16,347,674.55</w:t>
            </w:r>
          </w:p>
        </w:tc>
        <w:tc>
          <w:tcPr>
            <w:tcW w:w="1876" w:type="dxa"/>
            <w:tcBorders>
              <w:top w:val="nil" w:sz="6" w:space="0" w:color="auto"/>
              <w:left w:val="single" w:sz="6" w:space="0" w:color="101010"/>
              <w:bottom w:val="nil" w:sz="6" w:space="0" w:color="auto"/>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13,647,660.70</w:t>
            </w:r>
          </w:p>
        </w:tc>
        <w:tc>
          <w:tcPr>
            <w:tcW w:w="2106" w:type="dxa"/>
            <w:tcBorders>
              <w:top w:val="nil" w:sz="6" w:space="0" w:color="auto"/>
              <w:left w:val="single" w:sz="6" w:space="0" w:color="101010"/>
              <w:bottom w:val="nil" w:sz="6" w:space="0" w:color="auto"/>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19.78</w:t>
            </w:r>
          </w:p>
        </w:tc>
        <w:tc>
          <w:tcPr>
            <w:tcW w:w="1874" w:type="dxa"/>
            <w:tcBorders>
              <w:top w:val="nil" w:sz="6" w:space="0" w:color="auto"/>
              <w:left w:val="single" w:sz="6" w:space="0" w:color="101010"/>
              <w:bottom w:val="nil" w:sz="6" w:space="0" w:color="auto"/>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6,672,370.19</w:t>
            </w:r>
          </w:p>
        </w:tc>
      </w:tr>
      <w:tr>
        <w:trPr>
          <w:trHeight w:val="242" w:hRule="exact"/>
        </w:trPr>
        <w:tc>
          <w:tcPr>
            <w:tcW w:w="1570" w:type="dxa"/>
            <w:tcBorders>
              <w:top w:val="nil" w:sz="6" w:space="0" w:color="auto"/>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874" w:type="dxa"/>
            <w:tcBorders>
              <w:top w:val="nil" w:sz="6" w:space="0" w:color="auto"/>
              <w:left w:val="single" w:sz="6" w:space="0" w:color="101010"/>
              <w:bottom w:val="single" w:sz="6" w:space="0" w:color="101010"/>
              <w:right w:val="single" w:sz="6" w:space="0" w:color="101010"/>
            </w:tcBorders>
          </w:tcPr>
          <w:p>
            <w:pPr/>
          </w:p>
        </w:tc>
        <w:tc>
          <w:tcPr>
            <w:tcW w:w="1876" w:type="dxa"/>
            <w:tcBorders>
              <w:top w:val="nil" w:sz="6" w:space="0" w:color="auto"/>
              <w:left w:val="single" w:sz="6" w:space="0" w:color="101010"/>
              <w:bottom w:val="single" w:sz="6" w:space="0" w:color="101010"/>
              <w:right w:val="single" w:sz="6" w:space="0" w:color="101010"/>
            </w:tcBorders>
          </w:tcPr>
          <w:p>
            <w:pPr/>
          </w:p>
        </w:tc>
        <w:tc>
          <w:tcPr>
            <w:tcW w:w="2106" w:type="dxa"/>
            <w:tcBorders>
              <w:top w:val="nil" w:sz="6" w:space="0" w:color="auto"/>
              <w:left w:val="single" w:sz="6" w:space="0" w:color="101010"/>
              <w:bottom w:val="single" w:sz="6" w:space="0" w:color="101010"/>
              <w:right w:val="single" w:sz="6" w:space="0" w:color="101010"/>
            </w:tcBorders>
          </w:tcPr>
          <w:p>
            <w:pPr/>
          </w:p>
        </w:tc>
        <w:tc>
          <w:tcPr>
            <w:tcW w:w="1874" w:type="dxa"/>
            <w:tcBorders>
              <w:top w:val="nil" w:sz="6" w:space="0" w:color="auto"/>
              <w:left w:val="single" w:sz="6" w:space="0" w:color="101010"/>
              <w:bottom w:val="single" w:sz="6" w:space="0" w:color="101010"/>
              <w:right w:val="single" w:sz="6" w:space="0" w:color="101010"/>
            </w:tcBorders>
          </w:tcPr>
          <w:p>
            <w:pPr/>
          </w:p>
        </w:tc>
      </w:tr>
      <w:tr>
        <w:trPr>
          <w:trHeight w:val="288"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0.25</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0.41</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-39.02</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-0.59</w:t>
            </w:r>
          </w:p>
        </w:tc>
      </w:tr>
    </w:tbl>
    <w:p>
      <w:pPr>
        <w:spacing w:after="0" w:line="241" w:lineRule="exact"/>
        <w:jc w:val="right"/>
        <w:rPr>
          <w:rFonts w:ascii="宋体" w:hAnsi="宋体" w:cs="宋体" w:eastAsia="宋体" w:hint="default"/>
          <w:sz w:val="21"/>
          <w:szCs w:val="21"/>
        </w:rPr>
        <w:sectPr>
          <w:pgSz w:w="12240" w:h="15840"/>
          <w:pgMar w:header="747" w:footer="727" w:top="1040" w:bottom="920" w:left="1380" w:right="13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1570"/>
        <w:gridCol w:w="1874"/>
        <w:gridCol w:w="1876"/>
        <w:gridCol w:w="2106"/>
        <w:gridCol w:w="1874"/>
      </w:tblGrid>
      <w:tr>
        <w:trPr>
          <w:trHeight w:val="287"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0.25</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0.41</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-39.02</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-0.59</w:t>
            </w:r>
          </w:p>
        </w:tc>
      </w:tr>
      <w:tr>
        <w:trPr>
          <w:trHeight w:val="716"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扣除非经常性损</w:t>
            </w:r>
          </w:p>
          <w:p>
            <w:pPr>
              <w:pStyle w:val="TableParagraph"/>
              <w:spacing w:line="240" w:lineRule="auto"/>
              <w:ind w:left="100" w:right="100"/>
              <w:jc w:val="left"/>
              <w:rPr>
                <w:rFonts w:ascii="宋体" w:hAnsi="宋体" w:cs="宋体" w:eastAsia="宋体" w:hint="default"/>
                <w:sz w:val="18"/>
                <w:szCs w:val="18"/>
              </w:rPr>
            </w:pPr>
            <w:r>
              <w:rPr>
                <w:rFonts w:ascii="宋体" w:hAnsi="宋体" w:cs="宋体" w:eastAsia="宋体" w:hint="default"/>
                <w:spacing w:val="12"/>
                <w:sz w:val="18"/>
                <w:szCs w:val="18"/>
              </w:rPr>
              <w:t>益后的基本每股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收益</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0.12</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100"/>
              <w:jc w:val="right"/>
              <w:rPr>
                <w:rFonts w:ascii="宋体" w:hAnsi="宋体" w:cs="宋体" w:eastAsia="宋体" w:hint="default"/>
                <w:sz w:val="21"/>
                <w:szCs w:val="21"/>
              </w:rPr>
            </w:pPr>
            <w:r>
              <w:rPr>
                <w:rFonts w:ascii="宋体"/>
                <w:spacing w:val="-1"/>
                <w:sz w:val="21"/>
              </w:rPr>
              <w:t>0.10</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20.00</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0.10</w:t>
            </w:r>
          </w:p>
        </w:tc>
      </w:tr>
      <w:tr>
        <w:trPr>
          <w:trHeight w:val="481"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全面摊薄净资产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收益率（%）</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9.53</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17.14</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0"/>
              <w:ind w:right="100"/>
              <w:jc w:val="right"/>
              <w:rPr>
                <w:rFonts w:ascii="Arial" w:hAnsi="Arial" w:cs="Arial" w:eastAsia="Arial" w:hint="default"/>
                <w:sz w:val="16"/>
                <w:szCs w:val="16"/>
              </w:rPr>
            </w:pPr>
            <w:r>
              <w:rPr>
                <w:rFonts w:ascii="Arial"/>
                <w:spacing w:val="-1"/>
                <w:w w:val="95"/>
                <w:sz w:val="16"/>
              </w:rPr>
              <w:t>-7.61</w:t>
            </w:r>
            <w:r>
              <w:rPr>
                <w:rFonts w:ascii="Arial"/>
                <w:sz w:val="16"/>
              </w:rPr>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-14.98</w:t>
            </w:r>
          </w:p>
        </w:tc>
      </w:tr>
      <w:tr>
        <w:trPr>
          <w:trHeight w:val="482"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加权平均净资产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收益率（%）</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10.01</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18.69</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0"/>
              <w:ind w:right="100"/>
              <w:jc w:val="right"/>
              <w:rPr>
                <w:rFonts w:ascii="Arial" w:hAnsi="Arial" w:cs="Arial" w:eastAsia="Arial" w:hint="default"/>
                <w:sz w:val="16"/>
                <w:szCs w:val="16"/>
              </w:rPr>
            </w:pPr>
            <w:r>
              <w:rPr>
                <w:rFonts w:ascii="Arial"/>
                <w:spacing w:val="-1"/>
                <w:w w:val="95"/>
                <w:sz w:val="16"/>
              </w:rPr>
              <w:t>-8.68</w:t>
            </w:r>
            <w:r>
              <w:rPr>
                <w:rFonts w:ascii="Arial"/>
                <w:sz w:val="16"/>
              </w:rPr>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-13.75</w:t>
            </w:r>
          </w:p>
        </w:tc>
      </w:tr>
      <w:tr>
        <w:trPr>
          <w:trHeight w:val="715"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扣除非经常性损</w:t>
            </w:r>
          </w:p>
          <w:p>
            <w:pPr>
              <w:pStyle w:val="TableParagraph"/>
              <w:spacing w:line="240" w:lineRule="auto"/>
              <w:ind w:left="100" w:right="100"/>
              <w:jc w:val="left"/>
              <w:rPr>
                <w:rFonts w:ascii="宋体" w:hAnsi="宋体" w:cs="宋体" w:eastAsia="宋体" w:hint="default"/>
                <w:sz w:val="18"/>
                <w:szCs w:val="18"/>
              </w:rPr>
            </w:pPr>
            <w:r>
              <w:rPr>
                <w:rFonts w:ascii="宋体" w:hAnsi="宋体" w:cs="宋体" w:eastAsia="宋体" w:hint="default"/>
                <w:spacing w:val="12"/>
                <w:sz w:val="18"/>
                <w:szCs w:val="18"/>
              </w:rPr>
              <w:t>益后全面摊薄净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资产收益率（%）</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4.54</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100"/>
              <w:jc w:val="right"/>
              <w:rPr>
                <w:rFonts w:ascii="宋体" w:hAnsi="宋体" w:cs="宋体" w:eastAsia="宋体" w:hint="default"/>
                <w:sz w:val="21"/>
                <w:szCs w:val="21"/>
              </w:rPr>
            </w:pPr>
            <w:r>
              <w:rPr>
                <w:rFonts w:ascii="宋体"/>
                <w:spacing w:val="-1"/>
                <w:sz w:val="21"/>
              </w:rPr>
              <w:t>4.19</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6"/>
                <w:szCs w:val="16"/>
              </w:rPr>
            </w:pPr>
            <w:r>
              <w:rPr>
                <w:rFonts w:ascii="Arial"/>
                <w:w w:val="95"/>
                <w:sz w:val="16"/>
              </w:rPr>
              <w:t>0.35</w:t>
            </w:r>
            <w:r>
              <w:rPr>
                <w:rFonts w:ascii="Arial"/>
                <w:sz w:val="16"/>
              </w:rPr>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2.46</w:t>
            </w:r>
          </w:p>
        </w:tc>
      </w:tr>
      <w:tr>
        <w:trPr>
          <w:trHeight w:val="715"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扣除非经常性损</w:t>
            </w:r>
          </w:p>
          <w:p>
            <w:pPr>
              <w:pStyle w:val="TableParagraph"/>
              <w:spacing w:line="240" w:lineRule="auto"/>
              <w:ind w:left="100" w:right="9"/>
              <w:jc w:val="left"/>
              <w:rPr>
                <w:rFonts w:ascii="宋体" w:hAnsi="宋体" w:cs="宋体" w:eastAsia="宋体" w:hint="default"/>
                <w:sz w:val="18"/>
                <w:szCs w:val="18"/>
              </w:rPr>
            </w:pPr>
            <w:r>
              <w:rPr>
                <w:rFonts w:ascii="宋体" w:hAnsi="宋体" w:cs="宋体" w:eastAsia="宋体" w:hint="default"/>
                <w:spacing w:val="12"/>
                <w:sz w:val="18"/>
                <w:szCs w:val="18"/>
              </w:rPr>
              <w:t>益后的加权平均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净资产收益率（%）</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4.77</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100"/>
              <w:jc w:val="right"/>
              <w:rPr>
                <w:rFonts w:ascii="宋体" w:hAnsi="宋体" w:cs="宋体" w:eastAsia="宋体" w:hint="default"/>
                <w:sz w:val="21"/>
                <w:szCs w:val="21"/>
              </w:rPr>
            </w:pPr>
            <w:r>
              <w:rPr>
                <w:rFonts w:ascii="宋体"/>
                <w:spacing w:val="-1"/>
                <w:sz w:val="21"/>
              </w:rPr>
              <w:t>4.57</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0.20</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2.25</w:t>
            </w:r>
          </w:p>
        </w:tc>
      </w:tr>
      <w:tr>
        <w:trPr>
          <w:trHeight w:val="481"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经营活动产生的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84,098,722.87</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-3,881,503.72</w:t>
            </w:r>
          </w:p>
        </w:tc>
        <w:tc>
          <w:tcPr>
            <w:tcW w:w="2106" w:type="dxa"/>
            <w:tcBorders>
              <w:top w:val="single" w:sz="6" w:space="0" w:color="101010"/>
              <w:left w:val="single" w:sz="6" w:space="0" w:color="101010"/>
              <w:bottom w:val="single" w:sz="6" w:space="0" w:color="101010"/>
              <w:right w:val="single" w:sz="6" w:space="0" w:color="101010"/>
            </w:tcBorders>
          </w:tcPr>
          <w:p>
            <w:pP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-21,774,813.61</w:t>
            </w:r>
          </w:p>
        </w:tc>
      </w:tr>
      <w:tr>
        <w:trPr>
          <w:trHeight w:val="716"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每股经营活动产</w:t>
            </w:r>
          </w:p>
          <w:p>
            <w:pPr>
              <w:pStyle w:val="TableParagraph"/>
              <w:spacing w:line="232" w:lineRule="exact" w:before="24"/>
              <w:ind w:left="100" w:right="100"/>
              <w:jc w:val="left"/>
              <w:rPr>
                <w:rFonts w:ascii="宋体" w:hAnsi="宋体" w:cs="宋体" w:eastAsia="宋体" w:hint="default"/>
                <w:sz w:val="18"/>
                <w:szCs w:val="18"/>
              </w:rPr>
            </w:pPr>
            <w:r>
              <w:rPr>
                <w:rFonts w:ascii="宋体" w:hAnsi="宋体" w:cs="宋体" w:eastAsia="宋体" w:hint="default"/>
                <w:spacing w:val="12"/>
                <w:sz w:val="18"/>
                <w:szCs w:val="18"/>
              </w:rPr>
              <w:t>生的现金流量净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0.61</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100"/>
              <w:jc w:val="right"/>
              <w:rPr>
                <w:rFonts w:ascii="宋体" w:hAnsi="宋体" w:cs="宋体" w:eastAsia="宋体" w:hint="default"/>
                <w:sz w:val="21"/>
                <w:szCs w:val="21"/>
              </w:rPr>
            </w:pPr>
            <w:r>
              <w:rPr>
                <w:rFonts w:ascii="宋体"/>
                <w:spacing w:val="-1"/>
                <w:sz w:val="21"/>
              </w:rPr>
              <w:t>-0.03</w:t>
            </w:r>
          </w:p>
        </w:tc>
        <w:tc>
          <w:tcPr>
            <w:tcW w:w="2106" w:type="dxa"/>
            <w:tcBorders>
              <w:top w:val="single" w:sz="6" w:space="0" w:color="101010"/>
              <w:left w:val="single" w:sz="6" w:space="0" w:color="101010"/>
              <w:bottom w:val="single" w:sz="6" w:space="0" w:color="101010"/>
              <w:right w:val="single" w:sz="6" w:space="0" w:color="101010"/>
            </w:tcBorders>
          </w:tcPr>
          <w:p>
            <w:pP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-0.32</w:t>
            </w:r>
          </w:p>
        </w:tc>
      </w:tr>
      <w:tr>
        <w:trPr>
          <w:trHeight w:val="464" w:hRule="exact"/>
        </w:trPr>
        <w:tc>
          <w:tcPr>
            <w:tcW w:w="1570" w:type="dxa"/>
            <w:tcBorders>
              <w:top w:val="single" w:sz="6" w:space="0" w:color="101010"/>
              <w:left w:val="single" w:sz="6" w:space="0" w:color="101010"/>
              <w:bottom w:val="single" w:sz="6" w:space="0" w:color="101010"/>
              <w:right w:val="single" w:sz="6" w:space="0" w:color="101010"/>
            </w:tcBorders>
          </w:tcPr>
          <w:p>
            <w:pP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54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547"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98"/>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547"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287"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764,621,957.60</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595,008,236.38</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28.51</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455,678,061.66</w:t>
            </w:r>
          </w:p>
        </w:tc>
      </w:tr>
      <w:tr>
        <w:trPr>
          <w:trHeight w:val="482"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7"/>
                <w:sz w:val="18"/>
                <w:szCs w:val="18"/>
              </w:rPr>
              <w:t>益</w:t>
            </w:r>
            <w:r>
              <w:rPr>
                <w:rFonts w:ascii="宋体" w:hAnsi="宋体" w:cs="宋体" w:eastAsia="宋体" w:hint="default"/>
                <w:sz w:val="18"/>
                <w:szCs w:val="18"/>
              </w:rPr>
              <w:t>（</w:t>
            </w:r>
            <w:r>
              <w:rPr>
                <w:rFonts w:ascii="宋体" w:hAnsi="宋体" w:cs="宋体" w:eastAsia="宋体" w:hint="default"/>
                <w:spacing w:val="-2"/>
                <w:sz w:val="18"/>
                <w:szCs w:val="18"/>
              </w:rPr>
              <w:t>或</w:t>
            </w:r>
            <w:r>
              <w:rPr>
                <w:rFonts w:ascii="宋体" w:hAnsi="宋体" w:cs="宋体" w:eastAsia="宋体" w:hint="default"/>
                <w:sz w:val="18"/>
                <w:szCs w:val="18"/>
              </w:rPr>
              <w:t>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359,763,992.21</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325,481,133.55</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10.53</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271,633,007.25</w:t>
            </w:r>
          </w:p>
        </w:tc>
      </w:tr>
      <w:tr>
        <w:trPr>
          <w:trHeight w:val="716" w:hRule="exact"/>
        </w:trPr>
        <w:tc>
          <w:tcPr>
            <w:tcW w:w="15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w:t>
            </w:r>
          </w:p>
          <w:p>
            <w:pPr>
              <w:pStyle w:val="TableParagraph"/>
              <w:spacing w:line="232" w:lineRule="exact" w:before="24"/>
              <w:ind w:left="100" w:right="100"/>
              <w:jc w:val="left"/>
              <w:rPr>
                <w:rFonts w:ascii="宋体" w:hAnsi="宋体" w:cs="宋体" w:eastAsia="宋体" w:hint="default"/>
                <w:sz w:val="18"/>
                <w:szCs w:val="18"/>
              </w:rPr>
            </w:pPr>
            <w:r>
              <w:rPr>
                <w:rFonts w:ascii="宋体" w:hAnsi="宋体" w:cs="宋体" w:eastAsia="宋体" w:hint="default"/>
                <w:spacing w:val="12"/>
                <w:sz w:val="18"/>
                <w:szCs w:val="18"/>
              </w:rPr>
              <w:t>股东的每股净资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2.62</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2.37</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10.55</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100"/>
              <w:jc w:val="right"/>
              <w:rPr>
                <w:rFonts w:ascii="宋体" w:hAnsi="宋体" w:cs="宋体" w:eastAsia="宋体" w:hint="default"/>
                <w:sz w:val="21"/>
                <w:szCs w:val="21"/>
              </w:rPr>
            </w:pPr>
            <w:r>
              <w:rPr>
                <w:rFonts w:ascii="宋体"/>
                <w:spacing w:val="-1"/>
                <w:sz w:val="21"/>
              </w:rPr>
              <w:t>3.95</w:t>
            </w:r>
          </w:p>
        </w:tc>
      </w:tr>
    </w:tbl>
    <w:p>
      <w:pPr>
        <w:spacing w:line="240" w:lineRule="auto" w:before="1"/>
        <w:rPr>
          <w:rFonts w:ascii="宋体" w:hAnsi="宋体" w:cs="宋体" w:eastAsia="宋体" w:hint="default"/>
          <w:sz w:val="13"/>
          <w:szCs w:val="13"/>
        </w:rPr>
      </w:pPr>
    </w:p>
    <w:p>
      <w:pPr>
        <w:pStyle w:val="BodyText"/>
        <w:spacing w:line="282" w:lineRule="exact" w:before="35"/>
        <w:ind w:left="504" w:right="219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采用公允价值计量的项目</w:t>
      </w:r>
    </w:p>
    <w:p>
      <w:pPr>
        <w:pStyle w:val="BodyText"/>
        <w:tabs>
          <w:tab w:pos="1154" w:val="left" w:leader="none"/>
        </w:tabs>
        <w:spacing w:line="266" w:lineRule="exact"/>
        <w:ind w:left="0" w:right="17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975"/>
        <w:gridCol w:w="1236"/>
        <w:gridCol w:w="1690"/>
        <w:gridCol w:w="1688"/>
        <w:gridCol w:w="2711"/>
      </w:tblGrid>
      <w:tr>
        <w:trPr>
          <w:trHeight w:val="287" w:hRule="exact"/>
        </w:trPr>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9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271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对当期利润的影响金额</w:t>
            </w:r>
          </w:p>
        </w:tc>
      </w:tr>
      <w:tr>
        <w:trPr>
          <w:trHeight w:val="288" w:hRule="exact"/>
        </w:trPr>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36" w:type="dxa"/>
            <w:tcBorders>
              <w:top w:val="single" w:sz="6" w:space="0" w:color="101010"/>
              <w:left w:val="single" w:sz="6" w:space="0" w:color="101010"/>
              <w:bottom w:val="single" w:sz="6" w:space="0" w:color="101010"/>
              <w:right w:val="single" w:sz="6" w:space="0" w:color="101010"/>
            </w:tcBorders>
          </w:tcPr>
          <w:p>
            <w:pPr/>
          </w:p>
        </w:tc>
        <w:tc>
          <w:tcPr>
            <w:tcW w:w="16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346" w:right="0"/>
              <w:jc w:val="left"/>
              <w:rPr>
                <w:rFonts w:ascii="Arial" w:hAnsi="Arial" w:cs="Arial" w:eastAsia="Arial" w:hint="default"/>
                <w:sz w:val="21"/>
                <w:szCs w:val="21"/>
              </w:rPr>
            </w:pPr>
            <w:r>
              <w:rPr>
                <w:rFonts w:ascii="Arial"/>
                <w:sz w:val="21"/>
              </w:rPr>
              <w:t>4,578,789.99</w:t>
            </w:r>
          </w:p>
        </w:tc>
        <w:tc>
          <w:tcPr>
            <w:tcW w:w="16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4,578,789.99</w:t>
            </w:r>
          </w:p>
        </w:tc>
        <w:tc>
          <w:tcPr>
            <w:tcW w:w="27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-400,932.50</w:t>
            </w:r>
            <w:r>
              <w:rPr>
                <w:rFonts w:ascii="Arial"/>
                <w:sz w:val="21"/>
              </w:rPr>
            </w:r>
          </w:p>
        </w:tc>
      </w:tr>
      <w:tr>
        <w:trPr>
          <w:trHeight w:val="288" w:hRule="exact"/>
        </w:trPr>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6" w:type="dxa"/>
            <w:tcBorders>
              <w:top w:val="single" w:sz="6" w:space="0" w:color="101010"/>
              <w:left w:val="single" w:sz="6" w:space="0" w:color="101010"/>
              <w:bottom w:val="single" w:sz="6" w:space="0" w:color="101010"/>
              <w:right w:val="single" w:sz="6" w:space="0" w:color="101010"/>
            </w:tcBorders>
          </w:tcPr>
          <w:p>
            <w:pPr/>
          </w:p>
        </w:tc>
        <w:tc>
          <w:tcPr>
            <w:tcW w:w="16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346" w:right="0"/>
              <w:jc w:val="left"/>
              <w:rPr>
                <w:rFonts w:ascii="Arial" w:hAnsi="Arial" w:cs="Arial" w:eastAsia="Arial" w:hint="default"/>
                <w:sz w:val="21"/>
                <w:szCs w:val="21"/>
              </w:rPr>
            </w:pPr>
            <w:r>
              <w:rPr>
                <w:rFonts w:ascii="Arial"/>
                <w:sz w:val="21"/>
              </w:rPr>
              <w:t>4,578,789.99</w:t>
            </w:r>
          </w:p>
        </w:tc>
        <w:tc>
          <w:tcPr>
            <w:tcW w:w="16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4,578,789.99</w:t>
            </w:r>
          </w:p>
        </w:tc>
        <w:tc>
          <w:tcPr>
            <w:tcW w:w="27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-400,932.50</w:t>
            </w:r>
            <w:r>
              <w:rPr>
                <w:rFonts w:ascii="Arial"/>
                <w:sz w:val="21"/>
              </w:rPr>
            </w:r>
          </w:p>
        </w:tc>
      </w:tr>
    </w:tbl>
    <w:p>
      <w:pPr>
        <w:spacing w:line="240" w:lineRule="auto" w:before="6"/>
        <w:rPr>
          <w:rFonts w:ascii="宋体" w:hAnsi="宋体" w:cs="宋体" w:eastAsia="宋体" w:hint="default"/>
          <w:sz w:val="15"/>
          <w:szCs w:val="15"/>
        </w:rPr>
      </w:pPr>
    </w:p>
    <w:p>
      <w:pPr>
        <w:pStyle w:val="Heading1"/>
        <w:spacing w:line="240" w:lineRule="auto" w:before="7"/>
        <w:ind w:right="2197"/>
        <w:jc w:val="left"/>
        <w:rPr>
          <w:b w:val="0"/>
          <w:bCs w:val="0"/>
        </w:rPr>
      </w:pPr>
      <w:bookmarkStart w:name="_TOC_250007" w:id="4"/>
      <w:r>
        <w:rPr/>
        <w:t>四、股本变动及股东情况</w:t>
      </w:r>
      <w:bookmarkEnd w:id="4"/>
      <w:r>
        <w:rPr>
          <w:b w:val="0"/>
          <w:bCs w:val="0"/>
        </w:rPr>
      </w: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9"/>
          <w:szCs w:val="19"/>
        </w:rPr>
      </w:pPr>
    </w:p>
    <w:p>
      <w:pPr>
        <w:spacing w:after="0" w:line="240" w:lineRule="auto"/>
        <w:rPr>
          <w:rFonts w:ascii="黑体" w:hAnsi="黑体" w:cs="黑体" w:eastAsia="黑体" w:hint="default"/>
          <w:sz w:val="19"/>
          <w:szCs w:val="19"/>
        </w:rPr>
        <w:sectPr>
          <w:pgSz w:w="12240" w:h="15840"/>
          <w:pgMar w:header="747" w:footer="727" w:top="1040" w:bottom="920" w:left="1380" w:right="1300"/>
        </w:sectPr>
      </w:pPr>
    </w:p>
    <w:p>
      <w:pPr>
        <w:pStyle w:val="BodyText"/>
        <w:spacing w:line="240" w:lineRule="auto" w:before="35"/>
        <w:ind w:left="504" w:right="-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股本变动情况</w:t>
      </w:r>
    </w:p>
    <w:p>
      <w:pPr>
        <w:pStyle w:val="BodyText"/>
        <w:spacing w:line="240" w:lineRule="auto" w:before="101"/>
        <w:ind w:left="503" w:right="-20"/>
        <w:jc w:val="left"/>
      </w:pPr>
      <w:r>
        <w:rPr>
          <w:rFonts w:ascii="Arial" w:hAnsi="Arial" w:cs="Arial" w:eastAsia="Arial" w:hint="default"/>
        </w:rPr>
        <w:t>1</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503" w:right="0"/>
        <w:jc w:val="left"/>
      </w:pPr>
      <w:r>
        <w:rPr/>
        <w:t>单位：股</w:t>
      </w:r>
    </w:p>
    <w:p>
      <w:pPr>
        <w:spacing w:after="0" w:line="240" w:lineRule="auto"/>
        <w:jc w:val="left"/>
        <w:sectPr>
          <w:type w:val="continuous"/>
          <w:pgSz w:w="12240" w:h="15840"/>
          <w:pgMar w:top="660" w:bottom="280" w:left="1380" w:right="1300"/>
          <w:cols w:num="2" w:equalWidth="0">
            <w:col w:w="2301" w:space="5742"/>
            <w:col w:w="1517"/>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397"/>
        <w:gridCol w:w="1476"/>
        <w:gridCol w:w="667"/>
        <w:gridCol w:w="402"/>
        <w:gridCol w:w="398"/>
        <w:gridCol w:w="404"/>
        <w:gridCol w:w="1206"/>
        <w:gridCol w:w="1206"/>
        <w:gridCol w:w="1476"/>
        <w:gridCol w:w="667"/>
      </w:tblGrid>
      <w:tr>
        <w:trPr>
          <w:trHeight w:val="248" w:hRule="exact"/>
        </w:trPr>
        <w:tc>
          <w:tcPr>
            <w:tcW w:w="1397" w:type="dxa"/>
            <w:vMerge w:val="restart"/>
            <w:tcBorders>
              <w:top w:val="single" w:sz="6" w:space="0" w:color="101010"/>
              <w:left w:val="single" w:sz="6" w:space="0" w:color="101010"/>
              <w:right w:val="single" w:sz="6" w:space="0" w:color="101010"/>
            </w:tcBorders>
          </w:tcPr>
          <w:p>
            <w:pPr/>
          </w:p>
        </w:tc>
        <w:tc>
          <w:tcPr>
            <w:tcW w:w="214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1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17"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1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4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1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82" w:hRule="exact"/>
        </w:trPr>
        <w:tc>
          <w:tcPr>
            <w:tcW w:w="1397" w:type="dxa"/>
            <w:vMerge/>
            <w:tcBorders>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5"/>
              <w:jc w:val="left"/>
              <w:rPr>
                <w:rFonts w:ascii="宋体" w:hAnsi="宋体" w:cs="宋体" w:eastAsia="宋体" w:hint="default"/>
                <w:sz w:val="18"/>
                <w:szCs w:val="18"/>
              </w:rPr>
            </w:pPr>
            <w:r>
              <w:rPr>
                <w:rFonts w:ascii="宋体" w:hAnsi="宋体" w:cs="宋体" w:eastAsia="宋体" w:hint="default"/>
                <w:sz w:val="18"/>
                <w:szCs w:val="18"/>
              </w:rPr>
              <w:t>比 例</w:t>
            </w:r>
            <w:r>
              <w:rPr>
                <w:rFonts w:ascii="宋体" w:hAnsi="宋体" w:cs="宋体" w:eastAsia="宋体" w:hint="default"/>
                <w:spacing w:val="2"/>
                <w:sz w:val="18"/>
                <w:szCs w:val="18"/>
              </w:rPr>
              <w:t> </w:t>
            </w:r>
            <w:r>
              <w:rPr>
                <w:rFonts w:ascii="宋体" w:hAnsi="宋体" w:cs="宋体" w:eastAsia="宋体" w:hint="default"/>
                <w:sz w:val="18"/>
                <w:szCs w:val="18"/>
              </w:rPr>
              <w:t>(%)</w:t>
            </w:r>
          </w:p>
        </w:tc>
        <w:tc>
          <w:tcPr>
            <w:tcW w:w="402"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04"/>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3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101"/>
              <w:jc w:val="left"/>
              <w:rPr>
                <w:rFonts w:ascii="宋体" w:hAnsi="宋体" w:cs="宋体" w:eastAsia="宋体" w:hint="default"/>
                <w:sz w:val="18"/>
                <w:szCs w:val="18"/>
              </w:rPr>
            </w:pPr>
            <w:r>
              <w:rPr>
                <w:rFonts w:ascii="宋体" w:hAnsi="宋体" w:cs="宋体" w:eastAsia="宋体" w:hint="default"/>
                <w:sz w:val="18"/>
                <w:szCs w:val="18"/>
              </w:rPr>
              <w:t>送 股</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0" w:right="107"/>
              <w:jc w:val="both"/>
              <w:rPr>
                <w:rFonts w:ascii="宋体" w:hAnsi="宋体" w:cs="宋体" w:eastAsia="宋体" w:hint="default"/>
                <w:sz w:val="18"/>
                <w:szCs w:val="18"/>
              </w:rPr>
            </w:pPr>
            <w:r>
              <w:rPr>
                <w:rFonts w:ascii="宋体" w:hAnsi="宋体" w:cs="宋体" w:eastAsia="宋体" w:hint="default"/>
                <w:sz w:val="18"/>
                <w:szCs w:val="18"/>
              </w:rPr>
              <w:t>积 金 转 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5"/>
              <w:jc w:val="left"/>
              <w:rPr>
                <w:rFonts w:ascii="宋体" w:hAnsi="宋体" w:cs="宋体" w:eastAsia="宋体" w:hint="default"/>
                <w:sz w:val="18"/>
                <w:szCs w:val="18"/>
              </w:rPr>
            </w:pPr>
            <w:r>
              <w:rPr>
                <w:rFonts w:ascii="宋体" w:hAnsi="宋体" w:cs="宋体" w:eastAsia="宋体" w:hint="default"/>
                <w:sz w:val="18"/>
                <w:szCs w:val="18"/>
              </w:rPr>
              <w:t>比 例</w:t>
            </w:r>
            <w:r>
              <w:rPr>
                <w:rFonts w:ascii="宋体" w:hAnsi="宋体" w:cs="宋体" w:eastAsia="宋体" w:hint="default"/>
                <w:spacing w:val="2"/>
                <w:sz w:val="18"/>
                <w:szCs w:val="18"/>
              </w:rPr>
              <w:t> </w:t>
            </w:r>
            <w:r>
              <w:rPr>
                <w:rFonts w:ascii="宋体" w:hAnsi="宋体" w:cs="宋体" w:eastAsia="宋体" w:hint="default"/>
                <w:sz w:val="18"/>
                <w:szCs w:val="18"/>
              </w:rPr>
              <w:t>(%)</w:t>
            </w:r>
          </w:p>
        </w:tc>
      </w:tr>
      <w:tr>
        <w:trPr>
          <w:trHeight w:val="248" w:hRule="exact"/>
        </w:trPr>
        <w:tc>
          <w:tcPr>
            <w:tcW w:w="9300"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287"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2、国有法人持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3、其他内资持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460" w:right="0"/>
              <w:jc w:val="left"/>
              <w:rPr>
                <w:rFonts w:ascii="宋体" w:hAnsi="宋体" w:cs="宋体" w:eastAsia="宋体" w:hint="default"/>
                <w:sz w:val="18"/>
                <w:szCs w:val="18"/>
              </w:rPr>
            </w:pPr>
            <w:r>
              <w:rPr>
                <w:rFonts w:ascii="宋体"/>
                <w:sz w:val="18"/>
              </w:rPr>
              <w:t>89,920,000</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3" w:right="0"/>
              <w:jc w:val="left"/>
              <w:rPr>
                <w:rFonts w:ascii="宋体" w:hAnsi="宋体" w:cs="宋体" w:eastAsia="宋体" w:hint="default"/>
                <w:sz w:val="18"/>
                <w:szCs w:val="18"/>
              </w:rPr>
            </w:pPr>
            <w:r>
              <w:rPr>
                <w:rFonts w:ascii="宋体"/>
                <w:sz w:val="18"/>
              </w:rPr>
              <w:t>65.42</w:t>
            </w: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-49,658,388</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-49,658,388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460" w:right="0"/>
              <w:jc w:val="left"/>
              <w:rPr>
                <w:rFonts w:ascii="宋体" w:hAnsi="宋体" w:cs="宋体" w:eastAsia="宋体" w:hint="default"/>
                <w:sz w:val="18"/>
                <w:szCs w:val="18"/>
              </w:rPr>
            </w:pPr>
            <w:r>
              <w:rPr>
                <w:rFonts w:ascii="宋体"/>
                <w:sz w:val="18"/>
              </w:rPr>
              <w:t>40,261,612</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3" w:right="0"/>
              <w:jc w:val="left"/>
              <w:rPr>
                <w:rFonts w:ascii="宋体" w:hAnsi="宋体" w:cs="宋体" w:eastAsia="宋体" w:hint="default"/>
                <w:sz w:val="18"/>
                <w:szCs w:val="18"/>
              </w:rPr>
            </w:pPr>
            <w:r>
              <w:rPr>
                <w:rFonts w:ascii="宋体"/>
                <w:sz w:val="18"/>
              </w:rPr>
              <w:t>29.29</w:t>
            </w:r>
          </w:p>
        </w:tc>
      </w:tr>
    </w:tbl>
    <w:p>
      <w:pPr>
        <w:spacing w:after="0" w:line="225" w:lineRule="exact"/>
        <w:jc w:val="left"/>
        <w:rPr>
          <w:rFonts w:ascii="宋体" w:hAnsi="宋体" w:cs="宋体" w:eastAsia="宋体" w:hint="default"/>
          <w:sz w:val="18"/>
          <w:szCs w:val="18"/>
        </w:rPr>
        <w:sectPr>
          <w:type w:val="continuous"/>
          <w:pgSz w:w="12240" w:h="15840"/>
          <w:pgMar w:top="660" w:bottom="280" w:left="1380" w:right="13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1397"/>
        <w:gridCol w:w="1476"/>
        <w:gridCol w:w="667"/>
        <w:gridCol w:w="402"/>
        <w:gridCol w:w="398"/>
        <w:gridCol w:w="404"/>
        <w:gridCol w:w="1206"/>
        <w:gridCol w:w="1206"/>
        <w:gridCol w:w="1476"/>
        <w:gridCol w:w="667"/>
      </w:tblGrid>
      <w:tr>
        <w:trPr>
          <w:trHeight w:val="248"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3" w:type="dxa"/>
            <w:gridSpan w:val="9"/>
            <w:tcBorders>
              <w:top w:val="single" w:sz="6" w:space="0" w:color="101010"/>
              <w:left w:val="single" w:sz="6" w:space="0" w:color="101010"/>
              <w:bottom w:val="single" w:sz="6" w:space="0" w:color="101010"/>
              <w:right w:val="single" w:sz="4" w:space="0" w:color="000000"/>
            </w:tcBorders>
          </w:tcPr>
          <w:p>
            <w:pPr/>
          </w:p>
        </w:tc>
      </w:tr>
      <w:tr>
        <w:trPr>
          <w:trHeight w:val="288"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4,316,160</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7"/>
              <w:jc w:val="right"/>
              <w:rPr>
                <w:rFonts w:ascii="宋体" w:hAnsi="宋体" w:cs="宋体" w:eastAsia="宋体" w:hint="default"/>
                <w:sz w:val="18"/>
                <w:szCs w:val="18"/>
              </w:rPr>
            </w:pPr>
            <w:r>
              <w:rPr>
                <w:rFonts w:ascii="宋体"/>
                <w:sz w:val="18"/>
              </w:rPr>
              <w:t>3.14</w:t>
            </w: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-4,316,160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-4,316,160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7"/>
              <w:jc w:val="right"/>
              <w:rPr>
                <w:rFonts w:ascii="宋体" w:hAnsi="宋体" w:cs="宋体" w:eastAsia="宋体" w:hint="default"/>
                <w:sz w:val="18"/>
                <w:szCs w:val="18"/>
              </w:rPr>
            </w:pPr>
            <w:r>
              <w:rPr>
                <w:rFonts w:ascii="宋体"/>
                <w:sz w:val="18"/>
              </w:rPr>
              <w:t>0</w:t>
            </w: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境内自然人持</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85,603,840</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62.28</w:t>
            </w: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-45,342,228</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-45,342,228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40,261,612</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29.29</w:t>
            </w:r>
          </w:p>
        </w:tc>
      </w:tr>
      <w:tr>
        <w:trPr>
          <w:trHeight w:val="287"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3" w:type="dxa"/>
            <w:gridSpan w:val="9"/>
            <w:tcBorders>
              <w:top w:val="single" w:sz="6" w:space="0" w:color="101010"/>
              <w:left w:val="single" w:sz="6" w:space="0" w:color="101010"/>
              <w:bottom w:val="single" w:sz="6" w:space="0" w:color="101010"/>
              <w:right w:val="single" w:sz="4" w:space="0" w:color="000000"/>
            </w:tcBorders>
          </w:tcPr>
          <w:p>
            <w:pPr/>
          </w:p>
        </w:tc>
      </w:tr>
      <w:tr>
        <w:trPr>
          <w:trHeight w:val="288"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境外自然人持</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有限售条件股</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89,920,000</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65.42</w:t>
            </w: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-49,658,388</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-49,658,388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40,261,612</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29.29</w:t>
            </w:r>
          </w:p>
        </w:tc>
      </w:tr>
      <w:tr>
        <w:trPr>
          <w:trHeight w:val="248" w:hRule="exact"/>
        </w:trPr>
        <w:tc>
          <w:tcPr>
            <w:tcW w:w="9300"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1、人民币普通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47,520,000</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34.58</w:t>
            </w: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49,658,388</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49,658,388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97,178,388</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70.71</w:t>
            </w:r>
          </w:p>
        </w:tc>
      </w:tr>
      <w:tr>
        <w:trPr>
          <w:trHeight w:val="481"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2、境内上市的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3、境外上市的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67"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无限售条件流</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通股份合计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47,520,000</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34.58</w:t>
            </w: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49,658,388</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49,658,388</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97,178,388</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70.71</w:t>
            </w:r>
          </w:p>
        </w:tc>
      </w:tr>
      <w:tr>
        <w:trPr>
          <w:trHeight w:val="288"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137,440,000.00</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7"/>
              <w:jc w:val="right"/>
              <w:rPr>
                <w:rFonts w:ascii="宋体" w:hAnsi="宋体" w:cs="宋体" w:eastAsia="宋体" w:hint="default"/>
                <w:sz w:val="18"/>
                <w:szCs w:val="18"/>
              </w:rPr>
            </w:pPr>
            <w:r>
              <w:rPr>
                <w:rFonts w:ascii="宋体"/>
                <w:sz w:val="18"/>
              </w:rPr>
              <w:t>100</w:t>
            </w:r>
          </w:p>
        </w:tc>
        <w:tc>
          <w:tcPr>
            <w:tcW w:w="402" w:type="dxa"/>
            <w:tcBorders>
              <w:top w:val="single" w:sz="6" w:space="0" w:color="101010"/>
              <w:left w:val="single" w:sz="6" w:space="0" w:color="101010"/>
              <w:bottom w:val="single" w:sz="6" w:space="0" w:color="101010"/>
              <w:right w:val="single" w:sz="6" w:space="0" w:color="101010"/>
            </w:tcBorders>
          </w:tcPr>
          <w:p>
            <w:pPr/>
          </w:p>
        </w:tc>
        <w:tc>
          <w:tcPr>
            <w:tcW w:w="398" w:type="dxa"/>
            <w:tcBorders>
              <w:top w:val="single" w:sz="6" w:space="0" w:color="101010"/>
              <w:left w:val="single" w:sz="6" w:space="0" w:color="101010"/>
              <w:bottom w:val="single" w:sz="6" w:space="0" w:color="101010"/>
              <w:right w:val="single" w:sz="6" w:space="0" w:color="101010"/>
            </w:tcBorders>
          </w:tcPr>
          <w:p>
            <w:pPr/>
          </w:p>
        </w:tc>
        <w:tc>
          <w:tcPr>
            <w:tcW w:w="404"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137,440,000.00</w:t>
            </w:r>
          </w:p>
        </w:tc>
        <w:tc>
          <w:tcPr>
            <w:tcW w:w="66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7"/>
              <w:jc w:val="right"/>
              <w:rPr>
                <w:rFonts w:ascii="宋体" w:hAnsi="宋体" w:cs="宋体" w:eastAsia="宋体" w:hint="default"/>
                <w:sz w:val="18"/>
                <w:szCs w:val="18"/>
              </w:rPr>
            </w:pPr>
            <w:r>
              <w:rPr>
                <w:rFonts w:ascii="宋体"/>
                <w:sz w:val="18"/>
              </w:rPr>
              <w:t>100</w:t>
            </w:r>
          </w:p>
        </w:tc>
      </w:tr>
    </w:tbl>
    <w:p>
      <w:pPr>
        <w:pStyle w:val="BodyText"/>
        <w:spacing w:line="281" w:lineRule="exact" w:before="84"/>
        <w:ind w:right="2197"/>
        <w:jc w:val="left"/>
      </w:pPr>
      <w:r>
        <w:rPr>
          <w:rFonts w:ascii="Arial" w:hAnsi="Arial" w:cs="Arial" w:eastAsia="Arial" w:hint="default"/>
        </w:rPr>
        <w:t>2</w:t>
      </w:r>
      <w:r>
        <w:rPr/>
        <w:t>、限售股份变动情况表</w:t>
      </w:r>
    </w:p>
    <w:p>
      <w:pPr>
        <w:pStyle w:val="BodyText"/>
        <w:spacing w:line="266" w:lineRule="exact"/>
        <w:ind w:left="0" w:right="171"/>
        <w:jc w:val="right"/>
      </w:pPr>
      <w:r>
        <w:rPr/>
        <w:t>单位:股</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884"/>
        <w:gridCol w:w="1378"/>
        <w:gridCol w:w="1346"/>
        <w:gridCol w:w="1080"/>
        <w:gridCol w:w="1266"/>
        <w:gridCol w:w="1614"/>
        <w:gridCol w:w="1732"/>
      </w:tblGrid>
      <w:tr>
        <w:trPr>
          <w:trHeight w:val="559" w:hRule="exact"/>
        </w:trPr>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6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378"/>
              <w:jc w:val="right"/>
              <w:rPr>
                <w:rFonts w:ascii="宋体" w:hAnsi="宋体" w:cs="宋体" w:eastAsia="宋体" w:hint="default"/>
                <w:sz w:val="21"/>
                <w:szCs w:val="21"/>
              </w:rPr>
            </w:pPr>
            <w:r>
              <w:rPr>
                <w:rFonts w:ascii="宋体" w:hAnsi="宋体" w:cs="宋体" w:eastAsia="宋体" w:hint="default"/>
                <w:sz w:val="21"/>
                <w:szCs w:val="21"/>
              </w:rPr>
              <w:t>限售原因</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28"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48" w:hRule="exact"/>
        </w:trPr>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杜宣</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17,213,972</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6,872,000</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10,341,972</w:t>
            </w:r>
          </w:p>
        </w:tc>
        <w:tc>
          <w:tcPr>
            <w:tcW w:w="16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416"/>
              <w:jc w:val="right"/>
              <w:rPr>
                <w:rFonts w:ascii="宋体" w:hAnsi="宋体" w:cs="宋体" w:eastAsia="宋体" w:hint="default"/>
                <w:sz w:val="18"/>
                <w:szCs w:val="18"/>
              </w:rPr>
            </w:pPr>
            <w:r>
              <w:rPr>
                <w:rFonts w:ascii="宋体" w:hAnsi="宋体" w:cs="宋体" w:eastAsia="宋体" w:hint="default"/>
                <w:sz w:val="18"/>
                <w:szCs w:val="18"/>
              </w:rPr>
              <w:t>股权分置限售</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8" w:hRule="exact"/>
        </w:trPr>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17,143,056</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6,872,000</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10,271,056</w:t>
            </w:r>
          </w:p>
        </w:tc>
        <w:tc>
          <w:tcPr>
            <w:tcW w:w="16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416"/>
              <w:jc w:val="right"/>
              <w:rPr>
                <w:rFonts w:ascii="宋体" w:hAnsi="宋体" w:cs="宋体" w:eastAsia="宋体" w:hint="default"/>
                <w:sz w:val="18"/>
                <w:szCs w:val="18"/>
              </w:rPr>
            </w:pPr>
            <w:r>
              <w:rPr>
                <w:rFonts w:ascii="宋体" w:hAnsi="宋体" w:cs="宋体" w:eastAsia="宋体" w:hint="default"/>
                <w:sz w:val="18"/>
                <w:szCs w:val="18"/>
              </w:rPr>
              <w:t>股权分置限售</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8" w:hRule="exact"/>
        </w:trPr>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16,696,292</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6,872,000</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9,824,292</w:t>
            </w:r>
          </w:p>
        </w:tc>
        <w:tc>
          <w:tcPr>
            <w:tcW w:w="16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416"/>
              <w:jc w:val="right"/>
              <w:rPr>
                <w:rFonts w:ascii="宋体" w:hAnsi="宋体" w:cs="宋体" w:eastAsia="宋体" w:hint="default"/>
                <w:sz w:val="18"/>
                <w:szCs w:val="18"/>
              </w:rPr>
            </w:pPr>
            <w:r>
              <w:rPr>
                <w:rFonts w:ascii="宋体" w:hAnsi="宋体" w:cs="宋体" w:eastAsia="宋体" w:hint="default"/>
                <w:sz w:val="18"/>
                <w:szCs w:val="18"/>
              </w:rPr>
              <w:t>股权分置限售</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8" w:hRule="exact"/>
        </w:trPr>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16,696,292</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6,872,000</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9,824,292</w:t>
            </w:r>
          </w:p>
        </w:tc>
        <w:tc>
          <w:tcPr>
            <w:tcW w:w="16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416"/>
              <w:jc w:val="right"/>
              <w:rPr>
                <w:rFonts w:ascii="宋体" w:hAnsi="宋体" w:cs="宋体" w:eastAsia="宋体" w:hint="default"/>
                <w:sz w:val="18"/>
                <w:szCs w:val="18"/>
              </w:rPr>
            </w:pPr>
            <w:r>
              <w:rPr>
                <w:rFonts w:ascii="宋体" w:hAnsi="宋体" w:cs="宋体" w:eastAsia="宋体" w:hint="default"/>
                <w:sz w:val="18"/>
                <w:szCs w:val="18"/>
              </w:rPr>
              <w:t>股权分置限售</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50" w:hRule="exact"/>
        </w:trPr>
        <w:tc>
          <w:tcPr>
            <w:tcW w:w="8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5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67,749,612</w:t>
            </w:r>
          </w:p>
        </w:tc>
        <w:tc>
          <w:tcPr>
            <w:tcW w:w="13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27,488,000</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40,261,612</w:t>
            </w:r>
          </w:p>
        </w:tc>
        <w:tc>
          <w:tcPr>
            <w:tcW w:w="161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75"/>
        <w:ind w:left="685" w:right="2197"/>
        <w:jc w:val="left"/>
      </w:pPr>
      <w:r>
        <w:rPr>
          <w:rFonts w:ascii="Arial" w:hAnsi="Arial" w:cs="Arial" w:eastAsia="Arial" w:hint="default"/>
        </w:rPr>
        <w:t>3</w:t>
      </w:r>
      <w:r>
        <w:rPr/>
        <w:t>、证券发行与上市情况</w:t>
      </w:r>
    </w:p>
    <w:p>
      <w:pPr>
        <w:pStyle w:val="BodyText"/>
        <w:spacing w:line="340" w:lineRule="auto" w:before="110"/>
        <w:ind w:left="685" w:right="3395"/>
        <w:jc w:val="left"/>
      </w:pPr>
      <w:r>
        <w:rPr>
          <w:rFonts w:ascii="Arial" w:hAnsi="Arial" w:cs="Arial" w:eastAsia="Arial" w:hint="default"/>
        </w:rPr>
        <w:t>(1)</w:t>
      </w:r>
      <w:r>
        <w:rPr>
          <w:rFonts w:ascii="Arial" w:hAnsi="Arial" w:cs="Arial" w:eastAsia="Arial" w:hint="default"/>
          <w:spacing w:val="46"/>
        </w:rPr>
        <w:t> </w:t>
      </w:r>
      <w:r>
        <w:rPr/>
        <w:t>前三年历次证券发行情况 截止本报告期末至前三年，公司未有证券发行与上市情况。 </w:t>
      </w:r>
      <w:r>
        <w:rPr>
          <w:rFonts w:ascii="Arial" w:hAnsi="Arial" w:cs="Arial" w:eastAsia="Arial" w:hint="default"/>
        </w:rPr>
        <w:t>(2)</w:t>
      </w:r>
      <w:r>
        <w:rPr>
          <w:rFonts w:ascii="Arial" w:hAnsi="Arial" w:cs="Arial" w:eastAsia="Arial" w:hint="default"/>
          <w:spacing w:val="44"/>
        </w:rPr>
        <w:t> </w:t>
      </w:r>
      <w:r>
        <w:rPr/>
        <w:t>公司股份总数及结构的变动情况</w:t>
      </w:r>
    </w:p>
    <w:p>
      <w:pPr>
        <w:pStyle w:val="BodyText"/>
        <w:spacing w:line="240" w:lineRule="auto" w:before="11"/>
        <w:ind w:left="685" w:right="2197"/>
        <w:jc w:val="left"/>
      </w:pPr>
      <w:r>
        <w:rPr/>
        <w:t>报告期内没有因送股、配股等原因引起公司股份总数及结构的变动。</w:t>
      </w:r>
    </w:p>
    <w:p>
      <w:pPr>
        <w:pStyle w:val="BodyText"/>
        <w:spacing w:line="338" w:lineRule="auto" w:before="125"/>
        <w:ind w:left="684" w:right="5916"/>
        <w:jc w:val="left"/>
      </w:pPr>
      <w:r>
        <w:rPr>
          <w:rFonts w:ascii="Arial" w:hAnsi="Arial" w:cs="Arial" w:eastAsia="Arial" w:hint="default"/>
        </w:rPr>
        <w:t>(3)</w:t>
      </w:r>
      <w:r>
        <w:rPr>
          <w:rFonts w:ascii="Arial" w:hAnsi="Arial" w:cs="Arial" w:eastAsia="Arial" w:hint="default"/>
          <w:spacing w:val="46"/>
        </w:rPr>
        <w:t> </w:t>
      </w:r>
      <w:r>
        <w:rPr/>
        <w:t>现存的内部职工股情况 本报告期末公司无内部职工股。 </w:t>
      </w:r>
      <w:r>
        <w:rPr>
          <w:rFonts w:ascii="Arial" w:hAnsi="Arial" w:cs="Arial" w:eastAsia="Arial" w:hint="default"/>
        </w:rPr>
        <w:t>(</w:t>
      </w:r>
      <w:r>
        <w:rPr/>
        <w:t>二</w:t>
      </w:r>
      <w:r>
        <w:rPr>
          <w:rFonts w:ascii="Arial" w:hAnsi="Arial" w:cs="Arial" w:eastAsia="Arial" w:hint="default"/>
        </w:rPr>
        <w:t>)</w:t>
      </w:r>
      <w:r>
        <w:rPr/>
        <w:t>股东情况 </w:t>
      </w:r>
      <w:r>
        <w:rPr>
          <w:rFonts w:ascii="Arial" w:hAnsi="Arial" w:cs="Arial" w:eastAsia="Arial" w:hint="default"/>
        </w:rPr>
        <w:t>1</w:t>
      </w:r>
      <w:r>
        <w:rPr/>
        <w:t>、股东数量和持股情况</w:t>
      </w:r>
    </w:p>
    <w:p>
      <w:pPr>
        <w:spacing w:after="0" w:line="338" w:lineRule="auto"/>
        <w:jc w:val="left"/>
        <w:sectPr>
          <w:pgSz w:w="12240" w:h="15840"/>
          <w:pgMar w:header="747" w:footer="727" w:top="1040" w:bottom="920" w:left="1380" w:right="1300"/>
        </w:sectPr>
      </w:pPr>
    </w:p>
    <w:p>
      <w:pPr>
        <w:spacing w:line="240" w:lineRule="auto" w:before="3"/>
        <w:rPr>
          <w:rFonts w:ascii="宋体" w:hAnsi="宋体" w:cs="宋体" w:eastAsia="宋体" w:hint="default"/>
          <w:sz w:val="24"/>
          <w:szCs w:val="24"/>
        </w:rPr>
      </w:pPr>
    </w:p>
    <w:p>
      <w:pPr>
        <w:pStyle w:val="BodyText"/>
        <w:spacing w:line="240" w:lineRule="auto" w:before="35"/>
        <w:ind w:left="0" w:right="331"/>
        <w:jc w:val="right"/>
      </w:pPr>
      <w:r>
        <w:rPr/>
        <w:t>单位:股</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535"/>
        <w:gridCol w:w="1534"/>
        <w:gridCol w:w="1012"/>
        <w:gridCol w:w="1116"/>
        <w:gridCol w:w="1078"/>
        <w:gridCol w:w="1117"/>
        <w:gridCol w:w="2059"/>
      </w:tblGrid>
      <w:tr>
        <w:trPr>
          <w:trHeight w:val="287" w:hRule="exact"/>
        </w:trPr>
        <w:tc>
          <w:tcPr>
            <w:tcW w:w="306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6382" w:type="dxa"/>
            <w:gridSpan w:val="5"/>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19,358</w:t>
            </w:r>
          </w:p>
        </w:tc>
      </w:tr>
      <w:tr>
        <w:trPr>
          <w:trHeight w:val="288"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715"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63" w:right="137" w:hanging="226"/>
              <w:jc w:val="left"/>
              <w:rPr>
                <w:rFonts w:ascii="宋体" w:hAnsi="宋体" w:cs="宋体" w:eastAsia="宋体" w:hint="default"/>
                <w:sz w:val="18"/>
                <w:szCs w:val="18"/>
              </w:rPr>
            </w:pPr>
            <w:r>
              <w:rPr>
                <w:rFonts w:ascii="宋体" w:hAnsi="宋体" w:cs="宋体" w:eastAsia="宋体" w:hint="default"/>
                <w:sz w:val="18"/>
                <w:szCs w:val="18"/>
              </w:rPr>
              <w:t>持股比例 (%)</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51" w:right="169" w:hanging="180"/>
              <w:jc w:val="left"/>
              <w:rPr>
                <w:rFonts w:ascii="宋体" w:hAnsi="宋体" w:cs="宋体" w:eastAsia="宋体" w:hint="default"/>
                <w:sz w:val="18"/>
                <w:szCs w:val="18"/>
              </w:rPr>
            </w:pPr>
            <w:r>
              <w:rPr>
                <w:rFonts w:ascii="宋体" w:hAnsi="宋体" w:cs="宋体" w:eastAsia="宋体" w:hint="default"/>
                <w:sz w:val="18"/>
                <w:szCs w:val="18"/>
              </w:rPr>
              <w:t>报告期内 增减</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40" w:lineRule="auto"/>
              <w:ind w:left="460" w:right="101" w:hanging="360"/>
              <w:jc w:val="left"/>
              <w:rPr>
                <w:rFonts w:ascii="宋体" w:hAnsi="宋体" w:cs="宋体" w:eastAsia="宋体" w:hint="default"/>
                <w:sz w:val="18"/>
                <w:szCs w:val="18"/>
              </w:rPr>
            </w:pPr>
            <w:r>
              <w:rPr>
                <w:rFonts w:ascii="宋体" w:hAnsi="宋体" w:cs="宋体" w:eastAsia="宋体" w:hint="default"/>
                <w:sz w:val="18"/>
                <w:szCs w:val="18"/>
              </w:rPr>
              <w:t>条件股份数 量</w:t>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杜 宣</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12.52</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7"/>
              <w:jc w:val="right"/>
              <w:rPr>
                <w:rFonts w:ascii="Arial" w:hAnsi="Arial" w:cs="Arial" w:eastAsia="Arial" w:hint="default"/>
                <w:sz w:val="18"/>
                <w:szCs w:val="18"/>
              </w:rPr>
            </w:pPr>
            <w:r>
              <w:rPr>
                <w:rFonts w:ascii="Arial"/>
                <w:spacing w:val="-1"/>
                <w:sz w:val="18"/>
              </w:rPr>
              <w:t>17,213,972</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10,341,972</w:t>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徐岷波</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12.09</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16,624,292</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-72,000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9,824,292</w:t>
            </w:r>
            <w:r>
              <w:rPr>
                <w:rFonts w:ascii="Arial"/>
                <w:sz w:val="18"/>
              </w:rPr>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赵 剑</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spacing w:val="-4"/>
                <w:sz w:val="18"/>
              </w:rPr>
              <w:t>11.88</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16,338,434</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-804,622</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10,271,056</w:t>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李结义</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4"/>
                <w:sz w:val="18"/>
              </w:rPr>
              <w:t>11.42</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7"/>
              <w:jc w:val="right"/>
              <w:rPr>
                <w:rFonts w:ascii="Arial" w:hAnsi="Arial" w:cs="Arial" w:eastAsia="Arial" w:hint="default"/>
                <w:sz w:val="18"/>
                <w:szCs w:val="18"/>
              </w:rPr>
            </w:pPr>
            <w:r>
              <w:rPr>
                <w:rFonts w:ascii="Arial"/>
                <w:spacing w:val="-1"/>
                <w:sz w:val="18"/>
              </w:rPr>
              <w:t>15,696,292</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-1,000,000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9,824,292</w:t>
            </w:r>
            <w:r>
              <w:rPr>
                <w:rFonts w:ascii="Arial"/>
                <w:sz w:val="18"/>
              </w:rPr>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王开因</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1.23</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1,688,000</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-528,088</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许联俊</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0.81</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6"/>
              <w:jc w:val="right"/>
              <w:rPr>
                <w:rFonts w:ascii="Arial" w:hAnsi="Arial" w:cs="Arial" w:eastAsia="Arial" w:hint="default"/>
                <w:sz w:val="18"/>
                <w:szCs w:val="18"/>
              </w:rPr>
            </w:pPr>
            <w:r>
              <w:rPr>
                <w:rFonts w:ascii="Arial"/>
                <w:spacing w:val="-1"/>
                <w:sz w:val="18"/>
              </w:rPr>
              <w:t>1,117,631</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3"/>
                <w:sz w:val="18"/>
              </w:rPr>
              <w:t>1,117,631</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唐昶荣</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0.50</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691,420</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王海航</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0.50</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7"/>
              <w:jc w:val="right"/>
              <w:rPr>
                <w:rFonts w:ascii="Arial" w:hAnsi="Arial" w:cs="Arial" w:eastAsia="Arial" w:hint="default"/>
                <w:sz w:val="18"/>
                <w:szCs w:val="18"/>
              </w:rPr>
            </w:pPr>
            <w:r>
              <w:rPr>
                <w:rFonts w:ascii="Arial"/>
                <w:spacing w:val="-1"/>
                <w:sz w:val="18"/>
              </w:rPr>
              <w:t>690,000</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-19,148</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99"/>
                <w:sz w:val="18"/>
              </w:rPr>
              <w:t>0</w:t>
            </w:r>
            <w:r>
              <w:rPr>
                <w:rFonts w:ascii="Arial"/>
                <w:sz w:val="18"/>
              </w:rPr>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王阿花</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0.44</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7"/>
              <w:jc w:val="right"/>
              <w:rPr>
                <w:rFonts w:ascii="Arial" w:hAnsi="Arial" w:cs="Arial" w:eastAsia="Arial" w:hint="default"/>
                <w:sz w:val="18"/>
                <w:szCs w:val="18"/>
              </w:rPr>
            </w:pPr>
            <w:r>
              <w:rPr>
                <w:rFonts w:ascii="Arial"/>
                <w:spacing w:val="-1"/>
                <w:sz w:val="18"/>
              </w:rPr>
              <w:t>601,880</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601,880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查玉宝</w:t>
            </w:r>
          </w:p>
        </w:tc>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0.44</w:t>
            </w:r>
            <w:r>
              <w:rPr>
                <w:rFonts w:ascii="Arial"/>
                <w:sz w:val="18"/>
              </w:rPr>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7"/>
              <w:jc w:val="right"/>
              <w:rPr>
                <w:rFonts w:ascii="Arial" w:hAnsi="Arial" w:cs="Arial" w:eastAsia="Arial" w:hint="default"/>
                <w:sz w:val="18"/>
                <w:szCs w:val="18"/>
              </w:rPr>
            </w:pPr>
            <w:r>
              <w:rPr>
                <w:rFonts w:ascii="Arial"/>
                <w:spacing w:val="-1"/>
                <w:sz w:val="18"/>
              </w:rPr>
              <w:t>600,000</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-250,978</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20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99"/>
                <w:sz w:val="18"/>
              </w:rPr>
              <w:t>0</w:t>
            </w:r>
            <w:r>
              <w:rPr>
                <w:rFonts w:ascii="Arial"/>
                <w:sz w:val="18"/>
              </w:rPr>
            </w:r>
          </w:p>
        </w:tc>
      </w:tr>
      <w:tr>
        <w:trPr>
          <w:trHeight w:val="288"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杜宣</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84" w:right="0"/>
              <w:jc w:val="left"/>
              <w:rPr>
                <w:rFonts w:ascii="宋体" w:hAnsi="宋体" w:cs="宋体" w:eastAsia="宋体" w:hint="default"/>
                <w:sz w:val="18"/>
                <w:szCs w:val="18"/>
              </w:rPr>
            </w:pPr>
            <w:r>
              <w:rPr>
                <w:rFonts w:ascii="宋体"/>
                <w:sz w:val="18"/>
              </w:rPr>
              <w:t>6,872,000</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徐岷波</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84" w:right="0"/>
              <w:jc w:val="left"/>
              <w:rPr>
                <w:rFonts w:ascii="宋体" w:hAnsi="宋体" w:cs="宋体" w:eastAsia="宋体" w:hint="default"/>
                <w:sz w:val="18"/>
                <w:szCs w:val="18"/>
              </w:rPr>
            </w:pPr>
            <w:r>
              <w:rPr>
                <w:rFonts w:ascii="宋体"/>
                <w:sz w:val="18"/>
              </w:rPr>
              <w:t>6,800,000</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赵剑</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84" w:right="0"/>
              <w:jc w:val="left"/>
              <w:rPr>
                <w:rFonts w:ascii="宋体" w:hAnsi="宋体" w:cs="宋体" w:eastAsia="宋体" w:hint="default"/>
                <w:sz w:val="18"/>
                <w:szCs w:val="18"/>
              </w:rPr>
            </w:pPr>
            <w:r>
              <w:rPr>
                <w:rFonts w:ascii="宋体"/>
                <w:sz w:val="18"/>
              </w:rPr>
              <w:t>6,067,378</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李结义</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84" w:right="0"/>
              <w:jc w:val="left"/>
              <w:rPr>
                <w:rFonts w:ascii="宋体" w:hAnsi="宋体" w:cs="宋体" w:eastAsia="宋体" w:hint="default"/>
                <w:sz w:val="18"/>
                <w:szCs w:val="18"/>
              </w:rPr>
            </w:pPr>
            <w:r>
              <w:rPr>
                <w:rFonts w:ascii="宋体"/>
                <w:sz w:val="18"/>
              </w:rPr>
              <w:t>5,872,000</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王开因</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84" w:right="0"/>
              <w:jc w:val="left"/>
              <w:rPr>
                <w:rFonts w:ascii="宋体" w:hAnsi="宋体" w:cs="宋体" w:eastAsia="宋体" w:hint="default"/>
                <w:sz w:val="18"/>
                <w:szCs w:val="18"/>
              </w:rPr>
            </w:pPr>
            <w:r>
              <w:rPr>
                <w:rFonts w:ascii="宋体"/>
                <w:sz w:val="18"/>
              </w:rPr>
              <w:t>1,688,000</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许联俊</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84" w:right="0"/>
              <w:jc w:val="left"/>
              <w:rPr>
                <w:rFonts w:ascii="宋体" w:hAnsi="宋体" w:cs="宋体" w:eastAsia="宋体" w:hint="default"/>
                <w:sz w:val="18"/>
                <w:szCs w:val="18"/>
              </w:rPr>
            </w:pPr>
            <w:r>
              <w:rPr>
                <w:rFonts w:ascii="宋体"/>
                <w:sz w:val="18"/>
              </w:rPr>
              <w:t>1,117,631</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唐昶荣</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691,420</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王海航</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690,000</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王阿花</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601,880</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查玉宝</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600,000</w:t>
            </w:r>
          </w:p>
        </w:tc>
        <w:tc>
          <w:tcPr>
            <w:tcW w:w="317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50" w:hRule="exact"/>
        </w:trPr>
        <w:tc>
          <w:tcPr>
            <w:tcW w:w="408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370" w:type="dxa"/>
            <w:gridSpan w:val="4"/>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1、公司未知上述流通股股东之间是否存在关联关系或属于《上市</w:t>
            </w:r>
          </w:p>
          <w:p>
            <w:pPr>
              <w:pStyle w:val="TableParagraph"/>
              <w:spacing w:line="237" w:lineRule="auto" w:before="1"/>
              <w:ind w:left="100" w:right="97"/>
              <w:jc w:val="both"/>
              <w:rPr>
                <w:rFonts w:ascii="宋体" w:hAnsi="宋体" w:cs="宋体" w:eastAsia="宋体" w:hint="default"/>
                <w:sz w:val="18"/>
                <w:szCs w:val="18"/>
              </w:rPr>
            </w:pPr>
            <w:r>
              <w:rPr>
                <w:rFonts w:ascii="宋体" w:hAnsi="宋体" w:cs="宋体" w:eastAsia="宋体" w:hint="default"/>
                <w:sz w:val="18"/>
                <w:szCs w:val="18"/>
              </w:rPr>
              <w:t>公司股东持股信息披露管理办法》规定的一致行动人。2、公司未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知前十名流通股股东与前十名股东之间是否存在关联关系，也未知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其是否存在一致行动人情况</w:t>
            </w:r>
          </w:p>
        </w:tc>
      </w:tr>
    </w:tbl>
    <w:p>
      <w:pPr>
        <w:spacing w:line="240" w:lineRule="auto" w:before="6"/>
        <w:rPr>
          <w:rFonts w:ascii="宋体" w:hAnsi="宋体" w:cs="宋体" w:eastAsia="宋体" w:hint="default"/>
          <w:sz w:val="15"/>
          <w:szCs w:val="15"/>
        </w:rPr>
      </w:pPr>
    </w:p>
    <w:p>
      <w:pPr>
        <w:pStyle w:val="BodyText"/>
        <w:spacing w:line="273" w:lineRule="exact" w:before="35"/>
        <w:ind w:left="685" w:right="226"/>
        <w:jc w:val="left"/>
      </w:pPr>
      <w:r>
        <w:rPr/>
        <w:t>前十名有限售条件股东持股数量及限售条件</w:t>
      </w:r>
    </w:p>
    <w:p>
      <w:pPr>
        <w:pStyle w:val="BodyText"/>
        <w:spacing w:line="273" w:lineRule="exact"/>
        <w:ind w:left="0" w:right="331"/>
        <w:jc w:val="right"/>
      </w:pPr>
      <w:r>
        <w:rPr/>
        <w:t>单位:股</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96"/>
        <w:gridCol w:w="1232"/>
        <w:gridCol w:w="1440"/>
        <w:gridCol w:w="1620"/>
        <w:gridCol w:w="1440"/>
        <w:gridCol w:w="3172"/>
      </w:tblGrid>
      <w:tr>
        <w:trPr>
          <w:trHeight w:val="248"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before="87"/>
              <w:ind w:left="100" w:right="98"/>
              <w:jc w:val="left"/>
              <w:rPr>
                <w:rFonts w:ascii="宋体" w:hAnsi="宋体" w:cs="宋体" w:eastAsia="宋体" w:hint="default"/>
                <w:sz w:val="18"/>
                <w:szCs w:val="18"/>
              </w:rPr>
            </w:pPr>
            <w:r>
              <w:rPr>
                <w:rFonts w:ascii="宋体" w:hAnsi="宋体" w:cs="宋体" w:eastAsia="宋体" w:hint="default"/>
                <w:sz w:val="18"/>
                <w:szCs w:val="18"/>
              </w:rPr>
              <w:t>序 号</w:t>
            </w:r>
          </w:p>
        </w:tc>
        <w:tc>
          <w:tcPr>
            <w:tcW w:w="1232" w:type="dxa"/>
            <w:vMerge w:val="restart"/>
            <w:tcBorders>
              <w:top w:val="single" w:sz="6" w:space="0" w:color="101010"/>
              <w:left w:val="single" w:sz="6" w:space="0" w:color="101010"/>
              <w:right w:val="single" w:sz="6" w:space="0" w:color="101010"/>
            </w:tcBorders>
          </w:tcPr>
          <w:p>
            <w:pPr>
              <w:pStyle w:val="TableParagraph"/>
              <w:spacing w:line="240" w:lineRule="auto" w:before="87"/>
              <w:ind w:left="248" w:right="157" w:hanging="90"/>
              <w:jc w:val="left"/>
              <w:rPr>
                <w:rFonts w:ascii="宋体" w:hAnsi="宋体" w:cs="宋体" w:eastAsia="宋体" w:hint="default"/>
                <w:sz w:val="18"/>
                <w:szCs w:val="18"/>
              </w:rPr>
            </w:pPr>
            <w:r>
              <w:rPr>
                <w:rFonts w:ascii="宋体" w:hAnsi="宋体" w:cs="宋体" w:eastAsia="宋体" w:hint="default"/>
                <w:sz w:val="18"/>
                <w:szCs w:val="18"/>
              </w:rPr>
              <w:t>有限售条件 股东名称</w:t>
            </w:r>
          </w:p>
        </w:tc>
        <w:tc>
          <w:tcPr>
            <w:tcW w:w="1440" w:type="dxa"/>
            <w:vMerge w:val="restart"/>
            <w:tcBorders>
              <w:top w:val="single" w:sz="6" w:space="0" w:color="101010"/>
              <w:left w:val="single" w:sz="6" w:space="0" w:color="101010"/>
              <w:right w:val="single" w:sz="6" w:space="0" w:color="101010"/>
            </w:tcBorders>
          </w:tcPr>
          <w:p>
            <w:pPr>
              <w:pStyle w:val="TableParagraph"/>
              <w:spacing w:line="240" w:lineRule="auto" w:before="87"/>
              <w:ind w:left="172" w:right="170"/>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06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62"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3172"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82" w:hRule="exact"/>
        </w:trPr>
        <w:tc>
          <w:tcPr>
            <w:tcW w:w="396" w:type="dxa"/>
            <w:vMerge/>
            <w:tcBorders>
              <w:left w:val="single" w:sz="6" w:space="0" w:color="101010"/>
              <w:bottom w:val="single" w:sz="6" w:space="0" w:color="101010"/>
              <w:right w:val="single" w:sz="6" w:space="0" w:color="101010"/>
            </w:tcBorders>
          </w:tcPr>
          <w:p>
            <w:pPr/>
          </w:p>
        </w:tc>
        <w:tc>
          <w:tcPr>
            <w:tcW w:w="1232" w:type="dxa"/>
            <w:vMerge/>
            <w:tcBorders>
              <w:left w:val="single" w:sz="6" w:space="0" w:color="101010"/>
              <w:bottom w:val="single" w:sz="6" w:space="0" w:color="101010"/>
              <w:right w:val="single" w:sz="6" w:space="0" w:color="101010"/>
            </w:tcBorders>
          </w:tcPr>
          <w:p>
            <w:pPr/>
          </w:p>
        </w:tc>
        <w:tc>
          <w:tcPr>
            <w:tcW w:w="1440" w:type="dxa"/>
            <w:vMerge/>
            <w:tcBorders>
              <w:left w:val="single" w:sz="6" w:space="0" w:color="101010"/>
              <w:bottom w:val="single" w:sz="6" w:space="0" w:color="101010"/>
              <w:right w:val="single" w:sz="6" w:space="0" w:color="101010"/>
            </w:tcBorders>
          </w:tcPr>
          <w:p>
            <w:pP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70"/>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3"/>
                <w:sz w:val="18"/>
                <w:szCs w:val="18"/>
              </w:rPr>
              <w:t>新增可上市交</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易股份数量</w:t>
            </w:r>
          </w:p>
        </w:tc>
        <w:tc>
          <w:tcPr>
            <w:tcW w:w="3172" w:type="dxa"/>
            <w:vMerge/>
            <w:tcBorders>
              <w:left w:val="single" w:sz="6" w:space="0" w:color="101010"/>
              <w:bottom w:val="single" w:sz="6" w:space="0" w:color="101010"/>
              <w:right w:val="single" w:sz="6" w:space="0" w:color="101010"/>
            </w:tcBorders>
          </w:tcPr>
          <w:p>
            <w:pPr/>
          </w:p>
        </w:tc>
      </w:tr>
      <w:tr>
        <w:trPr>
          <w:trHeight w:val="448"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5"/>
              <w:ind w:left="100" w:right="0"/>
              <w:jc w:val="left"/>
              <w:rPr>
                <w:rFonts w:ascii="宋体" w:hAnsi="宋体" w:cs="宋体" w:eastAsia="宋体" w:hint="default"/>
                <w:sz w:val="21"/>
                <w:szCs w:val="21"/>
              </w:rPr>
            </w:pPr>
            <w:r>
              <w:rPr>
                <w:rFonts w:ascii="宋体"/>
                <w:sz w:val="21"/>
              </w:rPr>
              <w:t>1</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9"/>
              <w:ind w:left="100" w:right="0"/>
              <w:jc w:val="left"/>
              <w:rPr>
                <w:rFonts w:ascii="宋体" w:hAnsi="宋体" w:cs="宋体" w:eastAsia="宋体" w:hint="default"/>
                <w:sz w:val="18"/>
                <w:szCs w:val="18"/>
              </w:rPr>
            </w:pPr>
            <w:r>
              <w:rPr>
                <w:rFonts w:ascii="宋体" w:hAnsi="宋体" w:cs="宋体" w:eastAsia="宋体" w:hint="default"/>
                <w:sz w:val="18"/>
                <w:szCs w:val="18"/>
              </w:rPr>
              <w:t>杜宣</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9"/>
              <w:ind w:right="98"/>
              <w:jc w:val="right"/>
              <w:rPr>
                <w:rFonts w:ascii="宋体" w:hAnsi="宋体" w:cs="宋体" w:eastAsia="宋体" w:hint="default"/>
                <w:sz w:val="18"/>
                <w:szCs w:val="18"/>
              </w:rPr>
            </w:pPr>
            <w:r>
              <w:rPr>
                <w:rFonts w:ascii="宋体"/>
                <w:sz w:val="18"/>
              </w:rPr>
              <w:t>10,341,972</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9"/>
              <w:ind w:right="198"/>
              <w:jc w:val="right"/>
              <w:rPr>
                <w:rFonts w:ascii="宋体" w:hAnsi="宋体" w:cs="宋体" w:eastAsia="宋体" w:hint="default"/>
                <w:sz w:val="18"/>
                <w:szCs w:val="18"/>
              </w:rPr>
            </w:pPr>
            <w:r>
              <w:rPr>
                <w:rFonts w:ascii="宋体" w:hAnsi="宋体" w:cs="宋体" w:eastAsia="宋体" w:hint="default"/>
                <w:spacing w:val="14"/>
                <w:sz w:val="18"/>
                <w:szCs w:val="18"/>
              </w:rPr>
              <w:t>2008年4</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9"/>
              <w:ind w:right="98"/>
              <w:jc w:val="right"/>
              <w:rPr>
                <w:rFonts w:ascii="宋体" w:hAnsi="宋体" w:cs="宋体" w:eastAsia="宋体" w:hint="default"/>
                <w:sz w:val="18"/>
                <w:szCs w:val="18"/>
              </w:rPr>
            </w:pPr>
            <w:r>
              <w:rPr>
                <w:rFonts w:ascii="宋体"/>
                <w:sz w:val="18"/>
              </w:rPr>
              <w:t>6,872,000</w:t>
            </w:r>
          </w:p>
        </w:tc>
        <w:tc>
          <w:tcPr>
            <w:tcW w:w="3172" w:type="dxa"/>
            <w:vMerge w:val="restart"/>
            <w:tcBorders>
              <w:top w:val="single" w:sz="6" w:space="0" w:color="101010"/>
              <w:left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金证股份的股权分置改革方案通过以</w:t>
            </w:r>
            <w:r>
              <w:rPr>
                <w:rFonts w:ascii="宋体" w:hAnsi="宋体" w:cs="宋体" w:eastAsia="宋体" w:hint="default"/>
                <w:sz w:val="18"/>
                <w:szCs w:val="18"/>
              </w:rPr>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pacing w:val="4"/>
                <w:sz w:val="18"/>
                <w:szCs w:val="18"/>
              </w:rPr>
              <w:t>后，其各自所持有的股份自获得上市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流通权之日起，在十二个月内不上市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交易或者转让；在前项承诺期期满后，</w:t>
            </w:r>
            <w:r>
              <w:rPr>
                <w:rFonts w:ascii="宋体" w:hAnsi="宋体" w:cs="宋体" w:eastAsia="宋体" w:hint="default"/>
                <w:sz w:val="18"/>
                <w:szCs w:val="18"/>
              </w:rPr>
              <w:t> </w:t>
            </w:r>
            <w:r>
              <w:rPr>
                <w:rFonts w:ascii="宋体" w:hAnsi="宋体" w:cs="宋体" w:eastAsia="宋体" w:hint="default"/>
                <w:spacing w:val="4"/>
                <w:sz w:val="18"/>
                <w:szCs w:val="18"/>
              </w:rPr>
              <w:t>通过证券交易所挂牌交易出售的股份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占股份总数的比例在十二个月内不超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宋体" w:hAnsi="宋体" w:cs="宋体" w:eastAsia="宋体" w:hint="default"/>
                <w:sz w:val="18"/>
                <w:szCs w:val="18"/>
              </w:rPr>
              <w:t>5%，在二十四个月内不超过</w:t>
            </w:r>
            <w:r>
              <w:rPr>
                <w:rFonts w:ascii="宋体" w:hAnsi="宋体" w:cs="宋体" w:eastAsia="宋体" w:hint="default"/>
                <w:spacing w:val="-46"/>
                <w:sz w:val="18"/>
                <w:szCs w:val="18"/>
              </w:rPr>
              <w:t> </w:t>
            </w:r>
            <w:r>
              <w:rPr>
                <w:rFonts w:ascii="宋体" w:hAnsi="宋体" w:cs="宋体" w:eastAsia="宋体" w:hint="default"/>
                <w:sz w:val="18"/>
                <w:szCs w:val="18"/>
              </w:rPr>
              <w:t>10%。</w:t>
            </w:r>
          </w:p>
        </w:tc>
      </w:tr>
      <w:tr>
        <w:trPr>
          <w:trHeight w:val="464"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sz w:val="21"/>
              </w:rPr>
              <w:t>2</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10,271,056</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198"/>
              <w:jc w:val="right"/>
              <w:rPr>
                <w:rFonts w:ascii="宋体" w:hAnsi="宋体" w:cs="宋体" w:eastAsia="宋体" w:hint="default"/>
                <w:sz w:val="18"/>
                <w:szCs w:val="18"/>
              </w:rPr>
            </w:pPr>
            <w:r>
              <w:rPr>
                <w:rFonts w:ascii="宋体" w:hAnsi="宋体" w:cs="宋体" w:eastAsia="宋体" w:hint="default"/>
                <w:spacing w:val="14"/>
                <w:sz w:val="18"/>
                <w:szCs w:val="18"/>
              </w:rPr>
              <w:t>2008年4</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6,872,000</w:t>
            </w:r>
          </w:p>
        </w:tc>
        <w:tc>
          <w:tcPr>
            <w:tcW w:w="3172" w:type="dxa"/>
            <w:vMerge/>
            <w:tcBorders>
              <w:left w:val="single" w:sz="6" w:space="0" w:color="101010"/>
              <w:right w:val="single" w:sz="6" w:space="0" w:color="101010"/>
            </w:tcBorders>
          </w:tcPr>
          <w:p>
            <w:pPr/>
          </w:p>
        </w:tc>
      </w:tr>
      <w:tr>
        <w:trPr>
          <w:trHeight w:val="497"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0"/>
              <w:ind w:left="100" w:right="0"/>
              <w:jc w:val="left"/>
              <w:rPr>
                <w:rFonts w:ascii="宋体" w:hAnsi="宋体" w:cs="宋体" w:eastAsia="宋体" w:hint="default"/>
                <w:sz w:val="21"/>
                <w:szCs w:val="21"/>
              </w:rPr>
            </w:pPr>
            <w:r>
              <w:rPr>
                <w:rFonts w:ascii="宋体"/>
                <w:sz w:val="21"/>
              </w:rPr>
              <w:t>3</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9,824,292</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198"/>
              <w:jc w:val="right"/>
              <w:rPr>
                <w:rFonts w:ascii="宋体" w:hAnsi="宋体" w:cs="宋体" w:eastAsia="宋体" w:hint="default"/>
                <w:sz w:val="18"/>
                <w:szCs w:val="18"/>
              </w:rPr>
            </w:pPr>
            <w:r>
              <w:rPr>
                <w:rFonts w:ascii="宋体" w:hAnsi="宋体" w:cs="宋体" w:eastAsia="宋体" w:hint="default"/>
                <w:spacing w:val="14"/>
                <w:sz w:val="18"/>
                <w:szCs w:val="18"/>
              </w:rPr>
              <w:t>2008年4</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6,872,000</w:t>
            </w:r>
          </w:p>
        </w:tc>
        <w:tc>
          <w:tcPr>
            <w:tcW w:w="3172" w:type="dxa"/>
            <w:vMerge/>
            <w:tcBorders>
              <w:left w:val="single" w:sz="6" w:space="0" w:color="101010"/>
              <w:right w:val="single" w:sz="6" w:space="0" w:color="101010"/>
            </w:tcBorders>
          </w:tcPr>
          <w:p>
            <w:pPr/>
          </w:p>
        </w:tc>
      </w:tr>
      <w:tr>
        <w:trPr>
          <w:trHeight w:val="288"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9,824,292</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98"/>
              <w:jc w:val="right"/>
              <w:rPr>
                <w:rFonts w:ascii="宋体" w:hAnsi="宋体" w:cs="宋体" w:eastAsia="宋体" w:hint="default"/>
                <w:sz w:val="18"/>
                <w:szCs w:val="18"/>
              </w:rPr>
            </w:pPr>
            <w:r>
              <w:rPr>
                <w:rFonts w:ascii="宋体" w:hAnsi="宋体" w:cs="宋体" w:eastAsia="宋体" w:hint="default"/>
                <w:spacing w:val="14"/>
                <w:sz w:val="18"/>
                <w:szCs w:val="18"/>
              </w:rPr>
              <w:t>2008年4</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6,872,000</w:t>
            </w:r>
          </w:p>
        </w:tc>
        <w:tc>
          <w:tcPr>
            <w:tcW w:w="3172" w:type="dxa"/>
            <w:vMerge/>
            <w:tcBorders>
              <w:left w:val="single" w:sz="6" w:space="0" w:color="101010"/>
              <w:bottom w:val="single" w:sz="6" w:space="0" w:color="101010"/>
              <w:right w:val="single" w:sz="6" w:space="0" w:color="101010"/>
            </w:tcBorders>
          </w:tcPr>
          <w:p>
            <w:pPr/>
          </w:p>
        </w:tc>
      </w:tr>
    </w:tbl>
    <w:p>
      <w:pPr>
        <w:pStyle w:val="BodyText"/>
        <w:spacing w:line="272" w:lineRule="exact" w:before="112"/>
        <w:ind w:right="226" w:firstLine="472"/>
        <w:jc w:val="left"/>
      </w:pPr>
      <w:r>
        <w:rPr>
          <w:spacing w:val="-2"/>
        </w:rPr>
        <w:t>注：因杜宣、赵剑、李结义、徐岷波为本公司董事，在其持有的本公司股份限售期满后，其持有</w:t>
      </w:r>
      <w:r>
        <w:rPr/>
        <w:t> </w:t>
      </w:r>
      <w:r>
        <w:rPr>
          <w:spacing w:val="-7"/>
        </w:rPr>
        <w:t>的公司股份的转让应按照《公司法》、《证券法》等有关法律法规的规定执行。</w:t>
      </w:r>
    </w:p>
    <w:p>
      <w:pPr>
        <w:spacing w:after="0" w:line="272" w:lineRule="exact"/>
        <w:jc w:val="left"/>
        <w:sectPr>
          <w:pgSz w:w="12240" w:h="15840"/>
          <w:pgMar w:header="747" w:footer="727" w:top="1040" w:bottom="920" w:left="13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39" w:lineRule="auto"/>
        <w:ind w:left="685" w:right="5908"/>
        <w:jc w:val="left"/>
      </w:pPr>
      <w:r>
        <w:rPr>
          <w:rFonts w:ascii="Arial" w:hAnsi="Arial" w:cs="Arial" w:eastAsia="Arial" w:hint="default"/>
        </w:rPr>
        <w:t>2</w:t>
      </w:r>
      <w:r>
        <w:rPr/>
        <w:t>、控股股东及实际控制人简介 </w:t>
      </w:r>
      <w:r>
        <w:rPr>
          <w:rFonts w:ascii="Arial" w:hAnsi="Arial" w:cs="Arial" w:eastAsia="Arial" w:hint="default"/>
        </w:rPr>
        <w:t>(1)</w:t>
      </w:r>
      <w:r>
        <w:rPr>
          <w:rFonts w:ascii="Arial" w:hAnsi="Arial" w:cs="Arial" w:eastAsia="Arial" w:hint="default"/>
          <w:spacing w:val="46"/>
        </w:rPr>
        <w:t> </w:t>
      </w:r>
      <w:r>
        <w:rPr/>
        <w:t>自然人控股股东情况 控股股东姓名：杜宣 国籍：中国</w:t>
      </w:r>
    </w:p>
    <w:p>
      <w:pPr>
        <w:pStyle w:val="BodyText"/>
        <w:spacing w:line="456" w:lineRule="auto" w:before="70"/>
        <w:ind w:left="685" w:right="1773"/>
        <w:jc w:val="left"/>
      </w:pPr>
      <w:r>
        <w:rPr/>
        <w:t>最近五年内职业：1998</w:t>
      </w:r>
      <w:r>
        <w:rPr>
          <w:spacing w:val="-53"/>
        </w:rPr>
        <w:t> </w:t>
      </w:r>
      <w:r>
        <w:rPr/>
        <w:t>年创建本公司，任公司第一届董事会董事长职务至今</w:t>
      </w:r>
      <w:r>
        <w:rPr/>
        <w:t> 最近五年内职务：董事长</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456" w:lineRule="auto"/>
        <w:ind w:left="685" w:right="6865"/>
        <w:jc w:val="left"/>
      </w:pPr>
      <w:r>
        <w:rPr/>
        <w:t>控股股东姓名：赵剑 国籍：中国</w:t>
      </w:r>
    </w:p>
    <w:p>
      <w:pPr>
        <w:pStyle w:val="BodyText"/>
        <w:spacing w:line="453" w:lineRule="auto" w:before="55"/>
        <w:ind w:left="685" w:right="2193"/>
        <w:jc w:val="left"/>
      </w:pPr>
      <w:r>
        <w:rPr/>
        <w:t>最近五年内职业：1998</w:t>
      </w:r>
      <w:r>
        <w:rPr>
          <w:spacing w:val="-53"/>
        </w:rPr>
        <w:t> </w:t>
      </w:r>
      <w:r>
        <w:rPr/>
        <w:t>年创建本公司，出任公司第一届董事会董事至今</w:t>
      </w:r>
      <w:r>
        <w:rPr/>
        <w:t> 最近五年内职务：董事、总裁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453" w:lineRule="auto"/>
        <w:ind w:left="685" w:right="6655"/>
        <w:jc w:val="left"/>
      </w:pPr>
      <w:r>
        <w:rPr/>
        <w:t>控股股东姓名：李结义 国籍：中国</w:t>
      </w:r>
    </w:p>
    <w:p>
      <w:pPr>
        <w:pStyle w:val="BodyText"/>
        <w:spacing w:line="453" w:lineRule="auto" w:before="59"/>
        <w:ind w:left="685" w:right="1983"/>
        <w:jc w:val="left"/>
      </w:pPr>
      <w:r>
        <w:rPr/>
        <w:t>最近五年内职业：1998</w:t>
      </w:r>
      <w:r>
        <w:rPr>
          <w:spacing w:val="-53"/>
        </w:rPr>
        <w:t> </w:t>
      </w:r>
      <w:r>
        <w:rPr/>
        <w:t>年创建本公司，出任公司第一届董事会董事至今。</w:t>
      </w:r>
      <w:r>
        <w:rPr/>
        <w:t> 最近五年内职务：董事、副总裁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453" w:lineRule="auto"/>
        <w:ind w:left="685" w:right="6655"/>
        <w:jc w:val="left"/>
      </w:pPr>
      <w:r>
        <w:rPr/>
        <w:t>控股股东姓名：徐岷波 国籍：中国</w:t>
      </w:r>
    </w:p>
    <w:p>
      <w:pPr>
        <w:pStyle w:val="BodyText"/>
        <w:spacing w:line="453" w:lineRule="auto" w:before="58"/>
        <w:ind w:left="685" w:right="1983"/>
        <w:jc w:val="left"/>
      </w:pPr>
      <w:r>
        <w:rPr/>
        <w:t>最近五年内职业：1998</w:t>
      </w:r>
      <w:r>
        <w:rPr>
          <w:spacing w:val="-53"/>
        </w:rPr>
        <w:t> </w:t>
      </w:r>
      <w:r>
        <w:rPr/>
        <w:t>年创建本公司，出任公司第一届董事会董事至今。</w:t>
      </w:r>
      <w:r>
        <w:rPr/>
        <w:t> 最近五年内职务：董事、副总裁 本报告期内公司控股股东及实际控制人没有发生变更。</w:t>
      </w:r>
    </w:p>
    <w:p>
      <w:pPr>
        <w:pStyle w:val="BodyText"/>
        <w:spacing w:line="441" w:lineRule="auto" w:before="58"/>
        <w:ind w:left="685" w:right="3715"/>
        <w:jc w:val="left"/>
      </w:pPr>
      <w:r>
        <w:rPr>
          <w:rFonts w:ascii="Arial" w:hAnsi="Arial" w:cs="Arial" w:eastAsia="Arial" w:hint="default"/>
        </w:rPr>
        <w:t>(2)</w:t>
      </w:r>
      <w:r>
        <w:rPr>
          <w:rFonts w:ascii="Arial" w:hAnsi="Arial" w:cs="Arial" w:eastAsia="Arial" w:hint="default"/>
          <w:spacing w:val="46"/>
        </w:rPr>
        <w:t> </w:t>
      </w:r>
      <w:r>
        <w:rPr/>
        <w:t>控股股东及实际控制人变更情况 本报告期内公司控股股东及实际控制人没有发生变更。 </w:t>
      </w:r>
      <w:r>
        <w:rPr>
          <w:rFonts w:ascii="Arial" w:hAnsi="Arial" w:cs="Arial" w:eastAsia="Arial" w:hint="default"/>
        </w:rPr>
        <w:t>(3)</w:t>
      </w:r>
      <w:r>
        <w:rPr>
          <w:rFonts w:ascii="Arial" w:hAnsi="Arial" w:cs="Arial" w:eastAsia="Arial" w:hint="default"/>
          <w:spacing w:val="44"/>
        </w:rPr>
        <w:t> </w:t>
      </w:r>
      <w:r>
        <w:rPr/>
        <w:t>公司与实际控制人之间的产权及控制关系的方框图</w:t>
      </w:r>
    </w:p>
    <w:p>
      <w:pPr>
        <w:spacing w:after="0" w:line="441" w:lineRule="auto"/>
        <w:jc w:val="left"/>
        <w:sectPr>
          <w:pgSz w:w="12240" w:h="15840"/>
          <w:pgMar w:header="747" w:footer="727" w:top="1040" w:bottom="920" w:left="1380" w:right="1400"/>
        </w:sectPr>
      </w:pPr>
    </w:p>
    <w:p>
      <w:pPr>
        <w:spacing w:line="240" w:lineRule="auto" w:before="8"/>
        <w:rPr>
          <w:rFonts w:ascii="宋体" w:hAnsi="宋体" w:cs="宋体" w:eastAsia="宋体" w:hint="default"/>
          <w:sz w:val="29"/>
          <w:szCs w:val="29"/>
        </w:rPr>
      </w:pPr>
    </w:p>
    <w:p>
      <w:pPr>
        <w:spacing w:line="2997" w:lineRule="exact"/>
        <w:ind w:left="166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5200143" cy="190309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5200143" cy="1903095"/>
                    </a:xfrm>
                    <a:prstGeom prst="rect">
                      <a:avLst/>
                    </a:prstGeom>
                  </pic:spPr>
                </pic:pic>
              </a:graphicData>
            </a:graphic>
          </wp:inline>
        </w:drawing>
      </w:r>
      <w:r>
        <w:rPr>
          <w:rFonts w:ascii="宋体" w:hAnsi="宋体" w:cs="宋体" w:eastAsia="宋体" w:hint="default"/>
          <w:position w:val="-59"/>
          <w:sz w:val="20"/>
          <w:szCs w:val="20"/>
        </w:rPr>
      </w:r>
    </w:p>
    <w:p>
      <w:pPr>
        <w:pStyle w:val="BodyText"/>
        <w:spacing w:line="336" w:lineRule="auto" w:before="13"/>
        <w:ind w:left="1745" w:right="3605"/>
        <w:jc w:val="left"/>
      </w:pPr>
      <w:r>
        <w:rPr>
          <w:rFonts w:ascii="Arial" w:hAnsi="Arial" w:cs="Arial" w:eastAsia="Arial" w:hint="default"/>
        </w:rPr>
        <w:t>3</w:t>
      </w:r>
      <w:r>
        <w:rPr/>
        <w:t>、其他持股在百分之十以上的法人股东 截止本报告期末公司无其他持股在百分之十以上的法人股东。 五、董事、监事和高级管理人员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董事、监事、高级管理人员情况</w:t>
      </w:r>
    </w:p>
    <w:p>
      <w:pPr>
        <w:spacing w:line="240" w:lineRule="auto" w:before="7"/>
        <w:rPr>
          <w:rFonts w:ascii="宋体" w:hAnsi="宋体" w:cs="宋体" w:eastAsia="宋体" w:hint="default"/>
          <w:sz w:val="25"/>
          <w:szCs w:val="25"/>
        </w:rPr>
      </w:pPr>
    </w:p>
    <w:p>
      <w:pPr>
        <w:pStyle w:val="BodyText"/>
        <w:spacing w:line="240" w:lineRule="auto" w:before="35"/>
        <w:ind w:left="0" w:right="591"/>
        <w:jc w:val="right"/>
      </w:pPr>
      <w:r>
        <w:rPr/>
        <w:t>单位</w:t>
      </w:r>
      <w:r>
        <w:rPr>
          <w:rFonts w:ascii="Times New Roman" w:hAnsi="Times New Roman" w:cs="Times New Roman" w:eastAsia="Times New Roman" w:hint="default"/>
        </w:rPr>
        <w:t>:</w:t>
      </w:r>
      <w:r>
        <w:rPr/>
        <w:t>股</w:t>
      </w:r>
    </w:p>
    <w:tbl>
      <w:tblPr>
        <w:tblW w:w="0" w:type="auto"/>
        <w:jc w:val="left"/>
        <w:tblInd w:w="118" w:type="dxa"/>
        <w:tblLayout w:type="fixed"/>
        <w:tblCellMar>
          <w:top w:w="0" w:type="dxa"/>
          <w:left w:w="0" w:type="dxa"/>
          <w:bottom w:w="0" w:type="dxa"/>
          <w:right w:w="0" w:type="dxa"/>
        </w:tblCellMar>
        <w:tblLook w:val="01E0"/>
      </w:tblPr>
      <w:tblGrid>
        <w:gridCol w:w="828"/>
        <w:gridCol w:w="972"/>
        <w:gridCol w:w="540"/>
        <w:gridCol w:w="540"/>
        <w:gridCol w:w="1080"/>
        <w:gridCol w:w="1260"/>
        <w:gridCol w:w="1260"/>
        <w:gridCol w:w="900"/>
        <w:gridCol w:w="1080"/>
        <w:gridCol w:w="540"/>
        <w:gridCol w:w="360"/>
        <w:gridCol w:w="360"/>
        <w:gridCol w:w="360"/>
        <w:gridCol w:w="720"/>
      </w:tblGrid>
      <w:tr>
        <w:trPr>
          <w:trHeight w:val="240" w:hRule="exact"/>
        </w:trPr>
        <w:tc>
          <w:tcPr>
            <w:tcW w:w="828" w:type="dxa"/>
            <w:tcBorders>
              <w:top w:val="single" w:sz="6" w:space="0" w:color="101010"/>
              <w:left w:val="single" w:sz="6" w:space="0" w:color="101010"/>
              <w:bottom w:val="nil" w:sz="6" w:space="0" w:color="auto"/>
              <w:right w:val="single" w:sz="6" w:space="0" w:color="101010"/>
            </w:tcBorders>
          </w:tcPr>
          <w:p>
            <w:pPr/>
          </w:p>
        </w:tc>
        <w:tc>
          <w:tcPr>
            <w:tcW w:w="972" w:type="dxa"/>
            <w:tcBorders>
              <w:top w:val="single" w:sz="6" w:space="0" w:color="101010"/>
              <w:left w:val="single" w:sz="6" w:space="0" w:color="101010"/>
              <w:bottom w:val="nil" w:sz="6" w:space="0" w:color="auto"/>
              <w:right w:val="single" w:sz="6" w:space="0" w:color="101010"/>
            </w:tcBorders>
          </w:tcPr>
          <w:p>
            <w:pPr/>
          </w:p>
        </w:tc>
        <w:tc>
          <w:tcPr>
            <w:tcW w:w="54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72" w:right="170"/>
              <w:jc w:val="left"/>
              <w:rPr>
                <w:rFonts w:ascii="宋体" w:hAnsi="宋体" w:cs="宋体" w:eastAsia="宋体" w:hint="default"/>
                <w:sz w:val="18"/>
                <w:szCs w:val="18"/>
              </w:rPr>
            </w:pPr>
            <w:r>
              <w:rPr>
                <w:rFonts w:ascii="宋体" w:hAnsi="宋体" w:cs="宋体" w:eastAsia="宋体" w:hint="default"/>
                <w:sz w:val="18"/>
                <w:szCs w:val="18"/>
              </w:rPr>
              <w:t>性 别</w:t>
            </w:r>
          </w:p>
        </w:tc>
        <w:tc>
          <w:tcPr>
            <w:tcW w:w="54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72" w:right="170"/>
              <w:jc w:val="left"/>
              <w:rPr>
                <w:rFonts w:ascii="宋体" w:hAnsi="宋体" w:cs="宋体" w:eastAsia="宋体" w:hint="default"/>
                <w:sz w:val="18"/>
                <w:szCs w:val="18"/>
              </w:rPr>
            </w:pPr>
            <w:r>
              <w:rPr>
                <w:rFonts w:ascii="宋体" w:hAnsi="宋体" w:cs="宋体" w:eastAsia="宋体" w:hint="default"/>
                <w:sz w:val="18"/>
                <w:szCs w:val="18"/>
              </w:rPr>
              <w:t>年 龄</w:t>
            </w:r>
          </w:p>
        </w:tc>
        <w:tc>
          <w:tcPr>
            <w:tcW w:w="1080" w:type="dxa"/>
            <w:tcBorders>
              <w:top w:val="single" w:sz="6" w:space="0" w:color="101010"/>
              <w:left w:val="single" w:sz="6" w:space="0" w:color="101010"/>
              <w:bottom w:val="nil" w:sz="6" w:space="0" w:color="auto"/>
              <w:right w:val="single" w:sz="6" w:space="0" w:color="101010"/>
            </w:tcBorders>
          </w:tcPr>
          <w:p>
            <w:pPr/>
          </w:p>
        </w:tc>
        <w:tc>
          <w:tcPr>
            <w:tcW w:w="1260" w:type="dxa"/>
            <w:tcBorders>
              <w:top w:val="single" w:sz="6" w:space="0" w:color="101010"/>
              <w:left w:val="single" w:sz="6" w:space="0" w:color="101010"/>
              <w:bottom w:val="nil" w:sz="6" w:space="0" w:color="auto"/>
              <w:right w:val="single" w:sz="6" w:space="0" w:color="101010"/>
            </w:tcBorders>
          </w:tcPr>
          <w:p>
            <w:pPr/>
          </w:p>
        </w:tc>
        <w:tc>
          <w:tcPr>
            <w:tcW w:w="1260" w:type="dxa"/>
            <w:tcBorders>
              <w:top w:val="single" w:sz="6" w:space="0" w:color="101010"/>
              <w:left w:val="single" w:sz="6" w:space="0" w:color="101010"/>
              <w:bottom w:val="nil" w:sz="6" w:space="0" w:color="auto"/>
              <w:right w:val="single" w:sz="6" w:space="0" w:color="101010"/>
            </w:tcBorders>
          </w:tcPr>
          <w:p>
            <w:pPr/>
          </w:p>
        </w:tc>
        <w:tc>
          <w:tcPr>
            <w:tcW w:w="900" w:type="dxa"/>
            <w:tcBorders>
              <w:top w:val="single" w:sz="6" w:space="0" w:color="101010"/>
              <w:left w:val="single" w:sz="6" w:space="0" w:color="101010"/>
              <w:bottom w:val="nil" w:sz="6" w:space="0" w:color="auto"/>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
        </w:tc>
        <w:tc>
          <w:tcPr>
            <w:tcW w:w="1620" w:type="dxa"/>
            <w:gridSpan w:val="4"/>
            <w:tcBorders>
              <w:top w:val="single" w:sz="6" w:space="0" w:color="101010"/>
              <w:left w:val="single" w:sz="6" w:space="0" w:color="101010"/>
              <w:bottom w:val="nil" w:sz="6" w:space="0" w:color="auto"/>
              <w:right w:val="single" w:sz="6" w:space="0" w:color="101010"/>
            </w:tcBorders>
          </w:tcPr>
          <w:p>
            <w:pPr>
              <w:pStyle w:val="TableParagraph"/>
              <w:spacing w:line="207" w:lineRule="exact"/>
              <w:ind w:left="172" w:right="0"/>
              <w:jc w:val="left"/>
              <w:rPr>
                <w:rFonts w:ascii="宋体" w:hAnsi="宋体" w:cs="宋体" w:eastAsia="宋体" w:hint="default"/>
                <w:sz w:val="18"/>
                <w:szCs w:val="18"/>
              </w:rPr>
            </w:pPr>
            <w:r>
              <w:rPr>
                <w:rFonts w:ascii="宋体" w:hAnsi="宋体" w:cs="宋体" w:eastAsia="宋体" w:hint="default"/>
                <w:sz w:val="18"/>
                <w:szCs w:val="18"/>
              </w:rPr>
              <w:t>报告期被授予的</w:t>
            </w:r>
          </w:p>
        </w:tc>
        <w:tc>
          <w:tcPr>
            <w:tcW w:w="720" w:type="dxa"/>
            <w:tcBorders>
              <w:top w:val="single" w:sz="6" w:space="0" w:color="101010"/>
              <w:left w:val="single" w:sz="6" w:space="0" w:color="101010"/>
              <w:bottom w:val="nil" w:sz="6" w:space="0" w:color="auto"/>
              <w:right w:val="single" w:sz="6" w:space="0" w:color="101010"/>
            </w:tcBorders>
          </w:tcPr>
          <w:p>
            <w:pPr>
              <w:pStyle w:val="TableParagraph"/>
              <w:spacing w:line="206" w:lineRule="exact"/>
              <w:ind w:right="170"/>
              <w:jc w:val="right"/>
              <w:rPr>
                <w:rFonts w:ascii="宋体" w:hAnsi="宋体" w:cs="宋体" w:eastAsia="宋体" w:hint="default"/>
                <w:sz w:val="18"/>
                <w:szCs w:val="18"/>
              </w:rPr>
            </w:pPr>
            <w:r>
              <w:rPr>
                <w:rFonts w:ascii="宋体" w:hAnsi="宋体" w:cs="宋体" w:eastAsia="宋体" w:hint="default"/>
                <w:sz w:val="18"/>
                <w:szCs w:val="18"/>
              </w:rPr>
              <w:t>是否</w:t>
            </w:r>
          </w:p>
        </w:tc>
      </w:tr>
      <w:tr>
        <w:trPr>
          <w:trHeight w:val="242" w:hRule="exact"/>
        </w:trPr>
        <w:tc>
          <w:tcPr>
            <w:tcW w:w="828" w:type="dxa"/>
            <w:vMerge w:val="restart"/>
            <w:tcBorders>
              <w:top w:val="nil" w:sz="6" w:space="0" w:color="auto"/>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72" w:type="dxa"/>
            <w:vMerge w:val="restart"/>
            <w:tcBorders>
              <w:top w:val="nil" w:sz="6" w:space="0" w:color="auto"/>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0" w:type="dxa"/>
            <w:vMerge/>
            <w:tcBorders>
              <w:left w:val="single" w:sz="6" w:space="0" w:color="101010"/>
              <w:right w:val="single" w:sz="6" w:space="0" w:color="101010"/>
            </w:tcBorders>
          </w:tcPr>
          <w:p>
            <w:pPr/>
          </w:p>
        </w:tc>
        <w:tc>
          <w:tcPr>
            <w:tcW w:w="540" w:type="dxa"/>
            <w:vMerge/>
            <w:tcBorders>
              <w:left w:val="single" w:sz="6" w:space="0" w:color="101010"/>
              <w:right w:val="single" w:sz="6" w:space="0" w:color="101010"/>
            </w:tcBorders>
          </w:tcPr>
          <w:p>
            <w:pPr/>
          </w:p>
        </w:tc>
        <w:tc>
          <w:tcPr>
            <w:tcW w:w="1080" w:type="dxa"/>
            <w:vMerge w:val="restart"/>
            <w:tcBorders>
              <w:top w:val="nil" w:sz="6" w:space="0" w:color="auto"/>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52" w:right="170" w:hanging="180"/>
              <w:jc w:val="left"/>
              <w:rPr>
                <w:rFonts w:ascii="宋体" w:hAnsi="宋体" w:cs="宋体" w:eastAsia="宋体" w:hint="default"/>
                <w:sz w:val="18"/>
                <w:szCs w:val="18"/>
              </w:rPr>
            </w:pPr>
            <w:r>
              <w:rPr>
                <w:rFonts w:ascii="宋体" w:hAnsi="宋体" w:cs="宋体" w:eastAsia="宋体" w:hint="default"/>
                <w:sz w:val="18"/>
                <w:szCs w:val="18"/>
              </w:rPr>
              <w:t>任期起止 日期</w:t>
            </w:r>
          </w:p>
        </w:tc>
        <w:tc>
          <w:tcPr>
            <w:tcW w:w="1260" w:type="dxa"/>
            <w:vMerge w:val="restart"/>
            <w:tcBorders>
              <w:top w:val="nil" w:sz="6" w:space="0" w:color="auto"/>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260" w:type="dxa"/>
            <w:vMerge w:val="restart"/>
            <w:tcBorders>
              <w:top w:val="nil" w:sz="6" w:space="0" w:color="auto"/>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900" w:type="dxa"/>
            <w:vMerge w:val="restart"/>
            <w:tcBorders>
              <w:top w:val="nil" w:sz="6" w:space="0" w:color="auto"/>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62" w:right="260"/>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080" w:type="dxa"/>
            <w:vMerge w:val="restart"/>
            <w:tcBorders>
              <w:top w:val="nil" w:sz="6" w:space="0" w:color="auto"/>
              <w:left w:val="single" w:sz="6" w:space="0" w:color="101010"/>
              <w:right w:val="single" w:sz="6" w:space="0" w:color="101010"/>
            </w:tcBorders>
          </w:tcPr>
          <w:p>
            <w:pPr>
              <w:pStyle w:val="TableParagraph"/>
              <w:spacing w:line="237" w:lineRule="auto" w:before="89"/>
              <w:ind w:left="172" w:right="170"/>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w:t>
            </w:r>
          </w:p>
          <w:p>
            <w:pPr>
              <w:pStyle w:val="TableParagraph"/>
              <w:spacing w:line="247" w:lineRule="exact"/>
              <w:ind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元</w:t>
            </w:r>
            <w:r>
              <w:rPr>
                <w:rFonts w:ascii="Arial" w:hAnsi="Arial" w:cs="Arial" w:eastAsia="Arial" w:hint="default"/>
                <w:sz w:val="18"/>
                <w:szCs w:val="18"/>
              </w:rPr>
              <w:t>)</w:t>
            </w:r>
          </w:p>
        </w:tc>
        <w:tc>
          <w:tcPr>
            <w:tcW w:w="1620" w:type="dxa"/>
            <w:gridSpan w:val="4"/>
            <w:tcBorders>
              <w:top w:val="nil" w:sz="6" w:space="0" w:color="auto"/>
              <w:left w:val="single" w:sz="6" w:space="0" w:color="101010"/>
              <w:bottom w:val="single" w:sz="6" w:space="0" w:color="101010"/>
              <w:right w:val="single" w:sz="6" w:space="0" w:color="101010"/>
            </w:tcBorders>
          </w:tcPr>
          <w:p>
            <w:pPr>
              <w:pStyle w:val="TableParagraph"/>
              <w:spacing w:line="207" w:lineRule="exact"/>
              <w:ind w:left="262" w:right="0"/>
              <w:jc w:val="left"/>
              <w:rPr>
                <w:rFonts w:ascii="宋体" w:hAnsi="宋体" w:cs="宋体" w:eastAsia="宋体" w:hint="default"/>
                <w:sz w:val="18"/>
                <w:szCs w:val="18"/>
              </w:rPr>
            </w:pPr>
            <w:r>
              <w:rPr>
                <w:rFonts w:ascii="宋体" w:hAnsi="宋体" w:cs="宋体" w:eastAsia="宋体" w:hint="default"/>
                <w:sz w:val="18"/>
                <w:szCs w:val="18"/>
              </w:rPr>
              <w:t>股权激励情况</w:t>
            </w:r>
          </w:p>
        </w:tc>
        <w:tc>
          <w:tcPr>
            <w:tcW w:w="720" w:type="dxa"/>
            <w:vMerge w:val="restart"/>
            <w:tcBorders>
              <w:top w:val="nil" w:sz="6" w:space="0" w:color="auto"/>
              <w:left w:val="single" w:sz="6" w:space="0" w:color="101010"/>
              <w:right w:val="single" w:sz="6" w:space="0" w:color="101010"/>
            </w:tcBorders>
          </w:tcPr>
          <w:p>
            <w:pPr>
              <w:pStyle w:val="TableParagraph"/>
              <w:spacing w:line="205" w:lineRule="exact"/>
              <w:ind w:left="172" w:right="0"/>
              <w:jc w:val="both"/>
              <w:rPr>
                <w:rFonts w:ascii="宋体" w:hAnsi="宋体" w:cs="宋体" w:eastAsia="宋体" w:hint="default"/>
                <w:sz w:val="18"/>
                <w:szCs w:val="18"/>
              </w:rPr>
            </w:pPr>
            <w:r>
              <w:rPr>
                <w:rFonts w:ascii="宋体" w:hAnsi="宋体" w:cs="宋体" w:eastAsia="宋体" w:hint="default"/>
                <w:sz w:val="18"/>
                <w:szCs w:val="18"/>
              </w:rPr>
              <w:t>在股</w:t>
            </w:r>
          </w:p>
          <w:p>
            <w:pPr>
              <w:pStyle w:val="TableParagraph"/>
              <w:spacing w:line="237" w:lineRule="auto" w:before="1"/>
              <w:ind w:left="172" w:right="170"/>
              <w:jc w:val="both"/>
              <w:rPr>
                <w:rFonts w:ascii="宋体" w:hAnsi="宋体" w:cs="宋体" w:eastAsia="宋体" w:hint="default"/>
                <w:sz w:val="18"/>
                <w:szCs w:val="18"/>
              </w:rPr>
            </w:pPr>
            <w:r>
              <w:rPr>
                <w:rFonts w:ascii="宋体" w:hAnsi="宋体" w:cs="宋体" w:eastAsia="宋体" w:hint="default"/>
                <w:sz w:val="18"/>
                <w:szCs w:val="18"/>
              </w:rPr>
              <w:t>东单 位或 其他 关联 单位</w:t>
            </w:r>
          </w:p>
        </w:tc>
      </w:tr>
      <w:tr>
        <w:trPr>
          <w:trHeight w:val="1158" w:hRule="exact"/>
        </w:trPr>
        <w:tc>
          <w:tcPr>
            <w:tcW w:w="828" w:type="dxa"/>
            <w:vMerge/>
            <w:tcBorders>
              <w:left w:val="single" w:sz="6" w:space="0" w:color="101010"/>
              <w:bottom w:val="nil" w:sz="6" w:space="0" w:color="auto"/>
              <w:right w:val="single" w:sz="6" w:space="0" w:color="101010"/>
            </w:tcBorders>
          </w:tcPr>
          <w:p>
            <w:pPr/>
          </w:p>
        </w:tc>
        <w:tc>
          <w:tcPr>
            <w:tcW w:w="972" w:type="dxa"/>
            <w:vMerge/>
            <w:tcBorders>
              <w:left w:val="single" w:sz="6" w:space="0" w:color="101010"/>
              <w:bottom w:val="nil" w:sz="6" w:space="0" w:color="auto"/>
              <w:right w:val="single" w:sz="6" w:space="0" w:color="101010"/>
            </w:tcBorders>
          </w:tcPr>
          <w:p>
            <w:pPr/>
          </w:p>
        </w:tc>
        <w:tc>
          <w:tcPr>
            <w:tcW w:w="540" w:type="dxa"/>
            <w:vMerge/>
            <w:tcBorders>
              <w:left w:val="single" w:sz="6" w:space="0" w:color="101010"/>
              <w:right w:val="single" w:sz="6" w:space="0" w:color="101010"/>
            </w:tcBorders>
          </w:tcPr>
          <w:p>
            <w:pPr/>
          </w:p>
        </w:tc>
        <w:tc>
          <w:tcPr>
            <w:tcW w:w="540" w:type="dxa"/>
            <w:vMerge/>
            <w:tcBorders>
              <w:left w:val="single" w:sz="6" w:space="0" w:color="101010"/>
              <w:right w:val="single" w:sz="6" w:space="0" w:color="101010"/>
            </w:tcBorders>
          </w:tcPr>
          <w:p>
            <w:pPr/>
          </w:p>
        </w:tc>
        <w:tc>
          <w:tcPr>
            <w:tcW w:w="1080" w:type="dxa"/>
            <w:vMerge/>
            <w:tcBorders>
              <w:left w:val="single" w:sz="6" w:space="0" w:color="101010"/>
              <w:bottom w:val="nil" w:sz="6" w:space="0" w:color="auto"/>
              <w:right w:val="single" w:sz="6" w:space="0" w:color="101010"/>
            </w:tcBorders>
          </w:tcPr>
          <w:p>
            <w:pPr/>
          </w:p>
        </w:tc>
        <w:tc>
          <w:tcPr>
            <w:tcW w:w="1260" w:type="dxa"/>
            <w:vMerge/>
            <w:tcBorders>
              <w:left w:val="single" w:sz="6" w:space="0" w:color="101010"/>
              <w:bottom w:val="nil" w:sz="6" w:space="0" w:color="auto"/>
              <w:right w:val="single" w:sz="6" w:space="0" w:color="101010"/>
            </w:tcBorders>
          </w:tcPr>
          <w:p>
            <w:pPr/>
          </w:p>
        </w:tc>
        <w:tc>
          <w:tcPr>
            <w:tcW w:w="1260" w:type="dxa"/>
            <w:vMerge/>
            <w:tcBorders>
              <w:left w:val="single" w:sz="6" w:space="0" w:color="101010"/>
              <w:bottom w:val="nil" w:sz="6" w:space="0" w:color="auto"/>
              <w:right w:val="single" w:sz="6" w:space="0" w:color="101010"/>
            </w:tcBorders>
          </w:tcPr>
          <w:p>
            <w:pPr/>
          </w:p>
        </w:tc>
        <w:tc>
          <w:tcPr>
            <w:tcW w:w="900" w:type="dxa"/>
            <w:vMerge/>
            <w:tcBorders>
              <w:left w:val="single" w:sz="6" w:space="0" w:color="101010"/>
              <w:bottom w:val="nil" w:sz="6" w:space="0" w:color="auto"/>
              <w:right w:val="single" w:sz="6" w:space="0" w:color="101010"/>
            </w:tcBorders>
          </w:tcPr>
          <w:p>
            <w:pPr/>
          </w:p>
        </w:tc>
        <w:tc>
          <w:tcPr>
            <w:tcW w:w="1080" w:type="dxa"/>
            <w:vMerge/>
            <w:tcBorders>
              <w:left w:val="single" w:sz="6" w:space="0" w:color="101010"/>
              <w:bottom w:val="nil" w:sz="6" w:space="0" w:color="auto"/>
              <w:right w:val="single" w:sz="6" w:space="0" w:color="101010"/>
            </w:tcBorders>
          </w:tcPr>
          <w:p>
            <w:pPr/>
          </w:p>
        </w:tc>
        <w:tc>
          <w:tcPr>
            <w:tcW w:w="540" w:type="dxa"/>
            <w:vMerge w:val="restart"/>
            <w:tcBorders>
              <w:top w:val="single" w:sz="6" w:space="0" w:color="101010"/>
              <w:left w:val="single" w:sz="6" w:space="0" w:color="101010"/>
              <w:right w:val="single" w:sz="6" w:space="0" w:color="101010"/>
            </w:tcBorders>
          </w:tcPr>
          <w:p>
            <w:pPr>
              <w:pStyle w:val="TableParagraph"/>
              <w:spacing w:line="237" w:lineRule="auto" w:before="89"/>
              <w:ind w:left="172" w:right="170"/>
              <w:jc w:val="both"/>
              <w:rPr>
                <w:rFonts w:ascii="宋体" w:hAnsi="宋体" w:cs="宋体" w:eastAsia="宋体" w:hint="default"/>
                <w:sz w:val="18"/>
                <w:szCs w:val="18"/>
              </w:rPr>
            </w:pPr>
            <w:r>
              <w:rPr>
                <w:rFonts w:ascii="宋体" w:hAnsi="宋体" w:cs="宋体" w:eastAsia="宋体" w:hint="default"/>
                <w:sz w:val="18"/>
                <w:szCs w:val="18"/>
              </w:rPr>
              <w:t>可 行 权 股 数</w:t>
            </w:r>
          </w:p>
        </w:tc>
        <w:tc>
          <w:tcPr>
            <w:tcW w:w="360" w:type="dxa"/>
            <w:vMerge w:val="restart"/>
            <w:tcBorders>
              <w:top w:val="single" w:sz="6" w:space="0" w:color="101010"/>
              <w:left w:val="single" w:sz="6" w:space="0" w:color="101010"/>
              <w:right w:val="single" w:sz="6" w:space="0" w:color="101010"/>
            </w:tcBorders>
          </w:tcPr>
          <w:p>
            <w:pPr>
              <w:pStyle w:val="TableParagraph"/>
              <w:spacing w:line="237" w:lineRule="auto" w:before="89"/>
              <w:ind w:left="100" w:right="62"/>
              <w:jc w:val="both"/>
              <w:rPr>
                <w:rFonts w:ascii="宋体" w:hAnsi="宋体" w:cs="宋体" w:eastAsia="宋体" w:hint="default"/>
                <w:sz w:val="18"/>
                <w:szCs w:val="18"/>
              </w:rPr>
            </w:pPr>
            <w:r>
              <w:rPr>
                <w:rFonts w:ascii="宋体" w:hAnsi="宋体" w:cs="宋体" w:eastAsia="宋体" w:hint="default"/>
                <w:sz w:val="18"/>
                <w:szCs w:val="18"/>
              </w:rPr>
              <w:t>已 行 权 数 量</w:t>
            </w:r>
          </w:p>
        </w:tc>
        <w:tc>
          <w:tcPr>
            <w:tcW w:w="360"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0" w:right="62"/>
              <w:jc w:val="both"/>
              <w:rPr>
                <w:rFonts w:ascii="宋体" w:hAnsi="宋体" w:cs="宋体" w:eastAsia="宋体" w:hint="default"/>
                <w:sz w:val="18"/>
                <w:szCs w:val="18"/>
              </w:rPr>
            </w:pPr>
            <w:r>
              <w:rPr>
                <w:rFonts w:ascii="宋体" w:hAnsi="宋体" w:cs="宋体" w:eastAsia="宋体" w:hint="default"/>
                <w:sz w:val="18"/>
                <w:szCs w:val="18"/>
              </w:rPr>
              <w:t>行 权 价</w:t>
            </w:r>
          </w:p>
        </w:tc>
        <w:tc>
          <w:tcPr>
            <w:tcW w:w="360" w:type="dxa"/>
            <w:vMerge w:val="restart"/>
            <w:tcBorders>
              <w:top w:val="single" w:sz="6" w:space="0" w:color="101010"/>
              <w:left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期</w:t>
            </w:r>
          </w:p>
          <w:p>
            <w:pPr>
              <w:pStyle w:val="TableParagraph"/>
              <w:spacing w:line="237" w:lineRule="auto" w:before="1"/>
              <w:ind w:left="100" w:right="62"/>
              <w:jc w:val="both"/>
              <w:rPr>
                <w:rFonts w:ascii="宋体" w:hAnsi="宋体" w:cs="宋体" w:eastAsia="宋体" w:hint="default"/>
                <w:sz w:val="18"/>
                <w:szCs w:val="18"/>
              </w:rPr>
            </w:pPr>
            <w:r>
              <w:rPr>
                <w:rFonts w:ascii="宋体" w:hAnsi="宋体" w:cs="宋体" w:eastAsia="宋体" w:hint="default"/>
                <w:sz w:val="18"/>
                <w:szCs w:val="18"/>
              </w:rPr>
              <w:t>末 股 票 市 价</w:t>
            </w:r>
          </w:p>
        </w:tc>
        <w:tc>
          <w:tcPr>
            <w:tcW w:w="720" w:type="dxa"/>
            <w:vMerge/>
            <w:tcBorders>
              <w:left w:val="single" w:sz="6" w:space="0" w:color="101010"/>
              <w:bottom w:val="nil" w:sz="6" w:space="0" w:color="auto"/>
              <w:right w:val="single" w:sz="6" w:space="0" w:color="101010"/>
            </w:tcBorders>
          </w:tcPr>
          <w:p>
            <w:pPr/>
          </w:p>
        </w:tc>
      </w:tr>
      <w:tr>
        <w:trPr>
          <w:trHeight w:val="258" w:hRule="exact"/>
        </w:trPr>
        <w:tc>
          <w:tcPr>
            <w:tcW w:w="828" w:type="dxa"/>
            <w:tcBorders>
              <w:top w:val="nil" w:sz="6" w:space="0" w:color="auto"/>
              <w:left w:val="single" w:sz="6" w:space="0" w:color="101010"/>
              <w:bottom w:val="single" w:sz="6" w:space="0" w:color="101010"/>
              <w:right w:val="single" w:sz="6" w:space="0" w:color="101010"/>
            </w:tcBorders>
          </w:tcPr>
          <w:p>
            <w:pPr/>
          </w:p>
        </w:tc>
        <w:tc>
          <w:tcPr>
            <w:tcW w:w="972" w:type="dxa"/>
            <w:tcBorders>
              <w:top w:val="nil" w:sz="6" w:space="0" w:color="auto"/>
              <w:left w:val="single" w:sz="6" w:space="0" w:color="101010"/>
              <w:bottom w:val="single" w:sz="6" w:space="0" w:color="101010"/>
              <w:right w:val="single" w:sz="6" w:space="0" w:color="101010"/>
            </w:tcBorders>
          </w:tcPr>
          <w:p>
            <w:pPr/>
          </w:p>
        </w:tc>
        <w:tc>
          <w:tcPr>
            <w:tcW w:w="540" w:type="dxa"/>
            <w:vMerge/>
            <w:tcBorders>
              <w:left w:val="single" w:sz="6" w:space="0" w:color="101010"/>
              <w:bottom w:val="single" w:sz="6" w:space="0" w:color="101010"/>
              <w:right w:val="single" w:sz="6" w:space="0" w:color="101010"/>
            </w:tcBorders>
          </w:tcPr>
          <w:p>
            <w:pPr/>
          </w:p>
        </w:tc>
        <w:tc>
          <w:tcPr>
            <w:tcW w:w="540" w:type="dxa"/>
            <w:vMerge/>
            <w:tcBorders>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
        </w:tc>
        <w:tc>
          <w:tcPr>
            <w:tcW w:w="1260" w:type="dxa"/>
            <w:tcBorders>
              <w:top w:val="nil" w:sz="6" w:space="0" w:color="auto"/>
              <w:left w:val="single" w:sz="6" w:space="0" w:color="101010"/>
              <w:bottom w:val="single" w:sz="6" w:space="0" w:color="101010"/>
              <w:right w:val="single" w:sz="6" w:space="0" w:color="101010"/>
            </w:tcBorders>
          </w:tcPr>
          <w:p>
            <w:pPr/>
          </w:p>
        </w:tc>
        <w:tc>
          <w:tcPr>
            <w:tcW w:w="1260" w:type="dxa"/>
            <w:tcBorders>
              <w:top w:val="nil" w:sz="6" w:space="0" w:color="auto"/>
              <w:left w:val="single" w:sz="6" w:space="0" w:color="101010"/>
              <w:bottom w:val="single" w:sz="6" w:space="0" w:color="101010"/>
              <w:right w:val="single" w:sz="6" w:space="0" w:color="101010"/>
            </w:tcBorders>
          </w:tcPr>
          <w:p>
            <w:pPr/>
          </w:p>
        </w:tc>
        <w:tc>
          <w:tcPr>
            <w:tcW w:w="900" w:type="dxa"/>
            <w:tcBorders>
              <w:top w:val="nil" w:sz="6" w:space="0" w:color="auto"/>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
        </w:tc>
        <w:tc>
          <w:tcPr>
            <w:tcW w:w="54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720"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right="170"/>
              <w:jc w:val="right"/>
              <w:rPr>
                <w:rFonts w:ascii="宋体" w:hAnsi="宋体" w:cs="宋体" w:eastAsia="宋体" w:hint="default"/>
                <w:sz w:val="18"/>
                <w:szCs w:val="18"/>
              </w:rPr>
            </w:pPr>
            <w:r>
              <w:rPr>
                <w:rFonts w:ascii="宋体" w:hAnsi="宋体" w:cs="宋体" w:eastAsia="宋体" w:hint="default"/>
                <w:sz w:val="18"/>
                <w:szCs w:val="18"/>
              </w:rPr>
              <w:t>领取</w:t>
            </w:r>
          </w:p>
        </w:tc>
      </w:tr>
      <w:tr>
        <w:trPr>
          <w:trHeight w:val="225" w:hRule="exact"/>
        </w:trPr>
        <w:tc>
          <w:tcPr>
            <w:tcW w:w="828" w:type="dxa"/>
            <w:tcBorders>
              <w:top w:val="single" w:sz="6" w:space="0" w:color="101010"/>
              <w:left w:val="single" w:sz="6" w:space="0" w:color="101010"/>
              <w:bottom w:val="nil" w:sz="6" w:space="0" w:color="auto"/>
              <w:right w:val="single" w:sz="6" w:space="0" w:color="101010"/>
            </w:tcBorders>
          </w:tcPr>
          <w:p>
            <w:pPr/>
          </w:p>
        </w:tc>
        <w:tc>
          <w:tcPr>
            <w:tcW w:w="972"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Style w:val="TableParagraph"/>
              <w:spacing w:line="206" w:lineRule="exact"/>
              <w:ind w:left="100" w:right="0"/>
              <w:jc w:val="left"/>
              <w:rPr>
                <w:rFonts w:ascii="Arial" w:hAnsi="Arial" w:cs="Arial" w:eastAsia="Arial" w:hint="default"/>
                <w:sz w:val="18"/>
                <w:szCs w:val="18"/>
              </w:rPr>
            </w:pPr>
            <w:r>
              <w:rPr>
                <w:rFonts w:ascii="Arial"/>
                <w:sz w:val="18"/>
              </w:rPr>
              <w:t>2007-9-14</w:t>
            </w:r>
          </w:p>
        </w:tc>
        <w:tc>
          <w:tcPr>
            <w:tcW w:w="1260" w:type="dxa"/>
            <w:tcBorders>
              <w:top w:val="single" w:sz="6" w:space="0" w:color="101010"/>
              <w:left w:val="single" w:sz="6" w:space="0" w:color="101010"/>
              <w:bottom w:val="nil" w:sz="6" w:space="0" w:color="auto"/>
              <w:right w:val="single" w:sz="6" w:space="0" w:color="101010"/>
            </w:tcBorders>
          </w:tcPr>
          <w:p>
            <w:pPr/>
          </w:p>
        </w:tc>
        <w:tc>
          <w:tcPr>
            <w:tcW w:w="1260" w:type="dxa"/>
            <w:tcBorders>
              <w:top w:val="single" w:sz="6" w:space="0" w:color="101010"/>
              <w:left w:val="single" w:sz="6" w:space="0" w:color="101010"/>
              <w:bottom w:val="nil" w:sz="6" w:space="0" w:color="auto"/>
              <w:right w:val="single" w:sz="6" w:space="0" w:color="101010"/>
            </w:tcBorders>
          </w:tcPr>
          <w:p>
            <w:pPr/>
          </w:p>
        </w:tc>
        <w:tc>
          <w:tcPr>
            <w:tcW w:w="900" w:type="dxa"/>
            <w:vMerge w:val="restart"/>
            <w:tcBorders>
              <w:top w:val="single" w:sz="6" w:space="0" w:color="101010"/>
              <w:left w:val="single" w:sz="6" w:space="0" w:color="101010"/>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
        </w:tc>
        <w:tc>
          <w:tcPr>
            <w:tcW w:w="54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720" w:type="dxa"/>
            <w:tcBorders>
              <w:top w:val="single" w:sz="6" w:space="0" w:color="101010"/>
              <w:left w:val="single" w:sz="6" w:space="0" w:color="101010"/>
              <w:bottom w:val="nil" w:sz="6" w:space="0" w:color="auto"/>
              <w:right w:val="single" w:sz="6" w:space="0" w:color="101010"/>
            </w:tcBorders>
          </w:tcPr>
          <w:p>
            <w:pPr/>
          </w:p>
        </w:tc>
      </w:tr>
      <w:tr>
        <w:trPr>
          <w:trHeight w:val="225" w:hRule="exact"/>
        </w:trPr>
        <w:tc>
          <w:tcPr>
            <w:tcW w:w="828"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杜宣</w:t>
            </w:r>
          </w:p>
        </w:tc>
        <w:tc>
          <w:tcPr>
            <w:tcW w:w="972"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w w:val="95"/>
                <w:sz w:val="18"/>
              </w:rPr>
              <w:t>44</w:t>
            </w:r>
            <w:r>
              <w:rPr>
                <w:rFonts w:ascii="Arial"/>
                <w:sz w:val="18"/>
              </w:rPr>
            </w: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17,213,972</w:t>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9"/>
              <w:jc w:val="right"/>
              <w:rPr>
                <w:rFonts w:ascii="Arial" w:hAnsi="Arial" w:cs="Arial" w:eastAsia="Arial" w:hint="default"/>
                <w:sz w:val="18"/>
                <w:szCs w:val="18"/>
              </w:rPr>
            </w:pPr>
            <w:r>
              <w:rPr>
                <w:rFonts w:ascii="Arial"/>
                <w:spacing w:val="-1"/>
                <w:sz w:val="18"/>
              </w:rPr>
              <w:t>17,213,972</w:t>
            </w:r>
          </w:p>
        </w:tc>
        <w:tc>
          <w:tcPr>
            <w:tcW w:w="900" w:type="dxa"/>
            <w:vMerge/>
            <w:tcBorders>
              <w:left w:val="single" w:sz="6" w:space="0" w:color="101010"/>
              <w:right w:val="single" w:sz="6" w:space="0" w:color="101010"/>
            </w:tcBorders>
          </w:tcPr>
          <w:p>
            <w:pP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9"/>
              <w:jc w:val="right"/>
              <w:rPr>
                <w:rFonts w:ascii="Arial" w:hAnsi="Arial" w:cs="Arial" w:eastAsia="Arial" w:hint="default"/>
                <w:sz w:val="18"/>
                <w:szCs w:val="18"/>
              </w:rPr>
            </w:pPr>
            <w:r>
              <w:rPr>
                <w:rFonts w:ascii="Arial"/>
                <w:spacing w:val="-1"/>
                <w:sz w:val="18"/>
              </w:rPr>
              <w:t>395,861</w:t>
            </w:r>
            <w:r>
              <w:rPr>
                <w:rFonts w:ascii="Arial"/>
                <w:sz w:val="18"/>
              </w:rPr>
            </w:r>
          </w:p>
        </w:tc>
        <w:tc>
          <w:tcPr>
            <w:tcW w:w="54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72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13" w:hRule="exact"/>
        </w:trPr>
        <w:tc>
          <w:tcPr>
            <w:tcW w:w="828" w:type="dxa"/>
            <w:tcBorders>
              <w:top w:val="nil" w:sz="6" w:space="0" w:color="auto"/>
              <w:left w:val="single" w:sz="6" w:space="0" w:color="101010"/>
              <w:bottom w:val="single" w:sz="6" w:space="0" w:color="101010"/>
              <w:right w:val="single" w:sz="6" w:space="0" w:color="101010"/>
            </w:tcBorders>
          </w:tcPr>
          <w:p>
            <w:pPr/>
          </w:p>
        </w:tc>
        <w:tc>
          <w:tcPr>
            <w:tcW w:w="972"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Style w:val="TableParagraph"/>
              <w:spacing w:line="204" w:lineRule="exact"/>
              <w:ind w:left="100" w:right="0"/>
              <w:jc w:val="left"/>
              <w:rPr>
                <w:rFonts w:ascii="Arial" w:hAnsi="Arial" w:cs="Arial" w:eastAsia="Arial" w:hint="default"/>
                <w:sz w:val="18"/>
                <w:szCs w:val="18"/>
              </w:rPr>
            </w:pPr>
            <w:r>
              <w:rPr>
                <w:rFonts w:ascii="Arial"/>
                <w:sz w:val="18"/>
              </w:rPr>
              <w:t>2010-9-13</w:t>
            </w:r>
          </w:p>
        </w:tc>
        <w:tc>
          <w:tcPr>
            <w:tcW w:w="1260" w:type="dxa"/>
            <w:tcBorders>
              <w:top w:val="nil" w:sz="6" w:space="0" w:color="auto"/>
              <w:left w:val="single" w:sz="6" w:space="0" w:color="101010"/>
              <w:bottom w:val="single" w:sz="6" w:space="0" w:color="101010"/>
              <w:right w:val="single" w:sz="6" w:space="0" w:color="101010"/>
            </w:tcBorders>
          </w:tcPr>
          <w:p>
            <w:pPr/>
          </w:p>
        </w:tc>
        <w:tc>
          <w:tcPr>
            <w:tcW w:w="1260" w:type="dxa"/>
            <w:tcBorders>
              <w:top w:val="nil" w:sz="6" w:space="0" w:color="auto"/>
              <w:left w:val="single" w:sz="6" w:space="0" w:color="101010"/>
              <w:bottom w:val="single" w:sz="6" w:space="0" w:color="101010"/>
              <w:right w:val="single" w:sz="6" w:space="0" w:color="101010"/>
            </w:tcBorders>
          </w:tcPr>
          <w:p>
            <w:pPr/>
          </w:p>
        </w:tc>
        <w:tc>
          <w:tcPr>
            <w:tcW w:w="900" w:type="dxa"/>
            <w:vMerge/>
            <w:tcBorders>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
        </w:tc>
        <w:tc>
          <w:tcPr>
            <w:tcW w:w="54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720" w:type="dxa"/>
            <w:tcBorders>
              <w:top w:val="nil" w:sz="6" w:space="0" w:color="auto"/>
              <w:left w:val="single" w:sz="6" w:space="0" w:color="101010"/>
              <w:bottom w:val="single" w:sz="6" w:space="0" w:color="101010"/>
              <w:right w:val="single" w:sz="6" w:space="0" w:color="101010"/>
            </w:tcBorders>
          </w:tcPr>
          <w:p>
            <w:pPr/>
          </w:p>
        </w:tc>
      </w:tr>
      <w:tr>
        <w:trPr>
          <w:trHeight w:val="662"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40</w:t>
            </w:r>
            <w:r>
              <w:rPr>
                <w:rFonts w:ascii="Arial"/>
                <w:sz w:val="18"/>
              </w:rPr>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192" w:lineRule="exact"/>
              <w:ind w:left="100" w:right="0"/>
              <w:jc w:val="left"/>
              <w:rPr>
                <w:rFonts w:ascii="Arial" w:hAnsi="Arial" w:cs="Arial" w:eastAsia="Arial" w:hint="default"/>
                <w:sz w:val="18"/>
                <w:szCs w:val="18"/>
              </w:rPr>
            </w:pPr>
            <w:r>
              <w:rPr>
                <w:rFonts w:ascii="Arial"/>
                <w:sz w:val="18"/>
              </w:rPr>
              <w:t>2007-9-14</w:t>
            </w:r>
          </w:p>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5"/>
              <w:ind w:left="100" w:right="0"/>
              <w:jc w:val="left"/>
              <w:rPr>
                <w:rFonts w:ascii="Arial" w:hAnsi="Arial" w:cs="Arial" w:eastAsia="Arial" w:hint="default"/>
                <w:sz w:val="18"/>
                <w:szCs w:val="18"/>
              </w:rPr>
            </w:pPr>
            <w:r>
              <w:rPr>
                <w:rFonts w:ascii="Arial"/>
                <w:sz w:val="18"/>
              </w:rPr>
              <w:t>2010-9-13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17,143,056</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16,338,434</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26"/>
              <w:jc w:val="left"/>
              <w:rPr>
                <w:rFonts w:ascii="宋体" w:hAnsi="宋体" w:cs="宋体" w:eastAsia="宋体" w:hint="default"/>
                <w:sz w:val="18"/>
                <w:szCs w:val="18"/>
              </w:rPr>
            </w:pPr>
            <w:r>
              <w:rPr>
                <w:rFonts w:ascii="宋体" w:hAnsi="宋体" w:cs="宋体" w:eastAsia="宋体" w:hint="default"/>
                <w:spacing w:val="48"/>
                <w:sz w:val="18"/>
                <w:szCs w:val="18"/>
              </w:rPr>
              <w:t>二级市</w:t>
            </w:r>
            <w:r>
              <w:rPr>
                <w:rFonts w:ascii="宋体" w:hAnsi="宋体" w:cs="宋体" w:eastAsia="宋体" w:hint="default"/>
                <w:spacing w:val="-18"/>
                <w:sz w:val="18"/>
                <w:szCs w:val="18"/>
              </w:rPr>
              <w:t> </w:t>
            </w:r>
            <w:r>
              <w:rPr>
                <w:rFonts w:ascii="宋体" w:hAnsi="宋体" w:cs="宋体" w:eastAsia="宋体" w:hint="default"/>
                <w:sz w:val="18"/>
                <w:szCs w:val="18"/>
              </w:rPr>
              <w:t>场卖出</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375,000</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2"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86"/>
              <w:jc w:val="left"/>
              <w:rPr>
                <w:rFonts w:ascii="宋体" w:hAnsi="宋体" w:cs="宋体" w:eastAsia="宋体" w:hint="default"/>
                <w:sz w:val="18"/>
                <w:szCs w:val="18"/>
              </w:rPr>
            </w:pPr>
            <w:r>
              <w:rPr>
                <w:rFonts w:ascii="宋体" w:hAnsi="宋体" w:cs="宋体" w:eastAsia="宋体" w:hint="default"/>
                <w:spacing w:val="12"/>
                <w:sz w:val="18"/>
                <w:szCs w:val="18"/>
              </w:rPr>
              <w:t>董事、副 </w:t>
            </w:r>
            <w:r>
              <w:rPr>
                <w:rFonts w:ascii="宋体" w:hAnsi="宋体" w:cs="宋体" w:eastAsia="宋体" w:hint="default"/>
                <w:sz w:val="18"/>
                <w:szCs w:val="18"/>
              </w:rPr>
              <w:t>总裁</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42</w:t>
            </w:r>
            <w:r>
              <w:rPr>
                <w:rFonts w:ascii="Arial"/>
                <w:sz w:val="18"/>
              </w:rPr>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192" w:lineRule="exact"/>
              <w:ind w:left="100" w:right="0"/>
              <w:jc w:val="left"/>
              <w:rPr>
                <w:rFonts w:ascii="Arial" w:hAnsi="Arial" w:cs="Arial" w:eastAsia="Arial" w:hint="default"/>
                <w:sz w:val="18"/>
                <w:szCs w:val="18"/>
              </w:rPr>
            </w:pPr>
            <w:r>
              <w:rPr>
                <w:rFonts w:ascii="Arial"/>
                <w:sz w:val="18"/>
              </w:rPr>
              <w:t>2007-9-14</w:t>
            </w:r>
          </w:p>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5"/>
              <w:ind w:left="100" w:right="0"/>
              <w:jc w:val="left"/>
              <w:rPr>
                <w:rFonts w:ascii="Arial" w:hAnsi="Arial" w:cs="Arial" w:eastAsia="Arial" w:hint="default"/>
                <w:sz w:val="18"/>
                <w:szCs w:val="18"/>
              </w:rPr>
            </w:pPr>
            <w:r>
              <w:rPr>
                <w:rFonts w:ascii="Arial"/>
                <w:sz w:val="18"/>
              </w:rPr>
              <w:t>2010-9-13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16,696,292</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15,696,292</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26"/>
              <w:jc w:val="left"/>
              <w:rPr>
                <w:rFonts w:ascii="宋体" w:hAnsi="宋体" w:cs="宋体" w:eastAsia="宋体" w:hint="default"/>
                <w:sz w:val="18"/>
                <w:szCs w:val="18"/>
              </w:rPr>
            </w:pPr>
            <w:r>
              <w:rPr>
                <w:rFonts w:ascii="宋体" w:hAnsi="宋体" w:cs="宋体" w:eastAsia="宋体" w:hint="default"/>
                <w:spacing w:val="48"/>
                <w:sz w:val="18"/>
                <w:szCs w:val="18"/>
              </w:rPr>
              <w:t>二级市</w:t>
            </w:r>
            <w:r>
              <w:rPr>
                <w:rFonts w:ascii="宋体" w:hAnsi="宋体" w:cs="宋体" w:eastAsia="宋体" w:hint="default"/>
                <w:spacing w:val="-18"/>
                <w:sz w:val="18"/>
                <w:szCs w:val="18"/>
              </w:rPr>
              <w:t> </w:t>
            </w:r>
            <w:r>
              <w:rPr>
                <w:rFonts w:ascii="宋体" w:hAnsi="宋体" w:cs="宋体" w:eastAsia="宋体" w:hint="default"/>
                <w:sz w:val="18"/>
                <w:szCs w:val="18"/>
              </w:rPr>
              <w:t>场卖出</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329,372</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2"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86"/>
              <w:jc w:val="left"/>
              <w:rPr>
                <w:rFonts w:ascii="宋体" w:hAnsi="宋体" w:cs="宋体" w:eastAsia="宋体" w:hint="default"/>
                <w:sz w:val="18"/>
                <w:szCs w:val="18"/>
              </w:rPr>
            </w:pPr>
            <w:r>
              <w:rPr>
                <w:rFonts w:ascii="宋体" w:hAnsi="宋体" w:cs="宋体" w:eastAsia="宋体" w:hint="default"/>
                <w:spacing w:val="12"/>
                <w:sz w:val="18"/>
                <w:szCs w:val="18"/>
              </w:rPr>
              <w:t>董事、副 </w:t>
            </w:r>
            <w:r>
              <w:rPr>
                <w:rFonts w:ascii="宋体" w:hAnsi="宋体" w:cs="宋体" w:eastAsia="宋体" w:hint="default"/>
                <w:sz w:val="18"/>
                <w:szCs w:val="18"/>
              </w:rPr>
              <w:t>总裁</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41</w:t>
            </w:r>
            <w:r>
              <w:rPr>
                <w:rFonts w:ascii="Arial"/>
                <w:sz w:val="18"/>
              </w:rPr>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192" w:lineRule="exact"/>
              <w:ind w:left="100" w:right="0"/>
              <w:jc w:val="left"/>
              <w:rPr>
                <w:rFonts w:ascii="Arial" w:hAnsi="Arial" w:cs="Arial" w:eastAsia="Arial" w:hint="default"/>
                <w:sz w:val="18"/>
                <w:szCs w:val="18"/>
              </w:rPr>
            </w:pPr>
            <w:r>
              <w:rPr>
                <w:rFonts w:ascii="Arial"/>
                <w:sz w:val="18"/>
              </w:rPr>
              <w:t>2007-9-14</w:t>
            </w:r>
          </w:p>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5"/>
              <w:ind w:left="100" w:right="0"/>
              <w:jc w:val="left"/>
              <w:rPr>
                <w:rFonts w:ascii="Arial" w:hAnsi="Arial" w:cs="Arial" w:eastAsia="Arial" w:hint="default"/>
                <w:sz w:val="18"/>
                <w:szCs w:val="18"/>
              </w:rPr>
            </w:pPr>
            <w:r>
              <w:rPr>
                <w:rFonts w:ascii="Arial"/>
                <w:sz w:val="18"/>
              </w:rPr>
              <w:t>2010-9-13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16,696,292</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16,624,292</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26"/>
              <w:jc w:val="left"/>
              <w:rPr>
                <w:rFonts w:ascii="宋体" w:hAnsi="宋体" w:cs="宋体" w:eastAsia="宋体" w:hint="default"/>
                <w:sz w:val="18"/>
                <w:szCs w:val="18"/>
              </w:rPr>
            </w:pPr>
            <w:r>
              <w:rPr>
                <w:rFonts w:ascii="宋体" w:hAnsi="宋体" w:cs="宋体" w:eastAsia="宋体" w:hint="default"/>
                <w:spacing w:val="48"/>
                <w:sz w:val="18"/>
                <w:szCs w:val="18"/>
              </w:rPr>
              <w:t>二级市</w:t>
            </w:r>
            <w:r>
              <w:rPr>
                <w:rFonts w:ascii="宋体" w:hAnsi="宋体" w:cs="宋体" w:eastAsia="宋体" w:hint="default"/>
                <w:spacing w:val="-18"/>
                <w:sz w:val="18"/>
                <w:szCs w:val="18"/>
              </w:rPr>
              <w:t> </w:t>
            </w:r>
            <w:r>
              <w:rPr>
                <w:rFonts w:ascii="宋体" w:hAnsi="宋体" w:cs="宋体" w:eastAsia="宋体" w:hint="default"/>
                <w:sz w:val="18"/>
                <w:szCs w:val="18"/>
              </w:rPr>
              <w:t>场卖出</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370,728</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2"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王开因</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42</w:t>
            </w:r>
            <w:r>
              <w:rPr>
                <w:rFonts w:ascii="Arial"/>
                <w:sz w:val="18"/>
              </w:rPr>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192" w:lineRule="exact"/>
              <w:ind w:left="100" w:right="0"/>
              <w:jc w:val="left"/>
              <w:rPr>
                <w:rFonts w:ascii="Arial" w:hAnsi="Arial" w:cs="Arial" w:eastAsia="Arial" w:hint="default"/>
                <w:sz w:val="18"/>
                <w:szCs w:val="18"/>
              </w:rPr>
            </w:pPr>
            <w:r>
              <w:rPr>
                <w:rFonts w:ascii="Arial"/>
                <w:sz w:val="18"/>
              </w:rPr>
              <w:t>2007-9-14</w:t>
            </w:r>
          </w:p>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5"/>
              <w:ind w:left="100" w:right="0"/>
              <w:jc w:val="left"/>
              <w:rPr>
                <w:rFonts w:ascii="Arial" w:hAnsi="Arial" w:cs="Arial" w:eastAsia="Arial" w:hint="default"/>
                <w:sz w:val="18"/>
                <w:szCs w:val="18"/>
              </w:rPr>
            </w:pPr>
            <w:r>
              <w:rPr>
                <w:rFonts w:ascii="Arial"/>
                <w:sz w:val="18"/>
              </w:rPr>
              <w:t>2010-9-13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2,216,088</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1,688,000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26"/>
              <w:jc w:val="left"/>
              <w:rPr>
                <w:rFonts w:ascii="宋体" w:hAnsi="宋体" w:cs="宋体" w:eastAsia="宋体" w:hint="default"/>
                <w:sz w:val="18"/>
                <w:szCs w:val="18"/>
              </w:rPr>
            </w:pPr>
            <w:r>
              <w:rPr>
                <w:rFonts w:ascii="宋体" w:hAnsi="宋体" w:cs="宋体" w:eastAsia="宋体" w:hint="default"/>
                <w:spacing w:val="48"/>
                <w:sz w:val="18"/>
                <w:szCs w:val="18"/>
              </w:rPr>
              <w:t>二级市</w:t>
            </w:r>
            <w:r>
              <w:rPr>
                <w:rFonts w:ascii="宋体" w:hAnsi="宋体" w:cs="宋体" w:eastAsia="宋体" w:hint="default"/>
                <w:spacing w:val="-18"/>
                <w:sz w:val="18"/>
                <w:szCs w:val="18"/>
              </w:rPr>
              <w:t> </w:t>
            </w:r>
            <w:r>
              <w:rPr>
                <w:rFonts w:ascii="宋体" w:hAnsi="宋体" w:cs="宋体" w:eastAsia="宋体" w:hint="default"/>
                <w:sz w:val="18"/>
                <w:szCs w:val="18"/>
              </w:rPr>
              <w:t>场卖出</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293,961</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5" w:hRule="exact"/>
        </w:trPr>
        <w:tc>
          <w:tcPr>
            <w:tcW w:w="828" w:type="dxa"/>
            <w:tcBorders>
              <w:top w:val="single" w:sz="6" w:space="0" w:color="101010"/>
              <w:left w:val="single" w:sz="6" w:space="0" w:color="101010"/>
              <w:bottom w:val="nil" w:sz="6" w:space="0" w:color="auto"/>
              <w:right w:val="single" w:sz="6" w:space="0" w:color="101010"/>
            </w:tcBorders>
          </w:tcPr>
          <w:p>
            <w:pPr/>
          </w:p>
        </w:tc>
        <w:tc>
          <w:tcPr>
            <w:tcW w:w="972"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Style w:val="TableParagraph"/>
              <w:spacing w:line="206" w:lineRule="exact"/>
              <w:ind w:left="100" w:right="0"/>
              <w:jc w:val="left"/>
              <w:rPr>
                <w:rFonts w:ascii="Arial" w:hAnsi="Arial" w:cs="Arial" w:eastAsia="Arial" w:hint="default"/>
                <w:sz w:val="18"/>
                <w:szCs w:val="18"/>
              </w:rPr>
            </w:pPr>
            <w:r>
              <w:rPr>
                <w:rFonts w:ascii="Arial"/>
                <w:sz w:val="18"/>
              </w:rPr>
              <w:t>2007-9-14</w:t>
            </w:r>
          </w:p>
        </w:tc>
        <w:tc>
          <w:tcPr>
            <w:tcW w:w="1260" w:type="dxa"/>
            <w:tcBorders>
              <w:top w:val="single" w:sz="6" w:space="0" w:color="101010"/>
              <w:left w:val="single" w:sz="6" w:space="0" w:color="101010"/>
              <w:bottom w:val="nil" w:sz="6" w:space="0" w:color="auto"/>
              <w:right w:val="single" w:sz="6" w:space="0" w:color="101010"/>
            </w:tcBorders>
          </w:tcPr>
          <w:p>
            <w:pPr/>
          </w:p>
        </w:tc>
        <w:tc>
          <w:tcPr>
            <w:tcW w:w="1260" w:type="dxa"/>
            <w:tcBorders>
              <w:top w:val="single" w:sz="6" w:space="0" w:color="101010"/>
              <w:left w:val="single" w:sz="6" w:space="0" w:color="101010"/>
              <w:bottom w:val="nil" w:sz="6" w:space="0" w:color="auto"/>
              <w:right w:val="single" w:sz="6" w:space="0" w:color="101010"/>
            </w:tcBorders>
          </w:tcPr>
          <w:p>
            <w:pPr/>
          </w:p>
        </w:tc>
        <w:tc>
          <w:tcPr>
            <w:tcW w:w="900" w:type="dxa"/>
            <w:vMerge w:val="restart"/>
            <w:tcBorders>
              <w:top w:val="single" w:sz="6" w:space="0" w:color="101010"/>
              <w:left w:val="single" w:sz="6" w:space="0" w:color="101010"/>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
        </w:tc>
        <w:tc>
          <w:tcPr>
            <w:tcW w:w="54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720" w:type="dxa"/>
            <w:tcBorders>
              <w:top w:val="single" w:sz="6" w:space="0" w:color="101010"/>
              <w:left w:val="single" w:sz="6" w:space="0" w:color="101010"/>
              <w:bottom w:val="nil" w:sz="6" w:space="0" w:color="auto"/>
              <w:right w:val="single" w:sz="6" w:space="0" w:color="101010"/>
            </w:tcBorders>
          </w:tcPr>
          <w:p>
            <w:pPr/>
          </w:p>
        </w:tc>
      </w:tr>
      <w:tr>
        <w:trPr>
          <w:trHeight w:val="225" w:hRule="exact"/>
        </w:trPr>
        <w:tc>
          <w:tcPr>
            <w:tcW w:w="828"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孙建文</w:t>
            </w:r>
          </w:p>
        </w:tc>
        <w:tc>
          <w:tcPr>
            <w:tcW w:w="972"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w w:val="95"/>
                <w:sz w:val="18"/>
              </w:rPr>
              <w:t>46</w:t>
            </w:r>
            <w:r>
              <w:rPr>
                <w:rFonts w:ascii="Arial"/>
                <w:sz w:val="18"/>
              </w:rPr>
            </w: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197"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w w:val="99"/>
                <w:sz w:val="18"/>
              </w:rPr>
              <w:t>0</w:t>
            </w:r>
            <w:r>
              <w:rPr>
                <w:rFonts w:ascii="Arial"/>
                <w:sz w:val="18"/>
              </w:rPr>
            </w:r>
          </w:p>
        </w:tc>
        <w:tc>
          <w:tcPr>
            <w:tcW w:w="900" w:type="dxa"/>
            <w:vMerge/>
            <w:tcBorders>
              <w:left w:val="single" w:sz="6" w:space="0" w:color="101010"/>
              <w:right w:val="single" w:sz="6" w:space="0" w:color="101010"/>
            </w:tcBorders>
          </w:tcPr>
          <w:p>
            <w:pP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15,000</w:t>
            </w:r>
          </w:p>
        </w:tc>
        <w:tc>
          <w:tcPr>
            <w:tcW w:w="54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72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13" w:hRule="exact"/>
        </w:trPr>
        <w:tc>
          <w:tcPr>
            <w:tcW w:w="828" w:type="dxa"/>
            <w:tcBorders>
              <w:top w:val="nil" w:sz="6" w:space="0" w:color="auto"/>
              <w:left w:val="single" w:sz="6" w:space="0" w:color="101010"/>
              <w:bottom w:val="single" w:sz="6" w:space="0" w:color="101010"/>
              <w:right w:val="single" w:sz="6" w:space="0" w:color="101010"/>
            </w:tcBorders>
          </w:tcPr>
          <w:p>
            <w:pPr/>
          </w:p>
        </w:tc>
        <w:tc>
          <w:tcPr>
            <w:tcW w:w="972"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Style w:val="TableParagraph"/>
              <w:spacing w:line="204" w:lineRule="exact"/>
              <w:ind w:left="100" w:right="0"/>
              <w:jc w:val="left"/>
              <w:rPr>
                <w:rFonts w:ascii="Arial" w:hAnsi="Arial" w:cs="Arial" w:eastAsia="Arial" w:hint="default"/>
                <w:sz w:val="18"/>
                <w:szCs w:val="18"/>
              </w:rPr>
            </w:pPr>
            <w:r>
              <w:rPr>
                <w:rFonts w:ascii="Arial"/>
                <w:sz w:val="18"/>
              </w:rPr>
              <w:t>2010-9-13</w:t>
            </w:r>
          </w:p>
        </w:tc>
        <w:tc>
          <w:tcPr>
            <w:tcW w:w="1260" w:type="dxa"/>
            <w:tcBorders>
              <w:top w:val="nil" w:sz="6" w:space="0" w:color="auto"/>
              <w:left w:val="single" w:sz="6" w:space="0" w:color="101010"/>
              <w:bottom w:val="single" w:sz="6" w:space="0" w:color="101010"/>
              <w:right w:val="single" w:sz="6" w:space="0" w:color="101010"/>
            </w:tcBorders>
          </w:tcPr>
          <w:p>
            <w:pPr/>
          </w:p>
        </w:tc>
        <w:tc>
          <w:tcPr>
            <w:tcW w:w="1260" w:type="dxa"/>
            <w:tcBorders>
              <w:top w:val="nil" w:sz="6" w:space="0" w:color="auto"/>
              <w:left w:val="single" w:sz="6" w:space="0" w:color="101010"/>
              <w:bottom w:val="single" w:sz="6" w:space="0" w:color="101010"/>
              <w:right w:val="single" w:sz="6" w:space="0" w:color="101010"/>
            </w:tcBorders>
          </w:tcPr>
          <w:p>
            <w:pPr/>
          </w:p>
        </w:tc>
        <w:tc>
          <w:tcPr>
            <w:tcW w:w="900" w:type="dxa"/>
            <w:vMerge/>
            <w:tcBorders>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
        </w:tc>
        <w:tc>
          <w:tcPr>
            <w:tcW w:w="54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720" w:type="dxa"/>
            <w:tcBorders>
              <w:top w:val="nil" w:sz="6" w:space="0" w:color="auto"/>
              <w:left w:val="single" w:sz="6" w:space="0" w:color="101010"/>
              <w:bottom w:val="single" w:sz="6" w:space="0" w:color="101010"/>
              <w:right w:val="single" w:sz="6" w:space="0" w:color="101010"/>
            </w:tcBorders>
          </w:tcPr>
          <w:p>
            <w:pPr/>
          </w:p>
        </w:tc>
      </w:tr>
      <w:tr>
        <w:trPr>
          <w:trHeight w:val="225" w:hRule="exact"/>
        </w:trPr>
        <w:tc>
          <w:tcPr>
            <w:tcW w:w="828" w:type="dxa"/>
            <w:tcBorders>
              <w:top w:val="single" w:sz="6" w:space="0" w:color="101010"/>
              <w:left w:val="single" w:sz="6" w:space="0" w:color="101010"/>
              <w:bottom w:val="nil" w:sz="6" w:space="0" w:color="auto"/>
              <w:right w:val="single" w:sz="6" w:space="0" w:color="101010"/>
            </w:tcBorders>
          </w:tcPr>
          <w:p>
            <w:pPr/>
          </w:p>
        </w:tc>
        <w:tc>
          <w:tcPr>
            <w:tcW w:w="972"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Style w:val="TableParagraph"/>
              <w:spacing w:line="206" w:lineRule="exact"/>
              <w:ind w:left="100" w:right="0"/>
              <w:jc w:val="left"/>
              <w:rPr>
                <w:rFonts w:ascii="Arial" w:hAnsi="Arial" w:cs="Arial" w:eastAsia="Arial" w:hint="default"/>
                <w:sz w:val="18"/>
                <w:szCs w:val="18"/>
              </w:rPr>
            </w:pPr>
            <w:r>
              <w:rPr>
                <w:rFonts w:ascii="Arial"/>
                <w:sz w:val="18"/>
              </w:rPr>
              <w:t>2007-9-14</w:t>
            </w:r>
          </w:p>
        </w:tc>
        <w:tc>
          <w:tcPr>
            <w:tcW w:w="1260" w:type="dxa"/>
            <w:tcBorders>
              <w:top w:val="single" w:sz="6" w:space="0" w:color="101010"/>
              <w:left w:val="single" w:sz="6" w:space="0" w:color="101010"/>
              <w:bottom w:val="nil" w:sz="6" w:space="0" w:color="auto"/>
              <w:right w:val="single" w:sz="6" w:space="0" w:color="101010"/>
            </w:tcBorders>
          </w:tcPr>
          <w:p>
            <w:pPr/>
          </w:p>
        </w:tc>
        <w:tc>
          <w:tcPr>
            <w:tcW w:w="1260" w:type="dxa"/>
            <w:tcBorders>
              <w:top w:val="single" w:sz="6" w:space="0" w:color="101010"/>
              <w:left w:val="single" w:sz="6" w:space="0" w:color="101010"/>
              <w:bottom w:val="nil" w:sz="6" w:space="0" w:color="auto"/>
              <w:right w:val="single" w:sz="6" w:space="0" w:color="101010"/>
            </w:tcBorders>
          </w:tcPr>
          <w:p>
            <w:pPr/>
          </w:p>
        </w:tc>
        <w:tc>
          <w:tcPr>
            <w:tcW w:w="900" w:type="dxa"/>
            <w:vMerge w:val="restart"/>
            <w:tcBorders>
              <w:top w:val="single" w:sz="6" w:space="0" w:color="101010"/>
              <w:left w:val="single" w:sz="6" w:space="0" w:color="101010"/>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
        </w:tc>
        <w:tc>
          <w:tcPr>
            <w:tcW w:w="54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720" w:type="dxa"/>
            <w:tcBorders>
              <w:top w:val="single" w:sz="6" w:space="0" w:color="101010"/>
              <w:left w:val="single" w:sz="6" w:space="0" w:color="101010"/>
              <w:bottom w:val="nil" w:sz="6" w:space="0" w:color="auto"/>
              <w:right w:val="single" w:sz="6" w:space="0" w:color="101010"/>
            </w:tcBorders>
          </w:tcPr>
          <w:p>
            <w:pPr/>
          </w:p>
        </w:tc>
      </w:tr>
      <w:tr>
        <w:trPr>
          <w:trHeight w:val="225" w:hRule="exact"/>
        </w:trPr>
        <w:tc>
          <w:tcPr>
            <w:tcW w:w="828"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齐玉武</w:t>
            </w:r>
          </w:p>
        </w:tc>
        <w:tc>
          <w:tcPr>
            <w:tcW w:w="972"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w w:val="95"/>
                <w:sz w:val="18"/>
              </w:rPr>
              <w:t>38</w:t>
            </w:r>
            <w:r>
              <w:rPr>
                <w:rFonts w:ascii="Arial"/>
                <w:sz w:val="18"/>
              </w:rPr>
            </w: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197"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w w:val="99"/>
                <w:sz w:val="18"/>
              </w:rPr>
              <w:t>0</w:t>
            </w:r>
            <w:r>
              <w:rPr>
                <w:rFonts w:ascii="Arial"/>
                <w:sz w:val="18"/>
              </w:rPr>
            </w:r>
          </w:p>
        </w:tc>
        <w:tc>
          <w:tcPr>
            <w:tcW w:w="900" w:type="dxa"/>
            <w:vMerge/>
            <w:tcBorders>
              <w:left w:val="single" w:sz="6" w:space="0" w:color="101010"/>
              <w:right w:val="single" w:sz="6" w:space="0" w:color="101010"/>
            </w:tcBorders>
          </w:tcPr>
          <w:p>
            <w:pP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15,000</w:t>
            </w:r>
          </w:p>
        </w:tc>
        <w:tc>
          <w:tcPr>
            <w:tcW w:w="54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72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13" w:hRule="exact"/>
        </w:trPr>
        <w:tc>
          <w:tcPr>
            <w:tcW w:w="828" w:type="dxa"/>
            <w:tcBorders>
              <w:top w:val="nil" w:sz="6" w:space="0" w:color="auto"/>
              <w:left w:val="single" w:sz="6" w:space="0" w:color="101010"/>
              <w:bottom w:val="single" w:sz="6" w:space="0" w:color="101010"/>
              <w:right w:val="single" w:sz="6" w:space="0" w:color="101010"/>
            </w:tcBorders>
          </w:tcPr>
          <w:p>
            <w:pPr/>
          </w:p>
        </w:tc>
        <w:tc>
          <w:tcPr>
            <w:tcW w:w="972"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Style w:val="TableParagraph"/>
              <w:spacing w:line="204" w:lineRule="exact"/>
              <w:ind w:left="100" w:right="0"/>
              <w:jc w:val="left"/>
              <w:rPr>
                <w:rFonts w:ascii="Arial" w:hAnsi="Arial" w:cs="Arial" w:eastAsia="Arial" w:hint="default"/>
                <w:sz w:val="18"/>
                <w:szCs w:val="18"/>
              </w:rPr>
            </w:pPr>
            <w:r>
              <w:rPr>
                <w:rFonts w:ascii="Arial"/>
                <w:sz w:val="18"/>
              </w:rPr>
              <w:t>2010-9-13</w:t>
            </w:r>
          </w:p>
        </w:tc>
        <w:tc>
          <w:tcPr>
            <w:tcW w:w="1260" w:type="dxa"/>
            <w:tcBorders>
              <w:top w:val="nil" w:sz="6" w:space="0" w:color="auto"/>
              <w:left w:val="single" w:sz="6" w:space="0" w:color="101010"/>
              <w:bottom w:val="single" w:sz="6" w:space="0" w:color="101010"/>
              <w:right w:val="single" w:sz="6" w:space="0" w:color="101010"/>
            </w:tcBorders>
          </w:tcPr>
          <w:p>
            <w:pPr/>
          </w:p>
        </w:tc>
        <w:tc>
          <w:tcPr>
            <w:tcW w:w="1260" w:type="dxa"/>
            <w:tcBorders>
              <w:top w:val="nil" w:sz="6" w:space="0" w:color="auto"/>
              <w:left w:val="single" w:sz="6" w:space="0" w:color="101010"/>
              <w:bottom w:val="single" w:sz="6" w:space="0" w:color="101010"/>
              <w:right w:val="single" w:sz="6" w:space="0" w:color="101010"/>
            </w:tcBorders>
          </w:tcPr>
          <w:p>
            <w:pPr/>
          </w:p>
        </w:tc>
        <w:tc>
          <w:tcPr>
            <w:tcW w:w="900" w:type="dxa"/>
            <w:vMerge/>
            <w:tcBorders>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
        </w:tc>
        <w:tc>
          <w:tcPr>
            <w:tcW w:w="54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720" w:type="dxa"/>
            <w:tcBorders>
              <w:top w:val="nil" w:sz="6" w:space="0" w:color="auto"/>
              <w:left w:val="single" w:sz="6" w:space="0" w:color="101010"/>
              <w:bottom w:val="single" w:sz="6" w:space="0" w:color="101010"/>
              <w:right w:val="single" w:sz="6" w:space="0" w:color="101010"/>
            </w:tcBorders>
          </w:tcPr>
          <w:p>
            <w:pPr/>
          </w:p>
        </w:tc>
      </w:tr>
      <w:tr>
        <w:trPr>
          <w:trHeight w:val="225" w:hRule="exact"/>
        </w:trPr>
        <w:tc>
          <w:tcPr>
            <w:tcW w:w="828" w:type="dxa"/>
            <w:tcBorders>
              <w:top w:val="single" w:sz="6" w:space="0" w:color="101010"/>
              <w:left w:val="single" w:sz="6" w:space="0" w:color="101010"/>
              <w:bottom w:val="nil" w:sz="6" w:space="0" w:color="auto"/>
              <w:right w:val="single" w:sz="6" w:space="0" w:color="101010"/>
            </w:tcBorders>
          </w:tcPr>
          <w:p>
            <w:pPr/>
          </w:p>
        </w:tc>
        <w:tc>
          <w:tcPr>
            <w:tcW w:w="972"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Style w:val="TableParagraph"/>
              <w:spacing w:line="206" w:lineRule="exact"/>
              <w:ind w:left="100" w:right="0"/>
              <w:jc w:val="left"/>
              <w:rPr>
                <w:rFonts w:ascii="Arial" w:hAnsi="Arial" w:cs="Arial" w:eastAsia="Arial" w:hint="default"/>
                <w:sz w:val="18"/>
                <w:szCs w:val="18"/>
              </w:rPr>
            </w:pPr>
            <w:r>
              <w:rPr>
                <w:rFonts w:ascii="Arial"/>
                <w:sz w:val="18"/>
              </w:rPr>
              <w:t>2007-9-14</w:t>
            </w:r>
          </w:p>
        </w:tc>
        <w:tc>
          <w:tcPr>
            <w:tcW w:w="1260" w:type="dxa"/>
            <w:tcBorders>
              <w:top w:val="single" w:sz="6" w:space="0" w:color="101010"/>
              <w:left w:val="single" w:sz="6" w:space="0" w:color="101010"/>
              <w:bottom w:val="nil" w:sz="6" w:space="0" w:color="auto"/>
              <w:right w:val="single" w:sz="6" w:space="0" w:color="101010"/>
            </w:tcBorders>
          </w:tcPr>
          <w:p>
            <w:pPr/>
          </w:p>
        </w:tc>
        <w:tc>
          <w:tcPr>
            <w:tcW w:w="1260" w:type="dxa"/>
            <w:tcBorders>
              <w:top w:val="single" w:sz="6" w:space="0" w:color="101010"/>
              <w:left w:val="single" w:sz="6" w:space="0" w:color="101010"/>
              <w:bottom w:val="nil" w:sz="6" w:space="0" w:color="auto"/>
              <w:right w:val="single" w:sz="6" w:space="0" w:color="101010"/>
            </w:tcBorders>
          </w:tcPr>
          <w:p>
            <w:pPr/>
          </w:p>
        </w:tc>
        <w:tc>
          <w:tcPr>
            <w:tcW w:w="900" w:type="dxa"/>
            <w:vMerge w:val="restart"/>
            <w:tcBorders>
              <w:top w:val="single" w:sz="6" w:space="0" w:color="101010"/>
              <w:left w:val="single" w:sz="6" w:space="0" w:color="101010"/>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
        </w:tc>
        <w:tc>
          <w:tcPr>
            <w:tcW w:w="54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720" w:type="dxa"/>
            <w:tcBorders>
              <w:top w:val="single" w:sz="6" w:space="0" w:color="101010"/>
              <w:left w:val="single" w:sz="6" w:space="0" w:color="101010"/>
              <w:bottom w:val="nil" w:sz="6" w:space="0" w:color="auto"/>
              <w:right w:val="single" w:sz="6" w:space="0" w:color="101010"/>
            </w:tcBorders>
          </w:tcPr>
          <w:p>
            <w:pPr/>
          </w:p>
        </w:tc>
      </w:tr>
      <w:tr>
        <w:trPr>
          <w:trHeight w:val="225" w:hRule="exact"/>
        </w:trPr>
        <w:tc>
          <w:tcPr>
            <w:tcW w:w="828"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蔡敬侠</w:t>
            </w:r>
          </w:p>
        </w:tc>
        <w:tc>
          <w:tcPr>
            <w:tcW w:w="972"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98"/>
              <w:jc w:val="righ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w w:val="95"/>
                <w:sz w:val="18"/>
              </w:rPr>
              <w:t>40</w:t>
            </w:r>
            <w:r>
              <w:rPr>
                <w:rFonts w:ascii="Arial"/>
                <w:sz w:val="18"/>
              </w:rPr>
            </w: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197"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w w:val="99"/>
                <w:sz w:val="18"/>
              </w:rPr>
              <w:t>0</w:t>
            </w:r>
            <w:r>
              <w:rPr>
                <w:rFonts w:ascii="Arial"/>
                <w:sz w:val="18"/>
              </w:rPr>
            </w:r>
          </w:p>
        </w:tc>
        <w:tc>
          <w:tcPr>
            <w:tcW w:w="900" w:type="dxa"/>
            <w:vMerge/>
            <w:tcBorders>
              <w:left w:val="single" w:sz="6" w:space="0" w:color="101010"/>
              <w:right w:val="single" w:sz="6" w:space="0" w:color="101010"/>
            </w:tcBorders>
          </w:tcPr>
          <w:p>
            <w:pP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15,000</w:t>
            </w:r>
          </w:p>
        </w:tc>
        <w:tc>
          <w:tcPr>
            <w:tcW w:w="54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72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13" w:hRule="exact"/>
        </w:trPr>
        <w:tc>
          <w:tcPr>
            <w:tcW w:w="828" w:type="dxa"/>
            <w:tcBorders>
              <w:top w:val="nil" w:sz="6" w:space="0" w:color="auto"/>
              <w:left w:val="single" w:sz="6" w:space="0" w:color="101010"/>
              <w:bottom w:val="single" w:sz="6" w:space="0" w:color="101010"/>
              <w:right w:val="single" w:sz="6" w:space="0" w:color="101010"/>
            </w:tcBorders>
          </w:tcPr>
          <w:p>
            <w:pPr/>
          </w:p>
        </w:tc>
        <w:tc>
          <w:tcPr>
            <w:tcW w:w="972"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Style w:val="TableParagraph"/>
              <w:spacing w:line="204" w:lineRule="exact"/>
              <w:ind w:left="100" w:right="0"/>
              <w:jc w:val="left"/>
              <w:rPr>
                <w:rFonts w:ascii="Arial" w:hAnsi="Arial" w:cs="Arial" w:eastAsia="Arial" w:hint="default"/>
                <w:sz w:val="18"/>
                <w:szCs w:val="18"/>
              </w:rPr>
            </w:pPr>
            <w:r>
              <w:rPr>
                <w:rFonts w:ascii="Arial"/>
                <w:sz w:val="18"/>
              </w:rPr>
              <w:t>2010-9-13</w:t>
            </w:r>
          </w:p>
        </w:tc>
        <w:tc>
          <w:tcPr>
            <w:tcW w:w="1260" w:type="dxa"/>
            <w:tcBorders>
              <w:top w:val="nil" w:sz="6" w:space="0" w:color="auto"/>
              <w:left w:val="single" w:sz="6" w:space="0" w:color="101010"/>
              <w:bottom w:val="single" w:sz="6" w:space="0" w:color="101010"/>
              <w:right w:val="single" w:sz="6" w:space="0" w:color="101010"/>
            </w:tcBorders>
          </w:tcPr>
          <w:p>
            <w:pPr/>
          </w:p>
        </w:tc>
        <w:tc>
          <w:tcPr>
            <w:tcW w:w="1260" w:type="dxa"/>
            <w:tcBorders>
              <w:top w:val="nil" w:sz="6" w:space="0" w:color="auto"/>
              <w:left w:val="single" w:sz="6" w:space="0" w:color="101010"/>
              <w:bottom w:val="single" w:sz="6" w:space="0" w:color="101010"/>
              <w:right w:val="single" w:sz="6" w:space="0" w:color="101010"/>
            </w:tcBorders>
          </w:tcPr>
          <w:p>
            <w:pPr/>
          </w:p>
        </w:tc>
        <w:tc>
          <w:tcPr>
            <w:tcW w:w="900" w:type="dxa"/>
            <w:vMerge/>
            <w:tcBorders>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
        </w:tc>
        <w:tc>
          <w:tcPr>
            <w:tcW w:w="54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720" w:type="dxa"/>
            <w:tcBorders>
              <w:top w:val="nil" w:sz="6" w:space="0" w:color="auto"/>
              <w:left w:val="single" w:sz="6" w:space="0" w:color="101010"/>
              <w:bottom w:val="single" w:sz="6" w:space="0" w:color="101010"/>
              <w:right w:val="single" w:sz="6" w:space="0" w:color="101010"/>
            </w:tcBorders>
          </w:tcPr>
          <w:p>
            <w:pPr/>
          </w:p>
        </w:tc>
      </w:tr>
      <w:tr>
        <w:trPr>
          <w:trHeight w:val="664"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 凯</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86"/>
              <w:jc w:val="left"/>
              <w:rPr>
                <w:rFonts w:ascii="宋体" w:hAnsi="宋体" w:cs="宋体" w:eastAsia="宋体" w:hint="default"/>
                <w:sz w:val="18"/>
                <w:szCs w:val="18"/>
              </w:rPr>
            </w:pPr>
            <w:r>
              <w:rPr>
                <w:rFonts w:ascii="宋体" w:hAnsi="宋体" w:cs="宋体" w:eastAsia="宋体" w:hint="default"/>
                <w:spacing w:val="12"/>
                <w:sz w:val="18"/>
                <w:szCs w:val="18"/>
              </w:rPr>
              <w:t>监事会主 </w:t>
            </w:r>
            <w:r>
              <w:rPr>
                <w:rFonts w:ascii="宋体" w:hAnsi="宋体" w:cs="宋体" w:eastAsia="宋体" w:hint="default"/>
                <w:sz w:val="18"/>
                <w:szCs w:val="18"/>
              </w:rPr>
              <w:t>席</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w w:val="95"/>
                <w:sz w:val="18"/>
              </w:rPr>
              <w:t>34</w:t>
            </w:r>
            <w:r>
              <w:rPr>
                <w:rFonts w:ascii="Arial"/>
                <w:sz w:val="18"/>
              </w:rPr>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192" w:lineRule="exact"/>
              <w:ind w:left="100" w:right="0"/>
              <w:jc w:val="left"/>
              <w:rPr>
                <w:rFonts w:ascii="Arial" w:hAnsi="Arial" w:cs="Arial" w:eastAsia="Arial" w:hint="default"/>
                <w:sz w:val="18"/>
                <w:szCs w:val="18"/>
              </w:rPr>
            </w:pPr>
            <w:r>
              <w:rPr>
                <w:rFonts w:ascii="Arial"/>
                <w:sz w:val="18"/>
              </w:rPr>
              <w:t>2007-9-14</w:t>
            </w:r>
          </w:p>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5"/>
              <w:ind w:left="100" w:right="0"/>
              <w:jc w:val="left"/>
              <w:rPr>
                <w:rFonts w:ascii="Arial" w:hAnsi="Arial" w:cs="Arial" w:eastAsia="Arial" w:hint="default"/>
                <w:sz w:val="18"/>
                <w:szCs w:val="18"/>
              </w:rPr>
            </w:pPr>
            <w:r>
              <w:rPr>
                <w:rFonts w:ascii="Arial"/>
                <w:sz w:val="18"/>
              </w:rPr>
              <w:t>2010-9-13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106,374</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79,781</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26"/>
              <w:jc w:val="left"/>
              <w:rPr>
                <w:rFonts w:ascii="宋体" w:hAnsi="宋体" w:cs="宋体" w:eastAsia="宋体" w:hint="default"/>
                <w:sz w:val="18"/>
                <w:szCs w:val="18"/>
              </w:rPr>
            </w:pPr>
            <w:r>
              <w:rPr>
                <w:rFonts w:ascii="宋体" w:hAnsi="宋体" w:cs="宋体" w:eastAsia="宋体" w:hint="default"/>
                <w:spacing w:val="48"/>
                <w:sz w:val="18"/>
                <w:szCs w:val="18"/>
              </w:rPr>
              <w:t>二级市</w:t>
            </w:r>
            <w:r>
              <w:rPr>
                <w:rFonts w:ascii="宋体" w:hAnsi="宋体" w:cs="宋体" w:eastAsia="宋体" w:hint="default"/>
                <w:spacing w:val="-18"/>
                <w:sz w:val="18"/>
                <w:szCs w:val="18"/>
              </w:rPr>
              <w:t> </w:t>
            </w:r>
            <w:r>
              <w:rPr>
                <w:rFonts w:ascii="宋体" w:hAnsi="宋体" w:cs="宋体" w:eastAsia="宋体" w:hint="default"/>
                <w:sz w:val="18"/>
                <w:szCs w:val="18"/>
              </w:rPr>
              <w:t>场卖出</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203,839</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2240" w:h="15840"/>
          <w:pgMar w:header="747" w:footer="727" w:top="1040" w:bottom="920" w:left="320" w:right="880"/>
        </w:sectPr>
      </w:pPr>
    </w:p>
    <w:p>
      <w:pPr>
        <w:spacing w:line="240" w:lineRule="auto" w:before="8"/>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828"/>
        <w:gridCol w:w="972"/>
        <w:gridCol w:w="540"/>
        <w:gridCol w:w="540"/>
        <w:gridCol w:w="1080"/>
        <w:gridCol w:w="1260"/>
        <w:gridCol w:w="1260"/>
        <w:gridCol w:w="900"/>
        <w:gridCol w:w="1080"/>
        <w:gridCol w:w="540"/>
        <w:gridCol w:w="360"/>
        <w:gridCol w:w="360"/>
        <w:gridCol w:w="360"/>
        <w:gridCol w:w="720"/>
      </w:tblGrid>
      <w:tr>
        <w:trPr>
          <w:trHeight w:val="225" w:hRule="exact"/>
        </w:trPr>
        <w:tc>
          <w:tcPr>
            <w:tcW w:w="828" w:type="dxa"/>
            <w:tcBorders>
              <w:top w:val="single" w:sz="6" w:space="0" w:color="101010"/>
              <w:left w:val="single" w:sz="6" w:space="0" w:color="101010"/>
              <w:bottom w:val="nil" w:sz="6" w:space="0" w:color="auto"/>
              <w:right w:val="single" w:sz="6" w:space="0" w:color="101010"/>
            </w:tcBorders>
          </w:tcPr>
          <w:p>
            <w:pPr/>
          </w:p>
        </w:tc>
        <w:tc>
          <w:tcPr>
            <w:tcW w:w="972"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Style w:val="TableParagraph"/>
              <w:spacing w:line="206" w:lineRule="exact"/>
              <w:ind w:left="100" w:right="0"/>
              <w:jc w:val="left"/>
              <w:rPr>
                <w:rFonts w:ascii="Arial" w:hAnsi="Arial" w:cs="Arial" w:eastAsia="Arial" w:hint="default"/>
                <w:sz w:val="18"/>
                <w:szCs w:val="18"/>
              </w:rPr>
            </w:pPr>
            <w:r>
              <w:rPr>
                <w:rFonts w:ascii="Arial"/>
                <w:sz w:val="18"/>
              </w:rPr>
              <w:t>2007-9-14</w:t>
            </w:r>
          </w:p>
        </w:tc>
        <w:tc>
          <w:tcPr>
            <w:tcW w:w="1260" w:type="dxa"/>
            <w:tcBorders>
              <w:top w:val="single" w:sz="6" w:space="0" w:color="101010"/>
              <w:left w:val="single" w:sz="6" w:space="0" w:color="101010"/>
              <w:bottom w:val="nil" w:sz="6" w:space="0" w:color="auto"/>
              <w:right w:val="single" w:sz="6" w:space="0" w:color="101010"/>
            </w:tcBorders>
          </w:tcPr>
          <w:p>
            <w:pPr/>
          </w:p>
        </w:tc>
        <w:tc>
          <w:tcPr>
            <w:tcW w:w="1260" w:type="dxa"/>
            <w:tcBorders>
              <w:top w:val="single" w:sz="6" w:space="0" w:color="101010"/>
              <w:left w:val="single" w:sz="6" w:space="0" w:color="101010"/>
              <w:bottom w:val="nil" w:sz="6" w:space="0" w:color="auto"/>
              <w:right w:val="single" w:sz="6" w:space="0" w:color="101010"/>
            </w:tcBorders>
          </w:tcPr>
          <w:p>
            <w:pPr/>
          </w:p>
        </w:tc>
        <w:tc>
          <w:tcPr>
            <w:tcW w:w="900" w:type="dxa"/>
            <w:vMerge w:val="restart"/>
            <w:tcBorders>
              <w:top w:val="single" w:sz="6" w:space="0" w:color="101010"/>
              <w:left w:val="single" w:sz="6" w:space="0" w:color="101010"/>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
        </w:tc>
        <w:tc>
          <w:tcPr>
            <w:tcW w:w="54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720" w:type="dxa"/>
            <w:tcBorders>
              <w:top w:val="single" w:sz="6" w:space="0" w:color="101010"/>
              <w:left w:val="single" w:sz="6" w:space="0" w:color="101010"/>
              <w:bottom w:val="nil" w:sz="6" w:space="0" w:color="auto"/>
              <w:right w:val="single" w:sz="6" w:space="0" w:color="101010"/>
            </w:tcBorders>
          </w:tcPr>
          <w:p>
            <w:pPr/>
          </w:p>
        </w:tc>
      </w:tr>
      <w:tr>
        <w:trPr>
          <w:trHeight w:val="225" w:hRule="exact"/>
        </w:trPr>
        <w:tc>
          <w:tcPr>
            <w:tcW w:w="828"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唐昶荣</w:t>
            </w:r>
          </w:p>
        </w:tc>
        <w:tc>
          <w:tcPr>
            <w:tcW w:w="972"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2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left="225" w:right="0"/>
              <w:jc w:val="left"/>
              <w:rPr>
                <w:rFonts w:ascii="Arial" w:hAnsi="Arial" w:cs="Arial" w:eastAsia="Arial" w:hint="default"/>
                <w:sz w:val="18"/>
                <w:szCs w:val="18"/>
              </w:rPr>
            </w:pPr>
            <w:r>
              <w:rPr>
                <w:rFonts w:ascii="Arial"/>
                <w:sz w:val="18"/>
              </w:rPr>
              <w:t>38</w:t>
            </w: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691,420</w:t>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spacing w:val="-1"/>
                <w:sz w:val="18"/>
              </w:rPr>
              <w:t>691,420</w:t>
            </w:r>
          </w:p>
        </w:tc>
        <w:tc>
          <w:tcPr>
            <w:tcW w:w="900" w:type="dxa"/>
            <w:vMerge/>
            <w:tcBorders>
              <w:left w:val="single" w:sz="6" w:space="0" w:color="101010"/>
              <w:right w:val="single" w:sz="6" w:space="0" w:color="101010"/>
            </w:tcBorders>
          </w:tcPr>
          <w:p>
            <w:pP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9"/>
              <w:jc w:val="right"/>
              <w:rPr>
                <w:rFonts w:ascii="Arial" w:hAnsi="Arial" w:cs="Arial" w:eastAsia="Arial" w:hint="default"/>
                <w:sz w:val="18"/>
                <w:szCs w:val="18"/>
              </w:rPr>
            </w:pPr>
            <w:r>
              <w:rPr>
                <w:rFonts w:ascii="Arial"/>
                <w:spacing w:val="-1"/>
                <w:sz w:val="18"/>
              </w:rPr>
              <w:t>216,588</w:t>
            </w:r>
            <w:r>
              <w:rPr>
                <w:rFonts w:ascii="Arial"/>
                <w:sz w:val="18"/>
              </w:rPr>
            </w:r>
          </w:p>
        </w:tc>
        <w:tc>
          <w:tcPr>
            <w:tcW w:w="54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72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13" w:hRule="exact"/>
        </w:trPr>
        <w:tc>
          <w:tcPr>
            <w:tcW w:w="828" w:type="dxa"/>
            <w:tcBorders>
              <w:top w:val="nil" w:sz="6" w:space="0" w:color="auto"/>
              <w:left w:val="single" w:sz="6" w:space="0" w:color="101010"/>
              <w:bottom w:val="single" w:sz="6" w:space="0" w:color="101010"/>
              <w:right w:val="single" w:sz="6" w:space="0" w:color="101010"/>
            </w:tcBorders>
          </w:tcPr>
          <w:p>
            <w:pPr/>
          </w:p>
        </w:tc>
        <w:tc>
          <w:tcPr>
            <w:tcW w:w="972"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Style w:val="TableParagraph"/>
              <w:spacing w:line="204" w:lineRule="exact"/>
              <w:ind w:left="100" w:right="0"/>
              <w:jc w:val="left"/>
              <w:rPr>
                <w:rFonts w:ascii="Arial" w:hAnsi="Arial" w:cs="Arial" w:eastAsia="Arial" w:hint="default"/>
                <w:sz w:val="18"/>
                <w:szCs w:val="18"/>
              </w:rPr>
            </w:pPr>
            <w:r>
              <w:rPr>
                <w:rFonts w:ascii="Arial"/>
                <w:sz w:val="18"/>
              </w:rPr>
              <w:t>2010-9-13</w:t>
            </w:r>
          </w:p>
        </w:tc>
        <w:tc>
          <w:tcPr>
            <w:tcW w:w="1260" w:type="dxa"/>
            <w:tcBorders>
              <w:top w:val="nil" w:sz="6" w:space="0" w:color="auto"/>
              <w:left w:val="single" w:sz="6" w:space="0" w:color="101010"/>
              <w:bottom w:val="single" w:sz="6" w:space="0" w:color="101010"/>
              <w:right w:val="single" w:sz="6" w:space="0" w:color="101010"/>
            </w:tcBorders>
          </w:tcPr>
          <w:p>
            <w:pPr/>
          </w:p>
        </w:tc>
        <w:tc>
          <w:tcPr>
            <w:tcW w:w="1260" w:type="dxa"/>
            <w:tcBorders>
              <w:top w:val="nil" w:sz="6" w:space="0" w:color="auto"/>
              <w:left w:val="single" w:sz="6" w:space="0" w:color="101010"/>
              <w:bottom w:val="single" w:sz="6" w:space="0" w:color="101010"/>
              <w:right w:val="single" w:sz="6" w:space="0" w:color="101010"/>
            </w:tcBorders>
          </w:tcPr>
          <w:p>
            <w:pPr/>
          </w:p>
        </w:tc>
        <w:tc>
          <w:tcPr>
            <w:tcW w:w="900" w:type="dxa"/>
            <w:vMerge/>
            <w:tcBorders>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
        </w:tc>
        <w:tc>
          <w:tcPr>
            <w:tcW w:w="54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720" w:type="dxa"/>
            <w:tcBorders>
              <w:top w:val="nil" w:sz="6" w:space="0" w:color="auto"/>
              <w:left w:val="single" w:sz="6" w:space="0" w:color="101010"/>
              <w:bottom w:val="single" w:sz="6" w:space="0" w:color="101010"/>
              <w:right w:val="single" w:sz="6" w:space="0" w:color="101010"/>
            </w:tcBorders>
          </w:tcPr>
          <w:p>
            <w:pPr/>
          </w:p>
        </w:tc>
      </w:tr>
      <w:tr>
        <w:trPr>
          <w:trHeight w:val="225" w:hRule="exact"/>
        </w:trPr>
        <w:tc>
          <w:tcPr>
            <w:tcW w:w="828" w:type="dxa"/>
            <w:tcBorders>
              <w:top w:val="single" w:sz="6" w:space="0" w:color="101010"/>
              <w:left w:val="single" w:sz="6" w:space="0" w:color="101010"/>
              <w:bottom w:val="nil" w:sz="6" w:space="0" w:color="auto"/>
              <w:right w:val="single" w:sz="6" w:space="0" w:color="101010"/>
            </w:tcBorders>
          </w:tcPr>
          <w:p>
            <w:pPr/>
          </w:p>
        </w:tc>
        <w:tc>
          <w:tcPr>
            <w:tcW w:w="972"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540" w:type="dxa"/>
            <w:tcBorders>
              <w:top w:val="single" w:sz="6" w:space="0" w:color="101010"/>
              <w:left w:val="single" w:sz="6" w:space="0" w:color="101010"/>
              <w:bottom w:val="nil" w:sz="6" w:space="0" w:color="auto"/>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Style w:val="TableParagraph"/>
              <w:spacing w:line="206" w:lineRule="exact"/>
              <w:ind w:left="100" w:right="0"/>
              <w:jc w:val="left"/>
              <w:rPr>
                <w:rFonts w:ascii="Arial" w:hAnsi="Arial" w:cs="Arial" w:eastAsia="Arial" w:hint="default"/>
                <w:sz w:val="18"/>
                <w:szCs w:val="18"/>
              </w:rPr>
            </w:pPr>
            <w:r>
              <w:rPr>
                <w:rFonts w:ascii="Arial"/>
                <w:sz w:val="18"/>
              </w:rPr>
              <w:t>2007-9-14</w:t>
            </w:r>
          </w:p>
        </w:tc>
        <w:tc>
          <w:tcPr>
            <w:tcW w:w="1260" w:type="dxa"/>
            <w:tcBorders>
              <w:top w:val="single" w:sz="6" w:space="0" w:color="101010"/>
              <w:left w:val="single" w:sz="6" w:space="0" w:color="101010"/>
              <w:bottom w:val="nil" w:sz="6" w:space="0" w:color="auto"/>
              <w:right w:val="single" w:sz="6" w:space="0" w:color="101010"/>
            </w:tcBorders>
          </w:tcPr>
          <w:p>
            <w:pPr/>
          </w:p>
        </w:tc>
        <w:tc>
          <w:tcPr>
            <w:tcW w:w="1260" w:type="dxa"/>
            <w:tcBorders>
              <w:top w:val="single" w:sz="6" w:space="0" w:color="101010"/>
              <w:left w:val="single" w:sz="6" w:space="0" w:color="101010"/>
              <w:bottom w:val="nil" w:sz="6" w:space="0" w:color="auto"/>
              <w:right w:val="single" w:sz="6" w:space="0" w:color="101010"/>
            </w:tcBorders>
          </w:tcPr>
          <w:p>
            <w:pPr/>
          </w:p>
        </w:tc>
        <w:tc>
          <w:tcPr>
            <w:tcW w:w="900" w:type="dxa"/>
            <w:vMerge w:val="restart"/>
            <w:tcBorders>
              <w:top w:val="single" w:sz="6" w:space="0" w:color="101010"/>
              <w:left w:val="single" w:sz="6" w:space="0" w:color="101010"/>
              <w:right w:val="single" w:sz="6" w:space="0" w:color="101010"/>
            </w:tcBorders>
          </w:tcPr>
          <w:p>
            <w:pPr/>
          </w:p>
        </w:tc>
        <w:tc>
          <w:tcPr>
            <w:tcW w:w="1080" w:type="dxa"/>
            <w:tcBorders>
              <w:top w:val="single" w:sz="6" w:space="0" w:color="101010"/>
              <w:left w:val="single" w:sz="6" w:space="0" w:color="101010"/>
              <w:bottom w:val="nil" w:sz="6" w:space="0" w:color="auto"/>
              <w:right w:val="single" w:sz="6" w:space="0" w:color="101010"/>
            </w:tcBorders>
          </w:tcPr>
          <w:p>
            <w:pPr/>
          </w:p>
        </w:tc>
        <w:tc>
          <w:tcPr>
            <w:tcW w:w="54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360" w:type="dxa"/>
            <w:vMerge w:val="restart"/>
            <w:tcBorders>
              <w:top w:val="single" w:sz="6" w:space="0" w:color="101010"/>
              <w:left w:val="single" w:sz="6" w:space="0" w:color="101010"/>
              <w:right w:val="single" w:sz="6" w:space="0" w:color="101010"/>
            </w:tcBorders>
          </w:tcPr>
          <w:p>
            <w:pPr/>
          </w:p>
        </w:tc>
        <w:tc>
          <w:tcPr>
            <w:tcW w:w="720" w:type="dxa"/>
            <w:tcBorders>
              <w:top w:val="single" w:sz="6" w:space="0" w:color="101010"/>
              <w:left w:val="single" w:sz="6" w:space="0" w:color="101010"/>
              <w:bottom w:val="nil" w:sz="6" w:space="0" w:color="auto"/>
              <w:right w:val="single" w:sz="6" w:space="0" w:color="101010"/>
            </w:tcBorders>
          </w:tcPr>
          <w:p>
            <w:pPr/>
          </w:p>
        </w:tc>
      </w:tr>
      <w:tr>
        <w:trPr>
          <w:trHeight w:val="225" w:hRule="exact"/>
        </w:trPr>
        <w:tc>
          <w:tcPr>
            <w:tcW w:w="828"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刘 瑛</w:t>
            </w:r>
          </w:p>
        </w:tc>
        <w:tc>
          <w:tcPr>
            <w:tcW w:w="972"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24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left="225" w:right="0"/>
              <w:jc w:val="left"/>
              <w:rPr>
                <w:rFonts w:ascii="Arial" w:hAnsi="Arial" w:cs="Arial" w:eastAsia="Arial" w:hint="default"/>
                <w:sz w:val="18"/>
                <w:szCs w:val="18"/>
              </w:rPr>
            </w:pPr>
            <w:r>
              <w:rPr>
                <w:rFonts w:ascii="Arial"/>
                <w:sz w:val="18"/>
              </w:rPr>
              <w:t>31</w:t>
            </w: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8"/>
              <w:jc w:val="right"/>
              <w:rPr>
                <w:rFonts w:ascii="Arial" w:hAnsi="Arial" w:cs="Arial" w:eastAsia="Arial" w:hint="default"/>
                <w:sz w:val="18"/>
                <w:szCs w:val="18"/>
              </w:rPr>
            </w:pPr>
            <w:r>
              <w:rPr>
                <w:rFonts w:ascii="Arial"/>
                <w:w w:val="99"/>
                <w:sz w:val="18"/>
              </w:rPr>
              <w:t>0</w:t>
            </w:r>
            <w:r>
              <w:rPr>
                <w:rFonts w:ascii="Arial"/>
                <w:sz w:val="18"/>
              </w:rPr>
            </w:r>
          </w:p>
        </w:tc>
        <w:tc>
          <w:tcPr>
            <w:tcW w:w="900" w:type="dxa"/>
            <w:vMerge/>
            <w:tcBorders>
              <w:left w:val="single" w:sz="6" w:space="0" w:color="101010"/>
              <w:right w:val="single" w:sz="6" w:space="0" w:color="101010"/>
            </w:tcBorders>
          </w:tcPr>
          <w:p>
            <w:pPr/>
          </w:p>
        </w:tc>
        <w:tc>
          <w:tcPr>
            <w:tcW w:w="1080" w:type="dxa"/>
            <w:tcBorders>
              <w:top w:val="nil" w:sz="6" w:space="0" w:color="auto"/>
              <w:left w:val="single" w:sz="6" w:space="0" w:color="101010"/>
              <w:bottom w:val="nil" w:sz="6" w:space="0" w:color="auto"/>
              <w:right w:val="single" w:sz="6" w:space="0" w:color="101010"/>
            </w:tcBorders>
          </w:tcPr>
          <w:p>
            <w:pPr>
              <w:pStyle w:val="TableParagraph"/>
              <w:spacing w:line="240" w:lineRule="auto" w:before="1"/>
              <w:ind w:right="99"/>
              <w:jc w:val="right"/>
              <w:rPr>
                <w:rFonts w:ascii="Arial" w:hAnsi="Arial" w:cs="Arial" w:eastAsia="Arial" w:hint="default"/>
                <w:sz w:val="18"/>
                <w:szCs w:val="18"/>
              </w:rPr>
            </w:pPr>
            <w:r>
              <w:rPr>
                <w:rFonts w:ascii="Arial"/>
                <w:spacing w:val="-1"/>
                <w:sz w:val="18"/>
              </w:rPr>
              <w:t>101,620</w:t>
            </w:r>
            <w:r>
              <w:rPr>
                <w:rFonts w:ascii="Arial"/>
                <w:sz w:val="18"/>
              </w:rPr>
            </w:r>
          </w:p>
        </w:tc>
        <w:tc>
          <w:tcPr>
            <w:tcW w:w="54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360" w:type="dxa"/>
            <w:vMerge/>
            <w:tcBorders>
              <w:left w:val="single" w:sz="6" w:space="0" w:color="101010"/>
              <w:right w:val="single" w:sz="6" w:space="0" w:color="101010"/>
            </w:tcBorders>
          </w:tcPr>
          <w:p>
            <w:pPr/>
          </w:p>
        </w:tc>
        <w:tc>
          <w:tcPr>
            <w:tcW w:w="720"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13" w:hRule="exact"/>
        </w:trPr>
        <w:tc>
          <w:tcPr>
            <w:tcW w:w="828" w:type="dxa"/>
            <w:tcBorders>
              <w:top w:val="nil" w:sz="6" w:space="0" w:color="auto"/>
              <w:left w:val="single" w:sz="6" w:space="0" w:color="101010"/>
              <w:bottom w:val="single" w:sz="6" w:space="0" w:color="101010"/>
              <w:right w:val="single" w:sz="6" w:space="0" w:color="101010"/>
            </w:tcBorders>
          </w:tcPr>
          <w:p>
            <w:pPr/>
          </w:p>
        </w:tc>
        <w:tc>
          <w:tcPr>
            <w:tcW w:w="972"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540" w:type="dxa"/>
            <w:tcBorders>
              <w:top w:val="nil" w:sz="6" w:space="0" w:color="auto"/>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Style w:val="TableParagraph"/>
              <w:spacing w:line="204" w:lineRule="exact"/>
              <w:ind w:left="100" w:right="0"/>
              <w:jc w:val="left"/>
              <w:rPr>
                <w:rFonts w:ascii="Arial" w:hAnsi="Arial" w:cs="Arial" w:eastAsia="Arial" w:hint="default"/>
                <w:sz w:val="18"/>
                <w:szCs w:val="18"/>
              </w:rPr>
            </w:pPr>
            <w:r>
              <w:rPr>
                <w:rFonts w:ascii="Arial"/>
                <w:sz w:val="18"/>
              </w:rPr>
              <w:t>2010-9-13</w:t>
            </w:r>
          </w:p>
        </w:tc>
        <w:tc>
          <w:tcPr>
            <w:tcW w:w="1260" w:type="dxa"/>
            <w:tcBorders>
              <w:top w:val="nil" w:sz="6" w:space="0" w:color="auto"/>
              <w:left w:val="single" w:sz="6" w:space="0" w:color="101010"/>
              <w:bottom w:val="single" w:sz="6" w:space="0" w:color="101010"/>
              <w:right w:val="single" w:sz="6" w:space="0" w:color="101010"/>
            </w:tcBorders>
          </w:tcPr>
          <w:p>
            <w:pPr/>
          </w:p>
        </w:tc>
        <w:tc>
          <w:tcPr>
            <w:tcW w:w="1260" w:type="dxa"/>
            <w:tcBorders>
              <w:top w:val="nil" w:sz="6" w:space="0" w:color="auto"/>
              <w:left w:val="single" w:sz="6" w:space="0" w:color="101010"/>
              <w:bottom w:val="single" w:sz="6" w:space="0" w:color="101010"/>
              <w:right w:val="single" w:sz="6" w:space="0" w:color="101010"/>
            </w:tcBorders>
          </w:tcPr>
          <w:p>
            <w:pPr/>
          </w:p>
        </w:tc>
        <w:tc>
          <w:tcPr>
            <w:tcW w:w="900" w:type="dxa"/>
            <w:vMerge/>
            <w:tcBorders>
              <w:left w:val="single" w:sz="6" w:space="0" w:color="101010"/>
              <w:bottom w:val="single" w:sz="6" w:space="0" w:color="101010"/>
              <w:right w:val="single" w:sz="6" w:space="0" w:color="101010"/>
            </w:tcBorders>
          </w:tcPr>
          <w:p>
            <w:pPr/>
          </w:p>
        </w:tc>
        <w:tc>
          <w:tcPr>
            <w:tcW w:w="1080" w:type="dxa"/>
            <w:tcBorders>
              <w:top w:val="nil" w:sz="6" w:space="0" w:color="auto"/>
              <w:left w:val="single" w:sz="6" w:space="0" w:color="101010"/>
              <w:bottom w:val="single" w:sz="6" w:space="0" w:color="101010"/>
              <w:right w:val="single" w:sz="6" w:space="0" w:color="101010"/>
            </w:tcBorders>
          </w:tcPr>
          <w:p>
            <w:pPr/>
          </w:p>
        </w:tc>
        <w:tc>
          <w:tcPr>
            <w:tcW w:w="54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360" w:type="dxa"/>
            <w:vMerge/>
            <w:tcBorders>
              <w:left w:val="single" w:sz="6" w:space="0" w:color="101010"/>
              <w:bottom w:val="single" w:sz="6" w:space="0" w:color="101010"/>
              <w:right w:val="single" w:sz="6" w:space="0" w:color="101010"/>
            </w:tcBorders>
          </w:tcPr>
          <w:p>
            <w:pPr/>
          </w:p>
        </w:tc>
        <w:tc>
          <w:tcPr>
            <w:tcW w:w="720" w:type="dxa"/>
            <w:tcBorders>
              <w:top w:val="nil" w:sz="6" w:space="0" w:color="auto"/>
              <w:left w:val="single" w:sz="6" w:space="0" w:color="101010"/>
              <w:bottom w:val="single" w:sz="6" w:space="0" w:color="101010"/>
              <w:right w:val="single" w:sz="6" w:space="0" w:color="101010"/>
            </w:tcBorders>
          </w:tcPr>
          <w:p>
            <w:pPr/>
          </w:p>
        </w:tc>
      </w:tr>
      <w:tr>
        <w:trPr>
          <w:trHeight w:val="662"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杜同舟</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5" w:right="0"/>
              <w:jc w:val="left"/>
              <w:rPr>
                <w:rFonts w:ascii="Arial" w:hAnsi="Arial" w:cs="Arial" w:eastAsia="Arial" w:hint="default"/>
                <w:sz w:val="18"/>
                <w:szCs w:val="18"/>
              </w:rPr>
            </w:pPr>
            <w:r>
              <w:rPr>
                <w:rFonts w:ascii="Arial"/>
                <w:sz w:val="18"/>
              </w:rPr>
              <w:t>41</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192" w:lineRule="exact"/>
              <w:ind w:left="100" w:right="0"/>
              <w:jc w:val="left"/>
              <w:rPr>
                <w:rFonts w:ascii="Arial" w:hAnsi="Arial" w:cs="Arial" w:eastAsia="Arial" w:hint="default"/>
                <w:sz w:val="18"/>
                <w:szCs w:val="18"/>
              </w:rPr>
            </w:pPr>
            <w:r>
              <w:rPr>
                <w:rFonts w:ascii="Arial"/>
                <w:sz w:val="18"/>
              </w:rPr>
              <w:t>2007-9-14</w:t>
            </w:r>
          </w:p>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6"/>
              <w:ind w:left="100" w:right="0"/>
              <w:jc w:val="left"/>
              <w:rPr>
                <w:rFonts w:ascii="Arial" w:hAnsi="Arial" w:cs="Arial" w:eastAsia="Arial" w:hint="default"/>
                <w:sz w:val="18"/>
                <w:szCs w:val="18"/>
              </w:rPr>
            </w:pPr>
            <w:r>
              <w:rPr>
                <w:rFonts w:ascii="Arial"/>
                <w:sz w:val="18"/>
              </w:rPr>
              <w:t>2010-9-13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600,262</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450,000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26"/>
              <w:jc w:val="left"/>
              <w:rPr>
                <w:rFonts w:ascii="宋体" w:hAnsi="宋体" w:cs="宋体" w:eastAsia="宋体" w:hint="default"/>
                <w:sz w:val="18"/>
                <w:szCs w:val="18"/>
              </w:rPr>
            </w:pPr>
            <w:r>
              <w:rPr>
                <w:rFonts w:ascii="宋体" w:hAnsi="宋体" w:cs="宋体" w:eastAsia="宋体" w:hint="default"/>
                <w:spacing w:val="48"/>
                <w:sz w:val="18"/>
                <w:szCs w:val="18"/>
              </w:rPr>
              <w:t>二级市</w:t>
            </w:r>
            <w:r>
              <w:rPr>
                <w:rFonts w:ascii="宋体" w:hAnsi="宋体" w:cs="宋体" w:eastAsia="宋体" w:hint="default"/>
                <w:spacing w:val="-18"/>
                <w:sz w:val="18"/>
                <w:szCs w:val="18"/>
              </w:rPr>
              <w:t> </w:t>
            </w:r>
            <w:r>
              <w:rPr>
                <w:rFonts w:ascii="宋体" w:hAnsi="宋体" w:cs="宋体" w:eastAsia="宋体" w:hint="default"/>
                <w:sz w:val="18"/>
                <w:szCs w:val="18"/>
              </w:rPr>
              <w:t>场卖出</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356,095</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2"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王海航</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5" w:right="0"/>
              <w:jc w:val="left"/>
              <w:rPr>
                <w:rFonts w:ascii="Arial" w:hAnsi="Arial" w:cs="Arial" w:eastAsia="Arial" w:hint="default"/>
                <w:sz w:val="18"/>
                <w:szCs w:val="18"/>
              </w:rPr>
            </w:pPr>
            <w:r>
              <w:rPr>
                <w:rFonts w:ascii="Arial"/>
                <w:sz w:val="18"/>
              </w:rPr>
              <w:t>39</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192" w:lineRule="exact"/>
              <w:ind w:left="100" w:right="0"/>
              <w:jc w:val="left"/>
              <w:rPr>
                <w:rFonts w:ascii="Arial" w:hAnsi="Arial" w:cs="Arial" w:eastAsia="Arial" w:hint="default"/>
                <w:sz w:val="18"/>
                <w:szCs w:val="18"/>
              </w:rPr>
            </w:pPr>
            <w:r>
              <w:rPr>
                <w:rFonts w:ascii="Arial"/>
                <w:sz w:val="18"/>
              </w:rPr>
              <w:t>2007-9-14</w:t>
            </w:r>
          </w:p>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6"/>
              <w:ind w:left="100" w:right="0"/>
              <w:jc w:val="left"/>
              <w:rPr>
                <w:rFonts w:ascii="Arial" w:hAnsi="Arial" w:cs="Arial" w:eastAsia="Arial" w:hint="default"/>
                <w:sz w:val="18"/>
                <w:szCs w:val="18"/>
              </w:rPr>
            </w:pPr>
            <w:r>
              <w:rPr>
                <w:rFonts w:ascii="Arial"/>
                <w:sz w:val="18"/>
              </w:rPr>
              <w:t>2010-9-13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709,148</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690,000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26"/>
              <w:jc w:val="left"/>
              <w:rPr>
                <w:rFonts w:ascii="宋体" w:hAnsi="宋体" w:cs="宋体" w:eastAsia="宋体" w:hint="default"/>
                <w:sz w:val="18"/>
                <w:szCs w:val="18"/>
              </w:rPr>
            </w:pPr>
            <w:r>
              <w:rPr>
                <w:rFonts w:ascii="宋体" w:hAnsi="宋体" w:cs="宋体" w:eastAsia="宋体" w:hint="default"/>
                <w:spacing w:val="48"/>
                <w:sz w:val="18"/>
                <w:szCs w:val="18"/>
              </w:rPr>
              <w:t>二级市</w:t>
            </w:r>
            <w:r>
              <w:rPr>
                <w:rFonts w:ascii="宋体" w:hAnsi="宋体" w:cs="宋体" w:eastAsia="宋体" w:hint="default"/>
                <w:spacing w:val="-18"/>
                <w:sz w:val="18"/>
                <w:szCs w:val="18"/>
              </w:rPr>
              <w:t> </w:t>
            </w:r>
            <w:r>
              <w:rPr>
                <w:rFonts w:ascii="宋体" w:hAnsi="宋体" w:cs="宋体" w:eastAsia="宋体" w:hint="default"/>
                <w:sz w:val="18"/>
                <w:szCs w:val="18"/>
              </w:rPr>
              <w:t>场卖出</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347,295</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2"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周永洪</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5" w:right="0"/>
              <w:jc w:val="left"/>
              <w:rPr>
                <w:rFonts w:ascii="Arial" w:hAnsi="Arial" w:cs="Arial" w:eastAsia="Arial" w:hint="default"/>
                <w:sz w:val="18"/>
                <w:szCs w:val="18"/>
              </w:rPr>
            </w:pPr>
            <w:r>
              <w:rPr>
                <w:rFonts w:ascii="Arial"/>
                <w:sz w:val="18"/>
              </w:rPr>
              <w:t>40</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192" w:lineRule="exact"/>
              <w:ind w:left="100" w:right="0"/>
              <w:jc w:val="left"/>
              <w:rPr>
                <w:rFonts w:ascii="Arial" w:hAnsi="Arial" w:cs="Arial" w:eastAsia="Arial" w:hint="default"/>
                <w:sz w:val="18"/>
                <w:szCs w:val="18"/>
              </w:rPr>
            </w:pPr>
            <w:r>
              <w:rPr>
                <w:rFonts w:ascii="Arial"/>
                <w:sz w:val="18"/>
              </w:rPr>
              <w:t>2007-9-14</w:t>
            </w:r>
          </w:p>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6"/>
              <w:ind w:left="100" w:right="0"/>
              <w:jc w:val="left"/>
              <w:rPr>
                <w:rFonts w:ascii="Arial" w:hAnsi="Arial" w:cs="Arial" w:eastAsia="Arial" w:hint="default"/>
                <w:sz w:val="18"/>
                <w:szCs w:val="18"/>
              </w:rPr>
            </w:pPr>
            <w:r>
              <w:rPr>
                <w:rFonts w:ascii="Arial"/>
                <w:sz w:val="18"/>
              </w:rPr>
              <w:t>2010-9-13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106,374</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80,000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26"/>
              <w:jc w:val="left"/>
              <w:rPr>
                <w:rFonts w:ascii="宋体" w:hAnsi="宋体" w:cs="宋体" w:eastAsia="宋体" w:hint="default"/>
                <w:sz w:val="18"/>
                <w:szCs w:val="18"/>
              </w:rPr>
            </w:pPr>
            <w:r>
              <w:rPr>
                <w:rFonts w:ascii="宋体" w:hAnsi="宋体" w:cs="宋体" w:eastAsia="宋体" w:hint="default"/>
                <w:spacing w:val="48"/>
                <w:sz w:val="18"/>
                <w:szCs w:val="18"/>
              </w:rPr>
              <w:t>二级市</w:t>
            </w:r>
            <w:r>
              <w:rPr>
                <w:rFonts w:ascii="宋体" w:hAnsi="宋体" w:cs="宋体" w:eastAsia="宋体" w:hint="default"/>
                <w:spacing w:val="-18"/>
                <w:sz w:val="18"/>
                <w:szCs w:val="18"/>
              </w:rPr>
              <w:t> </w:t>
            </w:r>
            <w:r>
              <w:rPr>
                <w:rFonts w:ascii="宋体" w:hAnsi="宋体" w:cs="宋体" w:eastAsia="宋体" w:hint="default"/>
                <w:sz w:val="18"/>
                <w:szCs w:val="18"/>
              </w:rPr>
              <w:t>场卖出</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181,909</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2"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杨德仁</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86"/>
              <w:jc w:val="left"/>
              <w:rPr>
                <w:rFonts w:ascii="宋体" w:hAnsi="宋体" w:cs="宋体" w:eastAsia="宋体" w:hint="default"/>
                <w:sz w:val="18"/>
                <w:szCs w:val="18"/>
              </w:rPr>
            </w:pPr>
            <w:r>
              <w:rPr>
                <w:rFonts w:ascii="宋体" w:hAnsi="宋体" w:cs="宋体" w:eastAsia="宋体" w:hint="default"/>
                <w:spacing w:val="12"/>
                <w:sz w:val="18"/>
                <w:szCs w:val="18"/>
              </w:rPr>
              <w:t>董事会秘 </w:t>
            </w:r>
            <w:r>
              <w:rPr>
                <w:rFonts w:ascii="宋体" w:hAnsi="宋体" w:cs="宋体" w:eastAsia="宋体" w:hint="default"/>
                <w:sz w:val="18"/>
                <w:szCs w:val="18"/>
              </w:rPr>
              <w:t>书</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5" w:right="0"/>
              <w:jc w:val="left"/>
              <w:rPr>
                <w:rFonts w:ascii="Arial" w:hAnsi="Arial" w:cs="Arial" w:eastAsia="Arial" w:hint="default"/>
                <w:sz w:val="18"/>
                <w:szCs w:val="18"/>
              </w:rPr>
            </w:pPr>
            <w:r>
              <w:rPr>
                <w:rFonts w:ascii="Arial"/>
                <w:sz w:val="18"/>
              </w:rPr>
              <w:t>42</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192" w:lineRule="exact"/>
              <w:ind w:left="100" w:right="0"/>
              <w:jc w:val="left"/>
              <w:rPr>
                <w:rFonts w:ascii="Arial" w:hAnsi="Arial" w:cs="Arial" w:eastAsia="Arial" w:hint="default"/>
                <w:sz w:val="18"/>
                <w:szCs w:val="18"/>
              </w:rPr>
            </w:pPr>
            <w:r>
              <w:rPr>
                <w:rFonts w:ascii="Arial"/>
                <w:sz w:val="18"/>
              </w:rPr>
              <w:t>2007-9-14</w:t>
            </w:r>
          </w:p>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6"/>
              <w:ind w:left="100" w:right="0"/>
              <w:jc w:val="left"/>
              <w:rPr>
                <w:rFonts w:ascii="Arial" w:hAnsi="Arial" w:cs="Arial" w:eastAsia="Arial" w:hint="default"/>
                <w:sz w:val="18"/>
                <w:szCs w:val="18"/>
              </w:rPr>
            </w:pPr>
            <w:r>
              <w:rPr>
                <w:rFonts w:ascii="Arial"/>
                <w:sz w:val="18"/>
              </w:rPr>
              <w:t>2010-9-13</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1,170,096</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18"/>
                <w:szCs w:val="18"/>
              </w:rPr>
            </w:pPr>
            <w:r>
              <w:rPr>
                <w:rFonts w:ascii="Arial"/>
                <w:spacing w:val="-1"/>
                <w:sz w:val="18"/>
              </w:rPr>
              <w:t>540,000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1"/>
              <w:ind w:left="100" w:right="26"/>
              <w:jc w:val="left"/>
              <w:rPr>
                <w:rFonts w:ascii="宋体" w:hAnsi="宋体" w:cs="宋体" w:eastAsia="宋体" w:hint="default"/>
                <w:sz w:val="18"/>
                <w:szCs w:val="18"/>
              </w:rPr>
            </w:pPr>
            <w:r>
              <w:rPr>
                <w:rFonts w:ascii="宋体" w:hAnsi="宋体" w:cs="宋体" w:eastAsia="宋体" w:hint="default"/>
                <w:spacing w:val="48"/>
                <w:sz w:val="18"/>
                <w:szCs w:val="18"/>
              </w:rPr>
              <w:t>二级市</w:t>
            </w:r>
            <w:r>
              <w:rPr>
                <w:rFonts w:ascii="宋体" w:hAnsi="宋体" w:cs="宋体" w:eastAsia="宋体" w:hint="default"/>
                <w:spacing w:val="-18"/>
                <w:sz w:val="18"/>
                <w:szCs w:val="18"/>
              </w:rPr>
              <w:t> </w:t>
            </w:r>
            <w:r>
              <w:rPr>
                <w:rFonts w:ascii="宋体" w:hAnsi="宋体" w:cs="宋体" w:eastAsia="宋体" w:hint="default"/>
                <w:sz w:val="18"/>
                <w:szCs w:val="18"/>
              </w:rPr>
              <w:t>场卖出</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141,200</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100"/>
                <w:sz w:val="18"/>
              </w:rPr>
              <w:t>/</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left="237" w:right="0"/>
              <w:jc w:val="left"/>
              <w:rPr>
                <w:rFonts w:ascii="Arial" w:hAnsi="Arial" w:cs="Arial" w:eastAsia="Arial" w:hint="default"/>
                <w:sz w:val="18"/>
                <w:szCs w:val="18"/>
              </w:rPr>
            </w:pPr>
            <w:r>
              <w:rPr>
                <w:rFonts w:ascii="Arial"/>
                <w:w w:val="100"/>
                <w:sz w:val="18"/>
              </w:rPr>
              <w:t>/</w:t>
            </w:r>
          </w:p>
        </w:tc>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left="236" w:right="0"/>
              <w:jc w:val="left"/>
              <w:rPr>
                <w:rFonts w:ascii="Arial" w:hAnsi="Arial" w:cs="Arial" w:eastAsia="Arial" w:hint="default"/>
                <w:sz w:val="18"/>
                <w:szCs w:val="18"/>
              </w:rPr>
            </w:pPr>
            <w:r>
              <w:rPr>
                <w:rFonts w:ascii="Arial"/>
                <w:w w:val="100"/>
                <w:sz w:val="18"/>
              </w:rPr>
              <w:t>/</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2"/>
              <w:jc w:val="center"/>
              <w:rPr>
                <w:rFonts w:ascii="Arial" w:hAnsi="Arial" w:cs="Arial" w:eastAsia="Arial" w:hint="default"/>
                <w:sz w:val="18"/>
                <w:szCs w:val="18"/>
              </w:rPr>
            </w:pPr>
            <w:r>
              <w:rPr>
                <w:rFonts w:ascii="Arial"/>
                <w:w w:val="100"/>
                <w:sz w:val="18"/>
              </w:rPr>
              <w:t>/</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left="99" w:right="0"/>
              <w:jc w:val="left"/>
              <w:rPr>
                <w:rFonts w:ascii="Arial" w:hAnsi="Arial" w:cs="Arial" w:eastAsia="Arial" w:hint="default"/>
                <w:sz w:val="18"/>
                <w:szCs w:val="18"/>
              </w:rPr>
            </w:pPr>
            <w:r>
              <w:rPr>
                <w:rFonts w:ascii="Arial"/>
                <w:sz w:val="18"/>
              </w:rPr>
              <w:t>73,349,374</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left="99" w:right="0"/>
              <w:jc w:val="left"/>
              <w:rPr>
                <w:rFonts w:ascii="Arial" w:hAnsi="Arial" w:cs="Arial" w:eastAsia="Arial" w:hint="default"/>
                <w:sz w:val="18"/>
                <w:szCs w:val="18"/>
              </w:rPr>
            </w:pPr>
            <w:r>
              <w:rPr>
                <w:rFonts w:ascii="Arial"/>
                <w:sz w:val="18"/>
              </w:rPr>
              <w:t>70,092,191</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center"/>
              <w:rPr>
                <w:rFonts w:ascii="Arial" w:hAnsi="Arial" w:cs="Arial" w:eastAsia="Arial" w:hint="default"/>
                <w:sz w:val="18"/>
                <w:szCs w:val="18"/>
              </w:rPr>
            </w:pPr>
            <w:r>
              <w:rPr>
                <w:rFonts w:ascii="Arial"/>
                <w:w w:val="100"/>
                <w:sz w:val="18"/>
              </w:rPr>
              <w:t>/</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3,313,468</w:t>
            </w:r>
            <w:r>
              <w:rPr>
                <w:rFonts w:ascii="Arial"/>
                <w:sz w:val="18"/>
              </w:rPr>
            </w:r>
          </w:p>
        </w:tc>
        <w:tc>
          <w:tcPr>
            <w:tcW w:w="54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
        </w:tc>
        <w:tc>
          <w:tcPr>
            <w:tcW w:w="3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left="1" w:right="0"/>
              <w:jc w:val="center"/>
              <w:rPr>
                <w:rFonts w:ascii="Arial" w:hAnsi="Arial" w:cs="Arial" w:eastAsia="Arial" w:hint="default"/>
                <w:sz w:val="18"/>
                <w:szCs w:val="18"/>
              </w:rPr>
            </w:pPr>
            <w:r>
              <w:rPr>
                <w:rFonts w:ascii="Arial"/>
                <w:w w:val="100"/>
                <w:sz w:val="18"/>
              </w:rPr>
              <w:t>/</w:t>
            </w:r>
          </w:p>
        </w:tc>
        <w:tc>
          <w:tcPr>
            <w:tcW w:w="3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left="1" w:right="0"/>
              <w:jc w:val="center"/>
              <w:rPr>
                <w:rFonts w:ascii="Arial" w:hAnsi="Arial" w:cs="Arial" w:eastAsia="Arial" w:hint="default"/>
                <w:sz w:val="18"/>
                <w:szCs w:val="18"/>
              </w:rPr>
            </w:pPr>
            <w:r>
              <w:rPr>
                <w:rFonts w:ascii="Arial"/>
                <w:w w:val="100"/>
                <w:sz w:val="18"/>
              </w:rPr>
              <w:t>/</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left="1" w:right="0"/>
              <w:jc w:val="center"/>
              <w:rPr>
                <w:rFonts w:ascii="Arial" w:hAnsi="Arial" w:cs="Arial" w:eastAsia="Arial" w:hint="default"/>
                <w:sz w:val="18"/>
                <w:szCs w:val="18"/>
              </w:rPr>
            </w:pPr>
            <w:r>
              <w:rPr>
                <w:rFonts w:ascii="Arial"/>
                <w:w w:val="100"/>
                <w:sz w:val="18"/>
              </w:rPr>
              <w:t>/</w:t>
            </w:r>
          </w:p>
        </w:tc>
      </w:tr>
    </w:tbl>
    <w:p>
      <w:pPr>
        <w:spacing w:line="240" w:lineRule="auto" w:before="1"/>
        <w:rPr>
          <w:rFonts w:ascii="宋体" w:hAnsi="宋体" w:cs="宋体" w:eastAsia="宋体" w:hint="default"/>
          <w:sz w:val="13"/>
          <w:szCs w:val="13"/>
        </w:rPr>
      </w:pPr>
    </w:p>
    <w:p>
      <w:pPr>
        <w:pStyle w:val="BodyText"/>
        <w:spacing w:line="240" w:lineRule="auto" w:before="35"/>
        <w:ind w:left="1745" w:right="3605"/>
        <w:jc w:val="left"/>
      </w:pPr>
      <w:r>
        <w:rPr/>
        <w:t>董事、监事、高级管理人员最近</w:t>
      </w:r>
      <w:r>
        <w:rPr>
          <w:spacing w:val="-53"/>
        </w:rPr>
        <w:t> </w:t>
      </w:r>
      <w:r>
        <w:rPr/>
        <w:t>5</w:t>
      </w:r>
      <w:r>
        <w:rPr>
          <w:spacing w:val="-53"/>
        </w:rPr>
        <w:t> </w:t>
      </w:r>
      <w:r>
        <w:rPr/>
        <w:t>年的主要工作经历：</w:t>
      </w:r>
    </w:p>
    <w:p>
      <w:pPr>
        <w:pStyle w:val="Heading2"/>
        <w:spacing w:line="240" w:lineRule="auto" w:before="73"/>
        <w:ind w:left="1745" w:right="3605"/>
        <w:jc w:val="left"/>
      </w:pPr>
      <w:r>
        <w:rPr/>
        <w:t>董事：</w:t>
      </w:r>
    </w:p>
    <w:p>
      <w:pPr>
        <w:spacing w:line="240" w:lineRule="auto" w:before="5"/>
        <w:rPr>
          <w:rFonts w:ascii="黑体" w:hAnsi="黑体" w:cs="黑体" w:eastAsia="黑体" w:hint="default"/>
          <w:sz w:val="18"/>
          <w:szCs w:val="18"/>
        </w:rPr>
      </w:pPr>
    </w:p>
    <w:p>
      <w:pPr>
        <w:pStyle w:val="BodyText"/>
        <w:spacing w:line="331" w:lineRule="auto"/>
        <w:ind w:left="1204" w:right="590" w:firstLine="540"/>
        <w:jc w:val="both"/>
      </w:pPr>
      <w:r>
        <w:rPr>
          <w:rFonts w:ascii="Arial" w:hAnsi="Arial" w:cs="Arial" w:eastAsia="Arial" w:hint="default"/>
        </w:rPr>
        <w:t>(1)</w:t>
      </w:r>
      <w:r>
        <w:rPr>
          <w:rFonts w:ascii="Arial" w:hAnsi="Arial" w:cs="Arial" w:eastAsia="Arial" w:hint="default"/>
          <w:spacing w:val="25"/>
        </w:rPr>
        <w:t> </w:t>
      </w:r>
      <w:r>
        <w:rPr/>
        <w:t>杜宣</w:t>
      </w:r>
      <w:r>
        <w:rPr>
          <w:rFonts w:ascii="Arial" w:hAnsi="Arial" w:cs="Arial" w:eastAsia="Arial" w:hint="default"/>
        </w:rPr>
        <w:t>,</w:t>
      </w:r>
      <w:r>
        <w:rPr/>
        <w:t>现年</w:t>
      </w:r>
      <w:r>
        <w:rPr>
          <w:spacing w:val="-64"/>
        </w:rPr>
        <w:t> </w:t>
      </w:r>
      <w:r>
        <w:rPr>
          <w:rFonts w:ascii="Arial" w:hAnsi="Arial" w:cs="Arial" w:eastAsia="Arial" w:hint="default"/>
        </w:rPr>
        <w:t>44</w:t>
      </w:r>
      <w:r>
        <w:rPr>
          <w:rFonts w:ascii="Arial" w:hAnsi="Arial" w:cs="Arial" w:eastAsia="Arial" w:hint="default"/>
          <w:spacing w:val="-17"/>
        </w:rPr>
        <w:t> </w:t>
      </w:r>
      <w:r>
        <w:rPr/>
        <w:t>岁，学士学位，成都电子科技大学计算机专业毕业，现任公司董事长。杜宣先 生</w:t>
      </w:r>
      <w:r>
        <w:rPr>
          <w:spacing w:val="-53"/>
        </w:rPr>
        <w:t> </w:t>
      </w:r>
      <w:r>
        <w:rPr>
          <w:rFonts w:ascii="Arial" w:hAnsi="Arial" w:cs="Arial" w:eastAsia="Arial" w:hint="default"/>
        </w:rPr>
        <w:t>1984</w:t>
      </w:r>
      <w:r>
        <w:rPr>
          <w:rFonts w:ascii="Arial" w:hAnsi="Arial" w:cs="Arial" w:eastAsia="Arial" w:hint="default"/>
          <w:spacing w:val="-6"/>
        </w:rPr>
        <w:t> </w:t>
      </w:r>
      <w:r>
        <w:rPr/>
        <w:t>年至</w:t>
      </w:r>
      <w:r>
        <w:rPr>
          <w:spacing w:val="-52"/>
        </w:rPr>
        <w:t> </w:t>
      </w:r>
      <w:r>
        <w:rPr>
          <w:rFonts w:ascii="Arial" w:hAnsi="Arial" w:cs="Arial" w:eastAsia="Arial" w:hint="default"/>
        </w:rPr>
        <w:t>1989</w:t>
      </w:r>
      <w:r>
        <w:rPr>
          <w:rFonts w:ascii="Arial" w:hAnsi="Arial" w:cs="Arial" w:eastAsia="Arial" w:hint="default"/>
          <w:spacing w:val="-6"/>
        </w:rPr>
        <w:t> </w:t>
      </w:r>
      <w:r>
        <w:rPr/>
        <w:t>年在成都电子科技大学任教并从事</w:t>
      </w:r>
      <w:r>
        <w:rPr>
          <w:spacing w:val="-53"/>
        </w:rPr>
        <w:t> </w:t>
      </w:r>
      <w:r>
        <w:rPr>
          <w:rFonts w:ascii="Arial" w:hAnsi="Arial" w:cs="Arial" w:eastAsia="Arial" w:hint="default"/>
        </w:rPr>
        <w:t>MIS</w:t>
      </w:r>
      <w:r>
        <w:rPr>
          <w:rFonts w:ascii="Arial" w:hAnsi="Arial" w:cs="Arial" w:eastAsia="Arial" w:hint="default"/>
          <w:spacing w:val="-6"/>
        </w:rPr>
        <w:t> </w:t>
      </w:r>
      <w:r>
        <w:rPr/>
        <w:t>的开发；</w:t>
      </w:r>
      <w:r>
        <w:rPr>
          <w:rFonts w:ascii="Arial" w:hAnsi="Arial" w:cs="Arial" w:eastAsia="Arial" w:hint="default"/>
        </w:rPr>
        <w:t>1989</w:t>
      </w:r>
      <w:r>
        <w:rPr>
          <w:rFonts w:ascii="Arial" w:hAnsi="Arial" w:cs="Arial" w:eastAsia="Arial" w:hint="default"/>
          <w:spacing w:val="-6"/>
        </w:rPr>
        <w:t> </w:t>
      </w:r>
      <w:r>
        <w:rPr/>
        <w:t>年至</w:t>
      </w:r>
      <w:r>
        <w:rPr>
          <w:spacing w:val="-53"/>
        </w:rPr>
        <w:t> </w:t>
      </w:r>
      <w:r>
        <w:rPr>
          <w:rFonts w:ascii="Arial" w:hAnsi="Arial" w:cs="Arial" w:eastAsia="Arial" w:hint="default"/>
        </w:rPr>
        <w:t>1993</w:t>
      </w:r>
      <w:r>
        <w:rPr>
          <w:rFonts w:ascii="Arial" w:hAnsi="Arial" w:cs="Arial" w:eastAsia="Arial" w:hint="default"/>
          <w:spacing w:val="-5"/>
        </w:rPr>
        <w:t> </w:t>
      </w:r>
      <w:r>
        <w:rPr/>
        <w:t>年任职于蛇口新 欣软件产业有限公司，任开发二部经理；</w:t>
      </w:r>
      <w:r>
        <w:rPr>
          <w:rFonts w:ascii="Arial" w:hAnsi="Arial" w:cs="Arial" w:eastAsia="Arial" w:hint="default"/>
        </w:rPr>
        <w:t>1993</w:t>
      </w:r>
      <w:r>
        <w:rPr>
          <w:rFonts w:ascii="Arial" w:hAnsi="Arial" w:cs="Arial" w:eastAsia="Arial" w:hint="default"/>
          <w:spacing w:val="-20"/>
        </w:rPr>
        <w:t> </w:t>
      </w:r>
      <w:r>
        <w:rPr/>
        <w:t>年至</w:t>
      </w:r>
      <w:r>
        <w:rPr>
          <w:spacing w:val="-68"/>
        </w:rPr>
        <w:t> </w:t>
      </w:r>
      <w:r>
        <w:rPr>
          <w:rFonts w:ascii="Arial" w:hAnsi="Arial" w:cs="Arial" w:eastAsia="Arial" w:hint="default"/>
        </w:rPr>
        <w:t>1998</w:t>
      </w:r>
      <w:r>
        <w:rPr>
          <w:rFonts w:ascii="Arial" w:hAnsi="Arial" w:cs="Arial" w:eastAsia="Arial" w:hint="default"/>
          <w:spacing w:val="-21"/>
        </w:rPr>
        <w:t> </w:t>
      </w:r>
      <w:r>
        <w:rPr/>
        <w:t>年任职于深圳市新华威科技有限公司，任总 </w:t>
      </w:r>
      <w:r>
        <w:rPr>
          <w:spacing w:val="-6"/>
        </w:rPr>
        <w:t>经理；</w:t>
      </w:r>
      <w:r>
        <w:rPr>
          <w:rFonts w:ascii="Arial" w:hAnsi="Arial" w:cs="Arial" w:eastAsia="Arial" w:hint="default"/>
          <w:spacing w:val="-6"/>
        </w:rPr>
        <w:t>1998</w:t>
      </w:r>
      <w:r>
        <w:rPr>
          <w:rFonts w:ascii="Arial" w:hAnsi="Arial" w:cs="Arial" w:eastAsia="Arial" w:hint="default"/>
          <w:spacing w:val="-3"/>
        </w:rPr>
        <w:t> </w:t>
      </w:r>
      <w:r>
        <w:rPr>
          <w:spacing w:val="-3"/>
        </w:rPr>
        <w:t>年创建本公司，任公司第一届董事会董事长职务至今。杜宣先生于</w:t>
      </w:r>
      <w:r>
        <w:rPr>
          <w:spacing w:val="-51"/>
        </w:rPr>
        <w:t> </w:t>
      </w:r>
      <w:r>
        <w:rPr>
          <w:rFonts w:ascii="Arial" w:hAnsi="Arial" w:cs="Arial" w:eastAsia="Arial" w:hint="default"/>
        </w:rPr>
        <w:t>2000</w:t>
      </w:r>
      <w:r>
        <w:rPr>
          <w:rFonts w:ascii="Arial" w:hAnsi="Arial" w:cs="Arial" w:eastAsia="Arial" w:hint="default"/>
          <w:spacing w:val="-4"/>
        </w:rPr>
        <w:t> </w:t>
      </w:r>
      <w:r>
        <w:rPr/>
        <w:t>年荣获深圳市</w:t>
      </w:r>
      <w:r>
        <w:rPr>
          <w:rFonts w:ascii="Arial" w:hAnsi="Arial" w:cs="Arial" w:eastAsia="Arial" w:hint="default"/>
        </w:rPr>
        <w:t>“</w:t>
      </w:r>
      <w:r>
        <w:rPr/>
        <w:t>彭 年科技奖</w:t>
      </w:r>
      <w:r>
        <w:rPr>
          <w:rFonts w:ascii="Arial" w:hAnsi="Arial" w:cs="Arial" w:eastAsia="Arial" w:hint="default"/>
        </w:rPr>
        <w:t>”</w:t>
      </w:r>
      <w:r>
        <w:rPr/>
        <w:t>，</w:t>
      </w:r>
      <w:r>
        <w:rPr>
          <w:rFonts w:ascii="Arial" w:hAnsi="Arial" w:cs="Arial" w:eastAsia="Arial" w:hint="default"/>
        </w:rPr>
        <w:t>2001 </w:t>
      </w:r>
      <w:r>
        <w:rPr/>
        <w:t>年被评为深圳市十大杰出青年，</w:t>
      </w:r>
      <w:r>
        <w:rPr>
          <w:rFonts w:ascii="Arial" w:hAnsi="Arial" w:cs="Arial" w:eastAsia="Arial" w:hint="default"/>
        </w:rPr>
        <w:t>2003</w:t>
      </w:r>
      <w:r>
        <w:rPr>
          <w:rFonts w:ascii="Arial" w:hAnsi="Arial" w:cs="Arial" w:eastAsia="Arial" w:hint="default"/>
          <w:spacing w:val="-18"/>
        </w:rPr>
        <w:t> </w:t>
      </w:r>
      <w:r>
        <w:rPr/>
        <w:t>年当选深圳市福田区人大代表。</w:t>
      </w:r>
    </w:p>
    <w:p>
      <w:pPr>
        <w:pStyle w:val="BodyText"/>
        <w:spacing w:line="240" w:lineRule="auto" w:before="141"/>
        <w:ind w:left="1745" w:right="0"/>
        <w:jc w:val="left"/>
      </w:pPr>
      <w:r>
        <w:rPr>
          <w:rFonts w:ascii="Arial" w:hAnsi="Arial" w:cs="Arial" w:eastAsia="Arial" w:hint="default"/>
        </w:rPr>
        <w:t>(2)</w:t>
      </w:r>
      <w:r>
        <w:rPr>
          <w:rFonts w:ascii="Arial" w:hAnsi="Arial" w:cs="Arial" w:eastAsia="Arial" w:hint="default"/>
          <w:spacing w:val="24"/>
        </w:rPr>
        <w:t> </w:t>
      </w:r>
      <w:r>
        <w:rPr/>
        <w:t>赵剑</w:t>
      </w:r>
      <w:r>
        <w:rPr>
          <w:rFonts w:ascii="Arial" w:hAnsi="Arial" w:cs="Arial" w:eastAsia="Arial" w:hint="default"/>
        </w:rPr>
        <w:t>,</w:t>
      </w:r>
      <w:r>
        <w:rPr/>
        <w:t>现年</w:t>
      </w:r>
      <w:r>
        <w:rPr>
          <w:spacing w:val="-64"/>
        </w:rPr>
        <w:t> </w:t>
      </w:r>
      <w:r>
        <w:rPr>
          <w:rFonts w:ascii="Arial" w:hAnsi="Arial" w:cs="Arial" w:eastAsia="Arial" w:hint="default"/>
        </w:rPr>
        <w:t>40</w:t>
      </w:r>
      <w:r>
        <w:rPr>
          <w:rFonts w:ascii="Arial" w:hAnsi="Arial" w:cs="Arial" w:eastAsia="Arial" w:hint="default"/>
          <w:spacing w:val="-17"/>
        </w:rPr>
        <w:t> </w:t>
      </w:r>
      <w:r>
        <w:rPr/>
        <w:t>岁，硕士学位，西安交通大学应用经济学专业毕业，现任公司董事、总裁。赵</w:t>
      </w:r>
    </w:p>
    <w:p>
      <w:pPr>
        <w:pStyle w:val="BodyText"/>
        <w:spacing w:line="331" w:lineRule="auto" w:before="110"/>
        <w:ind w:left="1205" w:right="590"/>
        <w:jc w:val="both"/>
      </w:pPr>
      <w:r>
        <w:rPr/>
        <w:t>剑先生</w:t>
      </w:r>
      <w:r>
        <w:rPr>
          <w:spacing w:val="-44"/>
        </w:rPr>
        <w:t> </w:t>
      </w:r>
      <w:r>
        <w:rPr>
          <w:rFonts w:ascii="Arial" w:hAnsi="Arial" w:cs="Arial" w:eastAsia="Arial" w:hint="default"/>
        </w:rPr>
        <w:t>1989</w:t>
      </w:r>
      <w:r>
        <w:rPr>
          <w:rFonts w:ascii="Arial" w:hAnsi="Arial" w:cs="Arial" w:eastAsia="Arial" w:hint="default"/>
          <w:spacing w:val="4"/>
        </w:rPr>
        <w:t> </w:t>
      </w:r>
      <w:r>
        <w:rPr/>
        <w:t>年至</w:t>
      </w:r>
      <w:r>
        <w:rPr>
          <w:spacing w:val="-44"/>
        </w:rPr>
        <w:t> </w:t>
      </w:r>
      <w:r>
        <w:rPr>
          <w:rFonts w:ascii="Arial" w:hAnsi="Arial" w:cs="Arial" w:eastAsia="Arial" w:hint="default"/>
        </w:rPr>
        <w:t>1992</w:t>
      </w:r>
      <w:r>
        <w:rPr>
          <w:rFonts w:ascii="Arial" w:hAnsi="Arial" w:cs="Arial" w:eastAsia="Arial" w:hint="default"/>
          <w:spacing w:val="3"/>
        </w:rPr>
        <w:t> </w:t>
      </w:r>
      <w:r>
        <w:rPr/>
        <w:t>年任职于蛇口新欣软件产业有限公司；</w:t>
      </w:r>
      <w:r>
        <w:rPr>
          <w:rFonts w:ascii="Arial" w:hAnsi="Arial" w:cs="Arial" w:eastAsia="Arial" w:hint="default"/>
        </w:rPr>
        <w:t>1992</w:t>
      </w:r>
      <w:r>
        <w:rPr>
          <w:rFonts w:ascii="Arial" w:hAnsi="Arial" w:cs="Arial" w:eastAsia="Arial" w:hint="default"/>
          <w:spacing w:val="3"/>
        </w:rPr>
        <w:t> </w:t>
      </w:r>
      <w:r>
        <w:rPr/>
        <w:t>年至</w:t>
      </w:r>
      <w:r>
        <w:rPr>
          <w:spacing w:val="-43"/>
        </w:rPr>
        <w:t> </w:t>
      </w:r>
      <w:r>
        <w:rPr>
          <w:rFonts w:ascii="Arial" w:hAnsi="Arial" w:cs="Arial" w:eastAsia="Arial" w:hint="default"/>
        </w:rPr>
        <w:t>1998</w:t>
      </w:r>
      <w:r>
        <w:rPr>
          <w:rFonts w:ascii="Arial" w:hAnsi="Arial" w:cs="Arial" w:eastAsia="Arial" w:hint="default"/>
          <w:spacing w:val="3"/>
        </w:rPr>
        <w:t> </w:t>
      </w:r>
      <w:r>
        <w:rPr/>
        <w:t>年任职于深圳市捷意 </w:t>
      </w:r>
      <w:r>
        <w:rPr>
          <w:spacing w:val="-4"/>
        </w:rPr>
        <w:t>电脑有限公司，任总经理；</w:t>
      </w:r>
      <w:r>
        <w:rPr>
          <w:rFonts w:ascii="Arial" w:hAnsi="Arial" w:cs="Arial" w:eastAsia="Arial" w:hint="default"/>
          <w:spacing w:val="-4"/>
        </w:rPr>
        <w:t>1998</w:t>
      </w:r>
      <w:r>
        <w:rPr>
          <w:rFonts w:ascii="Arial" w:hAnsi="Arial" w:cs="Arial" w:eastAsia="Arial" w:hint="default"/>
          <w:spacing w:val="-41"/>
        </w:rPr>
        <w:t> </w:t>
      </w:r>
      <w:r>
        <w:rPr/>
        <w:t>年创建本公司，出任公司第一届董事会董事至今。赵剑先生主持开发 </w:t>
      </w:r>
      <w:r>
        <w:rPr>
          <w:spacing w:val="-3"/>
        </w:rPr>
        <w:t>的公司三项产品通过了深圳市科技局的科技成果鉴定，其中</w:t>
      </w:r>
      <w:r>
        <w:rPr>
          <w:rFonts w:ascii="Arial" w:hAnsi="Arial" w:cs="Arial" w:eastAsia="Arial" w:hint="default"/>
          <w:spacing w:val="-3"/>
        </w:rPr>
        <w:t>“</w:t>
      </w:r>
      <w:r>
        <w:rPr>
          <w:spacing w:val="-3"/>
        </w:rPr>
        <w:t>金证证券柜台交易系统</w:t>
      </w:r>
      <w:r>
        <w:rPr>
          <w:rFonts w:ascii="Arial" w:hAnsi="Arial" w:cs="Arial" w:eastAsia="Arial" w:hint="default"/>
          <w:spacing w:val="-3"/>
        </w:rPr>
        <w:t>”</w:t>
      </w:r>
      <w:r>
        <w:rPr>
          <w:spacing w:val="-3"/>
        </w:rPr>
        <w:t>获</w:t>
      </w:r>
      <w:r>
        <w:rPr>
          <w:spacing w:val="-39"/>
        </w:rPr>
        <w:t> </w:t>
      </w:r>
      <w:r>
        <w:rPr>
          <w:rFonts w:ascii="Arial" w:hAnsi="Arial" w:cs="Arial" w:eastAsia="Arial" w:hint="default"/>
        </w:rPr>
        <w:t>2000</w:t>
      </w:r>
      <w:r>
        <w:rPr>
          <w:rFonts w:ascii="Arial" w:hAnsi="Arial" w:cs="Arial" w:eastAsia="Arial" w:hint="default"/>
          <w:spacing w:val="8"/>
        </w:rPr>
        <w:t> </w:t>
      </w:r>
      <w:r>
        <w:rPr/>
        <w:t>年深圳市</w:t>
      </w:r>
      <w:r>
        <w:rPr>
          <w:spacing w:val="-103"/>
        </w:rPr>
        <w:t> </w:t>
      </w:r>
      <w:r>
        <w:rPr>
          <w:spacing w:val="-103"/>
        </w:rPr>
      </w:r>
      <w:r>
        <w:rPr/>
        <w:t>科技进步一等奖。</w:t>
      </w:r>
    </w:p>
    <w:p>
      <w:pPr>
        <w:pStyle w:val="BodyText"/>
        <w:spacing w:line="240" w:lineRule="auto" w:before="165"/>
        <w:ind w:left="1744" w:right="0"/>
        <w:jc w:val="left"/>
      </w:pPr>
      <w:r>
        <w:rPr>
          <w:rFonts w:ascii="Arial" w:hAnsi="Arial" w:cs="Arial" w:eastAsia="Arial" w:hint="default"/>
        </w:rPr>
        <w:t>(3)</w:t>
      </w:r>
      <w:r>
        <w:rPr/>
        <w:t>李结义</w:t>
      </w:r>
      <w:r>
        <w:rPr>
          <w:rFonts w:ascii="Arial" w:hAnsi="Arial" w:cs="Arial" w:eastAsia="Arial" w:hint="default"/>
        </w:rPr>
        <w:t>,</w:t>
      </w:r>
      <w:r>
        <w:rPr/>
        <w:t>现年</w:t>
      </w:r>
      <w:r>
        <w:rPr>
          <w:spacing w:val="-75"/>
        </w:rPr>
        <w:t> </w:t>
      </w:r>
      <w:r>
        <w:rPr>
          <w:rFonts w:ascii="Arial" w:hAnsi="Arial" w:cs="Arial" w:eastAsia="Arial" w:hint="default"/>
        </w:rPr>
        <w:t>42</w:t>
      </w:r>
      <w:r>
        <w:rPr>
          <w:rFonts w:ascii="Arial" w:hAnsi="Arial" w:cs="Arial" w:eastAsia="Arial" w:hint="default"/>
          <w:spacing w:val="-29"/>
        </w:rPr>
        <w:t> </w:t>
      </w:r>
      <w:r>
        <w:rPr/>
        <w:t>岁，硕士学位，成都电子科技大学计算机专业毕业，现任公司董事、副总裁。</w:t>
      </w:r>
    </w:p>
    <w:p>
      <w:pPr>
        <w:pStyle w:val="BodyText"/>
        <w:spacing w:line="331" w:lineRule="auto" w:before="111"/>
        <w:ind w:left="1204" w:right="590"/>
        <w:jc w:val="both"/>
      </w:pPr>
      <w:r>
        <w:rPr/>
        <w:t>李结义先生 </w:t>
      </w:r>
      <w:r>
        <w:rPr>
          <w:rFonts w:ascii="Arial" w:hAnsi="Arial" w:cs="Arial" w:eastAsia="Arial" w:hint="default"/>
        </w:rPr>
        <w:t>1989 </w:t>
      </w:r>
      <w:r>
        <w:rPr/>
        <w:t>年至 </w:t>
      </w:r>
      <w:r>
        <w:rPr>
          <w:rFonts w:ascii="Arial" w:hAnsi="Arial" w:cs="Arial" w:eastAsia="Arial" w:hint="default"/>
        </w:rPr>
        <w:t>1993 </w:t>
      </w:r>
      <w:r>
        <w:rPr/>
        <w:t>年任职于蛇口新欣软件产业有限公司，任经营部主任；</w:t>
      </w:r>
      <w:r>
        <w:rPr>
          <w:rFonts w:ascii="Arial" w:hAnsi="Arial" w:cs="Arial" w:eastAsia="Arial" w:hint="default"/>
        </w:rPr>
        <w:t>1993 </w:t>
      </w:r>
      <w:r>
        <w:rPr/>
        <w:t>年至</w:t>
      </w:r>
      <w:r>
        <w:rPr>
          <w:spacing w:val="-61"/>
        </w:rPr>
        <w:t> </w:t>
      </w:r>
      <w:r>
        <w:rPr>
          <w:rFonts w:ascii="Arial" w:hAnsi="Arial" w:cs="Arial" w:eastAsia="Arial" w:hint="default"/>
        </w:rPr>
        <w:t>1998</w:t>
      </w:r>
      <w:r>
        <w:rPr>
          <w:rFonts w:ascii="Arial" w:hAnsi="Arial" w:cs="Arial" w:eastAsia="Arial" w:hint="default"/>
          <w:w w:val="99"/>
        </w:rPr>
        <w:t> </w:t>
      </w:r>
      <w:r>
        <w:rPr>
          <w:spacing w:val="-3"/>
        </w:rPr>
        <w:t>年任职于深圳市新华威科技有限公司，任副总经理；</w:t>
      </w:r>
      <w:r>
        <w:rPr>
          <w:rFonts w:ascii="Arial" w:hAnsi="Arial" w:cs="Arial" w:eastAsia="Arial" w:hint="default"/>
          <w:spacing w:val="-3"/>
        </w:rPr>
        <w:t>1998</w:t>
      </w:r>
      <w:r>
        <w:rPr>
          <w:rFonts w:ascii="Arial" w:hAnsi="Arial" w:cs="Arial" w:eastAsia="Arial" w:hint="default"/>
          <w:spacing w:val="-24"/>
        </w:rPr>
        <w:t> </w:t>
      </w:r>
      <w:r>
        <w:rPr/>
        <w:t>年创建本公司，出任公司第一届董事会董事 至今。</w:t>
      </w:r>
    </w:p>
    <w:p>
      <w:pPr>
        <w:pStyle w:val="BodyText"/>
        <w:spacing w:line="240" w:lineRule="auto" w:before="166"/>
        <w:ind w:left="1744" w:right="0"/>
        <w:jc w:val="left"/>
      </w:pPr>
      <w:r>
        <w:rPr>
          <w:rFonts w:ascii="Arial" w:hAnsi="Arial" w:cs="Arial" w:eastAsia="Arial" w:hint="default"/>
        </w:rPr>
        <w:t>(4)</w:t>
      </w:r>
      <w:r>
        <w:rPr/>
        <w:t>徐岷波</w:t>
      </w:r>
      <w:r>
        <w:rPr>
          <w:rFonts w:ascii="Arial" w:hAnsi="Arial" w:cs="Arial" w:eastAsia="Arial" w:hint="default"/>
        </w:rPr>
        <w:t>,</w:t>
      </w:r>
      <w:r>
        <w:rPr/>
        <w:t>现年 </w:t>
      </w:r>
      <w:r>
        <w:rPr>
          <w:rFonts w:ascii="Arial" w:hAnsi="Arial" w:cs="Arial" w:eastAsia="Arial" w:hint="default"/>
        </w:rPr>
        <w:t>41</w:t>
      </w:r>
      <w:r>
        <w:rPr>
          <w:rFonts w:ascii="Arial" w:hAnsi="Arial" w:cs="Arial" w:eastAsia="Arial" w:hint="default"/>
          <w:spacing w:val="3"/>
        </w:rPr>
        <w:t> </w:t>
      </w:r>
      <w:r>
        <w:rPr/>
        <w:t>岁，学士学位，清华大学工业自动化专业毕业，现任公司董事、副总裁。徐</w:t>
      </w:r>
    </w:p>
    <w:p>
      <w:pPr>
        <w:pStyle w:val="BodyText"/>
        <w:spacing w:line="331" w:lineRule="auto" w:before="110"/>
        <w:ind w:left="1204" w:right="591" w:hanging="1"/>
        <w:jc w:val="both"/>
      </w:pPr>
      <w:r>
        <w:rPr/>
        <w:t>岷波先生</w:t>
      </w:r>
      <w:r>
        <w:rPr>
          <w:spacing w:val="-44"/>
        </w:rPr>
        <w:t> </w:t>
      </w:r>
      <w:r>
        <w:rPr>
          <w:rFonts w:ascii="Arial" w:hAnsi="Arial" w:cs="Arial" w:eastAsia="Arial" w:hint="default"/>
        </w:rPr>
        <w:t>1990</w:t>
      </w:r>
      <w:r>
        <w:rPr>
          <w:rFonts w:ascii="Arial" w:hAnsi="Arial" w:cs="Arial" w:eastAsia="Arial" w:hint="default"/>
          <w:spacing w:val="3"/>
        </w:rPr>
        <w:t> </w:t>
      </w:r>
      <w:r>
        <w:rPr/>
        <w:t>年至</w:t>
      </w:r>
      <w:r>
        <w:rPr>
          <w:spacing w:val="-44"/>
        </w:rPr>
        <w:t> </w:t>
      </w:r>
      <w:r>
        <w:rPr>
          <w:rFonts w:ascii="Arial" w:hAnsi="Arial" w:cs="Arial" w:eastAsia="Arial" w:hint="default"/>
        </w:rPr>
        <w:t>1992</w:t>
      </w:r>
      <w:r>
        <w:rPr>
          <w:rFonts w:ascii="Arial" w:hAnsi="Arial" w:cs="Arial" w:eastAsia="Arial" w:hint="default"/>
          <w:spacing w:val="3"/>
        </w:rPr>
        <w:t> </w:t>
      </w:r>
      <w:r>
        <w:rPr/>
        <w:t>年任职于蛇口新欣软件产业有限公司；</w:t>
      </w:r>
      <w:r>
        <w:rPr>
          <w:rFonts w:ascii="Arial" w:hAnsi="Arial" w:cs="Arial" w:eastAsia="Arial" w:hint="default"/>
        </w:rPr>
        <w:t>1992</w:t>
      </w:r>
      <w:r>
        <w:rPr>
          <w:rFonts w:ascii="Arial" w:hAnsi="Arial" w:cs="Arial" w:eastAsia="Arial" w:hint="default"/>
          <w:spacing w:val="4"/>
        </w:rPr>
        <w:t> </w:t>
      </w:r>
      <w:r>
        <w:rPr/>
        <w:t>年至</w:t>
      </w:r>
      <w:r>
        <w:rPr>
          <w:spacing w:val="-44"/>
        </w:rPr>
        <w:t> </w:t>
      </w:r>
      <w:r>
        <w:rPr>
          <w:rFonts w:ascii="Arial" w:hAnsi="Arial" w:cs="Arial" w:eastAsia="Arial" w:hint="default"/>
        </w:rPr>
        <w:t>1998</w:t>
      </w:r>
      <w:r>
        <w:rPr>
          <w:rFonts w:ascii="Arial" w:hAnsi="Arial" w:cs="Arial" w:eastAsia="Arial" w:hint="default"/>
          <w:spacing w:val="3"/>
        </w:rPr>
        <w:t> </w:t>
      </w:r>
      <w:r>
        <w:rPr/>
        <w:t>年任职于深圳市捷 意电脑有限公司，任副总经理；</w:t>
      </w:r>
      <w:r>
        <w:rPr>
          <w:rFonts w:ascii="Arial" w:hAnsi="Arial" w:cs="Arial" w:eastAsia="Arial" w:hint="default"/>
        </w:rPr>
        <w:t>1998</w:t>
      </w:r>
      <w:r>
        <w:rPr>
          <w:rFonts w:ascii="Arial" w:hAnsi="Arial" w:cs="Arial" w:eastAsia="Arial" w:hint="default"/>
          <w:spacing w:val="-9"/>
        </w:rPr>
        <w:t> </w:t>
      </w:r>
      <w:r>
        <w:rPr/>
        <w:t>年创建本公司，出任公司第一届董事会董事至今。</w:t>
      </w:r>
    </w:p>
    <w:p>
      <w:pPr>
        <w:spacing w:after="0" w:line="331" w:lineRule="auto"/>
        <w:jc w:val="both"/>
        <w:sectPr>
          <w:pgSz w:w="12240" w:h="15840"/>
          <w:pgMar w:header="747" w:footer="727" w:top="1040" w:bottom="920" w:left="320" w:right="8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65" w:right="96"/>
        <w:jc w:val="left"/>
        <w:rPr>
          <w:rFonts w:ascii="Arial" w:hAnsi="Arial" w:cs="Arial" w:eastAsia="Arial" w:hint="default"/>
        </w:rPr>
      </w:pPr>
      <w:r>
        <w:rPr>
          <w:rFonts w:ascii="Arial" w:hAnsi="Arial" w:cs="Arial" w:eastAsia="Arial" w:hint="default"/>
        </w:rPr>
        <w:t>(5)</w:t>
      </w:r>
      <w:r>
        <w:rPr/>
        <w:t>王开因</w:t>
      </w:r>
      <w:r>
        <w:rPr>
          <w:rFonts w:ascii="Arial" w:hAnsi="Arial" w:cs="Arial" w:eastAsia="Arial" w:hint="default"/>
        </w:rPr>
        <w:t>,</w:t>
      </w:r>
      <w:r>
        <w:rPr/>
        <w:t>现年 </w:t>
      </w:r>
      <w:r>
        <w:rPr>
          <w:rFonts w:ascii="Arial" w:hAnsi="Arial" w:cs="Arial" w:eastAsia="Arial" w:hint="default"/>
        </w:rPr>
        <w:t>42 </w:t>
      </w:r>
      <w:r>
        <w:rPr/>
        <w:t>岁，学士学位，内蒙古大学计算数学与应用软件专业毕业。王开因先生</w:t>
      </w:r>
      <w:r>
        <w:rPr>
          <w:spacing w:val="-33"/>
        </w:rPr>
        <w:t> </w:t>
      </w:r>
      <w:r>
        <w:rPr>
          <w:rFonts w:ascii="Arial" w:hAnsi="Arial" w:cs="Arial" w:eastAsia="Arial" w:hint="default"/>
        </w:rPr>
        <w:t>1993</w:t>
      </w:r>
    </w:p>
    <w:p>
      <w:pPr>
        <w:pStyle w:val="BodyText"/>
        <w:spacing w:line="331" w:lineRule="auto" w:before="110"/>
        <w:ind w:right="211" w:hanging="1"/>
        <w:jc w:val="both"/>
      </w:pPr>
      <w:r>
        <w:rPr/>
        <w:t>年至</w:t>
      </w:r>
      <w:r>
        <w:rPr>
          <w:spacing w:val="-51"/>
        </w:rPr>
        <w:t> </w:t>
      </w:r>
      <w:r>
        <w:rPr>
          <w:rFonts w:ascii="Arial" w:hAnsi="Arial" w:cs="Arial" w:eastAsia="Arial" w:hint="default"/>
        </w:rPr>
        <w:t>1996</w:t>
      </w:r>
      <w:r>
        <w:rPr>
          <w:rFonts w:ascii="Arial" w:hAnsi="Arial" w:cs="Arial" w:eastAsia="Arial" w:hint="default"/>
          <w:spacing w:val="-5"/>
        </w:rPr>
        <w:t> </w:t>
      </w:r>
      <w:r>
        <w:rPr/>
        <w:t>年任职于深圳市新华威科技有限公司，</w:t>
      </w:r>
      <w:r>
        <w:rPr>
          <w:rFonts w:ascii="Arial" w:hAnsi="Arial" w:cs="Arial" w:eastAsia="Arial" w:hint="default"/>
        </w:rPr>
        <w:t>1996</w:t>
      </w:r>
      <w:r>
        <w:rPr>
          <w:rFonts w:ascii="Arial" w:hAnsi="Arial" w:cs="Arial" w:eastAsia="Arial" w:hint="default"/>
          <w:spacing w:val="-5"/>
        </w:rPr>
        <w:t> </w:t>
      </w:r>
      <w:r>
        <w:rPr/>
        <w:t>年至</w:t>
      </w:r>
      <w:r>
        <w:rPr>
          <w:spacing w:val="-51"/>
        </w:rPr>
        <w:t> </w:t>
      </w:r>
      <w:r>
        <w:rPr>
          <w:rFonts w:ascii="Arial" w:hAnsi="Arial" w:cs="Arial" w:eastAsia="Arial" w:hint="default"/>
        </w:rPr>
        <w:t>1998</w:t>
      </w:r>
      <w:r>
        <w:rPr>
          <w:rFonts w:ascii="Arial" w:hAnsi="Arial" w:cs="Arial" w:eastAsia="Arial" w:hint="default"/>
          <w:spacing w:val="-5"/>
        </w:rPr>
        <w:t> </w:t>
      </w:r>
      <w:r>
        <w:rPr/>
        <w:t>年任职于深圳市泰能电子科技有限 公司；</w:t>
      </w:r>
      <w:r>
        <w:rPr>
          <w:rFonts w:ascii="Arial" w:hAnsi="Arial" w:cs="Arial" w:eastAsia="Arial" w:hint="default"/>
        </w:rPr>
        <w:t>1998</w:t>
      </w:r>
      <w:r>
        <w:rPr>
          <w:rFonts w:ascii="Arial" w:hAnsi="Arial" w:cs="Arial" w:eastAsia="Arial" w:hint="default"/>
          <w:spacing w:val="-7"/>
        </w:rPr>
        <w:t> </w:t>
      </w:r>
      <w:r>
        <w:rPr/>
        <w:t>年开始任职于本公司，现任公司总裁助理；</w:t>
      </w:r>
      <w:r>
        <w:rPr>
          <w:rFonts w:ascii="Arial" w:hAnsi="Arial" w:cs="Arial" w:eastAsia="Arial" w:hint="default"/>
        </w:rPr>
        <w:t>2001</w:t>
      </w:r>
      <w:r>
        <w:rPr>
          <w:rFonts w:ascii="Arial" w:hAnsi="Arial" w:cs="Arial" w:eastAsia="Arial" w:hint="default"/>
          <w:spacing w:val="-8"/>
        </w:rPr>
        <w:t> </w:t>
      </w:r>
      <w:r>
        <w:rPr/>
        <w:t>年</w:t>
      </w:r>
      <w:r>
        <w:rPr>
          <w:spacing w:val="-55"/>
        </w:rPr>
        <w:t> </w:t>
      </w:r>
      <w:r>
        <w:rPr>
          <w:rFonts w:ascii="Arial" w:hAnsi="Arial" w:cs="Arial" w:eastAsia="Arial" w:hint="default"/>
        </w:rPr>
        <w:t>8</w:t>
      </w:r>
      <w:r>
        <w:rPr>
          <w:rFonts w:ascii="Arial" w:hAnsi="Arial" w:cs="Arial" w:eastAsia="Arial" w:hint="default"/>
          <w:spacing w:val="-8"/>
        </w:rPr>
        <w:t> </w:t>
      </w:r>
      <w:r>
        <w:rPr/>
        <w:t>月被选为公司第一届董事会董事至 今。</w:t>
      </w:r>
    </w:p>
    <w:p>
      <w:pPr>
        <w:pStyle w:val="Heading2"/>
        <w:spacing w:line="240" w:lineRule="auto"/>
        <w:ind w:right="96"/>
        <w:jc w:val="left"/>
      </w:pPr>
      <w:r>
        <w:rPr/>
        <w:t>独立董事：</w:t>
      </w:r>
    </w:p>
    <w:p>
      <w:pPr>
        <w:spacing w:line="240" w:lineRule="auto" w:before="6"/>
        <w:rPr>
          <w:rFonts w:ascii="黑体" w:hAnsi="黑体" w:cs="黑体" w:eastAsia="黑体" w:hint="default"/>
          <w:sz w:val="18"/>
          <w:szCs w:val="18"/>
        </w:rPr>
      </w:pPr>
    </w:p>
    <w:p>
      <w:pPr>
        <w:pStyle w:val="BodyText"/>
        <w:spacing w:line="331" w:lineRule="auto"/>
        <w:ind w:right="96" w:firstLine="419"/>
        <w:jc w:val="left"/>
      </w:pPr>
      <w:r>
        <w:rPr>
          <w:rFonts w:ascii="Arial" w:hAnsi="Arial" w:cs="Arial" w:eastAsia="Arial" w:hint="default"/>
        </w:rPr>
        <w:t>(6)</w:t>
      </w:r>
      <w:r>
        <w:rPr/>
        <w:t>孙建文，现年 </w:t>
      </w:r>
      <w:r>
        <w:rPr>
          <w:rFonts w:ascii="Arial" w:hAnsi="Arial" w:cs="Arial" w:eastAsia="Arial" w:hint="default"/>
        </w:rPr>
        <w:t>46 </w:t>
      </w:r>
      <w:r>
        <w:rPr/>
        <w:t>岁，学士学位，孙建文先生 </w:t>
      </w:r>
      <w:r>
        <w:rPr>
          <w:rFonts w:ascii="Arial" w:hAnsi="Arial" w:cs="Arial" w:eastAsia="Arial" w:hint="default"/>
        </w:rPr>
        <w:t>1997 </w:t>
      </w:r>
      <w:r>
        <w:rPr/>
        <w:t>年至 </w:t>
      </w:r>
      <w:r>
        <w:rPr>
          <w:rFonts w:ascii="Arial" w:hAnsi="Arial" w:cs="Arial" w:eastAsia="Arial" w:hint="default"/>
        </w:rPr>
        <w:t>2001</w:t>
      </w:r>
      <w:r>
        <w:rPr>
          <w:rFonts w:ascii="Arial" w:hAnsi="Arial" w:cs="Arial" w:eastAsia="Arial" w:hint="default"/>
          <w:spacing w:val="-31"/>
        </w:rPr>
        <w:t> </w:t>
      </w:r>
      <w:r>
        <w:rPr/>
        <w:t>年任职于联合证券有限责任公 司，任行政事务部总经理、信息部总经理；</w:t>
      </w:r>
      <w:r>
        <w:rPr>
          <w:rFonts w:ascii="Arial" w:hAnsi="Arial" w:cs="Arial" w:eastAsia="Arial" w:hint="default"/>
        </w:rPr>
        <w:t>2001</w:t>
      </w:r>
      <w:r>
        <w:rPr>
          <w:rFonts w:ascii="Arial" w:hAnsi="Arial" w:cs="Arial" w:eastAsia="Arial" w:hint="default"/>
          <w:spacing w:val="-10"/>
        </w:rPr>
        <w:t> </w:t>
      </w:r>
      <w:r>
        <w:rPr/>
        <w:t>年</w:t>
      </w:r>
      <w:r>
        <w:rPr>
          <w:spacing w:val="-57"/>
        </w:rPr>
        <w:t> </w:t>
      </w:r>
      <w:r>
        <w:rPr>
          <w:rFonts w:ascii="Arial" w:hAnsi="Arial" w:cs="Arial" w:eastAsia="Arial" w:hint="default"/>
        </w:rPr>
        <w:t>5</w:t>
      </w:r>
      <w:r>
        <w:rPr>
          <w:rFonts w:ascii="Arial" w:hAnsi="Arial" w:cs="Arial" w:eastAsia="Arial" w:hint="default"/>
          <w:spacing w:val="-10"/>
        </w:rPr>
        <w:t> </w:t>
      </w:r>
      <w:r>
        <w:rPr/>
        <w:t>月至今任职于北京金辉世纪投资管理有限公司， 任执行董事，现任公司第三届董事会独立董事。</w:t>
      </w:r>
    </w:p>
    <w:p>
      <w:pPr>
        <w:pStyle w:val="BodyText"/>
        <w:spacing w:line="331" w:lineRule="auto" w:before="166"/>
        <w:ind w:right="209" w:firstLine="419"/>
        <w:jc w:val="both"/>
      </w:pPr>
      <w:r>
        <w:rPr>
          <w:rFonts w:ascii="Arial" w:hAnsi="Arial" w:cs="Arial" w:eastAsia="Arial" w:hint="default"/>
        </w:rPr>
        <w:t>(7)</w:t>
      </w:r>
      <w:r>
        <w:rPr/>
        <w:t>齐玉武</w:t>
      </w:r>
      <w:r>
        <w:rPr>
          <w:rFonts w:ascii="Arial" w:hAnsi="Arial" w:cs="Arial" w:eastAsia="Arial" w:hint="default"/>
        </w:rPr>
        <w:t>,</w:t>
      </w:r>
      <w:r>
        <w:rPr/>
        <w:t>现年</w:t>
      </w:r>
      <w:r>
        <w:rPr>
          <w:spacing w:val="-39"/>
        </w:rPr>
        <w:t> </w:t>
      </w:r>
      <w:r>
        <w:rPr>
          <w:rFonts w:ascii="Arial" w:hAnsi="Arial" w:cs="Arial" w:eastAsia="Arial" w:hint="default"/>
        </w:rPr>
        <w:t>38</w:t>
      </w:r>
      <w:r>
        <w:rPr>
          <w:rFonts w:ascii="Arial" w:hAnsi="Arial" w:cs="Arial" w:eastAsia="Arial" w:hint="default"/>
          <w:spacing w:val="7"/>
        </w:rPr>
        <w:t> </w:t>
      </w:r>
      <w:r>
        <w:rPr/>
        <w:t>岁，毕业于北京大学经济学院，经济学硕士，齐玉武先生</w:t>
      </w:r>
      <w:r>
        <w:rPr>
          <w:spacing w:val="-39"/>
        </w:rPr>
        <w:t> </w:t>
      </w:r>
      <w:r>
        <w:rPr>
          <w:rFonts w:ascii="Arial" w:hAnsi="Arial" w:cs="Arial" w:eastAsia="Arial" w:hint="default"/>
        </w:rPr>
        <w:t>1992</w:t>
      </w:r>
      <w:r>
        <w:rPr>
          <w:rFonts w:ascii="Arial" w:hAnsi="Arial" w:cs="Arial" w:eastAsia="Arial" w:hint="default"/>
          <w:spacing w:val="9"/>
        </w:rPr>
        <w:t> </w:t>
      </w:r>
      <w:r>
        <w:rPr/>
        <w:t>年至</w:t>
      </w:r>
      <w:r>
        <w:rPr>
          <w:spacing w:val="-39"/>
        </w:rPr>
        <w:t> </w:t>
      </w:r>
      <w:r>
        <w:rPr>
          <w:rFonts w:ascii="Arial" w:hAnsi="Arial" w:cs="Arial" w:eastAsia="Arial" w:hint="default"/>
        </w:rPr>
        <w:t>1994</w:t>
      </w:r>
      <w:r>
        <w:rPr>
          <w:rFonts w:ascii="Arial" w:hAnsi="Arial" w:cs="Arial" w:eastAsia="Arial" w:hint="default"/>
          <w:spacing w:val="9"/>
        </w:rPr>
        <w:t> </w:t>
      </w:r>
      <w:r>
        <w:rPr/>
        <w:t>年 就职于山东省民政厅福利公司，</w:t>
      </w:r>
      <w:r>
        <w:rPr>
          <w:rFonts w:ascii="Arial" w:hAnsi="Arial" w:cs="Arial" w:eastAsia="Arial" w:hint="default"/>
        </w:rPr>
        <w:t>2000</w:t>
      </w:r>
      <w:r>
        <w:rPr>
          <w:rFonts w:ascii="Arial" w:hAnsi="Arial" w:cs="Arial" w:eastAsia="Arial" w:hint="default"/>
          <w:spacing w:val="-21"/>
        </w:rPr>
        <w:t> </w:t>
      </w:r>
      <w:r>
        <w:rPr>
          <w:spacing w:val="-3"/>
        </w:rPr>
        <w:t>年至今就职于中国银河证券，任高级业务经理，现任公司第三届</w:t>
      </w:r>
      <w:r>
        <w:rPr/>
        <w:t> 董事会独立董事</w:t>
      </w:r>
    </w:p>
    <w:p>
      <w:pPr>
        <w:pStyle w:val="BodyText"/>
        <w:spacing w:line="331" w:lineRule="auto" w:before="166"/>
        <w:ind w:right="211" w:firstLine="420"/>
        <w:jc w:val="both"/>
      </w:pPr>
      <w:r>
        <w:rPr>
          <w:rFonts w:ascii="Arial" w:hAnsi="Arial" w:cs="Arial" w:eastAsia="Arial" w:hint="default"/>
          <w:spacing w:val="-3"/>
        </w:rPr>
        <w:t>(8)</w:t>
      </w:r>
      <w:r>
        <w:rPr>
          <w:spacing w:val="-3"/>
        </w:rPr>
        <w:t>蔡敬侠，现年</w:t>
      </w:r>
      <w:r>
        <w:rPr>
          <w:spacing w:val="-52"/>
        </w:rPr>
        <w:t> </w:t>
      </w:r>
      <w:r>
        <w:rPr>
          <w:rFonts w:ascii="Arial" w:hAnsi="Arial" w:cs="Arial" w:eastAsia="Arial" w:hint="default"/>
        </w:rPr>
        <w:t>40</w:t>
      </w:r>
      <w:r>
        <w:rPr>
          <w:rFonts w:ascii="Arial" w:hAnsi="Arial" w:cs="Arial" w:eastAsia="Arial" w:hint="default"/>
          <w:spacing w:val="-5"/>
        </w:rPr>
        <w:t> </w:t>
      </w:r>
      <w:r>
        <w:rPr>
          <w:spacing w:val="-3"/>
        </w:rPr>
        <w:t>岁，毕业于清华大学，工商管理硕士，蔡敬侠女士</w:t>
      </w:r>
      <w:r>
        <w:rPr>
          <w:spacing w:val="-52"/>
        </w:rPr>
        <w:t> </w:t>
      </w:r>
      <w:r>
        <w:rPr>
          <w:rFonts w:ascii="Arial" w:hAnsi="Arial" w:cs="Arial" w:eastAsia="Arial" w:hint="default"/>
        </w:rPr>
        <w:t>2005</w:t>
      </w:r>
      <w:r>
        <w:rPr>
          <w:rFonts w:ascii="Arial" w:hAnsi="Arial" w:cs="Arial" w:eastAsia="Arial" w:hint="default"/>
          <w:spacing w:val="-5"/>
        </w:rPr>
        <w:t> </w:t>
      </w:r>
      <w:r>
        <w:rPr/>
        <w:t>年至</w:t>
      </w:r>
      <w:r>
        <w:rPr>
          <w:spacing w:val="-52"/>
        </w:rPr>
        <w:t> </w:t>
      </w:r>
      <w:r>
        <w:rPr>
          <w:rFonts w:ascii="Arial" w:hAnsi="Arial" w:cs="Arial" w:eastAsia="Arial" w:hint="default"/>
        </w:rPr>
        <w:t>2006</w:t>
      </w:r>
      <w:r>
        <w:rPr>
          <w:rFonts w:ascii="Arial" w:hAnsi="Arial" w:cs="Arial" w:eastAsia="Arial" w:hint="default"/>
          <w:spacing w:val="-5"/>
        </w:rPr>
        <w:t> </w:t>
      </w:r>
      <w:r>
        <w:rPr/>
        <w:t>年</w:t>
      </w:r>
      <w:r>
        <w:rPr>
          <w:spacing w:val="-52"/>
        </w:rPr>
        <w:t> </w:t>
      </w:r>
      <w:r>
        <w:rPr>
          <w:rFonts w:ascii="Arial" w:hAnsi="Arial" w:cs="Arial" w:eastAsia="Arial" w:hint="default"/>
        </w:rPr>
        <w:t>6</w:t>
      </w:r>
      <w:r>
        <w:rPr>
          <w:rFonts w:ascii="Arial" w:hAnsi="Arial" w:cs="Arial" w:eastAsia="Arial" w:hint="default"/>
          <w:spacing w:val="-5"/>
        </w:rPr>
        <w:t> </w:t>
      </w:r>
      <w:r>
        <w:rPr/>
        <w:t>月就</w:t>
      </w:r>
      <w:r>
        <w:rPr>
          <w:spacing w:val="1"/>
        </w:rPr>
        <w:t> </w:t>
      </w:r>
      <w:r>
        <w:rPr/>
        <w:t>职于广东德美精细化工股份有限公司，任总经理助理；</w:t>
      </w:r>
      <w:r>
        <w:rPr>
          <w:rFonts w:ascii="Arial" w:hAnsi="Arial" w:cs="Arial" w:eastAsia="Arial" w:hint="default"/>
        </w:rPr>
        <w:t>2006 </w:t>
      </w:r>
      <w:r>
        <w:rPr/>
        <w:t>年 </w:t>
      </w:r>
      <w:r>
        <w:rPr>
          <w:rFonts w:ascii="Arial" w:hAnsi="Arial" w:cs="Arial" w:eastAsia="Arial" w:hint="default"/>
        </w:rPr>
        <w:t>7</w:t>
      </w:r>
      <w:r>
        <w:rPr>
          <w:rFonts w:ascii="Arial" w:hAnsi="Arial" w:cs="Arial" w:eastAsia="Arial" w:hint="default"/>
          <w:spacing w:val="31"/>
        </w:rPr>
        <w:t> </w:t>
      </w:r>
      <w:r>
        <w:rPr/>
        <w:t>月至今就职于德美化工（集团）科 技有限公司，任财务总监，现任公司第三届董事会独立董事</w:t>
      </w:r>
    </w:p>
    <w:p>
      <w:pPr>
        <w:spacing w:before="131"/>
        <w:ind w:left="685" w:right="96" w:firstLine="0"/>
        <w:jc w:val="left"/>
        <w:rPr>
          <w:rFonts w:ascii="宋体" w:hAnsi="宋体" w:cs="宋体" w:eastAsia="宋体" w:hint="default"/>
          <w:sz w:val="21"/>
          <w:szCs w:val="21"/>
        </w:rPr>
      </w:pPr>
      <w:r>
        <w:rPr>
          <w:rFonts w:ascii="黑体" w:hAnsi="黑体" w:cs="黑体" w:eastAsia="黑体" w:hint="default"/>
          <w:sz w:val="24"/>
          <w:szCs w:val="24"/>
        </w:rPr>
        <w:t>监事</w:t>
      </w:r>
      <w:r>
        <w:rPr>
          <w:rFonts w:ascii="宋体" w:hAnsi="宋体" w:cs="宋体" w:eastAsia="宋体" w:hint="default"/>
          <w:sz w:val="21"/>
          <w:szCs w:val="21"/>
        </w:rPr>
        <w:t>：</w:t>
      </w:r>
    </w:p>
    <w:p>
      <w:pPr>
        <w:spacing w:line="240" w:lineRule="auto" w:before="5"/>
        <w:rPr>
          <w:rFonts w:ascii="宋体" w:hAnsi="宋体" w:cs="宋体" w:eastAsia="宋体" w:hint="default"/>
          <w:sz w:val="18"/>
          <w:szCs w:val="18"/>
        </w:rPr>
      </w:pPr>
    </w:p>
    <w:p>
      <w:pPr>
        <w:pStyle w:val="BodyText"/>
        <w:spacing w:line="331" w:lineRule="auto"/>
        <w:ind w:right="211" w:firstLine="472"/>
        <w:jc w:val="both"/>
      </w:pPr>
      <w:r>
        <w:rPr>
          <w:rFonts w:ascii="Arial" w:hAnsi="Arial" w:cs="Arial" w:eastAsia="Arial" w:hint="default"/>
        </w:rPr>
        <w:t>(9)</w:t>
      </w:r>
      <w:r>
        <w:rPr/>
        <w:t>王 凯</w:t>
      </w:r>
      <w:r>
        <w:rPr>
          <w:rFonts w:ascii="Arial" w:hAnsi="Arial" w:cs="Arial" w:eastAsia="Arial" w:hint="default"/>
        </w:rPr>
        <w:t>,</w:t>
      </w:r>
      <w:r>
        <w:rPr/>
        <w:t>现年 </w:t>
      </w:r>
      <w:r>
        <w:rPr>
          <w:rFonts w:ascii="Arial" w:hAnsi="Arial" w:cs="Arial" w:eastAsia="Arial" w:hint="default"/>
        </w:rPr>
        <w:t>34</w:t>
      </w:r>
      <w:r>
        <w:rPr>
          <w:rFonts w:ascii="Arial" w:hAnsi="Arial" w:cs="Arial" w:eastAsia="Arial" w:hint="default"/>
          <w:spacing w:val="-33"/>
        </w:rPr>
        <w:t> </w:t>
      </w:r>
      <w:r>
        <w:rPr/>
        <w:t>岁，本科学历，毕业于陕西财经学院，现任本公司经营管理部总经理、第三届 监事会召集人。</w:t>
      </w:r>
    </w:p>
    <w:p>
      <w:pPr>
        <w:pStyle w:val="BodyText"/>
        <w:spacing w:line="331" w:lineRule="auto" w:before="166"/>
        <w:ind w:right="211" w:firstLine="472"/>
        <w:jc w:val="both"/>
      </w:pPr>
      <w:r>
        <w:rPr>
          <w:rFonts w:ascii="Arial" w:hAnsi="Arial" w:cs="Arial" w:eastAsia="Arial" w:hint="default"/>
        </w:rPr>
        <w:t>(10)</w:t>
      </w:r>
      <w:r>
        <w:rPr/>
        <w:t>唐昶荣</w:t>
      </w:r>
      <w:r>
        <w:rPr>
          <w:rFonts w:ascii="Arial" w:hAnsi="Arial" w:cs="Arial" w:eastAsia="Arial" w:hint="default"/>
        </w:rPr>
        <w:t>,</w:t>
      </w:r>
      <w:r>
        <w:rPr/>
        <w:t>现年</w:t>
      </w:r>
      <w:r>
        <w:rPr>
          <w:spacing w:val="-46"/>
        </w:rPr>
        <w:t> </w:t>
      </w:r>
      <w:r>
        <w:rPr>
          <w:rFonts w:ascii="Arial" w:hAnsi="Arial" w:cs="Arial" w:eastAsia="Arial" w:hint="default"/>
        </w:rPr>
        <w:t>38 </w:t>
      </w:r>
      <w:r>
        <w:rPr/>
        <w:t>岁，毕业于抚顺石油学院计算机系，现任营销软件中心总经理，第三届监事 会监事。</w:t>
      </w:r>
    </w:p>
    <w:p>
      <w:pPr>
        <w:pStyle w:val="BodyText"/>
        <w:spacing w:line="331" w:lineRule="auto" w:before="165"/>
        <w:ind w:right="210" w:firstLine="472"/>
        <w:jc w:val="both"/>
      </w:pPr>
      <w:r>
        <w:rPr>
          <w:rFonts w:ascii="Arial" w:hAnsi="Arial" w:cs="Arial" w:eastAsia="Arial" w:hint="default"/>
          <w:spacing w:val="-4"/>
        </w:rPr>
        <w:t>(11)</w:t>
      </w:r>
      <w:r>
        <w:rPr>
          <w:spacing w:val="-4"/>
        </w:rPr>
        <w:t>刘 </w:t>
      </w:r>
      <w:r>
        <w:rPr/>
        <w:t>瑛</w:t>
      </w:r>
      <w:r>
        <w:rPr>
          <w:rFonts w:ascii="Arial" w:hAnsi="Arial" w:cs="Arial" w:eastAsia="Arial" w:hint="default"/>
        </w:rPr>
        <w:t>,</w:t>
      </w:r>
      <w:r>
        <w:rPr/>
        <w:t>现年 </w:t>
      </w:r>
      <w:r>
        <w:rPr>
          <w:rFonts w:ascii="Arial" w:hAnsi="Arial" w:cs="Arial" w:eastAsia="Arial" w:hint="default"/>
        </w:rPr>
        <w:t>31 </w:t>
      </w:r>
      <w:r>
        <w:rPr/>
        <w:t>岁，在职研究生，从业六年，具有沪深交易所董秘从业资格，</w:t>
      </w:r>
      <w:r>
        <w:rPr>
          <w:rFonts w:ascii="Arial" w:hAnsi="Arial" w:cs="Arial" w:eastAsia="Arial" w:hint="default"/>
        </w:rPr>
        <w:t>2003</w:t>
      </w:r>
      <w:r>
        <w:rPr>
          <w:rFonts w:ascii="Arial" w:hAnsi="Arial" w:cs="Arial" w:eastAsia="Arial" w:hint="default"/>
          <w:spacing w:val="-26"/>
        </w:rPr>
        <w:t> </w:t>
      </w:r>
      <w:r>
        <w:rPr/>
        <w:t>年任职于 深圳和光现代商务股份有限公司证券部；</w:t>
      </w:r>
      <w:r>
        <w:rPr>
          <w:rFonts w:ascii="Arial" w:hAnsi="Arial" w:cs="Arial" w:eastAsia="Arial" w:hint="default"/>
        </w:rPr>
        <w:t>2005</w:t>
      </w:r>
      <w:r>
        <w:rPr>
          <w:rFonts w:ascii="Arial" w:hAnsi="Arial" w:cs="Arial" w:eastAsia="Arial" w:hint="default"/>
          <w:spacing w:val="-32"/>
        </w:rPr>
        <w:t> </w:t>
      </w:r>
      <w:r>
        <w:rPr>
          <w:spacing w:val="-3"/>
        </w:rPr>
        <w:t>年至今任职于金证股份，曾任公司证券事务代表，现任</w:t>
      </w:r>
      <w:r>
        <w:rPr/>
        <w:t> 公司第三届监事会职工监事。</w:t>
      </w:r>
    </w:p>
    <w:p>
      <w:pPr>
        <w:pStyle w:val="Heading2"/>
        <w:spacing w:line="240" w:lineRule="auto"/>
        <w:ind w:right="96"/>
        <w:jc w:val="left"/>
      </w:pPr>
      <w:r>
        <w:rPr/>
        <w:t>高级管理人员：</w:t>
      </w:r>
    </w:p>
    <w:p>
      <w:pPr>
        <w:spacing w:line="240" w:lineRule="auto" w:before="6"/>
        <w:rPr>
          <w:rFonts w:ascii="黑体" w:hAnsi="黑体" w:cs="黑体" w:eastAsia="黑体" w:hint="default"/>
          <w:sz w:val="18"/>
          <w:szCs w:val="18"/>
        </w:rPr>
      </w:pPr>
    </w:p>
    <w:p>
      <w:pPr>
        <w:pStyle w:val="BodyText"/>
        <w:spacing w:line="331" w:lineRule="auto"/>
        <w:ind w:right="211" w:firstLine="420"/>
        <w:jc w:val="both"/>
      </w:pPr>
      <w:r>
        <w:rPr>
          <w:rFonts w:ascii="Arial" w:hAnsi="Arial" w:cs="Arial" w:eastAsia="Arial" w:hint="default"/>
        </w:rPr>
        <w:t>(12)</w:t>
      </w:r>
      <w:r>
        <w:rPr/>
        <w:t>杜同舟</w:t>
      </w:r>
      <w:r>
        <w:rPr>
          <w:rFonts w:ascii="Arial" w:hAnsi="Arial" w:cs="Arial" w:eastAsia="Arial" w:hint="default"/>
        </w:rPr>
        <w:t>,</w:t>
      </w:r>
      <w:r>
        <w:rPr/>
        <w:t>现年 </w:t>
      </w:r>
      <w:r>
        <w:rPr>
          <w:rFonts w:ascii="Arial" w:hAnsi="Arial" w:cs="Arial" w:eastAsia="Arial" w:hint="default"/>
        </w:rPr>
        <w:t>41</w:t>
      </w:r>
      <w:r>
        <w:rPr>
          <w:rFonts w:ascii="Arial" w:hAnsi="Arial" w:cs="Arial" w:eastAsia="Arial" w:hint="default"/>
          <w:spacing w:val="8"/>
        </w:rPr>
        <w:t> </w:t>
      </w:r>
      <w:r>
        <w:rPr/>
        <w:t>岁，硕士学位，毕业于四川师范学院，曾任深圳正弦电源公司总经理，现任 本公司营销总监。</w:t>
      </w:r>
    </w:p>
    <w:p>
      <w:pPr>
        <w:pStyle w:val="BodyText"/>
        <w:spacing w:line="331" w:lineRule="auto" w:before="165"/>
        <w:ind w:right="211" w:firstLine="420"/>
        <w:jc w:val="both"/>
      </w:pPr>
      <w:r>
        <w:rPr>
          <w:rFonts w:ascii="Arial" w:hAnsi="Arial" w:cs="Arial" w:eastAsia="Arial" w:hint="default"/>
        </w:rPr>
        <w:t>(13)</w:t>
      </w:r>
      <w:r>
        <w:rPr/>
        <w:t>王海航</w:t>
      </w:r>
      <w:r>
        <w:rPr>
          <w:rFonts w:ascii="Arial" w:hAnsi="Arial" w:cs="Arial" w:eastAsia="Arial" w:hint="default"/>
        </w:rPr>
        <w:t>,</w:t>
      </w:r>
      <w:r>
        <w:rPr/>
        <w:t>现年 </w:t>
      </w:r>
      <w:r>
        <w:rPr>
          <w:rFonts w:ascii="Arial" w:hAnsi="Arial" w:cs="Arial" w:eastAsia="Arial" w:hint="default"/>
        </w:rPr>
        <w:t>39</w:t>
      </w:r>
      <w:r>
        <w:rPr>
          <w:rFonts w:ascii="Arial" w:hAnsi="Arial" w:cs="Arial" w:eastAsia="Arial" w:hint="default"/>
          <w:spacing w:val="8"/>
        </w:rPr>
        <w:t> </w:t>
      </w:r>
      <w:r>
        <w:rPr/>
        <w:t>岁，硕士学位，毕业于成都电子科技大学计算机专业，长期在国泰君安证券 从事交易软件研究与开发工作，曾任国泰君安证券电脑部副总经理。现任本公司技术总监。</w:t>
      </w:r>
    </w:p>
    <w:p>
      <w:pPr>
        <w:pStyle w:val="BodyText"/>
        <w:spacing w:line="331" w:lineRule="auto" w:before="165"/>
        <w:ind w:left="144" w:right="211" w:firstLine="420"/>
        <w:jc w:val="both"/>
      </w:pPr>
      <w:r>
        <w:rPr>
          <w:rFonts w:ascii="Arial" w:hAnsi="Arial" w:cs="Arial" w:eastAsia="Arial" w:hint="default"/>
        </w:rPr>
        <w:t>(14)</w:t>
      </w:r>
      <w:r>
        <w:rPr/>
        <w:t>周永洪</w:t>
      </w:r>
      <w:r>
        <w:rPr>
          <w:rFonts w:ascii="Arial" w:hAnsi="Arial" w:cs="Arial" w:eastAsia="Arial" w:hint="default"/>
        </w:rPr>
        <w:t>,</w:t>
      </w:r>
      <w:r>
        <w:rPr/>
        <w:t>现年</w:t>
      </w:r>
      <w:r>
        <w:rPr>
          <w:spacing w:val="-60"/>
        </w:rPr>
        <w:t> </w:t>
      </w:r>
      <w:r>
        <w:rPr>
          <w:rFonts w:ascii="Arial" w:hAnsi="Arial" w:cs="Arial" w:eastAsia="Arial" w:hint="default"/>
        </w:rPr>
        <w:t>40</w:t>
      </w:r>
      <w:r>
        <w:rPr>
          <w:rFonts w:ascii="Arial" w:hAnsi="Arial" w:cs="Arial" w:eastAsia="Arial" w:hint="default"/>
          <w:spacing w:val="-13"/>
        </w:rPr>
        <w:t> </w:t>
      </w:r>
      <w:r>
        <w:rPr>
          <w:spacing w:val="-4"/>
        </w:rPr>
        <w:t>岁，本科学历，毕业于四川大学。自</w:t>
      </w:r>
      <w:r>
        <w:rPr>
          <w:spacing w:val="-60"/>
        </w:rPr>
        <w:t> </w:t>
      </w:r>
      <w:r>
        <w:rPr>
          <w:rFonts w:ascii="Arial" w:hAnsi="Arial" w:cs="Arial" w:eastAsia="Arial" w:hint="default"/>
        </w:rPr>
        <w:t>1998</w:t>
      </w:r>
      <w:r>
        <w:rPr>
          <w:rFonts w:ascii="Arial" w:hAnsi="Arial" w:cs="Arial" w:eastAsia="Arial" w:hint="default"/>
          <w:spacing w:val="-13"/>
        </w:rPr>
        <w:t> </w:t>
      </w:r>
      <w:r>
        <w:rPr/>
        <w:t>年任职于本公司，现任本公司财务 总监。</w:t>
      </w:r>
    </w:p>
    <w:p>
      <w:pPr>
        <w:spacing w:after="0" w:line="331" w:lineRule="auto"/>
        <w:jc w:val="both"/>
        <w:sectPr>
          <w:pgSz w:w="12240" w:h="15840"/>
          <w:pgMar w:header="747" w:footer="727" w:top="1040" w:bottom="920" w:left="1380" w:right="12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38" w:lineRule="auto"/>
        <w:ind w:right="226" w:firstLine="420"/>
        <w:jc w:val="left"/>
      </w:pPr>
      <w:r>
        <w:rPr>
          <w:rFonts w:ascii="Arial" w:hAnsi="Arial" w:cs="Arial" w:eastAsia="Arial" w:hint="default"/>
        </w:rPr>
        <w:t>(15)</w:t>
      </w:r>
      <w:r>
        <w:rPr/>
        <w:t>杨德仁</w:t>
      </w:r>
      <w:r>
        <w:rPr>
          <w:rFonts w:ascii="Arial" w:hAnsi="Arial" w:cs="Arial" w:eastAsia="Arial" w:hint="default"/>
        </w:rPr>
        <w:t>,</w:t>
      </w:r>
      <w:r>
        <w:rPr/>
        <w:t>现年 </w:t>
      </w:r>
      <w:r>
        <w:rPr>
          <w:rFonts w:ascii="Arial" w:hAnsi="Arial" w:cs="Arial" w:eastAsia="Arial" w:hint="default"/>
        </w:rPr>
        <w:t>42 </w:t>
      </w:r>
      <w:r>
        <w:rPr/>
        <w:t>岁， </w:t>
      </w:r>
      <w:r>
        <w:rPr>
          <w:rFonts w:ascii="Arial" w:hAnsi="Arial" w:cs="Arial" w:eastAsia="Arial" w:hint="default"/>
        </w:rPr>
        <w:t>1989</w:t>
      </w:r>
      <w:r>
        <w:rPr>
          <w:rFonts w:ascii="Arial" w:hAnsi="Arial" w:cs="Arial" w:eastAsia="Arial" w:hint="default"/>
          <w:spacing w:val="-13"/>
        </w:rPr>
        <w:t> </w:t>
      </w:r>
      <w:r>
        <w:rPr/>
        <w:t>年毕业于成都科技大学计算机系，获工学硕士学位。</w:t>
      </w:r>
      <w:r>
        <w:rPr>
          <w:rFonts w:ascii="Arial" w:hAnsi="Arial" w:cs="Arial" w:eastAsia="Arial" w:hint="default"/>
        </w:rPr>
        <w:t>1989-1993</w:t>
      </w:r>
      <w:r>
        <w:rPr>
          <w:rFonts w:ascii="Arial" w:hAnsi="Arial" w:cs="Arial" w:eastAsia="Arial" w:hint="default"/>
          <w:spacing w:val="-1"/>
          <w:w w:val="99"/>
        </w:rPr>
        <w:t> </w:t>
      </w:r>
      <w:r>
        <w:rPr/>
        <w:t>年在成都科技大学计算机系工作；</w:t>
      </w:r>
      <w:r>
        <w:rPr>
          <w:rFonts w:ascii="Arial" w:hAnsi="Arial" w:cs="Arial" w:eastAsia="Arial" w:hint="default"/>
        </w:rPr>
        <w:t>1993-1998 </w:t>
      </w:r>
      <w:r>
        <w:rPr/>
        <w:t>年在深圳新华威科技有限公司从事技术工作；</w:t>
      </w:r>
      <w:r>
        <w:rPr>
          <w:rFonts w:ascii="Arial" w:hAnsi="Arial" w:cs="Arial" w:eastAsia="Arial" w:hint="default"/>
        </w:rPr>
        <w:t>1998</w:t>
      </w:r>
      <w:r>
        <w:rPr>
          <w:rFonts w:ascii="Arial" w:hAnsi="Arial" w:cs="Arial" w:eastAsia="Arial" w:hint="default"/>
          <w:spacing w:val="27"/>
        </w:rPr>
        <w:t> </w:t>
      </w:r>
      <w:r>
        <w:rPr/>
        <w:t>至 </w:t>
      </w:r>
      <w:r>
        <w:rPr>
          <w:spacing w:val="-3"/>
        </w:rPr>
        <w:t>今在深圳市金证科技股份有限公司从事技术和管理工作，历任技术支持部经理、研发中心总经理等职。</w:t>
      </w:r>
      <w:r>
        <w:rPr>
          <w:spacing w:val="-74"/>
        </w:rPr>
        <w:t> </w:t>
      </w:r>
      <w:r>
        <w:rPr>
          <w:spacing w:val="-74"/>
        </w:rPr>
      </w:r>
      <w:r>
        <w:rPr/>
        <w:t>现任公司董事会秘书。</w:t>
      </w:r>
    </w:p>
    <w:p>
      <w:pPr>
        <w:pStyle w:val="BodyText"/>
        <w:spacing w:line="360" w:lineRule="auto" w:before="158"/>
        <w:ind w:left="565" w:right="3675"/>
        <w:jc w:val="left"/>
      </w:pPr>
      <w:r>
        <w:rPr/>
        <w:t>(二)在股东单位任职情况 截止本报告期末公司无董事、监事、高管在股东单位任职。</w:t>
      </w:r>
    </w:p>
    <w:p>
      <w:pPr>
        <w:pStyle w:val="BodyText"/>
        <w:spacing w:line="240" w:lineRule="auto" w:before="148"/>
        <w:ind w:left="565" w:right="226"/>
        <w:jc w:val="left"/>
      </w:pPr>
      <w:r>
        <w:rPr/>
        <w:t>在其他单位任职情况</w:t>
      </w:r>
    </w:p>
    <w:p>
      <w:pPr>
        <w:spacing w:line="240" w:lineRule="auto" w:before="1"/>
        <w:rPr>
          <w:rFonts w:ascii="宋体" w:hAnsi="宋体" w:cs="宋体" w:eastAsia="宋体" w:hint="default"/>
          <w:sz w:val="22"/>
          <w:szCs w:val="22"/>
        </w:rPr>
      </w:pPr>
    </w:p>
    <w:tbl>
      <w:tblPr>
        <w:tblW w:w="0" w:type="auto"/>
        <w:jc w:val="left"/>
        <w:tblInd w:w="129" w:type="dxa"/>
        <w:tblLayout w:type="fixed"/>
        <w:tblCellMar>
          <w:top w:w="0" w:type="dxa"/>
          <w:left w:w="0" w:type="dxa"/>
          <w:bottom w:w="0" w:type="dxa"/>
          <w:right w:w="0" w:type="dxa"/>
        </w:tblCellMar>
        <w:tblLook w:val="01E0"/>
      </w:tblPr>
      <w:tblGrid>
        <w:gridCol w:w="872"/>
        <w:gridCol w:w="3454"/>
        <w:gridCol w:w="1442"/>
        <w:gridCol w:w="1800"/>
        <w:gridCol w:w="1080"/>
        <w:gridCol w:w="802"/>
      </w:tblGrid>
      <w:tr>
        <w:trPr>
          <w:trHeight w:val="1104" w:hRule="exact"/>
        </w:trPr>
        <w:tc>
          <w:tcPr>
            <w:tcW w:w="8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4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8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2" w:right="110"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8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83" w:right="181"/>
              <w:jc w:val="both"/>
              <w:rPr>
                <w:rFonts w:ascii="宋体" w:hAnsi="宋体" w:cs="宋体" w:eastAsia="宋体" w:hint="default"/>
                <w:sz w:val="21"/>
                <w:szCs w:val="21"/>
              </w:rPr>
            </w:pPr>
            <w:r>
              <w:rPr>
                <w:rFonts w:ascii="宋体" w:hAnsi="宋体" w:cs="宋体" w:eastAsia="宋体" w:hint="default"/>
                <w:sz w:val="21"/>
                <w:szCs w:val="21"/>
              </w:rPr>
              <w:t>领取 报酬 津贴</w:t>
            </w:r>
          </w:p>
        </w:tc>
      </w:tr>
      <w:tr>
        <w:trPr>
          <w:trHeight w:val="287" w:hRule="exact"/>
        </w:trPr>
        <w:tc>
          <w:tcPr>
            <w:tcW w:w="8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孙建文</w:t>
            </w:r>
          </w:p>
        </w:tc>
        <w:tc>
          <w:tcPr>
            <w:tcW w:w="34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北京金辉世纪投资管理有限公司</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0" w:type="dxa"/>
            <w:tcBorders>
              <w:top w:val="single" w:sz="6" w:space="0" w:color="101010"/>
              <w:left w:val="single" w:sz="6" w:space="0" w:color="101010"/>
              <w:bottom w:val="single" w:sz="6" w:space="0" w:color="101010"/>
              <w:right w:val="single" w:sz="6" w:space="0" w:color="101010"/>
            </w:tcBorders>
          </w:tcPr>
          <w:p>
            <w:pP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8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4"/>
              <w:jc w:val="center"/>
              <w:rPr>
                <w:rFonts w:ascii="宋体" w:hAnsi="宋体" w:cs="宋体" w:eastAsia="宋体" w:hint="default"/>
                <w:sz w:val="21"/>
                <w:szCs w:val="21"/>
              </w:rPr>
            </w:pPr>
            <w:r>
              <w:rPr>
                <w:rFonts w:ascii="宋体" w:hAnsi="宋体" w:cs="宋体" w:eastAsia="宋体" w:hint="default"/>
                <w:sz w:val="21"/>
                <w:szCs w:val="21"/>
              </w:rPr>
              <w:t>齐玉武</w:t>
            </w:r>
          </w:p>
        </w:tc>
        <w:tc>
          <w:tcPr>
            <w:tcW w:w="34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中国银河证券</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高级业务经</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80" w:type="dxa"/>
            <w:tcBorders>
              <w:top w:val="single" w:sz="6" w:space="0" w:color="101010"/>
              <w:left w:val="single" w:sz="6" w:space="0" w:color="101010"/>
              <w:bottom w:val="single" w:sz="6" w:space="0" w:color="101010"/>
              <w:right w:val="single" w:sz="6" w:space="0" w:color="101010"/>
            </w:tcBorders>
          </w:tcPr>
          <w:p>
            <w:pP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8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蔡敬侠</w:t>
            </w:r>
          </w:p>
        </w:tc>
        <w:tc>
          <w:tcPr>
            <w:tcW w:w="34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德美化工（集团）科技有限公司</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0" w:type="dxa"/>
            <w:tcBorders>
              <w:top w:val="single" w:sz="6" w:space="0" w:color="101010"/>
              <w:left w:val="single" w:sz="6" w:space="0" w:color="101010"/>
              <w:bottom w:val="single" w:sz="6" w:space="0" w:color="101010"/>
              <w:right w:val="single" w:sz="6" w:space="0" w:color="101010"/>
            </w:tcBorders>
          </w:tcPr>
          <w:p>
            <w:pP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1"/>
        <w:rPr>
          <w:rFonts w:ascii="宋体" w:hAnsi="宋体" w:cs="宋体" w:eastAsia="宋体" w:hint="default"/>
          <w:sz w:val="23"/>
          <w:szCs w:val="23"/>
        </w:rPr>
      </w:pPr>
    </w:p>
    <w:p>
      <w:pPr>
        <w:pStyle w:val="BodyText"/>
        <w:spacing w:line="240" w:lineRule="auto" w:before="35"/>
        <w:ind w:left="504" w:right="226"/>
        <w:jc w:val="left"/>
      </w:pPr>
      <w:r>
        <w:rPr/>
        <w:t>(三)董事、监事、高级管理人员报酬情况</w:t>
      </w:r>
    </w:p>
    <w:p>
      <w:pPr>
        <w:spacing w:line="240" w:lineRule="auto" w:before="9"/>
        <w:rPr>
          <w:rFonts w:ascii="宋体" w:hAnsi="宋体" w:cs="宋体" w:eastAsia="宋体" w:hint="default"/>
          <w:sz w:val="18"/>
          <w:szCs w:val="18"/>
        </w:rPr>
      </w:pPr>
    </w:p>
    <w:p>
      <w:pPr>
        <w:pStyle w:val="BodyText"/>
        <w:spacing w:line="331" w:lineRule="auto"/>
        <w:ind w:right="330" w:firstLine="358"/>
        <w:jc w:val="both"/>
      </w:pPr>
      <w:r>
        <w:rPr>
          <w:rFonts w:ascii="Arial" w:hAnsi="Arial" w:cs="Arial" w:eastAsia="Arial" w:hint="default"/>
        </w:rPr>
        <w:t>1</w:t>
      </w:r>
      <w:r>
        <w:rPr/>
        <w:t>、董事、监事、高级管理人员报酬的决策程序</w:t>
      </w:r>
      <w:r>
        <w:rPr>
          <w:rFonts w:ascii="Arial" w:hAnsi="Arial" w:cs="Arial" w:eastAsia="Arial" w:hint="default"/>
        </w:rPr>
        <w:t>:</w:t>
      </w:r>
      <w:r>
        <w:rPr/>
        <w:t>公司向董事会提出建议，经董事会以及股东大会 审议后确定。</w:t>
      </w:r>
    </w:p>
    <w:p>
      <w:pPr>
        <w:pStyle w:val="BodyText"/>
        <w:spacing w:line="340" w:lineRule="auto" w:before="166"/>
        <w:ind w:right="332" w:firstLine="358"/>
        <w:jc w:val="both"/>
      </w:pPr>
      <w:r>
        <w:rPr>
          <w:rFonts w:ascii="Arial" w:hAnsi="Arial" w:cs="Arial" w:eastAsia="Arial" w:hint="default"/>
          <w:spacing w:val="-2"/>
        </w:rPr>
        <w:t>2</w:t>
      </w:r>
      <w:r>
        <w:rPr>
          <w:spacing w:val="-2"/>
        </w:rPr>
        <w:t>、董事、监事、高级管理人员报酬确定依据：董事津贴及董事、监事、高级管理人员的薪酬由董</w:t>
      </w:r>
      <w:r>
        <w:rPr/>
        <w:t> 事会根据公司董事、监事、高级管理人员的工作情况以及同行业其它上市公司的水平，向董事会提出 建议，经董事会以及股东大会审议后确定。</w:t>
      </w:r>
    </w:p>
    <w:p>
      <w:pPr>
        <w:pStyle w:val="BodyText"/>
        <w:spacing w:line="350" w:lineRule="auto" w:before="157"/>
        <w:ind w:right="332" w:firstLine="358"/>
        <w:jc w:val="both"/>
      </w:pPr>
      <w:r>
        <w:rPr/>
        <w:t>本公司董事、监事、高级管理人员均在公司任职，公司根据其担任的职务支付相应的职务薪酬， 不另行发放津贴。董事津贴及董事、监事、高级管理人员的薪酬由董事会根据公司董事、监事、高级 管理人员的工作情况以及同行业其它上市公司的水平，向董事会提出建议，经董事会以及股东大会审 议后确定。</w:t>
      </w:r>
    </w:p>
    <w:p>
      <w:pPr>
        <w:pStyle w:val="BodyText"/>
        <w:spacing w:line="240" w:lineRule="auto" w:before="38"/>
        <w:ind w:left="504" w:right="226"/>
        <w:jc w:val="left"/>
      </w:pPr>
      <w:r>
        <w:rPr/>
        <w:t>(四)公司董事、监事、高级管理人员变动情况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2330"/>
        <w:gridCol w:w="3485"/>
        <w:gridCol w:w="3485"/>
      </w:tblGrid>
      <w:tr>
        <w:trPr>
          <w:trHeight w:val="404" w:hRule="exact"/>
        </w:trPr>
        <w:tc>
          <w:tcPr>
            <w:tcW w:w="23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离任原因</w:t>
            </w:r>
          </w:p>
        </w:tc>
      </w:tr>
      <w:tr>
        <w:trPr>
          <w:trHeight w:val="288" w:hRule="exact"/>
        </w:trPr>
        <w:tc>
          <w:tcPr>
            <w:tcW w:w="23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龚志忠</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23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 毅</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8" w:hRule="exact"/>
        </w:trPr>
        <w:tc>
          <w:tcPr>
            <w:tcW w:w="23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李智渊</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7" w:hRule="exact"/>
        </w:trPr>
        <w:tc>
          <w:tcPr>
            <w:tcW w:w="23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袁继全</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8" w:hRule="exact"/>
        </w:trPr>
        <w:tc>
          <w:tcPr>
            <w:tcW w:w="23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吴晓琳</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tabs>
                <w:tab w:pos="525" w:val="left" w:leader="none"/>
              </w:tabs>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34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监事会换届</w:t>
            </w:r>
          </w:p>
        </w:tc>
      </w:tr>
    </w:tbl>
    <w:p>
      <w:pPr>
        <w:spacing w:after="0" w:line="241" w:lineRule="exact"/>
        <w:jc w:val="center"/>
        <w:rPr>
          <w:rFonts w:ascii="宋体" w:hAnsi="宋体" w:cs="宋体" w:eastAsia="宋体" w:hint="default"/>
          <w:sz w:val="21"/>
          <w:szCs w:val="21"/>
        </w:rPr>
        <w:sectPr>
          <w:pgSz w:w="12240" w:h="15840"/>
          <w:pgMar w:header="747" w:footer="727" w:top="1040" w:bottom="920" w:left="13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50" w:lineRule="auto"/>
        <w:ind w:right="106" w:firstLine="358"/>
        <w:jc w:val="both"/>
      </w:pPr>
      <w:r>
        <w:rPr>
          <w:spacing w:val="-4"/>
        </w:rPr>
        <w:t>注：2007</w:t>
      </w:r>
      <w:r>
        <w:rPr>
          <w:spacing w:val="-51"/>
        </w:rPr>
        <w:t> </w:t>
      </w:r>
      <w:r>
        <w:rPr/>
        <w:t>年</w:t>
      </w:r>
      <w:r>
        <w:rPr>
          <w:spacing w:val="-53"/>
        </w:rPr>
        <w:t> </w:t>
      </w:r>
      <w:r>
        <w:rPr/>
        <w:t>9</w:t>
      </w:r>
      <w:r>
        <w:rPr>
          <w:spacing w:val="-51"/>
        </w:rPr>
        <w:t> </w:t>
      </w:r>
      <w:r>
        <w:rPr/>
        <w:t>月</w:t>
      </w:r>
      <w:r>
        <w:rPr>
          <w:spacing w:val="-53"/>
        </w:rPr>
        <w:t> </w:t>
      </w:r>
      <w:r>
        <w:rPr/>
        <w:t>14</w:t>
      </w:r>
      <w:r>
        <w:rPr>
          <w:spacing w:val="-51"/>
        </w:rPr>
        <w:t> </w:t>
      </w:r>
      <w:r>
        <w:rPr/>
        <w:t>日经公司</w:t>
      </w:r>
      <w:r>
        <w:rPr>
          <w:spacing w:val="-52"/>
        </w:rPr>
        <w:t> </w:t>
      </w:r>
      <w:r>
        <w:rPr/>
        <w:t>2007</w:t>
      </w:r>
      <w:r>
        <w:rPr>
          <w:spacing w:val="-51"/>
        </w:rPr>
        <w:t> </w:t>
      </w:r>
      <w:r>
        <w:rPr>
          <w:spacing w:val="-3"/>
        </w:rPr>
        <w:t>年第三次临时股东大会审议选举杜宣、赵剑、徐岷波、李结义、</w:t>
      </w:r>
      <w:r>
        <w:rPr/>
        <w:t> </w:t>
      </w:r>
      <w:r>
        <w:rPr>
          <w:spacing w:val="-3"/>
        </w:rPr>
        <w:t>王开因、孙建文、齐玉武、蔡敬侠为第三届董事会董事（其中孙建文、齐玉武、蔡敬侠为独立董事）；</w:t>
      </w:r>
      <w:r>
        <w:rPr>
          <w:spacing w:val="-75"/>
        </w:rPr>
        <w:t> </w:t>
      </w:r>
      <w:r>
        <w:rPr>
          <w:spacing w:val="-75"/>
        </w:rPr>
      </w:r>
      <w:r>
        <w:rPr>
          <w:spacing w:val="-6"/>
        </w:rPr>
        <w:t>会议同意由王凯、唐昶荣、</w:t>
      </w:r>
      <w:r>
        <w:rPr>
          <w:spacing w:val="-46"/>
        </w:rPr>
        <w:t> </w:t>
      </w:r>
      <w:r>
        <w:rPr>
          <w:spacing w:val="-3"/>
        </w:rPr>
        <w:t>刘瑛三人组成公司第三届监事会，其中刘瑛由公司职工代表大会选举产生。</w:t>
      </w:r>
      <w:r>
        <w:rPr>
          <w:spacing w:val="-101"/>
        </w:rPr>
        <w:t> </w:t>
      </w:r>
      <w:r>
        <w:rPr>
          <w:spacing w:val="-101"/>
        </w:rPr>
      </w:r>
      <w:r>
        <w:rPr/>
        <w:t>王凯、唐昶荣为公司股东委派监事。</w:t>
      </w:r>
    </w:p>
    <w:p>
      <w:pPr>
        <w:spacing w:line="240" w:lineRule="auto" w:before="9"/>
        <w:rPr>
          <w:rFonts w:ascii="宋体" w:hAnsi="宋体" w:cs="宋体" w:eastAsia="宋体" w:hint="default"/>
          <w:sz w:val="23"/>
          <w:szCs w:val="23"/>
        </w:rPr>
      </w:pPr>
    </w:p>
    <w:p>
      <w:pPr>
        <w:pStyle w:val="BodyText"/>
        <w:spacing w:line="240" w:lineRule="auto"/>
        <w:ind w:left="504" w:right="96"/>
        <w:jc w:val="left"/>
      </w:pPr>
      <w:r>
        <w:rPr/>
        <w:t>(五)公司员工情况</w:t>
      </w:r>
    </w:p>
    <w:p>
      <w:pPr>
        <w:pStyle w:val="BodyText"/>
        <w:spacing w:line="274" w:lineRule="exact" w:before="117"/>
        <w:ind w:left="504" w:right="96"/>
        <w:jc w:val="left"/>
      </w:pPr>
      <w:r>
        <w:rPr/>
        <w:t>截止报告期末,公司在职员工为</w:t>
      </w:r>
      <w:r>
        <w:rPr>
          <w:spacing w:val="-52"/>
        </w:rPr>
        <w:t> </w:t>
      </w:r>
      <w:r>
        <w:rPr/>
        <w:t>861</w:t>
      </w:r>
      <w:r>
        <w:rPr>
          <w:spacing w:val="-52"/>
        </w:rPr>
        <w:t> </w:t>
      </w:r>
      <w:r>
        <w:rPr/>
        <w:t>人,需承担费用的离退休职工为</w:t>
      </w:r>
      <w:r>
        <w:rPr>
          <w:spacing w:val="-52"/>
        </w:rPr>
        <w:t> </w:t>
      </w:r>
      <w:r>
        <w:rPr/>
        <w:t>0</w:t>
      </w:r>
      <w:r>
        <w:rPr>
          <w:spacing w:val="-51"/>
        </w:rPr>
        <w:t> </w:t>
      </w:r>
      <w:r>
        <w:rPr>
          <w:spacing w:val="-4"/>
        </w:rPr>
        <w:t>人。截止报告期末,公司在职</w:t>
      </w:r>
    </w:p>
    <w:p>
      <w:pPr>
        <w:pStyle w:val="BodyText"/>
        <w:spacing w:line="343" w:lineRule="auto"/>
        <w:ind w:left="504" w:right="4817" w:hanging="359"/>
        <w:jc w:val="left"/>
      </w:pPr>
      <w:r>
        <w:rPr/>
        <w:t>员工为</w:t>
      </w:r>
      <w:r>
        <w:rPr>
          <w:spacing w:val="-53"/>
        </w:rPr>
        <w:t> </w:t>
      </w:r>
      <w:r>
        <w:rPr/>
        <w:t>861</w:t>
      </w:r>
      <w:r>
        <w:rPr>
          <w:spacing w:val="-53"/>
        </w:rPr>
        <w:t> </w:t>
      </w:r>
      <w:r>
        <w:rPr/>
        <w:t>人，需承担费用的离退休职工为</w:t>
      </w:r>
      <w:r>
        <w:rPr>
          <w:spacing w:val="-53"/>
        </w:rPr>
        <w:t> </w:t>
      </w:r>
      <w:r>
        <w:rPr/>
        <w:t>0</w:t>
      </w:r>
      <w:r>
        <w:rPr>
          <w:spacing w:val="-53"/>
        </w:rPr>
        <w:t> </w:t>
      </w:r>
      <w:r>
        <w:rPr/>
        <w:t>人。</w:t>
      </w:r>
      <w:r>
        <w:rPr/>
        <w:t> 员工的结构如下：</w:t>
      </w:r>
    </w:p>
    <w:p>
      <w:pPr>
        <w:pStyle w:val="BodyText"/>
        <w:spacing w:line="240" w:lineRule="auto" w:before="27"/>
        <w:ind w:left="504" w:right="96"/>
        <w:jc w:val="left"/>
      </w:pPr>
      <w:r>
        <w:rPr>
          <w:rFonts w:ascii="Arial" w:hAnsi="Arial" w:cs="Arial" w:eastAsia="Arial" w:hint="default"/>
        </w:rPr>
        <w:t>1</w:t>
      </w:r>
      <w:r>
        <w:rPr/>
        <w:t>、专业构成情况</w:t>
      </w:r>
    </w:p>
    <w:p>
      <w:pPr>
        <w:spacing w:line="240" w:lineRule="auto" w:before="7"/>
        <w:rPr>
          <w:rFonts w:ascii="宋体" w:hAnsi="宋体" w:cs="宋体" w:eastAsia="宋体" w:hint="default"/>
          <w:sz w:val="10"/>
          <w:szCs w:val="10"/>
        </w:rPr>
      </w:pPr>
    </w:p>
    <w:tbl>
      <w:tblPr>
        <w:tblW w:w="0" w:type="auto"/>
        <w:jc w:val="left"/>
        <w:tblInd w:w="497" w:type="dxa"/>
        <w:tblLayout w:type="fixed"/>
        <w:tblCellMar>
          <w:top w:w="0" w:type="dxa"/>
          <w:left w:w="0" w:type="dxa"/>
          <w:bottom w:w="0" w:type="dxa"/>
          <w:right w:w="0" w:type="dxa"/>
        </w:tblCellMar>
        <w:tblLook w:val="01E0"/>
      </w:tblPr>
      <w:tblGrid>
        <w:gridCol w:w="5580"/>
        <w:gridCol w:w="3240"/>
      </w:tblGrid>
      <w:tr>
        <w:trPr>
          <w:trHeight w:val="436"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7"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89</w:t>
            </w:r>
            <w:r>
              <w:rPr>
                <w:rFonts w:ascii="Arial"/>
                <w:sz w:val="21"/>
              </w:rPr>
            </w:r>
          </w:p>
        </w:tc>
      </w:tr>
      <w:tr>
        <w:trPr>
          <w:trHeight w:val="287"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181</w:t>
            </w:r>
            <w:r>
              <w:rPr>
                <w:rFonts w:ascii="Arial"/>
                <w:sz w:val="21"/>
              </w:rPr>
            </w:r>
          </w:p>
        </w:tc>
      </w:tr>
      <w:tr>
        <w:trPr>
          <w:trHeight w:val="288"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技术质量人员</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443</w:t>
            </w:r>
            <w:r>
              <w:rPr>
                <w:rFonts w:ascii="Arial"/>
                <w:sz w:val="21"/>
              </w:rPr>
            </w:r>
          </w:p>
        </w:tc>
      </w:tr>
      <w:tr>
        <w:trPr>
          <w:trHeight w:val="287"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29</w:t>
            </w:r>
            <w:r>
              <w:rPr>
                <w:rFonts w:ascii="Arial"/>
                <w:sz w:val="21"/>
              </w:rPr>
            </w:r>
          </w:p>
        </w:tc>
      </w:tr>
      <w:tr>
        <w:trPr>
          <w:trHeight w:val="288"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行政管理人员</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6"/>
                <w:sz w:val="21"/>
              </w:rPr>
              <w:t>119</w:t>
            </w:r>
          </w:p>
        </w:tc>
      </w:tr>
    </w:tbl>
    <w:p>
      <w:pPr>
        <w:pStyle w:val="BodyText"/>
        <w:spacing w:line="240" w:lineRule="auto" w:before="84"/>
        <w:ind w:left="504" w:right="96"/>
        <w:jc w:val="left"/>
      </w:pPr>
      <w:r>
        <w:rPr/>
        <w:t>2、教育程度情况</w:t>
      </w:r>
    </w:p>
    <w:p>
      <w:pPr>
        <w:spacing w:line="240" w:lineRule="auto" w:before="9"/>
        <w:rPr>
          <w:rFonts w:ascii="宋体" w:hAnsi="宋体" w:cs="宋体" w:eastAsia="宋体" w:hint="default"/>
          <w:sz w:val="11"/>
          <w:szCs w:val="11"/>
        </w:rPr>
      </w:pPr>
    </w:p>
    <w:tbl>
      <w:tblPr>
        <w:tblW w:w="0" w:type="auto"/>
        <w:jc w:val="left"/>
        <w:tblInd w:w="497" w:type="dxa"/>
        <w:tblLayout w:type="fixed"/>
        <w:tblCellMar>
          <w:top w:w="0" w:type="dxa"/>
          <w:left w:w="0" w:type="dxa"/>
          <w:bottom w:w="0" w:type="dxa"/>
          <w:right w:w="0" w:type="dxa"/>
        </w:tblCellMar>
        <w:tblLook w:val="01E0"/>
      </w:tblPr>
      <w:tblGrid>
        <w:gridCol w:w="5580"/>
        <w:gridCol w:w="3240"/>
      </w:tblGrid>
      <w:tr>
        <w:trPr>
          <w:trHeight w:val="436"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7"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研究生（含以上）</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24</w:t>
            </w:r>
            <w:r>
              <w:rPr>
                <w:rFonts w:ascii="Arial"/>
                <w:sz w:val="21"/>
              </w:rPr>
            </w:r>
          </w:p>
        </w:tc>
      </w:tr>
      <w:tr>
        <w:trPr>
          <w:trHeight w:val="288"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488</w:t>
            </w:r>
            <w:r>
              <w:rPr>
                <w:rFonts w:ascii="Arial"/>
                <w:sz w:val="21"/>
              </w:rPr>
            </w:r>
          </w:p>
        </w:tc>
      </w:tr>
      <w:tr>
        <w:trPr>
          <w:trHeight w:val="287"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271</w:t>
            </w:r>
            <w:r>
              <w:rPr>
                <w:rFonts w:ascii="Arial"/>
                <w:sz w:val="21"/>
              </w:rPr>
            </w:r>
          </w:p>
        </w:tc>
      </w:tr>
      <w:tr>
        <w:trPr>
          <w:trHeight w:val="288"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60</w:t>
            </w:r>
            <w:r>
              <w:rPr>
                <w:rFonts w:ascii="Arial"/>
                <w:sz w:val="21"/>
              </w:rPr>
            </w:r>
          </w:p>
        </w:tc>
      </w:tr>
      <w:tr>
        <w:trPr>
          <w:trHeight w:val="288" w:hRule="exact"/>
        </w:trPr>
        <w:tc>
          <w:tcPr>
            <w:tcW w:w="5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高中</w:t>
            </w:r>
          </w:p>
        </w:tc>
        <w:tc>
          <w:tcPr>
            <w:tcW w:w="32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18</w:t>
            </w:r>
            <w:r>
              <w:rPr>
                <w:rFonts w:ascii="Arial"/>
                <w:sz w:val="21"/>
              </w:rPr>
            </w:r>
          </w:p>
        </w:tc>
      </w:tr>
    </w:tbl>
    <w:p>
      <w:pPr>
        <w:spacing w:line="240" w:lineRule="auto" w:before="6"/>
        <w:rPr>
          <w:rFonts w:ascii="宋体" w:hAnsi="宋体" w:cs="宋体" w:eastAsia="宋体" w:hint="default"/>
          <w:sz w:val="15"/>
          <w:szCs w:val="15"/>
        </w:rPr>
      </w:pPr>
    </w:p>
    <w:p>
      <w:pPr>
        <w:pStyle w:val="Heading1"/>
        <w:spacing w:line="240" w:lineRule="auto" w:before="7"/>
        <w:ind w:right="0"/>
        <w:jc w:val="both"/>
        <w:rPr>
          <w:b w:val="0"/>
          <w:bCs w:val="0"/>
        </w:rPr>
      </w:pPr>
      <w:bookmarkStart w:name="_TOC_250006" w:id="5"/>
      <w:r>
        <w:rPr/>
        <w:t>六、公司治理结构</w:t>
      </w:r>
      <w:bookmarkEnd w:id="5"/>
      <w:r>
        <w:rPr>
          <w:b w:val="0"/>
          <w:bCs w:val="0"/>
        </w:rPr>
      </w:r>
    </w:p>
    <w:p>
      <w:pPr>
        <w:spacing w:line="240" w:lineRule="auto" w:before="3"/>
        <w:rPr>
          <w:rFonts w:ascii="黑体" w:hAnsi="黑体" w:cs="黑体" w:eastAsia="黑体" w:hint="default"/>
          <w:b/>
          <w:bCs/>
          <w:sz w:val="32"/>
          <w:szCs w:val="32"/>
        </w:rPr>
      </w:pPr>
    </w:p>
    <w:p>
      <w:pPr>
        <w:pStyle w:val="BodyText"/>
        <w:spacing w:line="520" w:lineRule="atLeast"/>
        <w:ind w:left="565" w:right="200"/>
        <w:jc w:val="left"/>
      </w:pPr>
      <w:r>
        <w:rPr/>
        <w:t>(一)公司治理的情况 </w:t>
      </w:r>
      <w:r>
        <w:rPr>
          <w:spacing w:val="-5"/>
        </w:rPr>
        <w:t>报告期内，公司严格按照《公司法》、《证券法》和中国证监会《上市公司治事准则》等法律、法</w:t>
      </w:r>
    </w:p>
    <w:p>
      <w:pPr>
        <w:pStyle w:val="BodyText"/>
        <w:spacing w:line="331" w:lineRule="auto" w:before="126"/>
        <w:ind w:right="105"/>
        <w:jc w:val="both"/>
      </w:pPr>
      <w:r>
        <w:rPr>
          <w:spacing w:val="-4"/>
        </w:rPr>
        <w:t>规的要求，不断完善公司法人治理结构，规范公司运作。</w:t>
      </w:r>
      <w:r>
        <w:rPr>
          <w:rFonts w:ascii="Arial" w:hAnsi="Arial" w:cs="Arial" w:eastAsia="Arial" w:hint="default"/>
          <w:spacing w:val="-4"/>
        </w:rPr>
        <w:t>2007 </w:t>
      </w:r>
      <w:r>
        <w:rPr/>
        <w:t>年为了更好的落实中国证监会有关文件</w:t>
      </w:r>
      <w:r>
        <w:rPr>
          <w:spacing w:val="-93"/>
        </w:rPr>
        <w:t> </w:t>
      </w:r>
      <w:r>
        <w:rPr>
          <w:spacing w:val="-12"/>
        </w:rPr>
        <w:t>精神，根据中国证监会颁布的《关于在上市公司建立独立董事制度的指导意见》、《上市公司治理准则》、</w:t>
      </w:r>
    </w:p>
    <w:p>
      <w:pPr>
        <w:pStyle w:val="BodyText"/>
        <w:spacing w:line="350" w:lineRule="auto" w:before="45"/>
        <w:ind w:right="107"/>
        <w:jc w:val="both"/>
      </w:pPr>
      <w:r>
        <w:rPr/>
        <w:t>《上市公司董事、监事和高级管理人员所持本公司股份及其变动管理规则》及《深圳市金证科技股份 有限公司章程》等有关规定，公司先后制定了公司信息披露制度、公司独立董事工作制度、总裁工作 细则、高管持股变动管理规则等相关制度，并将这些制度作为公司行动的指南，落实到日常工作中。 </w:t>
      </w:r>
      <w:r>
        <w:rPr>
          <w:spacing w:val="-3"/>
        </w:rPr>
        <w:t>截止报告期末，公司治理实际情况基本符合中国证监会发布的有关上市公司治理的规范性文件的要求。</w:t>
      </w:r>
    </w:p>
    <w:p>
      <w:pPr>
        <w:pStyle w:val="BodyText"/>
        <w:spacing w:line="240" w:lineRule="auto" w:before="149"/>
        <w:ind w:left="565" w:right="96"/>
        <w:jc w:val="left"/>
      </w:pPr>
      <w:r>
        <w:rPr/>
        <w:t>按照深圳证监</w:t>
      </w:r>
      <w:r>
        <w:rPr>
          <w:spacing w:val="-35"/>
        </w:rPr>
        <w:t>局</w:t>
      </w:r>
      <w:r>
        <w:rPr/>
        <w:t>《关于对上市公司大股东</w:t>
      </w:r>
      <w:r>
        <w:rPr>
          <w:spacing w:val="-35"/>
        </w:rPr>
        <w:t>、</w:t>
      </w:r>
      <w:r>
        <w:rPr/>
        <w:t>实际控制人提供未公开信息行为加强监管的通知</w:t>
      </w:r>
      <w:r>
        <w:rPr>
          <w:spacing w:val="-140"/>
        </w:rPr>
        <w:t>》</w:t>
      </w:r>
      <w:r>
        <w:rPr/>
        <w:t>（深</w:t>
      </w:r>
    </w:p>
    <w:p>
      <w:pPr>
        <w:spacing w:after="0" w:line="240" w:lineRule="auto"/>
        <w:jc w:val="left"/>
        <w:sectPr>
          <w:pgSz w:w="12240" w:h="15840"/>
          <w:pgMar w:header="747" w:footer="727" w:top="1040" w:bottom="920" w:left="1380" w:right="12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40" w:lineRule="auto"/>
        <w:ind w:right="210"/>
        <w:jc w:val="both"/>
      </w:pPr>
      <w:r>
        <w:rPr/>
        <w:t>圳证局公司字</w:t>
      </w:r>
      <w:r>
        <w:rPr>
          <w:rFonts w:ascii="Arial" w:hAnsi="Arial" w:cs="Arial" w:eastAsia="Arial" w:hint="default"/>
        </w:rPr>
        <w:t>[2007]11</w:t>
      </w:r>
      <w:r>
        <w:rPr>
          <w:rFonts w:ascii="Arial" w:hAnsi="Arial" w:cs="Arial" w:eastAsia="Arial" w:hint="default"/>
          <w:spacing w:val="-36"/>
        </w:rPr>
        <w:t> </w:t>
      </w:r>
      <w:r>
        <w:rPr/>
        <w:t>号）及《关于对上市公司向大股东、实际控制人提供未公开信息等治理非规范 </w:t>
      </w:r>
      <w:r>
        <w:rPr>
          <w:spacing w:val="-5"/>
          <w:w w:val="99"/>
        </w:rPr>
        <w:t>行为加强监管的补充通知》（深证局公司字〔</w:t>
      </w:r>
      <w:r>
        <w:rPr>
          <w:rFonts w:ascii="Arial" w:hAnsi="Arial" w:cs="Arial" w:eastAsia="Arial" w:hint="default"/>
          <w:spacing w:val="-5"/>
          <w:w w:val="99"/>
        </w:rPr>
        <w:t>2007</w:t>
      </w:r>
      <w:r>
        <w:rPr>
          <w:spacing w:val="-5"/>
          <w:w w:val="99"/>
        </w:rPr>
        <w:t>〕</w:t>
      </w:r>
      <w:r>
        <w:rPr>
          <w:rFonts w:ascii="Arial" w:hAnsi="Arial" w:cs="Arial" w:eastAsia="Arial" w:hint="default"/>
          <w:spacing w:val="-5"/>
          <w:w w:val="99"/>
        </w:rPr>
        <w:t>39</w:t>
      </w:r>
      <w:r>
        <w:rPr>
          <w:rFonts w:ascii="Arial" w:hAnsi="Arial" w:cs="Arial" w:eastAsia="Arial" w:hint="default"/>
          <w:spacing w:val="16"/>
          <w:w w:val="99"/>
        </w:rPr>
        <w:t> </w:t>
      </w:r>
      <w:r>
        <w:rPr>
          <w:spacing w:val="-1"/>
        </w:rPr>
        <w:t>号）的要求，报告期内公司对向大股东、实际</w:t>
      </w:r>
      <w:r>
        <w:rPr>
          <w:spacing w:val="-101"/>
        </w:rPr>
        <w:t> </w:t>
      </w:r>
      <w:r>
        <w:rPr>
          <w:spacing w:val="-101"/>
        </w:rPr>
      </w:r>
      <w:r>
        <w:rPr/>
        <w:t>控制人提供未公开信息的情况进行了自查，公司没有发现内幕信息知情人员泄露内幕信息、从事内幕 交易等情况。同时鉴于本公司股东又是管理层的特殊结构，因此深圳证监局上述通知规定的有关对大 股东、实际控制人提供未公开信息的报送及审批程序本公司不适用。</w:t>
      </w:r>
    </w:p>
    <w:p>
      <w:pPr>
        <w:pStyle w:val="BodyText"/>
        <w:spacing w:line="343" w:lineRule="auto" w:before="157"/>
        <w:ind w:right="210" w:firstLine="420"/>
        <w:jc w:val="both"/>
      </w:pPr>
      <w:r>
        <w:rPr>
          <w:rFonts w:ascii="Arial" w:hAnsi="Arial" w:cs="Arial" w:eastAsia="Arial" w:hint="default"/>
        </w:rPr>
        <w:t>1</w:t>
      </w:r>
      <w:r>
        <w:rPr/>
        <w:t>、关于股东和股东大会：公司严格按照《上市公司股东规范意见》及《股东大会议事规则》的 要求，规范股东大会召集、召开、表决程序，平等对待所有股东，确保股东特别是中小股东能充分行 使权利。股东大会提案审议均符合程序，会议召开过程中，会议主持人及出席会议的董事、监事和高 管人员能认真听取所有参会股东的意见和建议，平等对待所有股东</w:t>
      </w:r>
      <w:r>
        <w:rPr>
          <w:rFonts w:ascii="Arial" w:hAnsi="Arial" w:cs="Arial" w:eastAsia="Arial" w:hint="default"/>
        </w:rPr>
        <w:t>,</w:t>
      </w:r>
      <w:r>
        <w:rPr/>
        <w:t>确保了中小股东的话语权。</w:t>
      </w:r>
    </w:p>
    <w:p>
      <w:pPr>
        <w:pStyle w:val="BodyText"/>
        <w:spacing w:line="340" w:lineRule="auto" w:before="129"/>
        <w:ind w:right="210" w:firstLine="420"/>
        <w:jc w:val="both"/>
      </w:pPr>
      <w:r>
        <w:rPr>
          <w:rFonts w:ascii="Arial" w:hAnsi="Arial" w:cs="Arial" w:eastAsia="Arial" w:hint="default"/>
        </w:rPr>
        <w:t>2</w:t>
      </w:r>
      <w:r>
        <w:rPr/>
        <w:t>、关于控股股东与上市公司：公司具有完整的业务及自主经营能力，公司控股股东严格规范自 己的行为，公司重大事项经营决策均按照各项规则由公司经理层、董事会、股东大会讨论决定，不存 在控股股东控制公司经营决策的情况。公司和控股股东在人员、资产、财务、机构和业务等方面严格 实行</w:t>
      </w:r>
      <w:r>
        <w:rPr>
          <w:rFonts w:ascii="Arial" w:hAnsi="Arial" w:cs="Arial" w:eastAsia="Arial" w:hint="default"/>
        </w:rPr>
        <w:t>“</w:t>
      </w:r>
      <w:r>
        <w:rPr/>
        <w:t>五分开</w:t>
      </w:r>
      <w:r>
        <w:rPr>
          <w:rFonts w:ascii="Arial" w:hAnsi="Arial" w:cs="Arial" w:eastAsia="Arial" w:hint="default"/>
        </w:rPr>
        <w:t>”</w:t>
      </w:r>
      <w:r>
        <w:rPr/>
        <w:t>，各自独立核算，独立承担责任和风险，公司董事会、监事会和内部管理机构均独立运</w:t>
      </w:r>
      <w:r>
        <w:rPr>
          <w:spacing w:val="-47"/>
        </w:rPr>
        <w:t> </w:t>
      </w:r>
      <w:r>
        <w:rPr>
          <w:spacing w:val="-47"/>
        </w:rPr>
      </w:r>
      <w:r>
        <w:rPr/>
        <w:t>作，不存在控股股东占用上市公司资金的情况。</w:t>
      </w:r>
    </w:p>
    <w:p>
      <w:pPr>
        <w:pStyle w:val="BodyText"/>
        <w:spacing w:line="343" w:lineRule="auto" w:before="157"/>
        <w:ind w:right="93" w:firstLine="420"/>
        <w:jc w:val="left"/>
      </w:pPr>
      <w:r>
        <w:rPr>
          <w:rFonts w:ascii="Arial" w:hAnsi="Arial" w:cs="Arial" w:eastAsia="Arial" w:hint="default"/>
          <w:spacing w:val="-3"/>
        </w:rPr>
        <w:t>3</w:t>
      </w:r>
      <w:r>
        <w:rPr>
          <w:spacing w:val="-3"/>
        </w:rPr>
        <w:t>、关于董事与董事会：公司按照《公司法》和《公司章程》的有关规定，严格董事的选聘程序</w:t>
      </w:r>
      <w:r>
        <w:rPr>
          <w:spacing w:val="6"/>
        </w:rPr>
        <w:t> </w:t>
      </w:r>
      <w:r>
        <w:rPr/>
        <w:t>，</w:t>
      </w:r>
      <w:r>
        <w:rPr/>
        <w:t> 公司董事人员构成和人数符合法律法规的要求。董事会依法行使职权，公司各位董事均能勤勉诚信地 </w:t>
      </w:r>
      <w:r>
        <w:rPr>
          <w:spacing w:val="-5"/>
        </w:rPr>
        <w:t>履行职责，并按照有关法律法规及《公司章程》、《董事会议事规则》要求，亲自参加或者委托其他董</w:t>
      </w:r>
      <w:r>
        <w:rPr>
          <w:spacing w:val="-90"/>
        </w:rPr>
        <w:t> </w:t>
      </w:r>
      <w:r>
        <w:rPr>
          <w:spacing w:val="-90"/>
        </w:rPr>
      </w:r>
      <w:r>
        <w:rPr/>
        <w:t>事参加董事会会议，并在会议上发表自己的意见和建议，且对会议的各项议案独立的进行表决。</w:t>
      </w:r>
    </w:p>
    <w:p>
      <w:pPr>
        <w:pStyle w:val="BodyText"/>
        <w:spacing w:line="345" w:lineRule="auto" w:before="154"/>
        <w:ind w:right="96" w:firstLine="420"/>
        <w:jc w:val="left"/>
      </w:pPr>
      <w:r>
        <w:rPr>
          <w:rFonts w:ascii="Arial" w:hAnsi="Arial" w:cs="Arial" w:eastAsia="Arial" w:hint="default"/>
          <w:spacing w:val="-1"/>
        </w:rPr>
        <w:t>4</w:t>
      </w:r>
      <w:r>
        <w:rPr>
          <w:spacing w:val="-1"/>
        </w:rPr>
        <w:t>、关于监事与监事会：公司监事会能够依据《监事会议事规则》等制度，定期召开监事会会议，</w:t>
      </w:r>
      <w:r>
        <w:rPr/>
        <w:t> 并以认真负责的态度列席董事会会议；在日常工作中，公司监事会依照国家有关法律、法规和公司章 程，对公司股东大会、董事会会议的召开程序、决议事项、董事会对股东大会决议的执行情况、公司 高管人员执行职务的情况以及公司管理制度进行了监督对公司的重大事项进行审议，履行对董事、高 级管理人员的履职情况及公司财务的监督与检查责任，维护公司及全体股东的合法权益。</w:t>
      </w:r>
    </w:p>
    <w:p>
      <w:pPr>
        <w:pStyle w:val="BodyText"/>
        <w:spacing w:line="343" w:lineRule="auto" w:before="153"/>
        <w:ind w:right="210" w:firstLine="420"/>
        <w:jc w:val="both"/>
      </w:pPr>
      <w:r>
        <w:rPr>
          <w:rFonts w:ascii="Arial" w:hAnsi="Arial" w:cs="Arial" w:eastAsia="Arial" w:hint="default"/>
        </w:rPr>
        <w:t>5</w:t>
      </w:r>
      <w:r>
        <w:rPr/>
        <w:t>、关于绩效评价与激励约束机制：公司正逐步建立并不断完善公正透明的董事、监事和高级管 理人员的绩效评价标准和激励约束机制，董事津贴及董事、监事、高级管理人员的薪酬由董事会根据 公司董事、监事、高级管理人员的工作情况以及同行业其它上市公司的水平，向董事会提出建议，经 董事会以及股东大会审议后确定。</w:t>
      </w:r>
    </w:p>
    <w:p>
      <w:pPr>
        <w:pStyle w:val="BodyText"/>
        <w:spacing w:line="331" w:lineRule="auto" w:before="154"/>
        <w:ind w:right="210" w:firstLine="420"/>
        <w:jc w:val="both"/>
      </w:pPr>
      <w:r>
        <w:rPr>
          <w:rFonts w:ascii="Arial" w:hAnsi="Arial" w:cs="Arial" w:eastAsia="Arial" w:hint="default"/>
        </w:rPr>
        <w:t>6</w:t>
      </w:r>
      <w:r>
        <w:rPr/>
        <w:t>、关于相关利益者：公司能够充分尊重和维护相关利益者的合法权益，实现股东、员工、社会 等各方利益的协调平衡，共同推进公司持续、健康的发展。</w:t>
      </w:r>
    </w:p>
    <w:p>
      <w:pPr>
        <w:pStyle w:val="BodyText"/>
        <w:spacing w:line="331" w:lineRule="auto" w:before="166"/>
        <w:ind w:right="210" w:firstLine="420"/>
        <w:jc w:val="both"/>
      </w:pPr>
      <w:r>
        <w:rPr>
          <w:rFonts w:ascii="Arial" w:hAnsi="Arial" w:cs="Arial" w:eastAsia="Arial" w:hint="default"/>
        </w:rPr>
        <w:t>7</w:t>
      </w:r>
      <w:r>
        <w:rPr/>
        <w:t>、关于信息披露和透明度：公司董事会秘书负责公司的信息披露工作，接待股东来访和投资者 </w:t>
      </w:r>
      <w:r>
        <w:rPr>
          <w:spacing w:val="-5"/>
        </w:rPr>
        <w:t>咨询。报告期内，公司修订了《信息披露管理制度》，确保信息披露真实、准确、完整，切实保证投资</w:t>
      </w:r>
    </w:p>
    <w:p>
      <w:pPr>
        <w:spacing w:after="0" w:line="331" w:lineRule="auto"/>
        <w:jc w:val="both"/>
        <w:sectPr>
          <w:footerReference w:type="default" r:id="rId12"/>
          <w:pgSz w:w="12240" w:h="15840"/>
          <w:pgMar w:footer="727" w:header="747" w:top="1040" w:bottom="920" w:left="1380" w:right="1260"/>
          <w:pgNumType w:start="13"/>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both"/>
      </w:pPr>
      <w:r>
        <w:rPr/>
        <w:t>者能平等的获得有关信息，公司指定信息披露报纸为《证券时报</w:t>
      </w:r>
      <w:r>
        <w:rPr>
          <w:spacing w:val="-105"/>
        </w:rPr>
        <w:t>》</w:t>
      </w:r>
      <w:r>
        <w:rPr/>
        <w:t>。</w:t>
      </w:r>
    </w:p>
    <w:p>
      <w:pPr>
        <w:pStyle w:val="BodyText"/>
        <w:spacing w:line="520" w:lineRule="atLeast" w:before="14"/>
        <w:ind w:left="565" w:right="204"/>
        <w:jc w:val="left"/>
        <w:rPr>
          <w:rFonts w:ascii="Arial" w:hAnsi="Arial" w:cs="Arial" w:eastAsia="Arial" w:hint="default"/>
        </w:rPr>
      </w:pPr>
      <w:r>
        <w:rPr>
          <w:rFonts w:ascii="Arial" w:hAnsi="Arial" w:cs="Arial" w:eastAsia="Arial" w:hint="default"/>
        </w:rPr>
        <w:t>8</w:t>
      </w:r>
      <w:r>
        <w:rPr/>
        <w:t>、公司治理专项活动情况 </w:t>
      </w:r>
      <w:r>
        <w:rPr>
          <w:spacing w:val="-3"/>
        </w:rPr>
        <w:t>根据中国证监会《关于加强上市公司治理专项活动有关事项的通知》的要求，本公司自</w:t>
      </w:r>
      <w:r>
        <w:rPr>
          <w:spacing w:val="-55"/>
        </w:rPr>
        <w:t> </w:t>
      </w:r>
      <w:r>
        <w:rPr>
          <w:rFonts w:ascii="Arial" w:hAnsi="Arial" w:cs="Arial" w:eastAsia="Arial" w:hint="default"/>
        </w:rPr>
        <w:t>2007</w:t>
      </w:r>
      <w:r>
        <w:rPr>
          <w:rFonts w:ascii="Arial" w:hAnsi="Arial" w:cs="Arial" w:eastAsia="Arial" w:hint="default"/>
          <w:spacing w:val="-8"/>
        </w:rPr>
        <w:t> </w:t>
      </w:r>
      <w:r>
        <w:rPr/>
        <w:t>年</w:t>
      </w:r>
      <w:r>
        <w:rPr>
          <w:spacing w:val="-55"/>
        </w:rPr>
        <w:t> </w:t>
      </w:r>
      <w:r>
        <w:rPr>
          <w:rFonts w:ascii="Arial" w:hAnsi="Arial" w:cs="Arial" w:eastAsia="Arial" w:hint="default"/>
        </w:rPr>
        <w:t>4</w:t>
      </w:r>
    </w:p>
    <w:p>
      <w:pPr>
        <w:pStyle w:val="BodyText"/>
        <w:spacing w:line="240" w:lineRule="auto" w:before="110"/>
        <w:ind w:right="0"/>
        <w:jc w:val="both"/>
      </w:pPr>
      <w:r>
        <w:rPr/>
        <w:t>月起，进行了认真的治理自查，并于</w:t>
      </w:r>
      <w:r>
        <w:rPr>
          <w:spacing w:val="-37"/>
        </w:rPr>
        <w:t> </w:t>
      </w:r>
      <w:r>
        <w:rPr>
          <w:rFonts w:ascii="Arial" w:hAnsi="Arial" w:cs="Arial" w:eastAsia="Arial" w:hint="default"/>
        </w:rPr>
        <w:t>6</w:t>
      </w:r>
      <w:r>
        <w:rPr>
          <w:rFonts w:ascii="Arial" w:hAnsi="Arial" w:cs="Arial" w:eastAsia="Arial" w:hint="default"/>
          <w:spacing w:val="11"/>
        </w:rPr>
        <w:t> </w:t>
      </w:r>
      <w:r>
        <w:rPr/>
        <w:t>月</w:t>
      </w:r>
      <w:r>
        <w:rPr>
          <w:spacing w:val="-37"/>
        </w:rPr>
        <w:t> </w:t>
      </w:r>
      <w:r>
        <w:rPr>
          <w:rFonts w:ascii="Arial" w:hAnsi="Arial" w:cs="Arial" w:eastAsia="Arial" w:hint="default"/>
        </w:rPr>
        <w:t>30</w:t>
      </w:r>
      <w:r>
        <w:rPr>
          <w:rFonts w:ascii="Arial" w:hAnsi="Arial" w:cs="Arial" w:eastAsia="Arial" w:hint="default"/>
          <w:spacing w:val="11"/>
        </w:rPr>
        <w:t> </w:t>
      </w:r>
      <w:r>
        <w:rPr/>
        <w:t>日披露了公司治理自查报告。经过自查和公众评议阶段</w:t>
      </w:r>
    </w:p>
    <w:p>
      <w:pPr>
        <w:pStyle w:val="BodyText"/>
        <w:spacing w:line="240" w:lineRule="auto" w:before="110"/>
        <w:ind w:left="144" w:right="0"/>
        <w:jc w:val="both"/>
      </w:pPr>
      <w:r>
        <w:rPr/>
        <w:t>的工作，中国证监会深圳监管局（以下简称为：深圳监管局）于</w:t>
      </w:r>
      <w:r>
        <w:rPr>
          <w:spacing w:val="-37"/>
        </w:rPr>
        <w:t> </w:t>
      </w:r>
      <w:r>
        <w:rPr>
          <w:rFonts w:ascii="Arial" w:hAnsi="Arial" w:cs="Arial" w:eastAsia="Arial" w:hint="default"/>
        </w:rPr>
        <w:t>9</w:t>
      </w:r>
      <w:r>
        <w:rPr>
          <w:rFonts w:ascii="Arial" w:hAnsi="Arial" w:cs="Arial" w:eastAsia="Arial" w:hint="default"/>
          <w:spacing w:val="11"/>
        </w:rPr>
        <w:t> </w:t>
      </w:r>
      <w:r>
        <w:rPr/>
        <w:t>月</w:t>
      </w:r>
      <w:r>
        <w:rPr>
          <w:spacing w:val="-36"/>
        </w:rPr>
        <w:t> </w:t>
      </w:r>
      <w:r>
        <w:rPr>
          <w:rFonts w:ascii="Arial" w:hAnsi="Arial" w:cs="Arial" w:eastAsia="Arial" w:hint="default"/>
        </w:rPr>
        <w:t>18</w:t>
      </w:r>
      <w:r>
        <w:rPr>
          <w:rFonts w:ascii="Arial" w:hAnsi="Arial" w:cs="Arial" w:eastAsia="Arial" w:hint="default"/>
          <w:spacing w:val="9"/>
        </w:rPr>
        <w:t> </w:t>
      </w:r>
      <w:r>
        <w:rPr/>
        <w:t>日对本公司的治理情况及治</w:t>
      </w:r>
    </w:p>
    <w:p>
      <w:pPr>
        <w:pStyle w:val="BodyText"/>
        <w:spacing w:line="333" w:lineRule="auto" w:before="111"/>
        <w:ind w:left="144" w:right="178"/>
        <w:jc w:val="both"/>
        <w:rPr>
          <w:rFonts w:ascii="Arial" w:hAnsi="Arial" w:cs="Arial" w:eastAsia="Arial" w:hint="default"/>
        </w:rPr>
      </w:pPr>
      <w:r>
        <w:rPr/>
        <w:t>理专项活动的开展情况进行了现场检查，并于</w:t>
      </w:r>
      <w:r>
        <w:rPr>
          <w:spacing w:val="-36"/>
        </w:rPr>
        <w:t> </w:t>
      </w:r>
      <w:r>
        <w:rPr>
          <w:rFonts w:ascii="Arial" w:hAnsi="Arial" w:cs="Arial" w:eastAsia="Arial" w:hint="default"/>
        </w:rPr>
        <w:t>9</w:t>
      </w:r>
      <w:r>
        <w:rPr>
          <w:rFonts w:ascii="Arial" w:hAnsi="Arial" w:cs="Arial" w:eastAsia="Arial" w:hint="default"/>
          <w:spacing w:val="9"/>
        </w:rPr>
        <w:t> </w:t>
      </w:r>
      <w:r>
        <w:rPr/>
        <w:t>月</w:t>
      </w:r>
      <w:r>
        <w:rPr>
          <w:spacing w:val="-36"/>
        </w:rPr>
        <w:t> </w:t>
      </w:r>
      <w:r>
        <w:rPr>
          <w:rFonts w:ascii="Arial" w:hAnsi="Arial" w:cs="Arial" w:eastAsia="Arial" w:hint="default"/>
        </w:rPr>
        <w:t>30</w:t>
      </w:r>
      <w:r>
        <w:rPr>
          <w:rFonts w:ascii="Arial" w:hAnsi="Arial" w:cs="Arial" w:eastAsia="Arial" w:hint="default"/>
          <w:spacing w:val="9"/>
        </w:rPr>
        <w:t> </w:t>
      </w:r>
      <w:r>
        <w:rPr/>
        <w:t>日下发了《关于对深圳市金证科技股份有限公 </w:t>
      </w:r>
      <w:r>
        <w:rPr>
          <w:spacing w:val="-5"/>
        </w:rPr>
        <w:t>司治理情况的监管意见》，公司高度重视监管部门下发的监管意见，及时组织公司董事、监事及高级管</w:t>
      </w:r>
      <w:r>
        <w:rPr>
          <w:spacing w:val="-91"/>
        </w:rPr>
        <w:t> </w:t>
      </w:r>
      <w:r>
        <w:rPr>
          <w:spacing w:val="-91"/>
        </w:rPr>
      </w:r>
      <w:r>
        <w:rPr>
          <w:spacing w:val="-3"/>
        </w:rPr>
        <w:t>理人员认真学习，对</w:t>
      </w:r>
      <w:r>
        <w:rPr>
          <w:rFonts w:ascii="Arial" w:hAnsi="Arial" w:cs="Arial" w:eastAsia="Arial" w:hint="default"/>
          <w:spacing w:val="-3"/>
        </w:rPr>
        <w:t>“</w:t>
      </w:r>
      <w:r>
        <w:rPr>
          <w:spacing w:val="-3"/>
        </w:rPr>
        <w:t>意见</w:t>
      </w:r>
      <w:r>
        <w:rPr>
          <w:rFonts w:ascii="Arial" w:hAnsi="Arial" w:cs="Arial" w:eastAsia="Arial" w:hint="default"/>
          <w:spacing w:val="-3"/>
        </w:rPr>
        <w:t>”</w:t>
      </w:r>
      <w:r>
        <w:rPr>
          <w:spacing w:val="-3"/>
        </w:rPr>
        <w:t>中所列公司当前存在的问题进行了深入研究，结合《上市公司治理准则》、</w:t>
      </w:r>
      <w:r>
        <w:rPr>
          <w:spacing w:val="-74"/>
        </w:rPr>
        <w:t> </w:t>
      </w:r>
      <w:r>
        <w:rPr>
          <w:spacing w:val="-74"/>
        </w:rPr>
      </w:r>
      <w:r>
        <w:rPr>
          <w:spacing w:val="-3"/>
          <w:w w:val="99"/>
        </w:rPr>
        <w:t>中国证监会《关于开展加强上市公司治理专项活动有关事项的通知》（证监公司字</w:t>
      </w:r>
      <w:r>
        <w:rPr>
          <w:rFonts w:ascii="Arial" w:hAnsi="Arial" w:cs="Arial" w:eastAsia="Arial" w:hint="default"/>
          <w:spacing w:val="-3"/>
          <w:w w:val="99"/>
        </w:rPr>
        <w:t>[2007]28</w:t>
      </w:r>
      <w:r>
        <w:rPr>
          <w:rFonts w:ascii="Arial" w:hAnsi="Arial" w:cs="Arial" w:eastAsia="Arial" w:hint="default"/>
          <w:w w:val="99"/>
        </w:rPr>
        <w:t> </w:t>
      </w:r>
      <w:r>
        <w:rPr>
          <w:spacing w:val="1"/>
        </w:rPr>
        <w:t>号）及深</w:t>
      </w:r>
      <w:r>
        <w:rPr>
          <w:spacing w:val="-82"/>
        </w:rPr>
        <w:t> </w:t>
      </w:r>
      <w:r>
        <w:rPr>
          <w:spacing w:val="-82"/>
        </w:rPr>
      </w:r>
      <w:r>
        <w:rPr>
          <w:spacing w:val="-3"/>
          <w:w w:val="99"/>
        </w:rPr>
        <w:t>圳监管局《关于做好深圳辖区上市公司治理专项活动有关工作的通知》（深证监公司字</w:t>
      </w:r>
      <w:r>
        <w:rPr>
          <w:rFonts w:ascii="Arial" w:hAnsi="Arial" w:cs="Arial" w:eastAsia="Arial" w:hint="default"/>
          <w:spacing w:val="-3"/>
          <w:w w:val="99"/>
        </w:rPr>
        <w:t>[2007]14</w:t>
      </w:r>
      <w:r>
        <w:rPr>
          <w:rFonts w:ascii="Arial" w:hAnsi="Arial" w:cs="Arial" w:eastAsia="Arial" w:hint="default"/>
          <w:w w:val="99"/>
        </w:rPr>
        <w:t> </w:t>
      </w:r>
      <w:r>
        <w:rPr>
          <w:spacing w:val="1"/>
        </w:rPr>
        <w:t>号）</w:t>
      </w:r>
      <w:r>
        <w:rPr>
          <w:spacing w:val="-74"/>
        </w:rPr>
        <w:t> </w:t>
      </w:r>
      <w:r>
        <w:rPr/>
        <w:t>的文件精神，及本公司章程的有关规定，针对监管意见中提出的问题制订了整改措施，公司于</w:t>
      </w:r>
      <w:r>
        <w:rPr>
          <w:spacing w:val="44"/>
        </w:rPr>
        <w:t> </w:t>
      </w:r>
      <w:r>
        <w:rPr>
          <w:rFonts w:ascii="Arial" w:hAnsi="Arial" w:cs="Arial" w:eastAsia="Arial" w:hint="default"/>
        </w:rPr>
        <w:t>2007</w:t>
      </w:r>
    </w:p>
    <w:p>
      <w:pPr>
        <w:pStyle w:val="BodyText"/>
        <w:spacing w:line="240" w:lineRule="auto" w:before="19"/>
        <w:ind w:left="144" w:right="0"/>
        <w:jc w:val="both"/>
      </w:pPr>
      <w:r>
        <w:rPr/>
        <w:t>年</w:t>
      </w:r>
      <w:r>
        <w:rPr>
          <w:spacing w:val="-60"/>
        </w:rPr>
        <w:t> </w:t>
      </w:r>
      <w:r>
        <w:rPr>
          <w:rFonts w:ascii="Arial" w:hAnsi="Arial" w:cs="Arial" w:eastAsia="Arial" w:hint="default"/>
        </w:rPr>
        <w:t>10</w:t>
      </w:r>
      <w:r>
        <w:rPr>
          <w:rFonts w:ascii="Arial" w:hAnsi="Arial" w:cs="Arial" w:eastAsia="Arial" w:hint="default"/>
          <w:spacing w:val="-13"/>
        </w:rPr>
        <w:t> </w:t>
      </w:r>
      <w:r>
        <w:rPr/>
        <w:t>月</w:t>
      </w:r>
      <w:r>
        <w:rPr>
          <w:spacing w:val="-13"/>
        </w:rPr>
        <w:t> </w:t>
      </w:r>
      <w:r>
        <w:rPr>
          <w:rFonts w:ascii="Arial" w:hAnsi="Arial" w:cs="Arial" w:eastAsia="Arial" w:hint="default"/>
        </w:rPr>
        <w:t>23</w:t>
      </w:r>
      <w:r>
        <w:rPr>
          <w:rFonts w:ascii="Arial" w:hAnsi="Arial" w:cs="Arial" w:eastAsia="Arial" w:hint="default"/>
          <w:spacing w:val="-13"/>
        </w:rPr>
        <w:t> </w:t>
      </w:r>
      <w:r>
        <w:rPr/>
        <w:t>日召开了第三届董事会</w:t>
      </w:r>
      <w:r>
        <w:rPr>
          <w:spacing w:val="-60"/>
        </w:rPr>
        <w:t> </w:t>
      </w:r>
      <w:r>
        <w:rPr>
          <w:rFonts w:ascii="Arial" w:hAnsi="Arial" w:cs="Arial" w:eastAsia="Arial" w:hint="default"/>
        </w:rPr>
        <w:t>2007</w:t>
      </w:r>
      <w:r>
        <w:rPr>
          <w:rFonts w:ascii="Arial" w:hAnsi="Arial" w:cs="Arial" w:eastAsia="Arial" w:hint="default"/>
          <w:spacing w:val="-13"/>
        </w:rPr>
        <w:t> </w:t>
      </w:r>
      <w:r>
        <w:rPr/>
        <w:t>第二次会议审议并通过了《深圳市金证科技股份有限公司公</w:t>
      </w:r>
    </w:p>
    <w:p>
      <w:pPr>
        <w:pStyle w:val="BodyText"/>
        <w:spacing w:line="331" w:lineRule="auto" w:before="110"/>
        <w:ind w:left="143" w:right="212"/>
        <w:jc w:val="both"/>
      </w:pPr>
      <w:r>
        <w:rPr>
          <w:spacing w:val="-10"/>
        </w:rPr>
        <w:t>司治理整改报告》，金证股份公司治理整改报告于</w:t>
      </w:r>
      <w:r>
        <w:rPr>
          <w:spacing w:val="-50"/>
        </w:rPr>
        <w:t> </w:t>
      </w:r>
      <w:r>
        <w:rPr>
          <w:rFonts w:ascii="Arial" w:hAnsi="Arial" w:cs="Arial" w:eastAsia="Arial" w:hint="default"/>
          <w:spacing w:val="-1"/>
          <w:w w:val="99"/>
        </w:rPr>
        <w:t>2007</w:t>
      </w:r>
      <w:r>
        <w:rPr>
          <w:rFonts w:ascii="Arial" w:hAnsi="Arial" w:cs="Arial" w:eastAsia="Arial" w:hint="default"/>
          <w:spacing w:val="-3"/>
          <w:w w:val="99"/>
        </w:rPr>
        <w:t> </w:t>
      </w:r>
      <w:r>
        <w:rPr/>
        <w:t>年</w:t>
      </w:r>
      <w:r>
        <w:rPr>
          <w:spacing w:val="-50"/>
        </w:rPr>
        <w:t> </w:t>
      </w:r>
      <w:r>
        <w:rPr>
          <w:rFonts w:ascii="Arial" w:hAnsi="Arial" w:cs="Arial" w:eastAsia="Arial" w:hint="default"/>
          <w:w w:val="99"/>
        </w:rPr>
        <w:t>10</w:t>
      </w:r>
      <w:r>
        <w:rPr>
          <w:rFonts w:ascii="Arial" w:hAnsi="Arial" w:cs="Arial" w:eastAsia="Arial" w:hint="default"/>
          <w:spacing w:val="-3"/>
          <w:w w:val="99"/>
        </w:rPr>
        <w:t> </w:t>
      </w:r>
      <w:r>
        <w:rPr/>
        <w:t>月</w:t>
      </w:r>
      <w:r>
        <w:rPr>
          <w:spacing w:val="-50"/>
        </w:rPr>
        <w:t> </w:t>
      </w:r>
      <w:r>
        <w:rPr>
          <w:rFonts w:ascii="Arial" w:hAnsi="Arial" w:cs="Arial" w:eastAsia="Arial" w:hint="default"/>
          <w:spacing w:val="-1"/>
          <w:w w:val="99"/>
        </w:rPr>
        <w:t>24</w:t>
      </w:r>
      <w:r>
        <w:rPr>
          <w:rFonts w:ascii="Arial" w:hAnsi="Arial" w:cs="Arial" w:eastAsia="Arial" w:hint="default"/>
          <w:spacing w:val="-3"/>
          <w:w w:val="99"/>
        </w:rPr>
        <w:t> </w:t>
      </w:r>
      <w:r>
        <w:rPr/>
        <w:t>日在上海证券交易所网站进行了披 露。</w:t>
      </w:r>
    </w:p>
    <w:p>
      <w:pPr>
        <w:pStyle w:val="BodyText"/>
        <w:spacing w:line="240" w:lineRule="auto" w:before="55"/>
        <w:ind w:left="683" w:right="96"/>
        <w:jc w:val="left"/>
      </w:pPr>
      <w:r>
        <w:rPr/>
        <w:t>(二)独立董事履行职责情况</w:t>
      </w:r>
    </w:p>
    <w:p>
      <w:pPr>
        <w:pStyle w:val="BodyText"/>
        <w:spacing w:line="240" w:lineRule="auto" w:before="117"/>
        <w:ind w:left="683" w:right="96"/>
        <w:jc w:val="left"/>
      </w:pPr>
      <w:r>
        <w:rPr>
          <w:rFonts w:ascii="Arial" w:hAnsi="Arial" w:cs="Arial" w:eastAsia="Arial" w:hint="default"/>
        </w:rPr>
        <w:t>1</w:t>
      </w:r>
      <w:r>
        <w:rPr/>
        <w:t>、独立董事参加董事会的出席情况</w:t>
      </w:r>
    </w:p>
    <w:p>
      <w:pPr>
        <w:spacing w:line="240" w:lineRule="auto" w:before="7"/>
        <w:rPr>
          <w:rFonts w:ascii="宋体" w:hAnsi="宋体" w:cs="宋体" w:eastAsia="宋体" w:hint="default"/>
          <w:sz w:val="10"/>
          <w:szCs w:val="10"/>
        </w:rPr>
      </w:pPr>
    </w:p>
    <w:tbl>
      <w:tblPr>
        <w:tblW w:w="0" w:type="auto"/>
        <w:jc w:val="left"/>
        <w:tblInd w:w="129" w:type="dxa"/>
        <w:tblLayout w:type="fixed"/>
        <w:tblCellMar>
          <w:top w:w="0" w:type="dxa"/>
          <w:left w:w="0" w:type="dxa"/>
          <w:bottom w:w="0" w:type="dxa"/>
          <w:right w:w="0" w:type="dxa"/>
        </w:tblCellMar>
        <w:tblLook w:val="01E0"/>
      </w:tblPr>
      <w:tblGrid>
        <w:gridCol w:w="1513"/>
        <w:gridCol w:w="2376"/>
        <w:gridCol w:w="1730"/>
        <w:gridCol w:w="1730"/>
        <w:gridCol w:w="1298"/>
        <w:gridCol w:w="652"/>
      </w:tblGrid>
      <w:tr>
        <w:trPr>
          <w:trHeight w:val="404"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本年应参加董事会次数</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亲自出席（次）</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委托出席（次）</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缺席（次）</w:t>
            </w:r>
          </w:p>
        </w:tc>
        <w:tc>
          <w:tcPr>
            <w:tcW w:w="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106"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龚志忠</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李毅</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李智渊</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袁继全</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孙建文</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齐玉武</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蔡敬侠</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652"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11"/>
        <w:rPr>
          <w:rFonts w:ascii="宋体" w:hAnsi="宋体" w:cs="宋体" w:eastAsia="宋体" w:hint="default"/>
          <w:sz w:val="23"/>
          <w:szCs w:val="23"/>
        </w:rPr>
      </w:pPr>
    </w:p>
    <w:p>
      <w:pPr>
        <w:pStyle w:val="BodyText"/>
        <w:spacing w:line="350" w:lineRule="auto" w:before="35"/>
        <w:ind w:right="96" w:firstLine="420"/>
        <w:jc w:val="left"/>
      </w:pPr>
      <w:r>
        <w:rPr/>
        <w:t>报告期内，公司独立董事严格按照有关规定勤勉尽责，忠实履行职务，积极参加公司召开的董事 会会议，认真审议各项议案，积极发表意见，利用专业知识做出独立、客观的判断。对公司的治理专 </w:t>
      </w:r>
      <w:r>
        <w:rPr>
          <w:spacing w:val="-3"/>
        </w:rPr>
        <w:t>项活动、聘任高级管理人员等事项发表独立意见，从专业角度对公司的决策提出了建设性意见或建议，</w:t>
      </w:r>
      <w:r>
        <w:rPr>
          <w:spacing w:val="-74"/>
        </w:rPr>
        <w:t> </w:t>
      </w:r>
      <w:r>
        <w:rPr>
          <w:spacing w:val="-74"/>
        </w:rPr>
      </w:r>
      <w:r>
        <w:rPr/>
        <w:t>保证了公司董事会决策的公正性、客观性和科学性，为董事会的科学决策及保护中小股东利益起到了 积极作用。</w:t>
      </w:r>
    </w:p>
    <w:p>
      <w:pPr>
        <w:pStyle w:val="BodyText"/>
        <w:spacing w:line="453" w:lineRule="auto" w:before="148"/>
        <w:ind w:left="565" w:right="615"/>
        <w:jc w:val="left"/>
      </w:pPr>
      <w:r>
        <w:rPr/>
        <w:t>2、独立董事对公司有关事项提出异议的情况 报告期内，公司独立董事未对公司本年度的董事会议案及其他非董事会议案事项提出异议。 (三)公司相对于控股股东在业务、人员、资产、机构、财务等方面的独立情况</w:t>
      </w:r>
    </w:p>
    <w:p>
      <w:pPr>
        <w:spacing w:after="0" w:line="453" w:lineRule="auto"/>
        <w:jc w:val="left"/>
        <w:sectPr>
          <w:pgSz w:w="12240" w:h="15840"/>
          <w:pgMar w:header="747" w:footer="727" w:top="1040" w:bottom="920" w:left="1380" w:right="12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40" w:lineRule="auto"/>
        <w:ind w:right="210" w:firstLine="420"/>
        <w:jc w:val="both"/>
      </w:pPr>
      <w:r>
        <w:rPr>
          <w:rFonts w:ascii="Arial" w:hAnsi="Arial" w:cs="Arial" w:eastAsia="Arial" w:hint="default"/>
        </w:rPr>
        <w:t>1</w:t>
      </w:r>
      <w:r>
        <w:rPr/>
        <w:t>、业务方面：公司拥有独立的研发、采购、生产和销售系统，产供销研发均在公司董事会和经 营班子的组织领导下实施，在研发、采购、生产和销售方面均独立面向市场，与股东及股东控股企业 之间不存在同业竞争关系，也不依赖于股东或者其他任何关联方。</w:t>
      </w:r>
    </w:p>
    <w:p>
      <w:pPr>
        <w:pStyle w:val="BodyText"/>
        <w:spacing w:line="340" w:lineRule="auto" w:before="156"/>
        <w:ind w:right="96" w:firstLine="420"/>
        <w:jc w:val="left"/>
      </w:pPr>
      <w:r>
        <w:rPr>
          <w:rFonts w:ascii="Arial" w:hAnsi="Arial" w:cs="Arial" w:eastAsia="Arial" w:hint="default"/>
        </w:rPr>
        <w:t>2</w:t>
      </w:r>
      <w:r>
        <w:rPr/>
        <w:t>、人员方面：公司董事、监事、高级管理人员的任免符合法定程序，不存在法律、法规和其他 </w:t>
      </w:r>
      <w:r>
        <w:rPr>
          <w:spacing w:val="-3"/>
        </w:rPr>
        <w:t>规范性文件限制或禁止的兼职情况，也不存在超越本公司董事会和股东大会职权做出的人事任免决定。</w:t>
      </w:r>
      <w:r>
        <w:rPr>
          <w:spacing w:val="-75"/>
        </w:rPr>
        <w:t> </w:t>
      </w:r>
      <w:r>
        <w:rPr>
          <w:spacing w:val="-75"/>
        </w:rPr>
      </w:r>
      <w:r>
        <w:rPr/>
        <w:t>公司具有独立、完善的劳动社会保障、人事和工资管理制度。</w:t>
      </w:r>
    </w:p>
    <w:p>
      <w:pPr>
        <w:pStyle w:val="BodyText"/>
        <w:spacing w:line="340" w:lineRule="auto" w:before="156"/>
        <w:ind w:right="210" w:firstLine="420"/>
        <w:jc w:val="both"/>
      </w:pPr>
      <w:r>
        <w:rPr>
          <w:rFonts w:ascii="Arial" w:hAnsi="Arial" w:cs="Arial" w:eastAsia="Arial" w:hint="default"/>
        </w:rPr>
        <w:t>3</w:t>
      </w:r>
      <w:r>
        <w:rPr/>
        <w:t>、资产方面：公司与股东之间的产权权属明确。公司设立时，股东出资全部真实到位。公司拥 有独立于股东及控股股东的生产经营场所，包括其他生产经营所需的资产都属于本公司，不存在股东 及控股股东占用公司资产的情况。</w:t>
      </w:r>
    </w:p>
    <w:p>
      <w:pPr>
        <w:pStyle w:val="BodyText"/>
        <w:spacing w:line="340" w:lineRule="auto" w:before="156"/>
        <w:ind w:right="210" w:firstLine="420"/>
        <w:jc w:val="both"/>
      </w:pPr>
      <w:r>
        <w:rPr>
          <w:rFonts w:ascii="Arial" w:hAnsi="Arial" w:cs="Arial" w:eastAsia="Arial" w:hint="default"/>
        </w:rPr>
        <w:t>4</w:t>
      </w:r>
      <w:r>
        <w:rPr/>
        <w:t>、机构方面：公司机构完整，机构的设置完全按照法定程序并根据公司情况需要设立，公司的 生产经营和办公机构与股东单位或个人的场所完全分开，不存在混合经营、合署办公的情形，股东与 公司职能部门没有直接上下级关系。</w:t>
      </w:r>
    </w:p>
    <w:p>
      <w:pPr>
        <w:pStyle w:val="BodyText"/>
        <w:spacing w:line="343" w:lineRule="auto" w:before="156"/>
        <w:ind w:right="96" w:firstLine="420"/>
        <w:jc w:val="left"/>
      </w:pPr>
      <w:r>
        <w:rPr>
          <w:rFonts w:ascii="Arial" w:hAnsi="Arial" w:cs="Arial" w:eastAsia="Arial" w:hint="default"/>
        </w:rPr>
        <w:t>5</w:t>
      </w:r>
      <w:r>
        <w:rPr/>
        <w:t>、财务方面：公司设立独立的财务会计部门，且建立了独立的会计核算体系、财务会计制度和 财务管理制度，独立进行财务决策。公司拥有独立的银行账户，独立依法纳税，公司不与股东单位或 </w:t>
      </w:r>
      <w:r>
        <w:rPr>
          <w:spacing w:val="-3"/>
        </w:rPr>
        <w:t>者其他任何单位或者个人共用银行账户。公司除为一家子公司提供担保外，没有为股东、其他关联方、</w:t>
      </w:r>
      <w:r>
        <w:rPr>
          <w:spacing w:val="-75"/>
        </w:rPr>
        <w:t> </w:t>
      </w:r>
      <w:r>
        <w:rPr>
          <w:spacing w:val="-75"/>
        </w:rPr>
      </w:r>
      <w:r>
        <w:rPr/>
        <w:t>其他机构以及提供任何担保。</w:t>
      </w:r>
    </w:p>
    <w:p>
      <w:pPr>
        <w:pStyle w:val="BodyText"/>
        <w:spacing w:line="393" w:lineRule="auto" w:before="154"/>
        <w:ind w:left="345" w:right="96"/>
        <w:jc w:val="left"/>
      </w:pPr>
      <w:r>
        <w:rPr/>
        <w:t>(四)高级管理人员的考评及激励情况 </w:t>
      </w:r>
      <w:r>
        <w:rPr>
          <w:spacing w:val="-5"/>
        </w:rPr>
        <w:t>公司制定了《经营班子考核方案》和《绩效奖励基金管理办法》，年初时根据公司总体发展战略和年</w:t>
      </w:r>
    </w:p>
    <w:p>
      <w:pPr>
        <w:pStyle w:val="BodyText"/>
        <w:spacing w:line="348" w:lineRule="auto"/>
        <w:ind w:right="195"/>
        <w:jc w:val="left"/>
      </w:pPr>
      <w:r>
        <w:rPr/>
        <w:t>度经营目标确定各位高管人员的年度经营业绩考核综合指标或管理职责，年末根据各高管人员的经营 业绩综合指标进行考核。</w:t>
      </w:r>
    </w:p>
    <w:p>
      <w:pPr>
        <w:pStyle w:val="BodyText"/>
        <w:spacing w:line="393" w:lineRule="auto" w:before="150"/>
        <w:ind w:left="565" w:right="96" w:hanging="220"/>
        <w:jc w:val="left"/>
      </w:pPr>
      <w:r>
        <w:rPr/>
        <w:t>(五)公司内部控制制度的建立健全情况 </w:t>
      </w:r>
      <w:r>
        <w:rPr>
          <w:spacing w:val="-3"/>
        </w:rPr>
        <w:t>根据监管部门发布的《上市公司内部控制指引》，结合公司实际情况，公司建立了覆盖生产经营、</w:t>
      </w:r>
    </w:p>
    <w:p>
      <w:pPr>
        <w:pStyle w:val="BodyText"/>
        <w:spacing w:line="350" w:lineRule="auto"/>
        <w:ind w:right="96"/>
        <w:jc w:val="left"/>
      </w:pPr>
      <w:r>
        <w:rPr/>
        <w:t>财务管理、信息披露等各环节的内部控制制度，内控制度的建立有效的防范和化解公司日常经营中的 </w:t>
      </w:r>
      <w:r>
        <w:rPr>
          <w:spacing w:val="-3"/>
        </w:rPr>
        <w:t>各类风险，保证了公司业务活动的正常开展，对公司合规运作、控制风险、稳健经营提供了重要保证。</w:t>
      </w:r>
      <w:r>
        <w:rPr>
          <w:spacing w:val="-78"/>
        </w:rPr>
        <w:t> </w:t>
      </w:r>
      <w:r>
        <w:rPr>
          <w:spacing w:val="-78"/>
        </w:rPr>
      </w:r>
      <w:r>
        <w:rPr/>
        <w:t>报告期内，公司先后制定了公司信息披露制度、公司独立董事工作制度、总裁工作细则、高管持股变 动管理规则等相关制度，从制度上进一步强化了公司的内部控制建设。</w:t>
      </w:r>
    </w:p>
    <w:p>
      <w:pPr>
        <w:pStyle w:val="BodyText"/>
        <w:spacing w:line="350" w:lineRule="auto" w:before="148"/>
        <w:ind w:right="105" w:firstLine="420"/>
        <w:jc w:val="both"/>
      </w:pPr>
      <w:r>
        <w:rPr/>
        <w:t>公司设有专门的内部审计部门，内控制度明确规定公司审计部门要对公司内部控制运行情况进行 检查监督，并将检查中发现的内部控制缺陷和异常事项、改进建议及解决进展情况等形成内部审计报 告，向董事会和监事会通报。如发现公司存在重大异常情况，可能或已经遭受重大损失时，应立即报 告公司董事会并抄报监事会，由公司董事会提出切实可行的解决措施，必要时要及时报告上海证券交 </w:t>
      </w:r>
      <w:r>
        <w:rPr>
          <w:spacing w:val="-7"/>
        </w:rPr>
        <w:t>易所并公告。公司要求将内部控制制度的健全完备和有效执行情况，作为对公司各部门（含分支机构）、</w:t>
      </w:r>
    </w:p>
    <w:p>
      <w:pPr>
        <w:spacing w:after="0" w:line="350" w:lineRule="auto"/>
        <w:jc w:val="both"/>
        <w:sectPr>
          <w:pgSz w:w="12240" w:h="15840"/>
          <w:pgMar w:header="747" w:footer="727" w:top="1040" w:bottom="920" w:left="1380" w:right="12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48" w:lineRule="auto"/>
        <w:ind w:right="212"/>
        <w:jc w:val="both"/>
      </w:pPr>
      <w:r>
        <w:rPr/>
        <w:t>控股子公司的绩效考核重要指标之一，并建立责任追究机制，对违反内部控制制度和影响内部控制制 度执行的有关责任人予以查处。</w:t>
      </w:r>
    </w:p>
    <w:p>
      <w:pPr>
        <w:pStyle w:val="BodyText"/>
        <w:spacing w:line="348" w:lineRule="auto" w:before="151"/>
        <w:ind w:right="195" w:firstLine="420"/>
        <w:jc w:val="left"/>
      </w:pPr>
      <w:r>
        <w:rPr/>
        <w:t>公司内部审计部门在董事会审计委员会领导下，负责对公司内部控制制度的建立健全及执行情况 进行监督检查，公司内部控制制度在公司的经营管理中均得到了有效遵守和执行。</w:t>
      </w:r>
    </w:p>
    <w:p>
      <w:pPr>
        <w:pStyle w:val="BodyText"/>
        <w:spacing w:line="350" w:lineRule="auto" w:before="150"/>
        <w:ind w:left="565" w:right="1727" w:hanging="62"/>
        <w:jc w:val="left"/>
      </w:pPr>
      <w:r>
        <w:rPr/>
        <w:t>(六)公司披露董事会对公司内部控制的自我评估报告和审计机构的核实评价意见 本公司董事会没有聘请审计机构对公司内部控制出具评价意见。</w:t>
      </w:r>
    </w:p>
    <w:p>
      <w:pPr>
        <w:pStyle w:val="Heading1"/>
        <w:spacing w:line="240" w:lineRule="auto" w:before="163"/>
        <w:ind w:right="0"/>
        <w:jc w:val="both"/>
        <w:rPr>
          <w:b w:val="0"/>
          <w:bCs w:val="0"/>
        </w:rPr>
      </w:pPr>
      <w:bookmarkStart w:name="_TOC_250005" w:id="6"/>
      <w:r>
        <w:rPr/>
        <w:t>七、股东大会情况简介</w:t>
      </w:r>
      <w:bookmarkEnd w:id="6"/>
      <w:r>
        <w:rPr>
          <w:b w:val="0"/>
          <w:bCs w:val="0"/>
        </w:rPr>
      </w:r>
    </w:p>
    <w:p>
      <w:pPr>
        <w:spacing w:line="240" w:lineRule="auto" w:before="0"/>
        <w:rPr>
          <w:rFonts w:ascii="黑体" w:hAnsi="黑体" w:cs="黑体" w:eastAsia="黑体" w:hint="default"/>
          <w:b/>
          <w:bCs/>
          <w:sz w:val="30"/>
          <w:szCs w:val="30"/>
        </w:rPr>
      </w:pPr>
    </w:p>
    <w:p>
      <w:pPr>
        <w:spacing w:line="240" w:lineRule="auto" w:before="12"/>
        <w:rPr>
          <w:rFonts w:ascii="黑体" w:hAnsi="黑体" w:cs="黑体" w:eastAsia="黑体" w:hint="default"/>
          <w:b/>
          <w:bCs/>
          <w:sz w:val="20"/>
          <w:szCs w:val="20"/>
        </w:rPr>
      </w:pPr>
    </w:p>
    <w:p>
      <w:pPr>
        <w:pStyle w:val="BodyText"/>
        <w:spacing w:line="240" w:lineRule="auto"/>
        <w:ind w:left="565" w:right="96"/>
        <w:jc w:val="left"/>
      </w:pPr>
      <w:r>
        <w:rPr/>
        <w:t>(一)年度股东大会情况</w:t>
      </w:r>
    </w:p>
    <w:p>
      <w:pPr>
        <w:spacing w:line="240" w:lineRule="auto" w:before="10"/>
        <w:rPr>
          <w:rFonts w:ascii="宋体" w:hAnsi="宋体" w:cs="宋体" w:eastAsia="宋体" w:hint="default"/>
          <w:sz w:val="18"/>
          <w:szCs w:val="18"/>
        </w:rPr>
      </w:pPr>
    </w:p>
    <w:p>
      <w:pPr>
        <w:pStyle w:val="BodyText"/>
        <w:spacing w:line="240" w:lineRule="auto"/>
        <w:ind w:left="565" w:right="96"/>
        <w:jc w:val="left"/>
      </w:pPr>
      <w:r>
        <w:rPr/>
        <w:t>深圳市金证科技股份有限公司</w:t>
      </w:r>
      <w:r>
        <w:rPr>
          <w:spacing w:val="-60"/>
        </w:rPr>
        <w:t> </w:t>
      </w:r>
      <w:r>
        <w:rPr>
          <w:rFonts w:ascii="Arial" w:hAnsi="Arial" w:cs="Arial" w:eastAsia="Arial" w:hint="default"/>
        </w:rPr>
        <w:t>2006</w:t>
      </w:r>
      <w:r>
        <w:rPr>
          <w:rFonts w:ascii="Arial" w:hAnsi="Arial" w:cs="Arial" w:eastAsia="Arial" w:hint="default"/>
          <w:spacing w:val="-12"/>
        </w:rPr>
        <w:t> </w:t>
      </w:r>
      <w:r>
        <w:rPr/>
        <w:t>年度股东大会于</w:t>
      </w:r>
      <w:r>
        <w:rPr>
          <w:spacing w:val="-60"/>
        </w:rPr>
        <w:t> </w:t>
      </w:r>
      <w:r>
        <w:rPr>
          <w:rFonts w:ascii="Arial" w:hAnsi="Arial" w:cs="Arial" w:eastAsia="Arial" w:hint="default"/>
        </w:rPr>
        <w:t>2007</w:t>
      </w:r>
      <w:r>
        <w:rPr>
          <w:rFonts w:ascii="Arial" w:hAnsi="Arial" w:cs="Arial" w:eastAsia="Arial" w:hint="default"/>
          <w:spacing w:val="-12"/>
        </w:rPr>
        <w:t> </w:t>
      </w:r>
      <w:r>
        <w:rPr/>
        <w:t>年</w:t>
      </w:r>
      <w:r>
        <w:rPr>
          <w:spacing w:val="-60"/>
        </w:rPr>
        <w:t> </w:t>
      </w:r>
      <w:r>
        <w:rPr>
          <w:rFonts w:ascii="Arial" w:hAnsi="Arial" w:cs="Arial" w:eastAsia="Arial" w:hint="default"/>
        </w:rPr>
        <w:t>4</w:t>
      </w:r>
      <w:r>
        <w:rPr>
          <w:rFonts w:ascii="Arial" w:hAnsi="Arial" w:cs="Arial" w:eastAsia="Arial" w:hint="default"/>
          <w:spacing w:val="-13"/>
        </w:rPr>
        <w:t> </w:t>
      </w:r>
      <w:r>
        <w:rPr/>
        <w:t>月</w:t>
      </w:r>
      <w:r>
        <w:rPr>
          <w:spacing w:val="-60"/>
        </w:rPr>
        <w:t> </w:t>
      </w:r>
      <w:r>
        <w:rPr>
          <w:rFonts w:ascii="Arial" w:hAnsi="Arial" w:cs="Arial" w:eastAsia="Arial" w:hint="default"/>
        </w:rPr>
        <w:t>27</w:t>
      </w:r>
      <w:r>
        <w:rPr>
          <w:rFonts w:ascii="Arial" w:hAnsi="Arial" w:cs="Arial" w:eastAsia="Arial" w:hint="default"/>
          <w:spacing w:val="-13"/>
        </w:rPr>
        <w:t> </w:t>
      </w:r>
      <w:r>
        <w:rPr/>
        <w:t>日在深圳市福华路</w:t>
      </w:r>
      <w:r>
        <w:rPr>
          <w:spacing w:val="-60"/>
        </w:rPr>
        <w:t> </w:t>
      </w:r>
      <w:r>
        <w:rPr>
          <w:rFonts w:ascii="Arial" w:hAnsi="Arial" w:cs="Arial" w:eastAsia="Arial" w:hint="default"/>
        </w:rPr>
        <w:t>322</w:t>
      </w:r>
      <w:r>
        <w:rPr>
          <w:rFonts w:ascii="Arial" w:hAnsi="Arial" w:cs="Arial" w:eastAsia="Arial" w:hint="default"/>
          <w:spacing w:val="-13"/>
        </w:rPr>
        <w:t> </w:t>
      </w:r>
      <w:r>
        <w:rPr/>
        <w:t>号文</w:t>
      </w:r>
    </w:p>
    <w:p>
      <w:pPr>
        <w:pStyle w:val="BodyText"/>
        <w:spacing w:line="240" w:lineRule="auto" w:before="110"/>
        <w:ind w:right="0"/>
        <w:jc w:val="both"/>
      </w:pPr>
      <w:r>
        <w:rPr>
          <w:spacing w:val="8"/>
        </w:rPr>
        <w:t>蔚大厦 </w:t>
      </w:r>
      <w:r>
        <w:rPr>
          <w:rFonts w:ascii="Arial" w:hAnsi="Arial" w:cs="Arial" w:eastAsia="Arial" w:hint="default"/>
        </w:rPr>
        <w:t>22  </w:t>
      </w:r>
      <w:r>
        <w:rPr>
          <w:spacing w:val="11"/>
        </w:rPr>
        <w:t>楼会议室召开。本次出席股东大会的股东及股东授权委托代表共计 </w:t>
      </w:r>
      <w:r>
        <w:rPr>
          <w:rFonts w:ascii="Arial" w:hAnsi="Arial" w:cs="Arial" w:eastAsia="Arial" w:hint="default"/>
        </w:rPr>
        <w:t>4 </w:t>
      </w:r>
      <w:r>
        <w:rPr>
          <w:rFonts w:ascii="Arial" w:hAnsi="Arial" w:cs="Arial" w:eastAsia="Arial" w:hint="default"/>
          <w:spacing w:val="40"/>
        </w:rPr>
        <w:t> </w:t>
      </w:r>
      <w:r>
        <w:rPr>
          <w:spacing w:val="12"/>
        </w:rPr>
        <w:t>人，代表股份</w:t>
      </w:r>
      <w:r>
        <w:rPr/>
      </w:r>
    </w:p>
    <w:p>
      <w:pPr>
        <w:pStyle w:val="BodyText"/>
        <w:spacing w:line="336" w:lineRule="auto" w:before="110"/>
        <w:ind w:right="105" w:hanging="1"/>
        <w:jc w:val="both"/>
      </w:pPr>
      <w:r>
        <w:rPr>
          <w:rFonts w:ascii="Arial" w:hAnsi="Arial" w:cs="Arial" w:eastAsia="Arial" w:hint="default"/>
        </w:rPr>
        <w:t>67,749,612 </w:t>
      </w:r>
      <w:r>
        <w:rPr/>
        <w:t>股，占公司有表决权股份总数的</w:t>
      </w:r>
      <w:r>
        <w:rPr>
          <w:spacing w:val="-43"/>
        </w:rPr>
        <w:t> </w:t>
      </w:r>
      <w:r>
        <w:rPr>
          <w:rFonts w:ascii="Arial" w:hAnsi="Arial" w:cs="Arial" w:eastAsia="Arial" w:hint="default"/>
        </w:rPr>
        <w:t>49.29%</w:t>
      </w:r>
      <w:r>
        <w:rPr/>
        <w:t>，会议的召开符合《公司法》和《公司章程》的 有关规定。会议由公司董事长杜宣先生主持，经出席本次股东大会股东审议，以现场投票方式审议并 通过了《关于公司 </w:t>
      </w:r>
      <w:r>
        <w:rPr>
          <w:rFonts w:ascii="Arial" w:hAnsi="Arial" w:cs="Arial" w:eastAsia="Arial" w:hint="default"/>
          <w:spacing w:val="-1"/>
          <w:w w:val="99"/>
        </w:rPr>
        <w:t>2006</w:t>
      </w:r>
      <w:r>
        <w:rPr>
          <w:rFonts w:ascii="Arial" w:hAnsi="Arial" w:cs="Arial" w:eastAsia="Arial" w:hint="default"/>
          <w:w w:val="99"/>
        </w:rPr>
        <w:t> </w:t>
      </w:r>
      <w:r>
        <w:rPr>
          <w:spacing w:val="-12"/>
          <w:w w:val="99"/>
        </w:rPr>
        <w:t>年度报告及报告摘要的议案》、《</w:t>
      </w:r>
      <w:r>
        <w:rPr>
          <w:rFonts w:ascii="Arial" w:hAnsi="Arial" w:cs="Arial" w:eastAsia="Arial" w:hint="default"/>
          <w:spacing w:val="-12"/>
          <w:w w:val="99"/>
        </w:rPr>
        <w:t>2006</w:t>
      </w:r>
      <w:r>
        <w:rPr>
          <w:rFonts w:ascii="Arial" w:hAnsi="Arial" w:cs="Arial" w:eastAsia="Arial" w:hint="default"/>
          <w:w w:val="99"/>
        </w:rPr>
        <w:t> </w:t>
      </w:r>
      <w:r>
        <w:rPr>
          <w:spacing w:val="-12"/>
          <w:w w:val="99"/>
        </w:rPr>
        <w:t>年度公司董事会工作报告》、《</w:t>
      </w:r>
      <w:r>
        <w:rPr>
          <w:rFonts w:ascii="Arial" w:hAnsi="Arial" w:cs="Arial" w:eastAsia="Arial" w:hint="default"/>
          <w:spacing w:val="-12"/>
          <w:w w:val="99"/>
        </w:rPr>
        <w:t>2006</w:t>
      </w:r>
      <w:r>
        <w:rPr>
          <w:rFonts w:ascii="Arial" w:hAnsi="Arial" w:cs="Arial" w:eastAsia="Arial" w:hint="default"/>
          <w:w w:val="99"/>
        </w:rPr>
        <w:t> </w:t>
      </w:r>
      <w:r>
        <w:rPr/>
        <w:t>年</w:t>
      </w:r>
      <w:r>
        <w:rPr>
          <w:spacing w:val="-90"/>
        </w:rPr>
        <w:t> </w:t>
      </w:r>
      <w:r>
        <w:rPr>
          <w:spacing w:val="-13"/>
          <w:w w:val="99"/>
        </w:rPr>
        <w:t>度公司监事会工作报告》、《</w:t>
      </w:r>
      <w:r>
        <w:rPr>
          <w:rFonts w:ascii="Arial" w:hAnsi="Arial" w:cs="Arial" w:eastAsia="Arial" w:hint="default"/>
          <w:spacing w:val="-13"/>
          <w:w w:val="99"/>
        </w:rPr>
        <w:t>2006</w:t>
      </w:r>
      <w:r>
        <w:rPr>
          <w:rFonts w:ascii="Arial" w:hAnsi="Arial" w:cs="Arial" w:eastAsia="Arial" w:hint="default"/>
          <w:w w:val="99"/>
        </w:rPr>
        <w:t> </w:t>
      </w:r>
      <w:r>
        <w:rPr>
          <w:spacing w:val="-13"/>
          <w:w w:val="99"/>
        </w:rPr>
        <w:t>年度公司财务决算报告》、《</w:t>
      </w:r>
      <w:r>
        <w:rPr>
          <w:rFonts w:ascii="Arial" w:hAnsi="Arial" w:cs="Arial" w:eastAsia="Arial" w:hint="default"/>
          <w:spacing w:val="-13"/>
          <w:w w:val="99"/>
        </w:rPr>
        <w:t>2006</w:t>
      </w:r>
      <w:r>
        <w:rPr>
          <w:rFonts w:ascii="Arial" w:hAnsi="Arial" w:cs="Arial" w:eastAsia="Arial" w:hint="default"/>
          <w:w w:val="99"/>
        </w:rPr>
        <w:t> </w:t>
      </w:r>
      <w:r>
        <w:rPr>
          <w:spacing w:val="-14"/>
        </w:rPr>
        <w:t>年度公司利润分配议案》、《关于续</w:t>
      </w:r>
      <w:r>
        <w:rPr>
          <w:spacing w:val="-79"/>
        </w:rPr>
        <w:t> </w:t>
      </w:r>
      <w:r>
        <w:rPr>
          <w:spacing w:val="-79"/>
        </w:rPr>
      </w:r>
      <w:r>
        <w:rPr>
          <w:spacing w:val="-8"/>
        </w:rPr>
        <w:t>聘公司财务审计机构的议案》。本次年度股东大会决议公告己于</w:t>
      </w:r>
      <w:r>
        <w:rPr>
          <w:spacing w:val="-47"/>
        </w:rPr>
        <w:t> </w:t>
      </w:r>
      <w:r>
        <w:rPr>
          <w:rFonts w:ascii="Arial" w:hAnsi="Arial" w:cs="Arial" w:eastAsia="Arial" w:hint="default"/>
          <w:spacing w:val="-1"/>
          <w:w w:val="99"/>
        </w:rPr>
        <w:t>2007</w:t>
      </w:r>
      <w:r>
        <w:rPr>
          <w:rFonts w:ascii="Arial" w:hAnsi="Arial" w:cs="Arial" w:eastAsia="Arial" w:hint="default"/>
          <w:spacing w:val="1"/>
          <w:w w:val="99"/>
        </w:rPr>
        <w:t> </w:t>
      </w:r>
      <w:r>
        <w:rPr/>
        <w:t>年</w:t>
      </w:r>
      <w:r>
        <w:rPr>
          <w:spacing w:val="-47"/>
        </w:rPr>
        <w:t> </w:t>
      </w:r>
      <w:r>
        <w:rPr>
          <w:rFonts w:ascii="Arial" w:hAnsi="Arial" w:cs="Arial" w:eastAsia="Arial" w:hint="default"/>
          <w:w w:val="99"/>
        </w:rPr>
        <w:t>2 </w:t>
      </w:r>
      <w:r>
        <w:rPr/>
        <w:t>月</w:t>
      </w:r>
      <w:r>
        <w:rPr>
          <w:spacing w:val="-47"/>
        </w:rPr>
        <w:t> </w:t>
      </w:r>
      <w:r>
        <w:rPr>
          <w:rFonts w:ascii="Arial" w:hAnsi="Arial" w:cs="Arial" w:eastAsia="Arial" w:hint="default"/>
          <w:spacing w:val="-1"/>
          <w:w w:val="99"/>
        </w:rPr>
        <w:t>28</w:t>
      </w:r>
      <w:r>
        <w:rPr>
          <w:rFonts w:ascii="Arial" w:hAnsi="Arial" w:cs="Arial" w:eastAsia="Arial" w:hint="default"/>
          <w:w w:val="99"/>
        </w:rPr>
        <w:t> </w:t>
      </w:r>
      <w:r>
        <w:rPr>
          <w:spacing w:val="-19"/>
        </w:rPr>
        <w:t>日刊登在《证券时报》、</w:t>
      </w:r>
    </w:p>
    <w:p>
      <w:pPr>
        <w:pStyle w:val="BodyText"/>
        <w:spacing w:line="453" w:lineRule="auto" w:before="16"/>
        <w:ind w:left="504" w:right="6976" w:hanging="359"/>
        <w:jc w:val="left"/>
      </w:pPr>
      <w:r>
        <w:rPr>
          <w:spacing w:val="-14"/>
        </w:rPr>
        <w:t>《上海证券报》。</w:t>
      </w:r>
      <w:r>
        <w:rPr>
          <w:spacing w:val="-98"/>
        </w:rPr>
        <w:t> </w:t>
      </w:r>
      <w:r>
        <w:rPr>
          <w:spacing w:val="-98"/>
        </w:rPr>
      </w:r>
      <w:r>
        <w:rPr/>
        <w:t>(二)临时股东大会情况</w:t>
      </w:r>
    </w:p>
    <w:p>
      <w:pPr>
        <w:pStyle w:val="BodyText"/>
        <w:spacing w:line="240" w:lineRule="auto" w:before="59"/>
        <w:ind w:left="565" w:right="96"/>
        <w:jc w:val="left"/>
      </w:pPr>
      <w:r>
        <w:rPr>
          <w:rFonts w:ascii="Arial" w:hAnsi="Arial" w:cs="Arial" w:eastAsia="Arial" w:hint="default"/>
        </w:rPr>
        <w:t>1</w:t>
      </w:r>
      <w:r>
        <w:rPr/>
        <w:t>、深圳市金证科技股份有限公司</w:t>
      </w:r>
      <w:r>
        <w:rPr>
          <w:spacing w:val="-45"/>
        </w:rPr>
        <w:t> </w:t>
      </w:r>
      <w:r>
        <w:rPr>
          <w:rFonts w:ascii="Arial" w:hAnsi="Arial" w:cs="Arial" w:eastAsia="Arial" w:hint="default"/>
        </w:rPr>
        <w:t>2007</w:t>
      </w:r>
      <w:r>
        <w:rPr>
          <w:rFonts w:ascii="Arial" w:hAnsi="Arial" w:cs="Arial" w:eastAsia="Arial" w:hint="default"/>
          <w:spacing w:val="1"/>
        </w:rPr>
        <w:t> </w:t>
      </w:r>
      <w:r>
        <w:rPr/>
        <w:t>年第一次临时股东大会于</w:t>
      </w:r>
      <w:r>
        <w:rPr>
          <w:spacing w:val="-45"/>
        </w:rPr>
        <w:t> </w:t>
      </w:r>
      <w:r>
        <w:rPr>
          <w:rFonts w:ascii="Arial" w:hAnsi="Arial" w:cs="Arial" w:eastAsia="Arial" w:hint="default"/>
        </w:rPr>
        <w:t>2007</w:t>
      </w:r>
      <w:r>
        <w:rPr>
          <w:rFonts w:ascii="Arial" w:hAnsi="Arial" w:cs="Arial" w:eastAsia="Arial" w:hint="default"/>
          <w:spacing w:val="2"/>
        </w:rPr>
        <w:t> </w:t>
      </w:r>
      <w:r>
        <w:rPr/>
        <w:t>年</w:t>
      </w:r>
      <w:r>
        <w:rPr>
          <w:spacing w:val="-45"/>
        </w:rPr>
        <w:t> </w:t>
      </w:r>
      <w:r>
        <w:rPr>
          <w:rFonts w:ascii="Arial" w:hAnsi="Arial" w:cs="Arial" w:eastAsia="Arial" w:hint="default"/>
        </w:rPr>
        <w:t>6</w:t>
      </w:r>
      <w:r>
        <w:rPr>
          <w:rFonts w:ascii="Arial" w:hAnsi="Arial" w:cs="Arial" w:eastAsia="Arial" w:hint="default"/>
          <w:spacing w:val="1"/>
        </w:rPr>
        <w:t> </w:t>
      </w:r>
      <w:r>
        <w:rPr/>
        <w:t>月</w:t>
      </w:r>
      <w:r>
        <w:rPr>
          <w:spacing w:val="-45"/>
        </w:rPr>
        <w:t> </w:t>
      </w:r>
      <w:r>
        <w:rPr>
          <w:rFonts w:ascii="Arial" w:hAnsi="Arial" w:cs="Arial" w:eastAsia="Arial" w:hint="default"/>
        </w:rPr>
        <w:t>22</w:t>
      </w:r>
      <w:r>
        <w:rPr>
          <w:rFonts w:ascii="Arial" w:hAnsi="Arial" w:cs="Arial" w:eastAsia="Arial" w:hint="default"/>
          <w:spacing w:val="1"/>
        </w:rPr>
        <w:t> </w:t>
      </w:r>
      <w:r>
        <w:rPr/>
        <w:t>日在深圳市福</w:t>
      </w:r>
    </w:p>
    <w:p>
      <w:pPr>
        <w:pStyle w:val="BodyText"/>
        <w:spacing w:line="340" w:lineRule="auto" w:before="110"/>
        <w:ind w:left="144" w:right="211"/>
        <w:jc w:val="both"/>
      </w:pPr>
      <w:r>
        <w:rPr/>
        <w:t>华路</w:t>
      </w:r>
      <w:r>
        <w:rPr>
          <w:spacing w:val="-55"/>
        </w:rPr>
        <w:t> </w:t>
      </w:r>
      <w:r>
        <w:rPr>
          <w:rFonts w:ascii="Arial" w:hAnsi="Arial" w:cs="Arial" w:eastAsia="Arial" w:hint="default"/>
        </w:rPr>
        <w:t>322</w:t>
      </w:r>
      <w:r>
        <w:rPr>
          <w:rFonts w:ascii="Arial" w:hAnsi="Arial" w:cs="Arial" w:eastAsia="Arial" w:hint="default"/>
          <w:spacing w:val="-8"/>
        </w:rPr>
        <w:t> </w:t>
      </w:r>
      <w:r>
        <w:rPr/>
        <w:t>号文蔚大厦</w:t>
      </w:r>
      <w:r>
        <w:rPr>
          <w:spacing w:val="-55"/>
        </w:rPr>
        <w:t> </w:t>
      </w:r>
      <w:r>
        <w:rPr>
          <w:rFonts w:ascii="Arial" w:hAnsi="Arial" w:cs="Arial" w:eastAsia="Arial" w:hint="default"/>
        </w:rPr>
        <w:t>22</w:t>
      </w:r>
      <w:r>
        <w:rPr>
          <w:rFonts w:ascii="Arial" w:hAnsi="Arial" w:cs="Arial" w:eastAsia="Arial" w:hint="default"/>
          <w:spacing w:val="-8"/>
        </w:rPr>
        <w:t> </w:t>
      </w:r>
      <w:r>
        <w:rPr/>
        <w:t>楼会议室召开。本次出席股东大会的股东及股东授权委托代表共计</w:t>
      </w:r>
      <w:r>
        <w:rPr>
          <w:spacing w:val="-4"/>
        </w:rPr>
        <w:t> </w:t>
      </w:r>
      <w:r>
        <w:rPr>
          <w:rFonts w:ascii="Arial" w:hAnsi="Arial" w:cs="Arial" w:eastAsia="Arial" w:hint="default"/>
        </w:rPr>
        <w:t>4</w:t>
      </w:r>
      <w:r>
        <w:rPr>
          <w:rFonts w:ascii="Arial" w:hAnsi="Arial" w:cs="Arial" w:eastAsia="Arial" w:hint="default"/>
          <w:spacing w:val="-8"/>
        </w:rPr>
        <w:t> </w:t>
      </w:r>
      <w:r>
        <w:rPr>
          <w:spacing w:val="-3"/>
        </w:rPr>
        <w:t>人，代</w:t>
      </w:r>
      <w:r>
        <w:rPr/>
        <w:t> 表股份</w:t>
      </w:r>
      <w:r>
        <w:rPr>
          <w:spacing w:val="-67"/>
        </w:rPr>
        <w:t> </w:t>
      </w:r>
      <w:r>
        <w:rPr>
          <w:rFonts w:ascii="Arial" w:hAnsi="Arial" w:cs="Arial" w:eastAsia="Arial" w:hint="default"/>
        </w:rPr>
        <w:t>65,872,990</w:t>
      </w:r>
      <w:r>
        <w:rPr>
          <w:rFonts w:ascii="Arial" w:hAnsi="Arial" w:cs="Arial" w:eastAsia="Arial" w:hint="default"/>
          <w:spacing w:val="-20"/>
        </w:rPr>
        <w:t> </w:t>
      </w:r>
      <w:r>
        <w:rPr/>
        <w:t>股，占公司有表决权股份总数的</w:t>
      </w:r>
      <w:r>
        <w:rPr>
          <w:spacing w:val="-67"/>
        </w:rPr>
        <w:t> </w:t>
      </w:r>
      <w:r>
        <w:rPr>
          <w:rFonts w:ascii="Arial" w:hAnsi="Arial" w:cs="Arial" w:eastAsia="Arial" w:hint="default"/>
        </w:rPr>
        <w:t>47.93%</w:t>
      </w:r>
      <w:r>
        <w:rPr/>
        <w:t>，会议的召开符合《公司法》和《公司章 程》的有关规定。会议由公司董事长杜宣先生主持，经出席本次股东大会股东审议，以现场投票方式 </w:t>
      </w:r>
      <w:r>
        <w:rPr>
          <w:spacing w:val="-5"/>
        </w:rPr>
        <w:t>审议并通过了《关于为控股子公司深圳市齐普生信息科技有限公司提供担保的议案》。本次临时股东大</w:t>
      </w:r>
      <w:r>
        <w:rPr>
          <w:spacing w:val="-90"/>
        </w:rPr>
        <w:t> </w:t>
      </w:r>
      <w:r>
        <w:rPr>
          <w:spacing w:val="-90"/>
        </w:rPr>
      </w:r>
      <w:r>
        <w:rPr/>
        <w:t>会决议公告己于</w:t>
      </w:r>
      <w:r>
        <w:rPr>
          <w:spacing w:val="-52"/>
        </w:rPr>
        <w:t> </w:t>
      </w:r>
      <w:r>
        <w:rPr>
          <w:rFonts w:ascii="Arial" w:hAnsi="Arial" w:cs="Arial" w:eastAsia="Arial" w:hint="default"/>
          <w:spacing w:val="-1"/>
          <w:w w:val="99"/>
        </w:rPr>
        <w:t>2007</w:t>
      </w:r>
      <w:r>
        <w:rPr>
          <w:rFonts w:ascii="Arial" w:hAnsi="Arial" w:cs="Arial" w:eastAsia="Arial" w:hint="default"/>
          <w:spacing w:val="-4"/>
          <w:w w:val="99"/>
        </w:rPr>
        <w:t> </w:t>
      </w:r>
      <w:r>
        <w:rPr/>
        <w:t>年</w:t>
      </w:r>
      <w:r>
        <w:rPr>
          <w:spacing w:val="-52"/>
        </w:rPr>
        <w:t> </w:t>
      </w:r>
      <w:r>
        <w:rPr>
          <w:rFonts w:ascii="Arial" w:hAnsi="Arial" w:cs="Arial" w:eastAsia="Arial" w:hint="default"/>
          <w:w w:val="99"/>
        </w:rPr>
        <w:t>6</w:t>
      </w:r>
      <w:r>
        <w:rPr>
          <w:rFonts w:ascii="Arial" w:hAnsi="Arial" w:cs="Arial" w:eastAsia="Arial" w:hint="default"/>
          <w:spacing w:val="-5"/>
          <w:w w:val="99"/>
        </w:rPr>
        <w:t> </w:t>
      </w:r>
      <w:r>
        <w:rPr/>
        <w:t>月</w:t>
      </w:r>
      <w:r>
        <w:rPr>
          <w:spacing w:val="-52"/>
        </w:rPr>
        <w:t> </w:t>
      </w:r>
      <w:r>
        <w:rPr>
          <w:rFonts w:ascii="Arial" w:hAnsi="Arial" w:cs="Arial" w:eastAsia="Arial" w:hint="default"/>
          <w:spacing w:val="-1"/>
          <w:w w:val="99"/>
        </w:rPr>
        <w:t>23</w:t>
      </w:r>
      <w:r>
        <w:rPr>
          <w:rFonts w:ascii="Arial" w:hAnsi="Arial" w:cs="Arial" w:eastAsia="Arial" w:hint="default"/>
          <w:spacing w:val="-5"/>
          <w:w w:val="99"/>
        </w:rPr>
        <w:t> </w:t>
      </w:r>
      <w:r>
        <w:rPr>
          <w:spacing w:val="-17"/>
        </w:rPr>
        <w:t>日刊登在《证券时报》、《上海证券报》。</w:t>
      </w:r>
    </w:p>
    <w:p>
      <w:pPr>
        <w:pStyle w:val="BodyText"/>
        <w:spacing w:line="240" w:lineRule="auto" w:before="132"/>
        <w:ind w:left="564" w:right="96"/>
        <w:jc w:val="left"/>
      </w:pPr>
      <w:r>
        <w:rPr>
          <w:rFonts w:ascii="Arial" w:hAnsi="Arial" w:cs="Arial" w:eastAsia="Arial" w:hint="default"/>
        </w:rPr>
        <w:t>2</w:t>
      </w:r>
      <w:r>
        <w:rPr/>
        <w:t>、深圳市金证科技股份有限公司</w:t>
      </w:r>
      <w:r>
        <w:rPr>
          <w:spacing w:val="-45"/>
        </w:rPr>
        <w:t> </w:t>
      </w:r>
      <w:r>
        <w:rPr>
          <w:rFonts w:ascii="Arial" w:hAnsi="Arial" w:cs="Arial" w:eastAsia="Arial" w:hint="default"/>
        </w:rPr>
        <w:t>2007</w:t>
      </w:r>
      <w:r>
        <w:rPr>
          <w:rFonts w:ascii="Arial" w:hAnsi="Arial" w:cs="Arial" w:eastAsia="Arial" w:hint="default"/>
          <w:spacing w:val="1"/>
        </w:rPr>
        <w:t> </w:t>
      </w:r>
      <w:r>
        <w:rPr/>
        <w:t>年第二次临时股东大会于</w:t>
      </w:r>
      <w:r>
        <w:rPr>
          <w:spacing w:val="-45"/>
        </w:rPr>
        <w:t> </w:t>
      </w:r>
      <w:r>
        <w:rPr>
          <w:rFonts w:ascii="Arial" w:hAnsi="Arial" w:cs="Arial" w:eastAsia="Arial" w:hint="default"/>
        </w:rPr>
        <w:t>2007</w:t>
      </w:r>
      <w:r>
        <w:rPr>
          <w:rFonts w:ascii="Arial" w:hAnsi="Arial" w:cs="Arial" w:eastAsia="Arial" w:hint="default"/>
          <w:spacing w:val="2"/>
        </w:rPr>
        <w:t> </w:t>
      </w:r>
      <w:r>
        <w:rPr/>
        <w:t>年</w:t>
      </w:r>
      <w:r>
        <w:rPr>
          <w:spacing w:val="-44"/>
        </w:rPr>
        <w:t> </w:t>
      </w:r>
      <w:r>
        <w:rPr>
          <w:rFonts w:ascii="Arial" w:hAnsi="Arial" w:cs="Arial" w:eastAsia="Arial" w:hint="default"/>
        </w:rPr>
        <w:t>8</w:t>
      </w:r>
      <w:r>
        <w:rPr>
          <w:rFonts w:ascii="Arial" w:hAnsi="Arial" w:cs="Arial" w:eastAsia="Arial" w:hint="default"/>
          <w:spacing w:val="1"/>
        </w:rPr>
        <w:t> </w:t>
      </w:r>
      <w:r>
        <w:rPr/>
        <w:t>月</w:t>
      </w:r>
      <w:r>
        <w:rPr>
          <w:spacing w:val="-45"/>
        </w:rPr>
        <w:t> </w:t>
      </w:r>
      <w:r>
        <w:rPr>
          <w:rFonts w:ascii="Arial" w:hAnsi="Arial" w:cs="Arial" w:eastAsia="Arial" w:hint="default"/>
        </w:rPr>
        <w:t>10</w:t>
      </w:r>
      <w:r>
        <w:rPr>
          <w:rFonts w:ascii="Arial" w:hAnsi="Arial" w:cs="Arial" w:eastAsia="Arial" w:hint="default"/>
          <w:spacing w:val="1"/>
        </w:rPr>
        <w:t> </w:t>
      </w:r>
      <w:r>
        <w:rPr/>
        <w:t>日在深圳市福</w:t>
      </w:r>
    </w:p>
    <w:p>
      <w:pPr>
        <w:pStyle w:val="BodyText"/>
        <w:spacing w:line="340" w:lineRule="auto" w:before="109"/>
        <w:ind w:left="144" w:right="211"/>
        <w:jc w:val="both"/>
      </w:pPr>
      <w:r>
        <w:rPr/>
        <w:t>华路</w:t>
      </w:r>
      <w:r>
        <w:rPr>
          <w:spacing w:val="-55"/>
        </w:rPr>
        <w:t> </w:t>
      </w:r>
      <w:r>
        <w:rPr>
          <w:rFonts w:ascii="Arial" w:hAnsi="Arial" w:cs="Arial" w:eastAsia="Arial" w:hint="default"/>
        </w:rPr>
        <w:t>322</w:t>
      </w:r>
      <w:r>
        <w:rPr>
          <w:rFonts w:ascii="Arial" w:hAnsi="Arial" w:cs="Arial" w:eastAsia="Arial" w:hint="default"/>
          <w:spacing w:val="-8"/>
        </w:rPr>
        <w:t> </w:t>
      </w:r>
      <w:r>
        <w:rPr/>
        <w:t>号文蔚大厦</w:t>
      </w:r>
      <w:r>
        <w:rPr>
          <w:spacing w:val="-55"/>
        </w:rPr>
        <w:t> </w:t>
      </w:r>
      <w:r>
        <w:rPr>
          <w:rFonts w:ascii="Arial" w:hAnsi="Arial" w:cs="Arial" w:eastAsia="Arial" w:hint="default"/>
        </w:rPr>
        <w:t>22</w:t>
      </w:r>
      <w:r>
        <w:rPr>
          <w:rFonts w:ascii="Arial" w:hAnsi="Arial" w:cs="Arial" w:eastAsia="Arial" w:hint="default"/>
          <w:spacing w:val="-8"/>
        </w:rPr>
        <w:t> </w:t>
      </w:r>
      <w:r>
        <w:rPr/>
        <w:t>楼会议室召开。本次出席股东大会的股东及股东授权委托代表共计</w:t>
      </w:r>
      <w:r>
        <w:rPr>
          <w:spacing w:val="-4"/>
        </w:rPr>
        <w:t> </w:t>
      </w:r>
      <w:r>
        <w:rPr>
          <w:rFonts w:ascii="Arial" w:hAnsi="Arial" w:cs="Arial" w:eastAsia="Arial" w:hint="default"/>
        </w:rPr>
        <w:t>4</w:t>
      </w:r>
      <w:r>
        <w:rPr>
          <w:rFonts w:ascii="Arial" w:hAnsi="Arial" w:cs="Arial" w:eastAsia="Arial" w:hint="default"/>
          <w:spacing w:val="-8"/>
        </w:rPr>
        <w:t> </w:t>
      </w:r>
      <w:r>
        <w:rPr>
          <w:spacing w:val="-3"/>
        </w:rPr>
        <w:t>人，代</w:t>
      </w:r>
      <w:r>
        <w:rPr/>
        <w:t> 表股份</w:t>
      </w:r>
      <w:r>
        <w:rPr>
          <w:spacing w:val="-67"/>
        </w:rPr>
        <w:t> </w:t>
      </w:r>
      <w:r>
        <w:rPr>
          <w:rFonts w:ascii="Arial" w:hAnsi="Arial" w:cs="Arial" w:eastAsia="Arial" w:hint="default"/>
        </w:rPr>
        <w:t>65,872,990</w:t>
      </w:r>
      <w:r>
        <w:rPr>
          <w:rFonts w:ascii="Arial" w:hAnsi="Arial" w:cs="Arial" w:eastAsia="Arial" w:hint="default"/>
          <w:spacing w:val="-20"/>
        </w:rPr>
        <w:t> </w:t>
      </w:r>
      <w:r>
        <w:rPr/>
        <w:t>股，占公司有表决权股份总数的</w:t>
      </w:r>
      <w:r>
        <w:rPr>
          <w:spacing w:val="-67"/>
        </w:rPr>
        <w:t> </w:t>
      </w:r>
      <w:r>
        <w:rPr>
          <w:rFonts w:ascii="Arial" w:hAnsi="Arial" w:cs="Arial" w:eastAsia="Arial" w:hint="default"/>
        </w:rPr>
        <w:t>47.93%</w:t>
      </w:r>
      <w:r>
        <w:rPr/>
        <w:t>，会议的召开符合《公司法》和《公司章 程》的有关规定。会议由公司董事长杜宣先生主持，经出席本次股东大会股东审议，以现场投票方式 </w:t>
      </w:r>
      <w:r>
        <w:rPr>
          <w:spacing w:val="-5"/>
        </w:rPr>
        <w:t>审议并通过了《关于为控股子公司深圳市齐普生信息科技有限公司提供担保的议案》、《关于为控股子</w:t>
      </w:r>
      <w:r>
        <w:rPr>
          <w:spacing w:val="-92"/>
        </w:rPr>
        <w:t> </w:t>
      </w:r>
      <w:r>
        <w:rPr>
          <w:spacing w:val="-92"/>
        </w:rPr>
      </w:r>
      <w:r>
        <w:rPr>
          <w:spacing w:val="-5"/>
        </w:rPr>
        <w:t>公司本公司控股子公司深圳市金证卡尔电子有限公司提供担保的议案》。本次临时股东大会决议公告己</w:t>
      </w:r>
    </w:p>
    <w:p>
      <w:pPr>
        <w:spacing w:after="0" w:line="340" w:lineRule="auto"/>
        <w:jc w:val="both"/>
        <w:sectPr>
          <w:pgSz w:w="12240" w:h="15840"/>
          <w:pgMar w:header="747" w:footer="727" w:top="1040" w:bottom="920" w:left="1380" w:right="12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both"/>
      </w:pPr>
      <w:r>
        <w:rPr/>
        <w:t>于</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8</w:t>
      </w:r>
      <w:r>
        <w:rPr>
          <w:rFonts w:ascii="Arial" w:hAnsi="Arial" w:cs="Arial" w:eastAsia="Arial" w:hint="default"/>
          <w:spacing w:val="-5"/>
        </w:rPr>
        <w:t> </w:t>
      </w:r>
      <w:r>
        <w:rPr/>
        <w:t>月</w:t>
      </w:r>
      <w:r>
        <w:rPr>
          <w:spacing w:val="-53"/>
        </w:rPr>
        <w:t> </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日刊登在《证券时报</w:t>
      </w:r>
      <w:r>
        <w:rPr>
          <w:spacing w:val="-105"/>
        </w:rPr>
        <w:t>》、</w:t>
      </w:r>
      <w:r>
        <w:rPr/>
        <w:t>《上</w:t>
      </w:r>
      <w:r>
        <w:rPr>
          <w:spacing w:val="-2"/>
        </w:rPr>
        <w:t>海</w:t>
      </w:r>
      <w:r>
        <w:rPr/>
        <w:t>证券报</w:t>
      </w:r>
      <w:r>
        <w:rPr>
          <w:spacing w:val="-105"/>
        </w:rPr>
        <w:t>》</w:t>
      </w:r>
      <w:r>
        <w:rPr/>
        <w:t>。</w:t>
      </w:r>
    </w:p>
    <w:p>
      <w:pPr>
        <w:spacing w:line="240" w:lineRule="auto" w:before="7"/>
        <w:rPr>
          <w:rFonts w:ascii="宋体" w:hAnsi="宋体" w:cs="宋体" w:eastAsia="宋体" w:hint="default"/>
          <w:sz w:val="17"/>
          <w:szCs w:val="17"/>
        </w:rPr>
      </w:pPr>
    </w:p>
    <w:p>
      <w:pPr>
        <w:pStyle w:val="BodyText"/>
        <w:spacing w:line="240" w:lineRule="auto"/>
        <w:ind w:left="564" w:right="96"/>
        <w:jc w:val="left"/>
      </w:pPr>
      <w:r>
        <w:rPr>
          <w:rFonts w:ascii="Arial" w:hAnsi="Arial" w:cs="Arial" w:eastAsia="Arial" w:hint="default"/>
        </w:rPr>
        <w:t>3</w:t>
      </w:r>
      <w:r>
        <w:rPr/>
        <w:t>、深圳市金证科技股份有限公司</w:t>
      </w:r>
      <w:r>
        <w:rPr>
          <w:spacing w:val="-45"/>
        </w:rPr>
        <w:t> </w:t>
      </w:r>
      <w:r>
        <w:rPr>
          <w:rFonts w:ascii="Arial" w:hAnsi="Arial" w:cs="Arial" w:eastAsia="Arial" w:hint="default"/>
        </w:rPr>
        <w:t>2007</w:t>
      </w:r>
      <w:r>
        <w:rPr>
          <w:rFonts w:ascii="Arial" w:hAnsi="Arial" w:cs="Arial" w:eastAsia="Arial" w:hint="default"/>
          <w:spacing w:val="1"/>
        </w:rPr>
        <w:t> </w:t>
      </w:r>
      <w:r>
        <w:rPr/>
        <w:t>年第三次临时股东大会于</w:t>
      </w:r>
      <w:r>
        <w:rPr>
          <w:spacing w:val="-45"/>
        </w:rPr>
        <w:t> </w:t>
      </w:r>
      <w:r>
        <w:rPr>
          <w:rFonts w:ascii="Arial" w:hAnsi="Arial" w:cs="Arial" w:eastAsia="Arial" w:hint="default"/>
        </w:rPr>
        <w:t>2007</w:t>
      </w:r>
      <w:r>
        <w:rPr>
          <w:rFonts w:ascii="Arial" w:hAnsi="Arial" w:cs="Arial" w:eastAsia="Arial" w:hint="default"/>
          <w:spacing w:val="2"/>
        </w:rPr>
        <w:t> </w:t>
      </w:r>
      <w:r>
        <w:rPr/>
        <w:t>年</w:t>
      </w:r>
      <w:r>
        <w:rPr>
          <w:spacing w:val="-45"/>
        </w:rPr>
        <w:t> </w:t>
      </w:r>
      <w:r>
        <w:rPr>
          <w:rFonts w:ascii="Arial" w:hAnsi="Arial" w:cs="Arial" w:eastAsia="Arial" w:hint="default"/>
        </w:rPr>
        <w:t>9</w:t>
      </w:r>
      <w:r>
        <w:rPr>
          <w:rFonts w:ascii="Arial" w:hAnsi="Arial" w:cs="Arial" w:eastAsia="Arial" w:hint="default"/>
          <w:spacing w:val="1"/>
        </w:rPr>
        <w:t> </w:t>
      </w:r>
      <w:r>
        <w:rPr/>
        <w:t>月</w:t>
      </w:r>
      <w:r>
        <w:rPr>
          <w:spacing w:val="-45"/>
        </w:rPr>
        <w:t> </w:t>
      </w:r>
      <w:r>
        <w:rPr>
          <w:rFonts w:ascii="Arial" w:hAnsi="Arial" w:cs="Arial" w:eastAsia="Arial" w:hint="default"/>
        </w:rPr>
        <w:t>14</w:t>
      </w:r>
      <w:r>
        <w:rPr>
          <w:rFonts w:ascii="Arial" w:hAnsi="Arial" w:cs="Arial" w:eastAsia="Arial" w:hint="default"/>
          <w:spacing w:val="1"/>
        </w:rPr>
        <w:t> </w:t>
      </w:r>
      <w:r>
        <w:rPr/>
        <w:t>日在深圳市福</w:t>
      </w:r>
    </w:p>
    <w:p>
      <w:pPr>
        <w:pStyle w:val="BodyText"/>
        <w:spacing w:line="340" w:lineRule="auto" w:before="111"/>
        <w:ind w:left="144" w:right="212"/>
        <w:jc w:val="both"/>
      </w:pPr>
      <w:r>
        <w:rPr/>
        <w:t>华路</w:t>
      </w:r>
      <w:r>
        <w:rPr>
          <w:spacing w:val="-55"/>
        </w:rPr>
        <w:t> </w:t>
      </w:r>
      <w:r>
        <w:rPr>
          <w:rFonts w:ascii="Arial" w:hAnsi="Arial" w:cs="Arial" w:eastAsia="Arial" w:hint="default"/>
        </w:rPr>
        <w:t>322</w:t>
      </w:r>
      <w:r>
        <w:rPr>
          <w:rFonts w:ascii="Arial" w:hAnsi="Arial" w:cs="Arial" w:eastAsia="Arial" w:hint="default"/>
          <w:spacing w:val="-8"/>
        </w:rPr>
        <w:t> </w:t>
      </w:r>
      <w:r>
        <w:rPr/>
        <w:t>号文蔚大厦</w:t>
      </w:r>
      <w:r>
        <w:rPr>
          <w:spacing w:val="-55"/>
        </w:rPr>
        <w:t> </w:t>
      </w:r>
      <w:r>
        <w:rPr>
          <w:rFonts w:ascii="Arial" w:hAnsi="Arial" w:cs="Arial" w:eastAsia="Arial" w:hint="default"/>
        </w:rPr>
        <w:t>22</w:t>
      </w:r>
      <w:r>
        <w:rPr>
          <w:rFonts w:ascii="Arial" w:hAnsi="Arial" w:cs="Arial" w:eastAsia="Arial" w:hint="default"/>
          <w:spacing w:val="-8"/>
        </w:rPr>
        <w:t> </w:t>
      </w:r>
      <w:r>
        <w:rPr/>
        <w:t>楼会议室召开。本次出席股东大会的股东及股东授权委托代表共计</w:t>
      </w:r>
      <w:r>
        <w:rPr>
          <w:spacing w:val="-4"/>
        </w:rPr>
        <w:t> </w:t>
      </w:r>
      <w:r>
        <w:rPr>
          <w:rFonts w:ascii="Arial" w:hAnsi="Arial" w:cs="Arial" w:eastAsia="Arial" w:hint="default"/>
        </w:rPr>
        <w:t>4</w:t>
      </w:r>
      <w:r>
        <w:rPr>
          <w:rFonts w:ascii="Arial" w:hAnsi="Arial" w:cs="Arial" w:eastAsia="Arial" w:hint="default"/>
          <w:spacing w:val="-8"/>
        </w:rPr>
        <w:t> </w:t>
      </w:r>
      <w:r>
        <w:rPr>
          <w:spacing w:val="-3"/>
        </w:rPr>
        <w:t>人，代</w:t>
      </w:r>
      <w:r>
        <w:rPr/>
        <w:t> 表股份</w:t>
      </w:r>
      <w:r>
        <w:rPr>
          <w:spacing w:val="-67"/>
        </w:rPr>
        <w:t> </w:t>
      </w:r>
      <w:r>
        <w:rPr>
          <w:rFonts w:ascii="Arial" w:hAnsi="Arial" w:cs="Arial" w:eastAsia="Arial" w:hint="default"/>
        </w:rPr>
        <w:t>65,872,990</w:t>
      </w:r>
      <w:r>
        <w:rPr>
          <w:rFonts w:ascii="Arial" w:hAnsi="Arial" w:cs="Arial" w:eastAsia="Arial" w:hint="default"/>
          <w:spacing w:val="-20"/>
        </w:rPr>
        <w:t> </w:t>
      </w:r>
      <w:r>
        <w:rPr/>
        <w:t>股，占公司有表决权股份总数的</w:t>
      </w:r>
      <w:r>
        <w:rPr>
          <w:spacing w:val="-67"/>
        </w:rPr>
        <w:t> </w:t>
      </w:r>
      <w:r>
        <w:rPr>
          <w:rFonts w:ascii="Arial" w:hAnsi="Arial" w:cs="Arial" w:eastAsia="Arial" w:hint="default"/>
        </w:rPr>
        <w:t>47.93%</w:t>
      </w:r>
      <w:r>
        <w:rPr/>
        <w:t>，会议的召开符合《公司法》和《公司章 程》的有关规定。会议由公司董事长杜宣先生主持，经出席本次股东大会股东审议，以现场投票方式 </w:t>
      </w:r>
      <w:r>
        <w:rPr>
          <w:spacing w:val="-10"/>
        </w:rPr>
        <w:t>审议并通过了《关于公司董事会换届的议案》、《关于监事会换届选举的议案》。本次临时股东大会决议</w:t>
      </w:r>
      <w:r>
        <w:rPr>
          <w:spacing w:val="-67"/>
        </w:rPr>
        <w:t> </w:t>
      </w:r>
      <w:r>
        <w:rPr>
          <w:spacing w:val="-67"/>
        </w:rPr>
      </w:r>
      <w:r>
        <w:rPr/>
        <w:t>公告己于</w:t>
      </w:r>
      <w:r>
        <w:rPr>
          <w:spacing w:val="-52"/>
        </w:rPr>
        <w:t> </w:t>
      </w:r>
      <w:r>
        <w:rPr>
          <w:rFonts w:ascii="Arial" w:hAnsi="Arial" w:cs="Arial" w:eastAsia="Arial" w:hint="default"/>
          <w:spacing w:val="-1"/>
          <w:w w:val="99"/>
        </w:rPr>
        <w:t>2007</w:t>
      </w:r>
      <w:r>
        <w:rPr>
          <w:rFonts w:ascii="Arial" w:hAnsi="Arial" w:cs="Arial" w:eastAsia="Arial" w:hint="default"/>
          <w:spacing w:val="-5"/>
          <w:w w:val="99"/>
        </w:rPr>
        <w:t> </w:t>
      </w:r>
      <w:r>
        <w:rPr/>
        <w:t>年</w:t>
      </w:r>
      <w:r>
        <w:rPr>
          <w:spacing w:val="-52"/>
        </w:rPr>
        <w:t> </w:t>
      </w:r>
      <w:r>
        <w:rPr>
          <w:rFonts w:ascii="Arial" w:hAnsi="Arial" w:cs="Arial" w:eastAsia="Arial" w:hint="default"/>
          <w:w w:val="99"/>
        </w:rPr>
        <w:t>9</w:t>
      </w:r>
      <w:r>
        <w:rPr>
          <w:rFonts w:ascii="Arial" w:hAnsi="Arial" w:cs="Arial" w:eastAsia="Arial" w:hint="default"/>
          <w:spacing w:val="-5"/>
          <w:w w:val="99"/>
        </w:rPr>
        <w:t> </w:t>
      </w:r>
      <w:r>
        <w:rPr/>
        <w:t>月</w:t>
      </w:r>
      <w:r>
        <w:rPr>
          <w:spacing w:val="-52"/>
        </w:rPr>
        <w:t> </w:t>
      </w:r>
      <w:r>
        <w:rPr>
          <w:rFonts w:ascii="Arial" w:hAnsi="Arial" w:cs="Arial" w:eastAsia="Arial" w:hint="default"/>
          <w:spacing w:val="-1"/>
          <w:w w:val="99"/>
        </w:rPr>
        <w:t>15</w:t>
      </w:r>
      <w:r>
        <w:rPr>
          <w:rFonts w:ascii="Arial" w:hAnsi="Arial" w:cs="Arial" w:eastAsia="Arial" w:hint="default"/>
          <w:spacing w:val="-5"/>
          <w:w w:val="99"/>
        </w:rPr>
        <w:t> </w:t>
      </w:r>
      <w:r>
        <w:rPr>
          <w:spacing w:val="-17"/>
        </w:rPr>
        <w:t>日刊登在《证券时报》、《上海证券报》。</w:t>
      </w:r>
    </w:p>
    <w:p>
      <w:pPr>
        <w:pStyle w:val="BodyText"/>
        <w:spacing w:line="240" w:lineRule="auto" w:before="131"/>
        <w:ind w:left="564" w:right="96"/>
        <w:jc w:val="left"/>
      </w:pPr>
      <w:r>
        <w:rPr>
          <w:rFonts w:ascii="Arial" w:hAnsi="Arial" w:cs="Arial" w:eastAsia="Arial" w:hint="default"/>
          <w:spacing w:val="-4"/>
        </w:rPr>
        <w:t>4</w:t>
      </w:r>
      <w:r>
        <w:rPr>
          <w:spacing w:val="-4"/>
        </w:rPr>
        <w:t>、深圳市金证科技股份有限公司</w:t>
      </w:r>
      <w:r>
        <w:rPr>
          <w:spacing w:val="-53"/>
        </w:rPr>
        <w:t> </w:t>
      </w:r>
      <w:r>
        <w:rPr>
          <w:rFonts w:ascii="Arial" w:hAnsi="Arial" w:cs="Arial" w:eastAsia="Arial" w:hint="default"/>
        </w:rPr>
        <w:t>2007</w:t>
      </w:r>
      <w:r>
        <w:rPr>
          <w:rFonts w:ascii="Arial" w:hAnsi="Arial" w:cs="Arial" w:eastAsia="Arial" w:hint="default"/>
          <w:spacing w:val="-6"/>
        </w:rPr>
        <w:t> </w:t>
      </w:r>
      <w:r>
        <w:rPr/>
        <w:t>年第四次临时股东大会于</w:t>
      </w:r>
      <w:r>
        <w:rPr>
          <w:spacing w:val="-53"/>
        </w:rPr>
        <w:t> </w:t>
      </w:r>
      <w:r>
        <w:rPr>
          <w:rFonts w:ascii="Arial" w:hAnsi="Arial" w:cs="Arial" w:eastAsia="Arial" w:hint="default"/>
        </w:rPr>
        <w:t>2007</w:t>
      </w:r>
      <w:r>
        <w:rPr>
          <w:rFonts w:ascii="Arial" w:hAnsi="Arial" w:cs="Arial" w:eastAsia="Arial" w:hint="default"/>
          <w:spacing w:val="-5"/>
        </w:rPr>
        <w:t> </w:t>
      </w:r>
      <w:r>
        <w:rPr/>
        <w:t>年</w:t>
      </w:r>
      <w:r>
        <w:rPr>
          <w:spacing w:val="-53"/>
        </w:rPr>
        <w:t> </w:t>
      </w:r>
      <w:r>
        <w:rPr>
          <w:rFonts w:ascii="Arial" w:hAnsi="Arial" w:cs="Arial" w:eastAsia="Arial" w:hint="default"/>
        </w:rPr>
        <w:t>10</w:t>
      </w:r>
      <w:r>
        <w:rPr>
          <w:rFonts w:ascii="Arial" w:hAnsi="Arial" w:cs="Arial" w:eastAsia="Arial" w:hint="default"/>
          <w:spacing w:val="-6"/>
        </w:rPr>
        <w:t> </w:t>
      </w:r>
      <w:r>
        <w:rPr/>
        <w:t>月</w:t>
      </w:r>
      <w:r>
        <w:rPr>
          <w:spacing w:val="-53"/>
        </w:rPr>
        <w:t> </w:t>
      </w:r>
      <w:r>
        <w:rPr>
          <w:rFonts w:ascii="Arial" w:hAnsi="Arial" w:cs="Arial" w:eastAsia="Arial" w:hint="default"/>
        </w:rPr>
        <w:t>12</w:t>
      </w:r>
      <w:r>
        <w:rPr>
          <w:rFonts w:ascii="Arial" w:hAnsi="Arial" w:cs="Arial" w:eastAsia="Arial" w:hint="default"/>
          <w:spacing w:val="-6"/>
        </w:rPr>
        <w:t> </w:t>
      </w:r>
      <w:r>
        <w:rPr/>
        <w:t>日在深圳市福</w:t>
      </w:r>
    </w:p>
    <w:p>
      <w:pPr>
        <w:pStyle w:val="BodyText"/>
        <w:spacing w:line="340" w:lineRule="auto" w:before="111"/>
        <w:ind w:left="143" w:right="212"/>
        <w:jc w:val="both"/>
      </w:pPr>
      <w:r>
        <w:rPr/>
        <w:t>华路</w:t>
      </w:r>
      <w:r>
        <w:rPr>
          <w:spacing w:val="-55"/>
        </w:rPr>
        <w:t> </w:t>
      </w:r>
      <w:r>
        <w:rPr>
          <w:rFonts w:ascii="Arial" w:hAnsi="Arial" w:cs="Arial" w:eastAsia="Arial" w:hint="default"/>
        </w:rPr>
        <w:t>322</w:t>
      </w:r>
      <w:r>
        <w:rPr>
          <w:rFonts w:ascii="Arial" w:hAnsi="Arial" w:cs="Arial" w:eastAsia="Arial" w:hint="default"/>
          <w:spacing w:val="-8"/>
        </w:rPr>
        <w:t> </w:t>
      </w:r>
      <w:r>
        <w:rPr/>
        <w:t>号文蔚大厦</w:t>
      </w:r>
      <w:r>
        <w:rPr>
          <w:spacing w:val="-55"/>
        </w:rPr>
        <w:t> </w:t>
      </w:r>
      <w:r>
        <w:rPr>
          <w:rFonts w:ascii="Arial" w:hAnsi="Arial" w:cs="Arial" w:eastAsia="Arial" w:hint="default"/>
        </w:rPr>
        <w:t>22</w:t>
      </w:r>
      <w:r>
        <w:rPr>
          <w:rFonts w:ascii="Arial" w:hAnsi="Arial" w:cs="Arial" w:eastAsia="Arial" w:hint="default"/>
          <w:spacing w:val="-8"/>
        </w:rPr>
        <w:t> </w:t>
      </w:r>
      <w:r>
        <w:rPr/>
        <w:t>楼会议室召开，本次出席股东大会的股东及股东授权委托代表共计</w:t>
      </w:r>
      <w:r>
        <w:rPr>
          <w:spacing w:val="-4"/>
        </w:rPr>
        <w:t> </w:t>
      </w:r>
      <w:r>
        <w:rPr>
          <w:rFonts w:ascii="Arial" w:hAnsi="Arial" w:cs="Arial" w:eastAsia="Arial" w:hint="default"/>
        </w:rPr>
        <w:t>4</w:t>
      </w:r>
      <w:r>
        <w:rPr>
          <w:rFonts w:ascii="Arial" w:hAnsi="Arial" w:cs="Arial" w:eastAsia="Arial" w:hint="default"/>
          <w:spacing w:val="-8"/>
        </w:rPr>
        <w:t> </w:t>
      </w:r>
      <w:r>
        <w:rPr>
          <w:spacing w:val="-3"/>
        </w:rPr>
        <w:t>人，代</w:t>
      </w:r>
      <w:r>
        <w:rPr/>
        <w:t> 表股份</w:t>
      </w:r>
      <w:r>
        <w:rPr>
          <w:spacing w:val="-67"/>
        </w:rPr>
        <w:t> </w:t>
      </w:r>
      <w:r>
        <w:rPr>
          <w:rFonts w:ascii="Arial" w:hAnsi="Arial" w:cs="Arial" w:eastAsia="Arial" w:hint="default"/>
        </w:rPr>
        <w:t>65,872,990</w:t>
      </w:r>
      <w:r>
        <w:rPr>
          <w:rFonts w:ascii="Arial" w:hAnsi="Arial" w:cs="Arial" w:eastAsia="Arial" w:hint="default"/>
          <w:spacing w:val="-20"/>
        </w:rPr>
        <w:t> </w:t>
      </w:r>
      <w:r>
        <w:rPr/>
        <w:t>股，占公司有表决权股份总数的</w:t>
      </w:r>
      <w:r>
        <w:rPr>
          <w:spacing w:val="-67"/>
        </w:rPr>
        <w:t> </w:t>
      </w:r>
      <w:r>
        <w:rPr>
          <w:rFonts w:ascii="Arial" w:hAnsi="Arial" w:cs="Arial" w:eastAsia="Arial" w:hint="default"/>
        </w:rPr>
        <w:t>47.93%</w:t>
      </w:r>
      <w:r>
        <w:rPr/>
        <w:t>，会议的召开符合《公司法》和《公司章 程》的有关规定。会议由公司董事长杜宣先生主持，经出席本次股东大会股东审议，以现场投票方式 </w:t>
      </w:r>
      <w:r>
        <w:rPr>
          <w:spacing w:val="-10"/>
        </w:rPr>
        <w:t>审议并通过了《关于成立董事会专业委员会的议案》、《关于修改公司章程部分条款的议案》。本次临时</w:t>
      </w:r>
      <w:r>
        <w:rPr>
          <w:spacing w:val="-67"/>
        </w:rPr>
        <w:t> </w:t>
      </w:r>
      <w:r>
        <w:rPr>
          <w:spacing w:val="-67"/>
        </w:rPr>
      </w:r>
      <w:r>
        <w:rPr/>
        <w:t>股东大会决议公告己于</w:t>
      </w:r>
      <w:r>
        <w:rPr>
          <w:spacing w:val="-52"/>
        </w:rPr>
        <w:t> </w:t>
      </w:r>
      <w:r>
        <w:rPr>
          <w:rFonts w:ascii="Arial" w:hAnsi="Arial" w:cs="Arial" w:eastAsia="Arial" w:hint="default"/>
          <w:spacing w:val="-1"/>
          <w:w w:val="99"/>
        </w:rPr>
        <w:t>2007</w:t>
      </w:r>
      <w:r>
        <w:rPr>
          <w:rFonts w:ascii="Arial" w:hAnsi="Arial" w:cs="Arial" w:eastAsia="Arial" w:hint="default"/>
          <w:spacing w:val="-5"/>
          <w:w w:val="99"/>
        </w:rPr>
        <w:t> </w:t>
      </w:r>
      <w:r>
        <w:rPr/>
        <w:t>年</w:t>
      </w:r>
      <w:r>
        <w:rPr>
          <w:spacing w:val="-52"/>
        </w:rPr>
        <w:t> </w:t>
      </w:r>
      <w:r>
        <w:rPr>
          <w:rFonts w:ascii="Arial" w:hAnsi="Arial" w:cs="Arial" w:eastAsia="Arial" w:hint="default"/>
          <w:spacing w:val="-1"/>
          <w:w w:val="99"/>
        </w:rPr>
        <w:t>10</w:t>
      </w:r>
      <w:r>
        <w:rPr>
          <w:rFonts w:ascii="Arial" w:hAnsi="Arial" w:cs="Arial" w:eastAsia="Arial" w:hint="default"/>
          <w:spacing w:val="-5"/>
          <w:w w:val="99"/>
        </w:rPr>
        <w:t> </w:t>
      </w:r>
      <w:r>
        <w:rPr/>
        <w:t>月</w:t>
      </w:r>
      <w:r>
        <w:rPr>
          <w:spacing w:val="-51"/>
        </w:rPr>
        <w:t> </w:t>
      </w:r>
      <w:r>
        <w:rPr>
          <w:rFonts w:ascii="Arial" w:hAnsi="Arial" w:cs="Arial" w:eastAsia="Arial" w:hint="default"/>
          <w:spacing w:val="-1"/>
          <w:w w:val="99"/>
        </w:rPr>
        <w:t>13</w:t>
      </w:r>
      <w:r>
        <w:rPr>
          <w:rFonts w:ascii="Arial" w:hAnsi="Arial" w:cs="Arial" w:eastAsia="Arial" w:hint="default"/>
          <w:spacing w:val="-5"/>
          <w:w w:val="99"/>
        </w:rPr>
        <w:t> </w:t>
      </w:r>
      <w:r>
        <w:rPr>
          <w:spacing w:val="-17"/>
        </w:rPr>
        <w:t>日刊登在《证券时报》、《上海证券报》。</w:t>
      </w:r>
    </w:p>
    <w:p>
      <w:pPr>
        <w:pStyle w:val="Heading1"/>
        <w:spacing w:line="240" w:lineRule="auto" w:before="145"/>
        <w:ind w:right="0"/>
        <w:jc w:val="both"/>
        <w:rPr>
          <w:b w:val="0"/>
          <w:bCs w:val="0"/>
        </w:rPr>
      </w:pPr>
      <w:bookmarkStart w:name="_TOC_250004" w:id="7"/>
      <w:r>
        <w:rPr/>
        <w:t>八、董事会报告</w:t>
      </w:r>
      <w:bookmarkEnd w:id="7"/>
      <w:r>
        <w:rPr>
          <w:b w:val="0"/>
          <w:bCs w:val="0"/>
        </w:rPr>
      </w: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21"/>
          <w:szCs w:val="21"/>
        </w:rPr>
      </w:pPr>
    </w:p>
    <w:p>
      <w:pPr>
        <w:pStyle w:val="BodyText"/>
        <w:spacing w:line="240" w:lineRule="auto"/>
        <w:ind w:left="565" w:right="96"/>
        <w:jc w:val="left"/>
      </w:pPr>
      <w:r>
        <w:rPr/>
        <w:t>(一)管理层讨论与分析</w:t>
      </w:r>
    </w:p>
    <w:p>
      <w:pPr>
        <w:spacing w:line="240" w:lineRule="auto" w:before="9"/>
        <w:rPr>
          <w:rFonts w:ascii="宋体" w:hAnsi="宋体" w:cs="宋体" w:eastAsia="宋体" w:hint="default"/>
          <w:sz w:val="18"/>
          <w:szCs w:val="18"/>
        </w:rPr>
      </w:pPr>
    </w:p>
    <w:p>
      <w:pPr>
        <w:pStyle w:val="BodyText"/>
        <w:spacing w:line="340" w:lineRule="auto"/>
        <w:ind w:right="210" w:firstLine="420"/>
        <w:jc w:val="both"/>
      </w:pPr>
      <w:r>
        <w:rPr>
          <w:spacing w:val="-3"/>
        </w:rPr>
        <w:t>本报告期内，公司利用证券</w:t>
      </w:r>
      <w:r>
        <w:rPr>
          <w:spacing w:val="-75"/>
        </w:rPr>
        <w:t> </w:t>
      </w:r>
      <w:r>
        <w:rPr>
          <w:rFonts w:ascii="Arial" w:hAnsi="Arial" w:cs="Arial" w:eastAsia="Arial" w:hint="default"/>
        </w:rPr>
        <w:t>IT</w:t>
      </w:r>
      <w:r>
        <w:rPr>
          <w:rFonts w:ascii="Arial" w:hAnsi="Arial" w:cs="Arial" w:eastAsia="Arial" w:hint="default"/>
          <w:spacing w:val="-29"/>
        </w:rPr>
        <w:t> </w:t>
      </w:r>
      <w:r>
        <w:rPr/>
        <w:t>行业持续好转的良好环境，加大公司优势领域的投入，进行积极的 市场开拓和挖掘，为客户提供优质的整体解决方案服务，通过合理的资源配置，加强规范化管理，提 高工作效率和销售业绩。</w:t>
      </w:r>
    </w:p>
    <w:p>
      <w:pPr>
        <w:pStyle w:val="BodyText"/>
        <w:spacing w:line="331" w:lineRule="auto" w:before="156"/>
        <w:ind w:right="96" w:firstLine="420"/>
        <w:jc w:val="left"/>
      </w:pPr>
      <w:r>
        <w:rPr>
          <w:spacing w:val="-11"/>
          <w:w w:val="99"/>
        </w:rPr>
        <w:t>本报告期内，公司经营业绩继续增长。</w:t>
      </w:r>
      <w:r>
        <w:rPr>
          <w:rFonts w:ascii="Arial" w:hAnsi="Arial" w:cs="Arial" w:eastAsia="Arial" w:hint="default"/>
          <w:spacing w:val="-11"/>
          <w:w w:val="99"/>
        </w:rPr>
        <w:t>2007</w:t>
      </w:r>
      <w:r>
        <w:rPr>
          <w:rFonts w:ascii="Arial" w:hAnsi="Arial" w:cs="Arial" w:eastAsia="Arial" w:hint="default"/>
          <w:spacing w:val="-24"/>
          <w:w w:val="99"/>
        </w:rPr>
        <w:t> </w:t>
      </w:r>
      <w:r>
        <w:rPr>
          <w:spacing w:val="-14"/>
        </w:rPr>
        <w:t>年，公司营业收入</w:t>
      </w:r>
      <w:r>
        <w:rPr>
          <w:spacing w:val="-69"/>
        </w:rPr>
        <w:t> </w:t>
      </w:r>
      <w:r>
        <w:rPr>
          <w:rFonts w:ascii="Arial" w:hAnsi="Arial" w:cs="Arial" w:eastAsia="Arial" w:hint="default"/>
          <w:spacing w:val="-1"/>
          <w:w w:val="99"/>
        </w:rPr>
        <w:t>958,335,785.26</w:t>
      </w:r>
      <w:r>
        <w:rPr>
          <w:rFonts w:ascii="Arial" w:hAnsi="Arial" w:cs="Arial" w:eastAsia="Arial" w:hint="default"/>
          <w:spacing w:val="-24"/>
          <w:w w:val="99"/>
        </w:rPr>
        <w:t> </w:t>
      </w:r>
      <w:r>
        <w:rPr>
          <w:spacing w:val="-18"/>
        </w:rPr>
        <w:t>元，较上年增</w:t>
      </w:r>
      <w:r>
        <w:rPr>
          <w:spacing w:val="-69"/>
        </w:rPr>
        <w:t> </w:t>
      </w:r>
      <w:r>
        <w:rPr>
          <w:rFonts w:ascii="Arial" w:hAnsi="Arial" w:cs="Arial" w:eastAsia="Arial" w:hint="default"/>
          <w:spacing w:val="-1"/>
          <w:w w:val="99"/>
        </w:rPr>
        <w:t>2.77%</w:t>
      </w:r>
      <w:r>
        <w:rPr>
          <w:spacing w:val="-1"/>
          <w:w w:val="99"/>
          <w:sz w:val="18"/>
          <w:szCs w:val="18"/>
        </w:rPr>
        <w:t>；</w:t>
      </w:r>
      <w:r>
        <w:rPr>
          <w:sz w:val="18"/>
          <w:szCs w:val="18"/>
        </w:rPr>
        <w:t> </w:t>
      </w:r>
      <w:r>
        <w:rPr/>
        <w:t>利润总额</w:t>
      </w:r>
      <w:r>
        <w:rPr>
          <w:spacing w:val="-60"/>
        </w:rPr>
        <w:t> </w:t>
      </w:r>
      <w:r>
        <w:rPr>
          <w:rFonts w:ascii="Arial" w:hAnsi="Arial" w:cs="Arial" w:eastAsia="Arial" w:hint="default"/>
        </w:rPr>
        <w:t>46,135,230.05</w:t>
      </w:r>
      <w:r>
        <w:rPr>
          <w:rFonts w:ascii="Arial" w:hAnsi="Arial" w:cs="Arial" w:eastAsia="Arial" w:hint="default"/>
          <w:spacing w:val="-11"/>
        </w:rPr>
        <w:t> </w:t>
      </w:r>
      <w:r>
        <w:rPr>
          <w:spacing w:val="-6"/>
        </w:rPr>
        <w:t>元，较上年减</w:t>
      </w:r>
      <w:r>
        <w:rPr>
          <w:spacing w:val="-60"/>
        </w:rPr>
        <w:t> </w:t>
      </w:r>
      <w:r>
        <w:rPr>
          <w:rFonts w:ascii="Arial" w:hAnsi="Arial" w:cs="Arial" w:eastAsia="Arial" w:hint="default"/>
        </w:rPr>
        <w:t>35.60%</w:t>
      </w:r>
      <w:r>
        <w:rPr/>
        <w:t>；归属于上市公司的净利润</w:t>
      </w:r>
      <w:r>
        <w:rPr>
          <w:spacing w:val="-60"/>
        </w:rPr>
        <w:t> </w:t>
      </w:r>
      <w:r>
        <w:rPr>
          <w:rFonts w:ascii="Arial" w:hAnsi="Arial" w:cs="Arial" w:eastAsia="Arial" w:hint="default"/>
        </w:rPr>
        <w:t>34,282,858.66</w:t>
      </w:r>
      <w:r>
        <w:rPr>
          <w:rFonts w:ascii="Arial" w:hAnsi="Arial" w:cs="Arial" w:eastAsia="Arial" w:hint="default"/>
          <w:spacing w:val="-13"/>
        </w:rPr>
        <w:t> </w:t>
      </w:r>
      <w:r>
        <w:rPr>
          <w:spacing w:val="-7"/>
        </w:rPr>
        <w:t>元，较上年</w:t>
      </w:r>
      <w:r>
        <w:rPr/>
        <w:t> 减</w:t>
      </w:r>
      <w:r>
        <w:rPr>
          <w:spacing w:val="-48"/>
        </w:rPr>
        <w:t> </w:t>
      </w:r>
      <w:r>
        <w:rPr>
          <w:rFonts w:ascii="Arial" w:hAnsi="Arial" w:cs="Arial" w:eastAsia="Arial" w:hint="default"/>
          <w:spacing w:val="-8"/>
          <w:w w:val="99"/>
        </w:rPr>
        <w:t>38.55%</w:t>
      </w:r>
      <w:r>
        <w:rPr>
          <w:spacing w:val="-8"/>
          <w:w w:val="99"/>
        </w:rPr>
        <w:t>。其中，归属于上市公司的扣除非经常性损益的净利润</w:t>
      </w:r>
      <w:r>
        <w:rPr>
          <w:spacing w:val="-48"/>
          <w:w w:val="99"/>
        </w:rPr>
        <w:t> </w:t>
      </w:r>
      <w:r>
        <w:rPr>
          <w:rFonts w:ascii="Arial" w:hAnsi="Arial" w:cs="Arial" w:eastAsia="Arial" w:hint="default"/>
          <w:spacing w:val="-1"/>
          <w:w w:val="99"/>
        </w:rPr>
        <w:t>16,347,674.55</w:t>
      </w:r>
      <w:r>
        <w:rPr>
          <w:rFonts w:ascii="Arial" w:hAnsi="Arial" w:cs="Arial" w:eastAsia="Arial" w:hint="default"/>
          <w:spacing w:val="-2"/>
          <w:w w:val="99"/>
        </w:rPr>
        <w:t> </w:t>
      </w:r>
      <w:r>
        <w:rPr>
          <w:spacing w:val="-14"/>
          <w:w w:val="99"/>
        </w:rPr>
        <w:t>元</w:t>
      </w:r>
      <w:r>
        <w:rPr>
          <w:spacing w:val="-14"/>
          <w:w w:val="99"/>
          <w:sz w:val="16"/>
          <w:szCs w:val="16"/>
        </w:rPr>
        <w:t>，</w:t>
      </w:r>
      <w:r>
        <w:rPr>
          <w:spacing w:val="-14"/>
          <w:w w:val="99"/>
        </w:rPr>
        <w:t>较上年增</w:t>
      </w:r>
      <w:r>
        <w:rPr>
          <w:spacing w:val="-48"/>
          <w:w w:val="99"/>
        </w:rPr>
        <w:t> </w:t>
      </w:r>
      <w:r>
        <w:rPr>
          <w:rFonts w:ascii="Arial" w:hAnsi="Arial" w:cs="Arial" w:eastAsia="Arial" w:hint="default"/>
          <w:spacing w:val="-1"/>
          <w:w w:val="99"/>
        </w:rPr>
        <w:t>19.78%</w:t>
      </w:r>
      <w:r>
        <w:rPr>
          <w:spacing w:val="-1"/>
          <w:w w:val="99"/>
        </w:rPr>
        <w:t>。</w:t>
      </w:r>
    </w:p>
    <w:p>
      <w:pPr>
        <w:pStyle w:val="BodyText"/>
        <w:spacing w:line="240" w:lineRule="auto" w:before="31"/>
        <w:ind w:left="565" w:right="96"/>
        <w:jc w:val="left"/>
      </w:pPr>
      <w:r>
        <w:rPr>
          <w:rFonts w:ascii="Arial" w:hAnsi="Arial" w:cs="Arial" w:eastAsia="Arial" w:hint="default"/>
        </w:rPr>
        <w:t>2</w:t>
      </w:r>
      <w:r>
        <w:rPr/>
        <w:t>、主营业务经营情况</w:t>
      </w:r>
    </w:p>
    <w:p>
      <w:pPr>
        <w:spacing w:line="240" w:lineRule="auto" w:before="7"/>
        <w:rPr>
          <w:rFonts w:ascii="宋体" w:hAnsi="宋体" w:cs="宋体" w:eastAsia="宋体" w:hint="default"/>
          <w:sz w:val="26"/>
          <w:szCs w:val="26"/>
        </w:rPr>
      </w:pPr>
    </w:p>
    <w:p>
      <w:pPr>
        <w:pStyle w:val="BodyText"/>
        <w:spacing w:line="350" w:lineRule="auto"/>
        <w:ind w:right="96" w:firstLine="420"/>
        <w:jc w:val="left"/>
      </w:pPr>
      <w:r>
        <w:rPr>
          <w:spacing w:val="-3"/>
        </w:rPr>
        <w:t>报告期内，公司主营业务为金融、证券、政府、教育领域软件和系统集成产品的技术开发、生产、</w:t>
      </w:r>
      <w:r>
        <w:rPr/>
        <w:t> 销售。</w:t>
      </w:r>
    </w:p>
    <w:p>
      <w:pPr>
        <w:pStyle w:val="BodyText"/>
        <w:spacing w:line="340" w:lineRule="auto" w:before="148"/>
        <w:ind w:right="210" w:firstLine="420"/>
        <w:jc w:val="both"/>
      </w:pPr>
      <w:r>
        <w:rPr>
          <w:rFonts w:ascii="Arial" w:hAnsi="Arial" w:cs="Arial" w:eastAsia="Arial" w:hint="default"/>
          <w:spacing w:val="-2"/>
        </w:rPr>
        <w:t>(1)</w:t>
      </w:r>
      <w:r>
        <w:rPr>
          <w:spacing w:val="-2"/>
        </w:rPr>
        <w:t>公司在“持续发展、做精做强、抓住机会、扩大优势”的经营管理战略思想指导下，对原有的</w:t>
      </w:r>
      <w:r>
        <w:rPr/>
        <w:t> 经营思路、管理模式、规章制度和各种资源进行重新审视，并根据新形势进行适当调整、完善，把握 良好的市场机遇，提高运营效率。</w:t>
      </w:r>
    </w:p>
    <w:p>
      <w:pPr>
        <w:pStyle w:val="BodyText"/>
        <w:spacing w:line="331" w:lineRule="auto" w:before="87"/>
        <w:ind w:right="208" w:firstLine="420"/>
        <w:jc w:val="left"/>
      </w:pPr>
      <w:r>
        <w:rPr>
          <w:rFonts w:ascii="Arial" w:hAnsi="Arial" w:cs="Arial" w:eastAsia="Arial" w:hint="default"/>
          <w:spacing w:val="-2"/>
        </w:rPr>
        <w:t>(2)</w:t>
      </w:r>
      <w:r>
        <w:rPr>
          <w:spacing w:val="-2"/>
        </w:rPr>
        <w:t>在软件业务这一公司核心业务上，公司继续保持业内优势地位。公司在新一代证券集中交易系</w:t>
      </w:r>
      <w:r>
        <w:rPr/>
        <w:t> </w:t>
      </w:r>
      <w:r>
        <w:rPr>
          <w:spacing w:val="-4"/>
        </w:rPr>
        <w:t>统、</w:t>
      </w:r>
      <w:r>
        <w:rPr>
          <w:rFonts w:ascii="Arial" w:hAnsi="Arial" w:cs="Arial" w:eastAsia="Arial" w:hint="default"/>
          <w:spacing w:val="-4"/>
        </w:rPr>
        <w:t>call</w:t>
      </w:r>
      <w:r>
        <w:rPr>
          <w:rFonts w:ascii="Arial" w:hAnsi="Arial" w:cs="Arial" w:eastAsia="Arial" w:hint="default"/>
          <w:spacing w:val="-18"/>
        </w:rPr>
        <w:t> </w:t>
      </w:r>
      <w:r>
        <w:rPr>
          <w:rFonts w:ascii="Arial" w:hAnsi="Arial" w:cs="Arial" w:eastAsia="Arial" w:hint="default"/>
        </w:rPr>
        <w:t>center</w:t>
      </w:r>
      <w:r>
        <w:rPr>
          <w:rFonts w:ascii="Arial" w:hAnsi="Arial" w:cs="Arial" w:eastAsia="Arial" w:hint="default"/>
          <w:spacing w:val="-18"/>
        </w:rPr>
        <w:t> </w:t>
      </w:r>
      <w:r>
        <w:rPr>
          <w:spacing w:val="-3"/>
        </w:rPr>
        <w:t>系统、</w:t>
      </w:r>
      <w:r>
        <w:rPr>
          <w:rFonts w:ascii="Arial" w:hAnsi="Arial" w:cs="Arial" w:eastAsia="Arial" w:hint="default"/>
          <w:spacing w:val="-3"/>
        </w:rPr>
        <w:t>CRM</w:t>
      </w:r>
      <w:r>
        <w:rPr>
          <w:rFonts w:ascii="Arial" w:hAnsi="Arial" w:cs="Arial" w:eastAsia="Arial" w:hint="default"/>
          <w:spacing w:val="-18"/>
        </w:rPr>
        <w:t> </w:t>
      </w:r>
      <w:r>
        <w:rPr/>
        <w:t>系统等领域进行了重点投入，不断提升产品质量，保持产品功能和性能的</w:t>
      </w:r>
    </w:p>
    <w:p>
      <w:pPr>
        <w:spacing w:after="0" w:line="331" w:lineRule="auto"/>
        <w:jc w:val="left"/>
        <w:sectPr>
          <w:footerReference w:type="default" r:id="rId13"/>
          <w:pgSz w:w="12240" w:h="15840"/>
          <w:pgMar w:footer="727" w:header="747" w:top="1040" w:bottom="920" w:left="1380" w:right="1260"/>
          <w:pgNumType w:start="17"/>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31" w:lineRule="auto"/>
        <w:ind w:right="111"/>
        <w:jc w:val="both"/>
      </w:pPr>
      <w:r>
        <w:rPr/>
        <w:t>先进性，扩大市场占有率。其中，公司的</w:t>
      </w:r>
      <w:r>
        <w:rPr>
          <w:spacing w:val="-59"/>
        </w:rPr>
        <w:t> </w:t>
      </w:r>
      <w:r>
        <w:rPr>
          <w:rFonts w:ascii="Arial" w:hAnsi="Arial" w:cs="Arial" w:eastAsia="Arial" w:hint="default"/>
        </w:rPr>
        <w:t>call</w:t>
      </w:r>
      <w:r>
        <w:rPr>
          <w:rFonts w:ascii="Arial" w:hAnsi="Arial" w:cs="Arial" w:eastAsia="Arial" w:hint="default"/>
          <w:spacing w:val="-12"/>
        </w:rPr>
        <w:t> </w:t>
      </w:r>
      <w:r>
        <w:rPr>
          <w:rFonts w:ascii="Arial" w:hAnsi="Arial" w:cs="Arial" w:eastAsia="Arial" w:hint="default"/>
        </w:rPr>
        <w:t>center</w:t>
      </w:r>
      <w:r>
        <w:rPr>
          <w:rFonts w:ascii="Arial" w:hAnsi="Arial" w:cs="Arial" w:eastAsia="Arial" w:hint="default"/>
          <w:spacing w:val="-12"/>
        </w:rPr>
        <w:t> </w:t>
      </w:r>
      <w:r>
        <w:rPr/>
        <w:t>系统不仅在证券、基金行业得到了较大推广，并 且进入了政府领域。本报告期内，公司顺利通过了 </w:t>
      </w:r>
      <w:r>
        <w:rPr>
          <w:rFonts w:ascii="Arial" w:hAnsi="Arial" w:cs="Arial" w:eastAsia="Arial" w:hint="default"/>
        </w:rPr>
        <w:t>CMMI3</w:t>
      </w:r>
      <w:r>
        <w:rPr>
          <w:rFonts w:ascii="Arial" w:hAnsi="Arial" w:cs="Arial" w:eastAsia="Arial" w:hint="default"/>
          <w:spacing w:val="-2"/>
        </w:rPr>
        <w:t> </w:t>
      </w:r>
      <w:r>
        <w:rPr/>
        <w:t>认证，这为公司进一步提高软件开发管理 的规范程度、提高产品研发能力提供了坚实的基础。</w:t>
      </w:r>
    </w:p>
    <w:p>
      <w:pPr>
        <w:pStyle w:val="BodyText"/>
        <w:spacing w:line="343" w:lineRule="auto" w:before="95"/>
        <w:ind w:right="110" w:firstLine="420"/>
        <w:jc w:val="both"/>
      </w:pPr>
      <w:r>
        <w:rPr/>
        <w:t>（</w:t>
      </w:r>
      <w:r>
        <w:rPr>
          <w:rFonts w:ascii="Arial" w:hAnsi="Arial" w:cs="Arial" w:eastAsia="Arial" w:hint="default"/>
        </w:rPr>
        <w:t>3</w:t>
      </w:r>
      <w:r>
        <w:rPr/>
        <w:t>）在系统集成方面，公司积极与国内外著名厂商合作，建立战略伙伴关系。通过探索金融和 非金融领域的系统集成发展模式，提出了“新集成”的业务思路，对公司传统的系统集成业务进行拓 </w:t>
      </w:r>
      <w:r>
        <w:rPr>
          <w:spacing w:val="-5"/>
        </w:rPr>
        <w:t>展，延伸到智能化系统工程等新领域。报告期内，“新集成”业务所占比例大幅提高。在项目方面，采</w:t>
      </w:r>
      <w:r>
        <w:rPr>
          <w:spacing w:val="-91"/>
        </w:rPr>
        <w:t> </w:t>
      </w:r>
      <w:r>
        <w:rPr>
          <w:spacing w:val="-91"/>
        </w:rPr>
      </w:r>
      <w:r>
        <w:rPr/>
        <w:t>取“抓大放小增值拓展”的策略，在重大项目的运作和管理方面得到进一步加强。</w:t>
      </w:r>
    </w:p>
    <w:p>
      <w:pPr>
        <w:pStyle w:val="BodyText"/>
        <w:spacing w:line="338" w:lineRule="auto" w:before="85"/>
        <w:ind w:right="112" w:firstLine="539"/>
        <w:jc w:val="both"/>
      </w:pPr>
      <w:r>
        <w:rPr>
          <w:rFonts w:ascii="Arial" w:hAnsi="Arial" w:cs="Arial" w:eastAsia="Arial" w:hint="default"/>
        </w:rPr>
        <w:t>(4)</w:t>
      </w:r>
      <w:r>
        <w:rPr/>
        <w:t>新业务领域继续良性发展，金慧盈通是公司在金融</w:t>
      </w:r>
      <w:r>
        <w:rPr>
          <w:spacing w:val="-73"/>
        </w:rPr>
        <w:t> </w:t>
      </w:r>
      <w:r>
        <w:rPr>
          <w:rFonts w:ascii="Arial" w:hAnsi="Arial" w:cs="Arial" w:eastAsia="Arial" w:hint="default"/>
        </w:rPr>
        <w:t>IT</w:t>
      </w:r>
      <w:r>
        <w:rPr>
          <w:rFonts w:ascii="Arial" w:hAnsi="Arial" w:cs="Arial" w:eastAsia="Arial" w:hint="default"/>
          <w:spacing w:val="-27"/>
        </w:rPr>
        <w:t> </w:t>
      </w:r>
      <w:r>
        <w:rPr/>
        <w:t>服务运营领域的尝试，目前虽仍处于前 期投入阶段，但一些基础性建设工作已基本完成，业务运行良好。金证卡尔已开始成为一些国内汽车 </w:t>
      </w:r>
      <w:r>
        <w:rPr>
          <w:spacing w:val="-3"/>
        </w:rPr>
        <w:t>厂商的设备配套商，本年度越过了盈亏平衡线。齐普生公司借助其专业</w:t>
      </w:r>
      <w:r>
        <w:rPr>
          <w:spacing w:val="-48"/>
        </w:rPr>
        <w:t> </w:t>
      </w:r>
      <w:r>
        <w:rPr>
          <w:rFonts w:ascii="Arial" w:hAnsi="Arial" w:cs="Arial" w:eastAsia="Arial" w:hint="default"/>
        </w:rPr>
        <w:t>IT</w:t>
      </w:r>
      <w:r>
        <w:rPr>
          <w:rFonts w:ascii="Arial" w:hAnsi="Arial" w:cs="Arial" w:eastAsia="Arial" w:hint="default"/>
          <w:spacing w:val="-2"/>
        </w:rPr>
        <w:t> </w:t>
      </w:r>
      <w:r>
        <w:rPr/>
        <w:t>服务技术在行业内继续保持 领先优势，稳健发展。</w:t>
      </w:r>
    </w:p>
    <w:p>
      <w:pPr>
        <w:pStyle w:val="BodyText"/>
        <w:spacing w:line="372" w:lineRule="auto" w:before="89"/>
        <w:ind w:left="670" w:right="5949" w:firstLine="14"/>
        <w:jc w:val="left"/>
      </w:pPr>
      <w:r>
        <w:rPr>
          <w:rFonts w:ascii="Arial" w:hAnsi="Arial" w:cs="Arial" w:eastAsia="Arial" w:hint="default"/>
        </w:rPr>
        <w:t>3</w:t>
      </w:r>
      <w:r>
        <w:rPr/>
        <w:t>、公司的行业地位及区域市场 </w:t>
      </w:r>
      <w:r>
        <w:rPr>
          <w:rFonts w:ascii="Arial" w:hAnsi="Arial" w:cs="Arial" w:eastAsia="Arial" w:hint="default"/>
        </w:rPr>
        <w:t>(1)</w:t>
      </w:r>
      <w:r>
        <w:rPr/>
        <w:t>公司存在的优势</w:t>
      </w:r>
    </w:p>
    <w:p>
      <w:pPr>
        <w:pStyle w:val="BodyText"/>
        <w:spacing w:line="331" w:lineRule="auto" w:before="31"/>
        <w:ind w:left="144" w:right="109" w:firstLine="436"/>
        <w:jc w:val="both"/>
      </w:pPr>
      <w:r>
        <w:rPr>
          <w:spacing w:val="-3"/>
        </w:rPr>
        <w:t>公司对证券、基金等金融行业的 </w:t>
      </w:r>
      <w:r>
        <w:rPr>
          <w:rFonts w:ascii="Arial" w:hAnsi="Arial" w:cs="Arial" w:eastAsia="Arial" w:hint="default"/>
        </w:rPr>
        <w:t>IT</w:t>
      </w:r>
      <w:r>
        <w:rPr>
          <w:rFonts w:ascii="Arial" w:hAnsi="Arial" w:cs="Arial" w:eastAsia="Arial" w:hint="default"/>
          <w:spacing w:val="-36"/>
        </w:rPr>
        <w:t> </w:t>
      </w:r>
      <w:r>
        <w:rPr>
          <w:spacing w:val="-3"/>
        </w:rPr>
        <w:t>需求有深刻的理解，能提供一体化的整体解决方案，在行业内</w:t>
      </w:r>
      <w:r>
        <w:rPr/>
        <w:t> </w:t>
      </w:r>
      <w:r>
        <w:rPr>
          <w:spacing w:val="-3"/>
        </w:rPr>
        <w:t>拥有大量优质客户。公司经过多年发展，研制了一批具有竞争力的核心软件产品。公司通过了</w:t>
      </w:r>
      <w:r>
        <w:rPr>
          <w:spacing w:val="-32"/>
        </w:rPr>
        <w:t> </w:t>
      </w:r>
      <w:r>
        <w:rPr>
          <w:rFonts w:ascii="Arial" w:hAnsi="Arial" w:cs="Arial" w:eastAsia="Arial" w:hint="default"/>
        </w:rPr>
        <w:t>CMMI3</w:t>
      </w:r>
      <w:r>
        <w:rPr>
          <w:rFonts w:ascii="Arial" w:hAnsi="Arial" w:cs="Arial" w:eastAsia="Arial" w:hint="default"/>
          <w:spacing w:val="-56"/>
        </w:rPr>
        <w:t> </w:t>
      </w:r>
      <w:r>
        <w:rPr>
          <w:spacing w:val="-2"/>
        </w:rPr>
        <w:t>认证，建立了完整的软件企业质量管理体系。公司与国内外著名</w:t>
      </w:r>
      <w:r>
        <w:rPr>
          <w:spacing w:val="-52"/>
        </w:rPr>
        <w:t> </w:t>
      </w:r>
      <w:r>
        <w:rPr>
          <w:rFonts w:ascii="Arial" w:hAnsi="Arial" w:cs="Arial" w:eastAsia="Arial" w:hint="default"/>
        </w:rPr>
        <w:t>IT</w:t>
      </w:r>
      <w:r>
        <w:rPr>
          <w:rFonts w:ascii="Arial" w:hAnsi="Arial" w:cs="Arial" w:eastAsia="Arial" w:hint="default"/>
          <w:spacing w:val="-5"/>
        </w:rPr>
        <w:t> </w:t>
      </w:r>
      <w:r>
        <w:rPr>
          <w:spacing w:val="-2"/>
        </w:rPr>
        <w:t>企业建立了长期战略合作关系。另</w:t>
      </w:r>
      <w:r>
        <w:rPr/>
        <w:t> 外，公司注重员工发展，在技术、服务、营销和管理方面拥有优秀的人才。</w:t>
      </w:r>
    </w:p>
    <w:p>
      <w:pPr>
        <w:pStyle w:val="BodyText"/>
        <w:spacing w:line="372" w:lineRule="auto" w:before="95"/>
        <w:ind w:left="581" w:right="0" w:firstLine="103"/>
        <w:jc w:val="left"/>
      </w:pPr>
      <w:r>
        <w:rPr>
          <w:rFonts w:ascii="Arial" w:hAnsi="Arial" w:cs="Arial" w:eastAsia="Arial" w:hint="default"/>
        </w:rPr>
        <w:t>(2)</w:t>
      </w:r>
      <w:r>
        <w:rPr/>
        <w:t>公司面临的主要困难 </w:t>
      </w:r>
      <w:r>
        <w:rPr>
          <w:spacing w:val="-1"/>
        </w:rPr>
        <w:t>优秀人才是软件企业的重要优质资产，是企业成功的关键。吸引、保留优秀人才，是软件企业永</w:t>
      </w:r>
    </w:p>
    <w:p>
      <w:pPr>
        <w:pStyle w:val="BodyText"/>
        <w:spacing w:line="340" w:lineRule="auto" w:before="9"/>
        <w:ind w:left="144" w:right="110"/>
        <w:jc w:val="both"/>
      </w:pPr>
      <w:r>
        <w:rPr/>
        <w:t>久面临的课题。目前，物价上涨、社保制度的加强和新《劳动合同法》实施等因素将带来人力资源成 </w:t>
      </w:r>
      <w:r>
        <w:rPr>
          <w:spacing w:val="-4"/>
        </w:rPr>
        <w:t>本上涨，另外国际厂商本地化、券商</w:t>
      </w:r>
      <w:r>
        <w:rPr>
          <w:spacing w:val="-62"/>
        </w:rPr>
        <w:t> </w:t>
      </w:r>
      <w:r>
        <w:rPr>
          <w:rFonts w:ascii="Arial" w:hAnsi="Arial" w:cs="Arial" w:eastAsia="Arial" w:hint="default"/>
        </w:rPr>
        <w:t>IT</w:t>
      </w:r>
      <w:r>
        <w:rPr>
          <w:rFonts w:ascii="Arial" w:hAnsi="Arial" w:cs="Arial" w:eastAsia="Arial" w:hint="default"/>
          <w:spacing w:val="-15"/>
        </w:rPr>
        <w:t> </w:t>
      </w:r>
      <w:r>
        <w:rPr/>
        <w:t>部门扩充等将加剧人才竞争，给公司人力资源管理带来新的挑 战。</w:t>
      </w:r>
    </w:p>
    <w:p>
      <w:pPr>
        <w:pStyle w:val="BodyText"/>
        <w:spacing w:line="372" w:lineRule="auto" w:before="87"/>
        <w:ind w:left="581" w:right="0" w:firstLine="103"/>
        <w:jc w:val="left"/>
      </w:pPr>
      <w:r>
        <w:rPr>
          <w:rFonts w:ascii="Arial" w:hAnsi="Arial" w:cs="Arial" w:eastAsia="Arial" w:hint="default"/>
        </w:rPr>
        <w:t>(3)</w:t>
      </w:r>
      <w:r>
        <w:rPr/>
        <w:t>公司经营和盈利的连续性和稳定性分析 </w:t>
      </w:r>
      <w:r>
        <w:rPr>
          <w:spacing w:val="-1"/>
        </w:rPr>
        <w:t>报告期内，公司主营业务软件业务继续取得稳定增长，利润大幅提升，发展势头良好；同时公司</w:t>
      </w:r>
    </w:p>
    <w:p>
      <w:pPr>
        <w:pStyle w:val="BodyText"/>
        <w:spacing w:line="348" w:lineRule="auto" w:before="9"/>
        <w:ind w:left="144" w:right="113"/>
        <w:jc w:val="both"/>
      </w:pPr>
      <w:r>
        <w:rPr/>
        <w:t>控股的新业务公司除服务运营商业务外，均已基本渡过培育期，公司经营与赢利能力良好。公司未来 几年更具有连续与稳定的主营业务和经营能力。</w:t>
      </w:r>
    </w:p>
    <w:p>
      <w:pPr>
        <w:spacing w:after="0" w:line="348" w:lineRule="auto"/>
        <w:jc w:val="both"/>
        <w:sectPr>
          <w:pgSz w:w="12240" w:h="15840"/>
          <w:pgMar w:header="747" w:footer="727" w:top="1040" w:bottom="920" w:left="1380" w:right="13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725" w:right="0"/>
        <w:jc w:val="left"/>
      </w:pPr>
      <w:r>
        <w:rPr/>
        <w:t>(二)公司主营业务及其经营状况</w:t>
      </w:r>
    </w:p>
    <w:p>
      <w:pPr>
        <w:spacing w:line="240" w:lineRule="auto" w:before="9"/>
        <w:rPr>
          <w:rFonts w:ascii="宋体" w:hAnsi="宋体" w:cs="宋体" w:eastAsia="宋体" w:hint="default"/>
          <w:sz w:val="18"/>
          <w:szCs w:val="18"/>
        </w:rPr>
      </w:pPr>
    </w:p>
    <w:p>
      <w:pPr>
        <w:pStyle w:val="BodyText"/>
        <w:spacing w:line="240" w:lineRule="auto"/>
        <w:ind w:left="725" w:right="0"/>
        <w:jc w:val="left"/>
      </w:pPr>
      <w:r>
        <w:rPr>
          <w:rFonts w:ascii="Arial" w:hAnsi="Arial" w:cs="Arial" w:eastAsia="Arial" w:hint="default"/>
        </w:rPr>
        <w:t>1</w:t>
      </w:r>
      <w:r>
        <w:rPr/>
        <w:t>、主营业务分行业、产品情况表</w:t>
      </w:r>
    </w:p>
    <w:p>
      <w:pPr>
        <w:spacing w:line="240" w:lineRule="auto" w:before="13"/>
        <w:rPr>
          <w:rFonts w:ascii="宋体" w:hAnsi="宋体" w:cs="宋体" w:eastAsia="宋体" w:hint="default"/>
          <w:sz w:val="14"/>
          <w:szCs w:val="14"/>
        </w:rPr>
      </w:pPr>
    </w:p>
    <w:p>
      <w:pPr>
        <w:pStyle w:val="BodyText"/>
        <w:tabs>
          <w:tab w:pos="1470" w:val="left" w:leader="none"/>
        </w:tabs>
        <w:spacing w:line="240" w:lineRule="auto" w:before="35"/>
        <w:ind w:left="0" w:right="331"/>
        <w:jc w:val="right"/>
      </w:pPr>
      <w:r>
        <w:rPr/>
        <w:t>单位:元</w:t>
        <w:tab/>
      </w:r>
      <w:r>
        <w:rPr>
          <w:spacing w:val="-1"/>
        </w:rPr>
        <w:t>币种:人民币</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417"/>
        <w:gridCol w:w="1836"/>
        <w:gridCol w:w="1836"/>
        <w:gridCol w:w="1116"/>
        <w:gridCol w:w="1116"/>
        <w:gridCol w:w="1116"/>
        <w:gridCol w:w="1184"/>
      </w:tblGrid>
      <w:tr>
        <w:trPr>
          <w:trHeight w:val="952"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62"/>
              <w:jc w:val="left"/>
              <w:rPr>
                <w:rFonts w:ascii="宋体" w:hAnsi="宋体" w:cs="宋体" w:eastAsia="宋体" w:hint="default"/>
                <w:sz w:val="21"/>
                <w:szCs w:val="21"/>
              </w:rPr>
            </w:pPr>
            <w:r>
              <w:rPr>
                <w:rFonts w:ascii="宋体" w:hAnsi="宋体" w:cs="宋体" w:eastAsia="宋体" w:hint="default"/>
                <w:spacing w:val="24"/>
                <w:sz w:val="21"/>
                <w:szCs w:val="21"/>
              </w:rPr>
              <w:t>分行业</w:t>
            </w:r>
            <w:r>
              <w:rPr>
                <w:rFonts w:ascii="宋体" w:hAnsi="宋体" w:cs="宋体" w:eastAsia="宋体" w:hint="default"/>
                <w:spacing w:val="-66"/>
                <w:sz w:val="21"/>
                <w:szCs w:val="21"/>
              </w:rPr>
              <w:t> </w:t>
            </w:r>
            <w:r>
              <w:rPr>
                <w:rFonts w:ascii="宋体" w:hAnsi="宋体" w:cs="宋体" w:eastAsia="宋体" w:hint="default"/>
                <w:spacing w:val="18"/>
                <w:sz w:val="21"/>
                <w:szCs w:val="21"/>
              </w:rPr>
              <w:t>或分</w:t>
            </w:r>
            <w:r>
              <w:rPr>
                <w:rFonts w:ascii="宋体" w:hAnsi="宋体" w:cs="宋体" w:eastAsia="宋体" w:hint="default"/>
                <w:spacing w:val="-68"/>
                <w:sz w:val="21"/>
                <w:szCs w:val="21"/>
              </w:rPr>
              <w:t> </w:t>
            </w:r>
            <w:r>
              <w:rPr>
                <w:rFonts w:ascii="宋体" w:hAnsi="宋体" w:cs="宋体" w:eastAsia="宋体" w:hint="default"/>
                <w:sz w:val="21"/>
                <w:szCs w:val="21"/>
              </w:rPr>
              <w:t>产品</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77"/>
              <w:jc w:val="left"/>
              <w:rPr>
                <w:rFonts w:ascii="宋体" w:hAnsi="宋体" w:cs="宋体" w:eastAsia="宋体" w:hint="default"/>
                <w:sz w:val="21"/>
                <w:szCs w:val="21"/>
              </w:rPr>
            </w:pPr>
            <w:r>
              <w:rPr>
                <w:rFonts w:ascii="宋体" w:hAnsi="宋体" w:cs="宋体" w:eastAsia="宋体" w:hint="default"/>
                <w:spacing w:val="15"/>
                <w:sz w:val="21"/>
                <w:szCs w:val="21"/>
              </w:rPr>
              <w:t>营业利润</w:t>
            </w:r>
            <w:r>
              <w:rPr>
                <w:rFonts w:ascii="宋体" w:hAnsi="宋体" w:cs="宋体" w:eastAsia="宋体" w:hint="default"/>
                <w:spacing w:val="-85"/>
                <w:sz w:val="21"/>
                <w:szCs w:val="21"/>
              </w:rPr>
              <w:t> </w:t>
            </w:r>
            <w:r>
              <w:rPr>
                <w:rFonts w:ascii="宋体" w:hAnsi="宋体" w:cs="宋体" w:eastAsia="宋体" w:hint="default"/>
                <w:sz w:val="21"/>
                <w:szCs w:val="21"/>
              </w:rPr>
              <w:t>率（%）</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营业收入</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left"/>
              <w:rPr>
                <w:rFonts w:ascii="宋体" w:hAnsi="宋体" w:cs="宋体" w:eastAsia="宋体" w:hint="default"/>
                <w:sz w:val="21"/>
                <w:szCs w:val="21"/>
              </w:rPr>
            </w:pPr>
            <w:r>
              <w:rPr>
                <w:rFonts w:ascii="宋体" w:hAnsi="宋体" w:cs="宋体" w:eastAsia="宋体" w:hint="default"/>
                <w:spacing w:val="15"/>
                <w:sz w:val="21"/>
                <w:szCs w:val="21"/>
              </w:rPr>
              <w:t>比上年增</w:t>
            </w:r>
            <w:r>
              <w:rPr>
                <w:rFonts w:ascii="宋体" w:hAnsi="宋体" w:cs="宋体" w:eastAsia="宋体" w:hint="default"/>
                <w:spacing w:val="-85"/>
                <w:sz w:val="21"/>
                <w:szCs w:val="21"/>
              </w:rPr>
              <w:t> </w:t>
            </w:r>
            <w:r>
              <w:rPr>
                <w:rFonts w:ascii="宋体" w:hAnsi="宋体" w:cs="宋体" w:eastAsia="宋体" w:hint="default"/>
                <w:sz w:val="21"/>
                <w:szCs w:val="21"/>
              </w:rPr>
              <w:t>减(%)</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营业成本</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left"/>
              <w:rPr>
                <w:rFonts w:ascii="宋体" w:hAnsi="宋体" w:cs="宋体" w:eastAsia="宋体" w:hint="default"/>
                <w:sz w:val="21"/>
                <w:szCs w:val="21"/>
              </w:rPr>
            </w:pPr>
            <w:r>
              <w:rPr>
                <w:rFonts w:ascii="宋体" w:hAnsi="宋体" w:cs="宋体" w:eastAsia="宋体" w:hint="default"/>
                <w:spacing w:val="15"/>
                <w:sz w:val="21"/>
                <w:szCs w:val="21"/>
              </w:rPr>
              <w:t>比上年增</w:t>
            </w:r>
            <w:r>
              <w:rPr>
                <w:rFonts w:ascii="宋体" w:hAnsi="宋体" w:cs="宋体" w:eastAsia="宋体" w:hint="default"/>
                <w:spacing w:val="-85"/>
                <w:sz w:val="21"/>
                <w:szCs w:val="21"/>
              </w:rPr>
              <w:t> </w:t>
            </w:r>
            <w:r>
              <w:rPr>
                <w:rFonts w:ascii="宋体" w:hAnsi="宋体" w:cs="宋体" w:eastAsia="宋体" w:hint="default"/>
                <w:sz w:val="21"/>
                <w:szCs w:val="21"/>
              </w:rPr>
              <w:t>减(%)</w:t>
            </w: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营业利润</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2" w:lineRule="exact" w:before="26"/>
              <w:ind w:left="100" w:right="54"/>
              <w:jc w:val="left"/>
              <w:rPr>
                <w:rFonts w:ascii="宋体" w:hAnsi="宋体" w:cs="宋体" w:eastAsia="宋体" w:hint="default"/>
                <w:sz w:val="21"/>
                <w:szCs w:val="21"/>
              </w:rPr>
            </w:pPr>
            <w:r>
              <w:rPr>
                <w:rFonts w:ascii="宋体" w:hAnsi="宋体" w:cs="宋体" w:eastAsia="宋体" w:hint="default"/>
                <w:spacing w:val="32"/>
                <w:sz w:val="21"/>
                <w:szCs w:val="21"/>
              </w:rPr>
              <w:t>率比上年</w:t>
            </w:r>
            <w:r>
              <w:rPr>
                <w:rFonts w:ascii="宋体" w:hAnsi="宋体" w:cs="宋体" w:eastAsia="宋体" w:hint="default"/>
                <w:spacing w:val="-62"/>
                <w:sz w:val="21"/>
                <w:szCs w:val="21"/>
              </w:rPr>
              <w:t> </w:t>
            </w:r>
            <w:r>
              <w:rPr>
                <w:rFonts w:ascii="宋体" w:hAnsi="宋体" w:cs="宋体" w:eastAsia="宋体" w:hint="default"/>
                <w:sz w:val="21"/>
                <w:szCs w:val="21"/>
              </w:rPr>
              <w:t>增减(%)</w:t>
            </w:r>
          </w:p>
        </w:tc>
      </w:tr>
      <w:tr>
        <w:trPr>
          <w:trHeight w:val="377"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8204" w:type="dxa"/>
            <w:gridSpan w:val="6"/>
            <w:tcBorders>
              <w:top w:val="single" w:sz="6" w:space="0" w:color="101010"/>
              <w:left w:val="single" w:sz="6" w:space="0" w:color="101010"/>
              <w:bottom w:val="single" w:sz="6" w:space="0" w:color="101010"/>
              <w:right w:val="single" w:sz="6" w:space="0" w:color="101010"/>
            </w:tcBorders>
          </w:tcPr>
          <w:p>
            <w:pPr/>
          </w:p>
        </w:tc>
      </w:tr>
      <w:tr>
        <w:trPr>
          <w:trHeight w:val="616"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460" w:right="0"/>
              <w:jc w:val="left"/>
              <w:rPr>
                <w:rFonts w:ascii="Times New Roman" w:hAnsi="Times New Roman" w:cs="Times New Roman" w:eastAsia="Times New Roman" w:hint="default"/>
                <w:sz w:val="18"/>
                <w:szCs w:val="18"/>
              </w:rPr>
            </w:pPr>
            <w:r>
              <w:rPr>
                <w:rFonts w:ascii="Times New Roman"/>
                <w:sz w:val="18"/>
              </w:rPr>
              <w:t>958,335,785.26</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460" w:right="0"/>
              <w:jc w:val="left"/>
              <w:rPr>
                <w:rFonts w:ascii="Times New Roman" w:hAnsi="Times New Roman" w:cs="Times New Roman" w:eastAsia="Times New Roman" w:hint="default"/>
                <w:sz w:val="18"/>
                <w:szCs w:val="18"/>
              </w:rPr>
            </w:pPr>
            <w:r>
              <w:rPr>
                <w:rFonts w:ascii="Times New Roman"/>
                <w:sz w:val="18"/>
              </w:rPr>
              <w:t>798,292,451.00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460" w:right="0"/>
              <w:jc w:val="left"/>
              <w:rPr>
                <w:rFonts w:ascii="Times New Roman" w:hAnsi="Times New Roman" w:cs="Times New Roman" w:eastAsia="Times New Roman" w:hint="default"/>
                <w:sz w:val="18"/>
                <w:szCs w:val="18"/>
              </w:rPr>
            </w:pPr>
            <w:r>
              <w:rPr>
                <w:rFonts w:ascii="Times New Roman"/>
                <w:sz w:val="18"/>
              </w:rPr>
              <w:t>16.70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460" w:right="0"/>
              <w:jc w:val="left"/>
              <w:rPr>
                <w:rFonts w:ascii="Times New Roman" w:hAnsi="Times New Roman" w:cs="Times New Roman" w:eastAsia="Times New Roman" w:hint="default"/>
                <w:sz w:val="18"/>
                <w:szCs w:val="18"/>
              </w:rPr>
            </w:pPr>
            <w:r>
              <w:rPr>
                <w:rFonts w:ascii="Times New Roman"/>
                <w:sz w:val="18"/>
              </w:rPr>
              <w:t>2.77</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460" w:right="0"/>
              <w:jc w:val="left"/>
              <w:rPr>
                <w:rFonts w:ascii="Times New Roman" w:hAnsi="Times New Roman" w:cs="Times New Roman" w:eastAsia="Times New Roman" w:hint="default"/>
                <w:sz w:val="18"/>
                <w:szCs w:val="18"/>
              </w:rPr>
            </w:pPr>
            <w:r>
              <w:rPr>
                <w:rFonts w:ascii="Times New Roman"/>
                <w:sz w:val="18"/>
              </w:rPr>
              <w:t>-0.88</w:t>
            </w: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2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pacing w:val="28"/>
                <w:sz w:val="18"/>
                <w:szCs w:val="18"/>
              </w:rPr>
              <w:t>增加</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22.51</w:t>
            </w:r>
          </w:p>
          <w:p>
            <w:pPr>
              <w:pStyle w:val="TableParagraph"/>
              <w:spacing w:line="231" w:lineRule="exact"/>
              <w:ind w:left="100"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376"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460"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8204" w:type="dxa"/>
            <w:gridSpan w:val="6"/>
            <w:tcBorders>
              <w:top w:val="single" w:sz="6" w:space="0" w:color="101010"/>
              <w:left w:val="single" w:sz="6" w:space="0" w:color="101010"/>
              <w:bottom w:val="single" w:sz="6" w:space="0" w:color="101010"/>
              <w:right w:val="single" w:sz="6" w:space="0" w:color="101010"/>
            </w:tcBorders>
          </w:tcPr>
          <w:p>
            <w:pPr/>
          </w:p>
        </w:tc>
      </w:tr>
      <w:tr>
        <w:trPr>
          <w:trHeight w:val="616"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自制软件销售</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460" w:right="0"/>
              <w:jc w:val="left"/>
              <w:rPr>
                <w:rFonts w:ascii="Times New Roman" w:hAnsi="Times New Roman" w:cs="Times New Roman" w:eastAsia="Times New Roman" w:hint="default"/>
                <w:sz w:val="18"/>
                <w:szCs w:val="18"/>
              </w:rPr>
            </w:pPr>
            <w:r>
              <w:rPr>
                <w:rFonts w:ascii="Times New Roman"/>
                <w:sz w:val="18"/>
              </w:rPr>
              <w:t>3,674,660.74</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460" w:right="0"/>
              <w:jc w:val="left"/>
              <w:rPr>
                <w:rFonts w:ascii="Times New Roman" w:hAnsi="Times New Roman" w:cs="Times New Roman" w:eastAsia="Times New Roman" w:hint="default"/>
                <w:sz w:val="18"/>
                <w:szCs w:val="18"/>
              </w:rPr>
            </w:pPr>
            <w:r>
              <w:rPr>
                <w:rFonts w:ascii="Times New Roman"/>
                <w:sz w:val="18"/>
              </w:rPr>
              <w:t>813,800.00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460" w:right="0"/>
              <w:jc w:val="left"/>
              <w:rPr>
                <w:rFonts w:ascii="Times New Roman" w:hAnsi="Times New Roman" w:cs="Times New Roman" w:eastAsia="Times New Roman" w:hint="default"/>
                <w:sz w:val="18"/>
                <w:szCs w:val="18"/>
              </w:rPr>
            </w:pPr>
            <w:r>
              <w:rPr>
                <w:rFonts w:ascii="Times New Roman"/>
                <w:sz w:val="18"/>
              </w:rPr>
              <w:t>77.85</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460" w:right="0"/>
              <w:jc w:val="left"/>
              <w:rPr>
                <w:rFonts w:ascii="Times New Roman" w:hAnsi="Times New Roman" w:cs="Times New Roman" w:eastAsia="Times New Roman" w:hint="default"/>
                <w:sz w:val="18"/>
                <w:szCs w:val="18"/>
              </w:rPr>
            </w:pPr>
            <w:r>
              <w:rPr>
                <w:rFonts w:ascii="Times New Roman"/>
                <w:sz w:val="18"/>
              </w:rPr>
              <w:t>444.03</w:t>
            </w:r>
          </w:p>
        </w:tc>
        <w:tc>
          <w:tcPr>
            <w:tcW w:w="1116" w:type="dxa"/>
            <w:tcBorders>
              <w:top w:val="single" w:sz="6" w:space="0" w:color="101010"/>
              <w:left w:val="single" w:sz="6" w:space="0" w:color="101010"/>
              <w:bottom w:val="single" w:sz="6" w:space="0" w:color="101010"/>
              <w:right w:val="single" w:sz="6" w:space="0" w:color="101010"/>
            </w:tcBorders>
          </w:tcPr>
          <w:p>
            <w:pP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2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pacing w:val="28"/>
                <w:sz w:val="18"/>
                <w:szCs w:val="18"/>
              </w:rPr>
              <w:t>减少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22.15</w:t>
            </w:r>
          </w:p>
          <w:p>
            <w:pPr>
              <w:pStyle w:val="TableParagraph"/>
              <w:spacing w:line="231" w:lineRule="exact"/>
              <w:ind w:left="100"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14"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156,869,900.10</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138,612,949.55</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11.64</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57.80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61.05</w:t>
            </w: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减 少</w:t>
            </w:r>
            <w:r>
              <w:rPr>
                <w:rFonts w:ascii="宋体" w:hAnsi="宋体" w:cs="宋体" w:eastAsia="宋体" w:hint="default"/>
                <w:spacing w:val="-22"/>
                <w:sz w:val="18"/>
                <w:szCs w:val="18"/>
              </w:rPr>
              <w:t> </w:t>
            </w:r>
            <w:r>
              <w:rPr>
                <w:rFonts w:ascii="宋体" w:hAnsi="宋体" w:cs="宋体" w:eastAsia="宋体" w:hint="default"/>
                <w:sz w:val="18"/>
                <w:szCs w:val="18"/>
              </w:rPr>
              <w:t>13.28</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16"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定制软件收入</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60,213,067.47</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3,669,663.58</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93.91</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56.36</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50.65</w:t>
            </w: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6"/>
                <w:sz w:val="18"/>
                <w:szCs w:val="18"/>
              </w:rPr>
              <w:t> </w:t>
            </w:r>
            <w:r>
              <w:rPr>
                <w:rFonts w:ascii="宋体" w:hAnsi="宋体" w:cs="宋体" w:eastAsia="宋体" w:hint="default"/>
                <w:sz w:val="18"/>
                <w:szCs w:val="18"/>
              </w:rPr>
              <w:t>0.25</w:t>
            </w:r>
            <w:r>
              <w:rPr>
                <w:rFonts w:ascii="宋体" w:hAnsi="宋体" w:cs="宋体" w:eastAsia="宋体" w:hint="default"/>
                <w:spacing w:val="-56"/>
                <w:sz w:val="18"/>
                <w:szCs w:val="18"/>
              </w:rPr>
              <w:t> </w:t>
            </w:r>
            <w:r>
              <w:rPr>
                <w:rFonts w:ascii="宋体" w:hAnsi="宋体" w:cs="宋体" w:eastAsia="宋体" w:hint="default"/>
                <w:sz w:val="18"/>
                <w:szCs w:val="18"/>
              </w:rPr>
              <w:t>个</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614"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系统维护、技术</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21,014,025.48</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2,826,796.41</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86.55</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-56.26</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-75.68</w:t>
            </w: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增 加</w:t>
            </w:r>
            <w:r>
              <w:rPr>
                <w:rFonts w:ascii="宋体" w:hAnsi="宋体" w:cs="宋体" w:eastAsia="宋体" w:hint="default"/>
                <w:spacing w:val="-22"/>
                <w:sz w:val="18"/>
                <w:szCs w:val="18"/>
              </w:rPr>
              <w:t> </w:t>
            </w:r>
            <w:r>
              <w:rPr>
                <w:rFonts w:ascii="宋体" w:hAnsi="宋体" w:cs="宋体" w:eastAsia="宋体" w:hint="default"/>
                <w:sz w:val="18"/>
                <w:szCs w:val="18"/>
              </w:rPr>
              <w:t>14.17</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16"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建安工程收入</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24,289,772.64</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18,979,197.13</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21.86</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355.93</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459.28</w:t>
            </w: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减 少</w:t>
            </w:r>
            <w:r>
              <w:rPr>
                <w:rFonts w:ascii="宋体" w:hAnsi="宋体" w:cs="宋体" w:eastAsia="宋体" w:hint="default"/>
                <w:spacing w:val="-22"/>
                <w:sz w:val="18"/>
                <w:szCs w:val="18"/>
              </w:rPr>
              <w:t> </w:t>
            </w:r>
            <w:r>
              <w:rPr>
                <w:rFonts w:ascii="宋体" w:hAnsi="宋体" w:cs="宋体" w:eastAsia="宋体" w:hint="default"/>
                <w:sz w:val="18"/>
                <w:szCs w:val="18"/>
              </w:rPr>
              <w:t>39.77</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14"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713,976,376.35</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660,394,683.63</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7.50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-8.44</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-10.89</w:t>
            </w: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增 加</w:t>
            </w:r>
            <w:r>
              <w:rPr>
                <w:rFonts w:ascii="宋体" w:hAnsi="宋体" w:cs="宋体" w:eastAsia="宋体" w:hint="default"/>
                <w:spacing w:val="-22"/>
                <w:sz w:val="18"/>
                <w:szCs w:val="18"/>
              </w:rPr>
              <w:t> </w:t>
            </w:r>
            <w:r>
              <w:rPr>
                <w:rFonts w:ascii="宋体" w:hAnsi="宋体" w:cs="宋体" w:eastAsia="宋体" w:hint="default"/>
                <w:sz w:val="18"/>
                <w:szCs w:val="18"/>
              </w:rPr>
              <w:t>51.32</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08"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短信服务收入</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460" w:right="0"/>
              <w:jc w:val="left"/>
              <w:rPr>
                <w:rFonts w:ascii="宋体" w:hAnsi="宋体" w:cs="宋体" w:eastAsia="宋体" w:hint="default"/>
                <w:sz w:val="18"/>
                <w:szCs w:val="18"/>
              </w:rPr>
            </w:pPr>
            <w:r>
              <w:rPr>
                <w:rFonts w:ascii="宋体"/>
                <w:sz w:val="18"/>
              </w:rPr>
              <w:t>7,269,704.97</w:t>
            </w:r>
          </w:p>
        </w:tc>
        <w:tc>
          <w:tcPr>
            <w:tcW w:w="1836"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460" w:right="0"/>
              <w:jc w:val="left"/>
              <w:rPr>
                <w:rFonts w:ascii="宋体" w:hAnsi="宋体" w:cs="宋体" w:eastAsia="宋体" w:hint="default"/>
                <w:sz w:val="18"/>
                <w:szCs w:val="18"/>
              </w:rPr>
            </w:pPr>
            <w:r>
              <w:rPr>
                <w:rFonts w:ascii="宋体"/>
                <w:sz w:val="18"/>
              </w:rPr>
              <w:t>100.00</w:t>
            </w:r>
          </w:p>
        </w:tc>
        <w:tc>
          <w:tcPr>
            <w:tcW w:w="1116" w:type="dxa"/>
            <w:tcBorders>
              <w:top w:val="single" w:sz="6" w:space="0" w:color="101010"/>
              <w:left w:val="single" w:sz="6" w:space="0" w:color="101010"/>
              <w:bottom w:val="single" w:sz="6" w:space="0" w:color="101010"/>
              <w:right w:val="single" w:sz="6" w:space="0" w:color="101010"/>
            </w:tcBorders>
          </w:tcPr>
          <w:p>
            <w:pPr/>
          </w:p>
        </w:tc>
        <w:tc>
          <w:tcPr>
            <w:tcW w:w="1116" w:type="dxa"/>
            <w:tcBorders>
              <w:top w:val="single" w:sz="6" w:space="0" w:color="101010"/>
              <w:left w:val="single" w:sz="6" w:space="0" w:color="101010"/>
              <w:bottom w:val="single" w:sz="6" w:space="0" w:color="101010"/>
              <w:right w:val="single" w:sz="6" w:space="0" w:color="101010"/>
            </w:tcBorders>
          </w:tcPr>
          <w:p>
            <w:pPr/>
          </w:p>
        </w:tc>
        <w:tc>
          <w:tcPr>
            <w:tcW w:w="1184" w:type="dxa"/>
            <w:tcBorders>
              <w:top w:val="single" w:sz="6" w:space="0" w:color="101010"/>
              <w:left w:val="single" w:sz="6" w:space="0" w:color="101010"/>
              <w:bottom w:val="single" w:sz="6" w:space="0" w:color="101010"/>
              <w:right w:val="single" w:sz="6" w:space="0" w:color="101010"/>
            </w:tcBorders>
          </w:tcPr>
          <w:p>
            <w:pPr/>
          </w:p>
        </w:tc>
      </w:tr>
      <w:tr>
        <w:trPr>
          <w:trHeight w:val="614"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987,307,507.75</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825,297,090.30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16.41</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1.60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-2.29</w:t>
            </w: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增 加</w:t>
            </w:r>
            <w:r>
              <w:rPr>
                <w:rFonts w:ascii="宋体" w:hAnsi="宋体" w:cs="宋体" w:eastAsia="宋体" w:hint="default"/>
                <w:spacing w:val="-22"/>
                <w:sz w:val="18"/>
                <w:szCs w:val="18"/>
              </w:rPr>
              <w:t> </w:t>
            </w:r>
            <w:r>
              <w:rPr>
                <w:rFonts w:ascii="宋体" w:hAnsi="宋体" w:cs="宋体" w:eastAsia="宋体" w:hint="default"/>
                <w:sz w:val="18"/>
                <w:szCs w:val="18"/>
              </w:rPr>
              <w:t>25.44</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16"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减：各业务分部</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间抵销</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28,971,722.49</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27,004,639.30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6.79</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-26.15</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-31.17</w:t>
            </w:r>
          </w:p>
        </w:tc>
        <w:tc>
          <w:tcPr>
            <w:tcW w:w="1184" w:type="dxa"/>
            <w:tcBorders>
              <w:top w:val="single" w:sz="6" w:space="0" w:color="101010"/>
              <w:left w:val="single" w:sz="6" w:space="0" w:color="101010"/>
              <w:bottom w:val="single" w:sz="6" w:space="0" w:color="101010"/>
              <w:right w:val="single" w:sz="6" w:space="0" w:color="101010"/>
            </w:tcBorders>
          </w:tcPr>
          <w:p>
            <w:pPr/>
          </w:p>
        </w:tc>
      </w:tr>
      <w:tr>
        <w:trPr>
          <w:trHeight w:val="616" w:hRule="exact"/>
        </w:trPr>
        <w:tc>
          <w:tcPr>
            <w:tcW w:w="14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958,335,785.26</w:t>
            </w:r>
          </w:p>
        </w:tc>
        <w:tc>
          <w:tcPr>
            <w:tcW w:w="1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798,292,451.00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16.70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2.77</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460" w:right="0"/>
              <w:jc w:val="left"/>
              <w:rPr>
                <w:rFonts w:ascii="宋体" w:hAnsi="宋体" w:cs="宋体" w:eastAsia="宋体" w:hint="default"/>
                <w:sz w:val="18"/>
                <w:szCs w:val="18"/>
              </w:rPr>
            </w:pPr>
            <w:r>
              <w:rPr>
                <w:rFonts w:ascii="宋体"/>
                <w:sz w:val="18"/>
              </w:rPr>
              <w:t>-0.88</w:t>
            </w:r>
          </w:p>
        </w:tc>
        <w:tc>
          <w:tcPr>
            <w:tcW w:w="1184"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增 加</w:t>
            </w:r>
            <w:r>
              <w:rPr>
                <w:rFonts w:ascii="宋体" w:hAnsi="宋体" w:cs="宋体" w:eastAsia="宋体" w:hint="default"/>
                <w:spacing w:val="-22"/>
                <w:sz w:val="18"/>
                <w:szCs w:val="18"/>
              </w:rPr>
              <w:t> </w:t>
            </w:r>
            <w:r>
              <w:rPr>
                <w:rFonts w:ascii="宋体" w:hAnsi="宋体" w:cs="宋体" w:eastAsia="宋体" w:hint="default"/>
                <w:sz w:val="18"/>
                <w:szCs w:val="18"/>
              </w:rPr>
              <w:t>22.51</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个百分点</w:t>
            </w:r>
          </w:p>
        </w:tc>
      </w:tr>
    </w:tbl>
    <w:p>
      <w:pPr>
        <w:pStyle w:val="BodyText"/>
        <w:spacing w:line="240" w:lineRule="auto" w:before="75"/>
        <w:ind w:left="725" w:right="0"/>
        <w:jc w:val="left"/>
      </w:pPr>
      <w:r>
        <w:rPr>
          <w:rFonts w:ascii="Times New Roman" w:hAnsi="Times New Roman" w:cs="Times New Roman" w:eastAsia="Times New Roman" w:hint="default"/>
        </w:rPr>
        <w:t>2</w:t>
      </w:r>
      <w:r>
        <w:rPr/>
        <w:t>、主营业务分地区情况</w:t>
      </w:r>
    </w:p>
    <w:p>
      <w:pPr>
        <w:spacing w:line="240" w:lineRule="auto" w:before="10"/>
        <w:rPr>
          <w:rFonts w:ascii="宋体" w:hAnsi="宋体" w:cs="宋体" w:eastAsia="宋体" w:hint="default"/>
          <w:sz w:val="14"/>
          <w:szCs w:val="14"/>
        </w:rPr>
      </w:pPr>
    </w:p>
    <w:p>
      <w:pPr>
        <w:pStyle w:val="BodyText"/>
        <w:tabs>
          <w:tab w:pos="1318" w:val="left" w:leader="none"/>
        </w:tabs>
        <w:spacing w:line="240" w:lineRule="auto" w:before="35"/>
        <w:ind w:left="0" w:right="330"/>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11"/>
          <w:szCs w:val="11"/>
        </w:rPr>
      </w:pPr>
    </w:p>
    <w:tbl>
      <w:tblPr>
        <w:tblW w:w="0" w:type="auto"/>
        <w:jc w:val="left"/>
        <w:tblInd w:w="289" w:type="dxa"/>
        <w:tblLayout w:type="fixed"/>
        <w:tblCellMar>
          <w:top w:w="0" w:type="dxa"/>
          <w:left w:w="0" w:type="dxa"/>
          <w:bottom w:w="0" w:type="dxa"/>
          <w:right w:w="0" w:type="dxa"/>
        </w:tblCellMar>
        <w:tblLook w:val="01E0"/>
      </w:tblPr>
      <w:tblGrid>
        <w:gridCol w:w="2790"/>
        <w:gridCol w:w="2790"/>
        <w:gridCol w:w="3720"/>
      </w:tblGrid>
      <w:tr>
        <w:trPr>
          <w:trHeight w:val="40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8"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7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407"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8" w:right="0"/>
              <w:jc w:val="center"/>
              <w:rPr>
                <w:rFonts w:ascii="宋体" w:hAnsi="宋体" w:cs="宋体" w:eastAsia="宋体" w:hint="default"/>
                <w:sz w:val="21"/>
                <w:szCs w:val="21"/>
              </w:rPr>
            </w:pPr>
            <w:r>
              <w:rPr>
                <w:rFonts w:ascii="宋体" w:hAnsi="宋体" w:cs="宋体" w:eastAsia="宋体" w:hint="default"/>
                <w:sz w:val="21"/>
                <w:szCs w:val="21"/>
              </w:rPr>
              <w:t>东北分部</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71" w:right="0"/>
              <w:jc w:val="left"/>
              <w:rPr>
                <w:rFonts w:ascii="Arial" w:hAnsi="Arial" w:cs="Arial" w:eastAsia="Arial" w:hint="default"/>
                <w:sz w:val="21"/>
                <w:szCs w:val="21"/>
              </w:rPr>
            </w:pPr>
            <w:r>
              <w:rPr>
                <w:rFonts w:ascii="Arial"/>
                <w:sz w:val="21"/>
              </w:rPr>
              <w:t>168,547.01</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417" w:right="0"/>
              <w:jc w:val="center"/>
              <w:rPr>
                <w:rFonts w:ascii="Arial" w:hAnsi="Arial" w:cs="Arial" w:eastAsia="Arial" w:hint="default"/>
                <w:sz w:val="21"/>
                <w:szCs w:val="21"/>
              </w:rPr>
            </w:pPr>
            <w:r>
              <w:rPr>
                <w:rFonts w:ascii="Arial"/>
                <w:sz w:val="21"/>
              </w:rPr>
              <w:t>-72.64</w:t>
            </w:r>
          </w:p>
        </w:tc>
      </w:tr>
      <w:tr>
        <w:trPr>
          <w:trHeight w:val="40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8" w:right="0"/>
              <w:jc w:val="center"/>
              <w:rPr>
                <w:rFonts w:ascii="宋体" w:hAnsi="宋体" w:cs="宋体" w:eastAsia="宋体" w:hint="default"/>
                <w:sz w:val="21"/>
                <w:szCs w:val="21"/>
              </w:rPr>
            </w:pPr>
            <w:r>
              <w:rPr>
                <w:rFonts w:ascii="宋体" w:hAnsi="宋体" w:cs="宋体" w:eastAsia="宋体" w:hint="default"/>
                <w:sz w:val="21"/>
                <w:szCs w:val="21"/>
              </w:rPr>
              <w:t>华北分部</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504"/>
              <w:jc w:val="right"/>
              <w:rPr>
                <w:rFonts w:ascii="Arial" w:hAnsi="Arial" w:cs="Arial" w:eastAsia="Arial" w:hint="default"/>
                <w:sz w:val="21"/>
                <w:szCs w:val="21"/>
              </w:rPr>
            </w:pPr>
            <w:r>
              <w:rPr>
                <w:rFonts w:ascii="Arial"/>
                <w:spacing w:val="-1"/>
                <w:sz w:val="21"/>
              </w:rPr>
              <w:t>32,007,046.51</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417" w:right="0"/>
              <w:jc w:val="center"/>
              <w:rPr>
                <w:rFonts w:ascii="Arial" w:hAnsi="Arial" w:cs="Arial" w:eastAsia="Arial" w:hint="default"/>
                <w:sz w:val="21"/>
                <w:szCs w:val="21"/>
              </w:rPr>
            </w:pPr>
            <w:r>
              <w:rPr>
                <w:rFonts w:ascii="Arial"/>
                <w:sz w:val="21"/>
              </w:rPr>
              <w:t>83.28</w:t>
            </w:r>
          </w:p>
        </w:tc>
      </w:tr>
      <w:tr>
        <w:trPr>
          <w:trHeight w:val="407"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8" w:right="0"/>
              <w:jc w:val="center"/>
              <w:rPr>
                <w:rFonts w:ascii="宋体" w:hAnsi="宋体" w:cs="宋体" w:eastAsia="宋体" w:hint="default"/>
                <w:sz w:val="21"/>
                <w:szCs w:val="21"/>
              </w:rPr>
            </w:pPr>
            <w:r>
              <w:rPr>
                <w:rFonts w:ascii="宋体" w:hAnsi="宋体" w:cs="宋体" w:eastAsia="宋体" w:hint="default"/>
                <w:sz w:val="21"/>
                <w:szCs w:val="21"/>
              </w:rPr>
              <w:t>华东分部</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504"/>
              <w:jc w:val="right"/>
              <w:rPr>
                <w:rFonts w:ascii="Arial" w:hAnsi="Arial" w:cs="Arial" w:eastAsia="Arial" w:hint="default"/>
                <w:sz w:val="21"/>
                <w:szCs w:val="21"/>
              </w:rPr>
            </w:pPr>
            <w:r>
              <w:rPr>
                <w:rFonts w:ascii="Arial"/>
                <w:spacing w:val="-1"/>
                <w:sz w:val="21"/>
              </w:rPr>
              <w:t>27,510,189.01</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418" w:right="0"/>
              <w:jc w:val="center"/>
              <w:rPr>
                <w:rFonts w:ascii="Arial" w:hAnsi="Arial" w:cs="Arial" w:eastAsia="Arial" w:hint="default"/>
                <w:sz w:val="21"/>
                <w:szCs w:val="21"/>
              </w:rPr>
            </w:pPr>
            <w:r>
              <w:rPr>
                <w:rFonts w:ascii="Arial"/>
                <w:sz w:val="21"/>
              </w:rPr>
              <w:t>156.73</w:t>
            </w:r>
          </w:p>
        </w:tc>
      </w:tr>
      <w:tr>
        <w:trPr>
          <w:trHeight w:val="40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8" w:right="0"/>
              <w:jc w:val="center"/>
              <w:rPr>
                <w:rFonts w:ascii="宋体" w:hAnsi="宋体" w:cs="宋体" w:eastAsia="宋体" w:hint="default"/>
                <w:sz w:val="21"/>
                <w:szCs w:val="21"/>
              </w:rPr>
            </w:pPr>
            <w:r>
              <w:rPr>
                <w:rFonts w:ascii="宋体" w:hAnsi="宋体" w:cs="宋体" w:eastAsia="宋体" w:hint="default"/>
                <w:sz w:val="21"/>
                <w:szCs w:val="21"/>
              </w:rPr>
              <w:t>中南分部</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447"/>
              <w:jc w:val="right"/>
              <w:rPr>
                <w:rFonts w:ascii="Arial" w:hAnsi="Arial" w:cs="Arial" w:eastAsia="Arial" w:hint="default"/>
                <w:sz w:val="21"/>
                <w:szCs w:val="21"/>
              </w:rPr>
            </w:pPr>
            <w:r>
              <w:rPr>
                <w:rFonts w:ascii="Arial"/>
                <w:spacing w:val="-1"/>
                <w:sz w:val="21"/>
              </w:rPr>
              <w:t>915,604,960.71</w:t>
            </w:r>
            <w:r>
              <w:rPr>
                <w:rFonts w:ascii="Arial"/>
                <w:sz w:val="21"/>
              </w:rPr>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418" w:right="0"/>
              <w:jc w:val="center"/>
              <w:rPr>
                <w:rFonts w:ascii="Arial" w:hAnsi="Arial" w:cs="Arial" w:eastAsia="Arial" w:hint="default"/>
                <w:sz w:val="21"/>
                <w:szCs w:val="21"/>
              </w:rPr>
            </w:pPr>
            <w:r>
              <w:rPr>
                <w:rFonts w:ascii="Arial"/>
                <w:sz w:val="21"/>
              </w:rPr>
              <w:t>-2.29</w:t>
            </w:r>
          </w:p>
        </w:tc>
      </w:tr>
      <w:tr>
        <w:trPr>
          <w:trHeight w:val="40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8" w:right="0"/>
              <w:jc w:val="center"/>
              <w:rPr>
                <w:rFonts w:ascii="宋体" w:hAnsi="宋体" w:cs="宋体" w:eastAsia="宋体" w:hint="default"/>
                <w:sz w:val="21"/>
                <w:szCs w:val="21"/>
              </w:rPr>
            </w:pPr>
            <w:r>
              <w:rPr>
                <w:rFonts w:ascii="宋体" w:hAnsi="宋体" w:cs="宋体" w:eastAsia="宋体" w:hint="default"/>
                <w:sz w:val="21"/>
                <w:szCs w:val="21"/>
              </w:rPr>
              <w:t>西南分部</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504"/>
              <w:jc w:val="right"/>
              <w:rPr>
                <w:rFonts w:ascii="Arial" w:hAnsi="Arial" w:cs="Arial" w:eastAsia="Arial" w:hint="default"/>
                <w:sz w:val="21"/>
                <w:szCs w:val="21"/>
              </w:rPr>
            </w:pPr>
            <w:r>
              <w:rPr>
                <w:rFonts w:ascii="Arial"/>
                <w:spacing w:val="-1"/>
                <w:sz w:val="21"/>
              </w:rPr>
              <w:t>12,016,764.51</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418" w:right="0"/>
              <w:jc w:val="center"/>
              <w:rPr>
                <w:rFonts w:ascii="Arial" w:hAnsi="Arial" w:cs="Arial" w:eastAsia="Arial" w:hint="default"/>
                <w:sz w:val="21"/>
                <w:szCs w:val="21"/>
              </w:rPr>
            </w:pPr>
            <w:r>
              <w:rPr>
                <w:rFonts w:ascii="Arial"/>
                <w:sz w:val="21"/>
              </w:rPr>
              <w:t>106.19</w:t>
            </w:r>
          </w:p>
        </w:tc>
      </w:tr>
    </w:tbl>
    <w:p>
      <w:pPr>
        <w:spacing w:after="0" w:line="240" w:lineRule="auto"/>
        <w:jc w:val="center"/>
        <w:rPr>
          <w:rFonts w:ascii="Arial" w:hAnsi="Arial" w:cs="Arial" w:eastAsia="Arial" w:hint="default"/>
          <w:sz w:val="21"/>
          <w:szCs w:val="21"/>
        </w:rPr>
        <w:sectPr>
          <w:pgSz w:w="12240" w:h="15840"/>
          <w:pgMar w:header="747" w:footer="727" w:top="1040" w:bottom="920" w:left="1220" w:right="114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790"/>
        <w:gridCol w:w="2790"/>
        <w:gridCol w:w="3720"/>
      </w:tblGrid>
      <w:tr>
        <w:trPr>
          <w:trHeight w:val="407"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8"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447"/>
              <w:jc w:val="right"/>
              <w:rPr>
                <w:rFonts w:ascii="Arial" w:hAnsi="Arial" w:cs="Arial" w:eastAsia="Arial" w:hint="default"/>
                <w:sz w:val="21"/>
                <w:szCs w:val="21"/>
              </w:rPr>
            </w:pPr>
            <w:r>
              <w:rPr>
                <w:rFonts w:ascii="Arial"/>
                <w:spacing w:val="-1"/>
                <w:sz w:val="21"/>
              </w:rPr>
              <w:t>987,307,507.75</w:t>
            </w:r>
            <w:r>
              <w:rPr>
                <w:rFonts w:ascii="Arial"/>
                <w:sz w:val="21"/>
              </w:rPr>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1437"/>
              <w:jc w:val="right"/>
              <w:rPr>
                <w:rFonts w:ascii="Arial" w:hAnsi="Arial" w:cs="Arial" w:eastAsia="Arial" w:hint="default"/>
                <w:sz w:val="21"/>
                <w:szCs w:val="21"/>
              </w:rPr>
            </w:pPr>
            <w:r>
              <w:rPr>
                <w:rFonts w:ascii="Arial"/>
                <w:spacing w:val="-1"/>
                <w:w w:val="95"/>
                <w:sz w:val="21"/>
              </w:rPr>
              <w:t>1.60</w:t>
            </w:r>
            <w:r>
              <w:rPr>
                <w:rFonts w:ascii="Arial"/>
                <w:sz w:val="21"/>
              </w:rPr>
            </w:r>
          </w:p>
        </w:tc>
      </w:tr>
      <w:tr>
        <w:trPr>
          <w:trHeight w:val="40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8" w:right="0"/>
              <w:jc w:val="center"/>
              <w:rPr>
                <w:rFonts w:ascii="宋体" w:hAnsi="宋体" w:cs="宋体" w:eastAsia="宋体" w:hint="default"/>
                <w:sz w:val="21"/>
                <w:szCs w:val="21"/>
              </w:rPr>
            </w:pPr>
            <w:r>
              <w:rPr>
                <w:rFonts w:ascii="宋体" w:hAnsi="宋体" w:cs="宋体" w:eastAsia="宋体" w:hint="default"/>
                <w:sz w:val="21"/>
                <w:szCs w:val="21"/>
              </w:rPr>
              <w:t>减：各业务分部间抵销</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993" w:right="0"/>
              <w:jc w:val="left"/>
              <w:rPr>
                <w:rFonts w:ascii="Times New Roman" w:hAnsi="Times New Roman" w:cs="Times New Roman" w:eastAsia="Times New Roman" w:hint="default"/>
                <w:sz w:val="21"/>
                <w:szCs w:val="21"/>
              </w:rPr>
            </w:pPr>
            <w:r>
              <w:rPr>
                <w:rFonts w:ascii="Times New Roman"/>
                <w:sz w:val="21"/>
              </w:rPr>
              <w:t>28,971,722.49</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369"/>
              <w:jc w:val="right"/>
              <w:rPr>
                <w:rFonts w:ascii="Times New Roman" w:hAnsi="Times New Roman" w:cs="Times New Roman" w:eastAsia="Times New Roman" w:hint="default"/>
                <w:sz w:val="21"/>
                <w:szCs w:val="21"/>
              </w:rPr>
            </w:pPr>
            <w:r>
              <w:rPr>
                <w:rFonts w:ascii="Times New Roman"/>
                <w:spacing w:val="-1"/>
                <w:sz w:val="21"/>
              </w:rPr>
              <w:t>-26.15</w:t>
            </w:r>
          </w:p>
        </w:tc>
      </w:tr>
      <w:tr>
        <w:trPr>
          <w:trHeight w:val="40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521"/>
              <w:jc w:val="right"/>
              <w:rPr>
                <w:rFonts w:ascii="Times New Roman" w:hAnsi="Times New Roman" w:cs="Times New Roman" w:eastAsia="Times New Roman" w:hint="default"/>
                <w:sz w:val="21"/>
                <w:szCs w:val="21"/>
              </w:rPr>
            </w:pPr>
            <w:r>
              <w:rPr>
                <w:rFonts w:ascii="Times New Roman"/>
                <w:spacing w:val="-1"/>
                <w:sz w:val="21"/>
              </w:rPr>
              <w:t>958,335,785.26</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458"/>
              <w:jc w:val="right"/>
              <w:rPr>
                <w:rFonts w:ascii="Times New Roman" w:hAnsi="Times New Roman" w:cs="Times New Roman" w:eastAsia="Times New Roman" w:hint="default"/>
                <w:sz w:val="21"/>
                <w:szCs w:val="21"/>
              </w:rPr>
            </w:pPr>
            <w:r>
              <w:rPr>
                <w:rFonts w:ascii="Times New Roman"/>
                <w:spacing w:val="-1"/>
                <w:sz w:val="21"/>
              </w:rPr>
              <w:t>2.77</w:t>
            </w:r>
          </w:p>
        </w:tc>
      </w:tr>
    </w:tbl>
    <w:p>
      <w:pPr>
        <w:pStyle w:val="BodyText"/>
        <w:spacing w:line="240" w:lineRule="auto" w:before="75"/>
        <w:ind w:left="505" w:right="96"/>
        <w:jc w:val="left"/>
      </w:pPr>
      <w:r>
        <w:rPr>
          <w:rFonts w:ascii="Arial" w:hAnsi="Arial" w:cs="Arial" w:eastAsia="Arial" w:hint="default"/>
        </w:rPr>
        <w:t>4</w:t>
      </w:r>
      <w:r>
        <w:rPr/>
        <w:t>、对公司未来发展的展望</w:t>
      </w:r>
    </w:p>
    <w:p>
      <w:pPr>
        <w:spacing w:line="240" w:lineRule="auto" w:before="7"/>
        <w:rPr>
          <w:rFonts w:ascii="宋体" w:hAnsi="宋体" w:cs="宋体" w:eastAsia="宋体" w:hint="default"/>
          <w:sz w:val="17"/>
          <w:szCs w:val="17"/>
        </w:rPr>
      </w:pPr>
    </w:p>
    <w:p>
      <w:pPr>
        <w:pStyle w:val="BodyText"/>
        <w:spacing w:line="240" w:lineRule="auto"/>
        <w:ind w:left="565" w:right="96"/>
        <w:jc w:val="left"/>
      </w:pPr>
      <w:r>
        <w:rPr/>
        <w:t>（</w:t>
      </w:r>
      <w:r>
        <w:rPr>
          <w:rFonts w:ascii="Arial" w:hAnsi="Arial" w:cs="Arial" w:eastAsia="Arial" w:hint="default"/>
        </w:rPr>
        <w:t>1</w:t>
      </w:r>
      <w:r>
        <w:rPr/>
        <w:t>）</w:t>
      </w:r>
      <w:r>
        <w:rPr>
          <w:rFonts w:ascii="Arial" w:hAnsi="Arial" w:cs="Arial" w:eastAsia="Arial" w:hint="default"/>
        </w:rPr>
        <w:t>2008</w:t>
      </w:r>
      <w:r>
        <w:rPr>
          <w:rFonts w:ascii="Arial" w:hAnsi="Arial" w:cs="Arial" w:eastAsia="Arial" w:hint="default"/>
          <w:spacing w:val="-10"/>
        </w:rPr>
        <w:t> </w:t>
      </w:r>
      <w:r>
        <w:rPr/>
        <w:t>年市场分析</w:t>
      </w:r>
    </w:p>
    <w:p>
      <w:pPr>
        <w:spacing w:line="240" w:lineRule="auto" w:before="9"/>
        <w:rPr>
          <w:rFonts w:ascii="宋体" w:hAnsi="宋体" w:cs="宋体" w:eastAsia="宋体" w:hint="default"/>
          <w:sz w:val="17"/>
          <w:szCs w:val="17"/>
        </w:rPr>
      </w:pPr>
    </w:p>
    <w:p>
      <w:pPr>
        <w:pStyle w:val="BodyText"/>
        <w:spacing w:line="333" w:lineRule="auto"/>
        <w:ind w:left="164" w:right="125" w:firstLine="420"/>
        <w:jc w:val="left"/>
      </w:pPr>
      <w:r>
        <w:rPr/>
        <w:t>2008</w:t>
      </w:r>
      <w:r>
        <w:rPr>
          <w:spacing w:val="-54"/>
        </w:rPr>
        <w:t> </w:t>
      </w:r>
      <w:r>
        <w:rPr/>
        <w:t>年，公司主营业务所依存的证券市场，就其整体的外部环境而言，依然值得期待。一方面，</w:t>
      </w:r>
      <w:r>
        <w:rPr/>
        <w:t> 随着证券行业大集中交易系统的日益普及，券商在业务创新和服务创新等方面</w:t>
      </w:r>
      <w:r>
        <w:rPr>
          <w:sz w:val="24"/>
          <w:szCs w:val="24"/>
        </w:rPr>
        <w:t>的</w:t>
      </w:r>
      <w:r>
        <w:rPr/>
        <w:t>需求将不断增加；另</w:t>
      </w:r>
      <w:r>
        <w:rPr/>
        <w:t> 一方面，证券市场创业板的可能推出，股指期货交易的可能开通等金融创新，亦将为公司提供新的发 展商机。在市场竞争方面，主要竞争格局不会有大的改变，市场竞争仍然会比较激烈。</w:t>
      </w:r>
    </w:p>
    <w:p>
      <w:pPr>
        <w:pStyle w:val="BodyText"/>
        <w:spacing w:line="240" w:lineRule="auto" w:before="93"/>
        <w:ind w:left="581" w:right="96"/>
        <w:jc w:val="left"/>
      </w:pPr>
      <w:r>
        <w:rPr/>
        <w:t>（</w:t>
      </w:r>
      <w:r>
        <w:rPr>
          <w:rFonts w:ascii="Arial" w:hAnsi="Arial" w:cs="Arial" w:eastAsia="Arial" w:hint="default"/>
        </w:rPr>
        <w:t>2</w:t>
      </w:r>
      <w:r>
        <w:rPr/>
        <w:t>）发展机遇与战略规划</w:t>
      </w:r>
    </w:p>
    <w:p>
      <w:pPr>
        <w:spacing w:line="240" w:lineRule="auto" w:before="7"/>
        <w:rPr>
          <w:rFonts w:ascii="宋体" w:hAnsi="宋体" w:cs="宋体" w:eastAsia="宋体" w:hint="default"/>
          <w:sz w:val="17"/>
          <w:szCs w:val="17"/>
        </w:rPr>
      </w:pPr>
    </w:p>
    <w:p>
      <w:pPr>
        <w:pStyle w:val="BodyText"/>
        <w:spacing w:line="350" w:lineRule="auto"/>
        <w:ind w:left="164" w:right="96" w:firstLine="420"/>
        <w:jc w:val="left"/>
      </w:pPr>
      <w:r>
        <w:rPr/>
        <w:t>2008</w:t>
      </w:r>
      <w:r>
        <w:rPr>
          <w:spacing w:val="-77"/>
        </w:rPr>
        <w:t> </w:t>
      </w:r>
      <w:r>
        <w:rPr/>
        <w:t>年公司提出的主营业务战略是“抓住市场机遇，扩大企业收益；提升质量管理，增强核心优</w:t>
      </w:r>
      <w:r>
        <w:rPr/>
        <w:t> </w:t>
      </w:r>
      <w:r>
        <w:rPr>
          <w:spacing w:val="-6"/>
        </w:rPr>
        <w:t>势；完善激励体系，打造人才战略；整合内外资源，提升企业价值。”。公司将充分利用自身已有的品</w:t>
      </w:r>
      <w:r>
        <w:rPr>
          <w:spacing w:val="-66"/>
        </w:rPr>
        <w:t> </w:t>
      </w:r>
      <w:r>
        <w:rPr>
          <w:spacing w:val="-66"/>
        </w:rPr>
      </w:r>
      <w:r>
        <w:rPr/>
        <w:t>牌、技术、和资源优势，抓住金融证券</w:t>
      </w:r>
      <w:r>
        <w:rPr>
          <w:spacing w:val="-74"/>
        </w:rPr>
        <w:t> </w:t>
      </w:r>
      <w:r>
        <w:rPr/>
        <w:t>IT</w:t>
      </w:r>
      <w:r>
        <w:rPr>
          <w:spacing w:val="-73"/>
        </w:rPr>
        <w:t> </w:t>
      </w:r>
      <w:r>
        <w:rPr/>
        <w:t>需求持续增长的良好机会，围绕年初制定的各项任务目标，</w:t>
      </w:r>
      <w:r>
        <w:rPr/>
        <w:t> 开展各项重点工作，加强管理、细化考核。在保持核心软件产品和系统集成方面的竞争优势的同时， 不断扩大公司的软件产品和服务范围。不断完善以质量控制为核心的软件管理体系和价值体系，完善 公司的激励体系，提高工作效率，创造更好的效益。</w:t>
      </w:r>
    </w:p>
    <w:p>
      <w:pPr>
        <w:pStyle w:val="BodyText"/>
        <w:spacing w:line="429" w:lineRule="auto" w:before="28"/>
        <w:ind w:left="503" w:right="7082" w:firstLine="6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公司投资情况</w:t>
      </w:r>
      <w:r>
        <w:rPr>
          <w:w w:val="99"/>
        </w:rPr>
        <w:t> </w:t>
      </w:r>
      <w:r>
        <w:rPr>
          <w:rFonts w:ascii="Times New Roman" w:hAnsi="Times New Roman" w:cs="Times New Roman" w:eastAsia="Times New Roman" w:hint="default"/>
        </w:rPr>
        <w:t>1</w:t>
      </w:r>
      <w:r>
        <w:rPr/>
        <w:t>、募集资金使用情况</w:t>
      </w:r>
    </w:p>
    <w:p>
      <w:pPr>
        <w:pStyle w:val="BodyText"/>
        <w:spacing w:line="240" w:lineRule="auto" w:before="46"/>
        <w:ind w:left="503" w:right="96"/>
        <w:jc w:val="left"/>
      </w:pPr>
      <w:r>
        <w:rPr/>
        <w:t>1)、公司于</w:t>
      </w:r>
      <w:r>
        <w:rPr>
          <w:spacing w:val="-62"/>
        </w:rPr>
        <w:t> </w:t>
      </w:r>
      <w:r>
        <w:rPr/>
        <w:t>2003</w:t>
      </w:r>
      <w:r>
        <w:rPr>
          <w:spacing w:val="-61"/>
        </w:rPr>
        <w:t> </w:t>
      </w:r>
      <w:r>
        <w:rPr/>
        <w:t>年通过首次发行募集资金</w:t>
      </w:r>
      <w:r>
        <w:rPr>
          <w:spacing w:val="-62"/>
        </w:rPr>
        <w:t> </w:t>
      </w:r>
      <w:r>
        <w:rPr/>
        <w:t>222,504,655.82</w:t>
      </w:r>
      <w:r>
        <w:rPr>
          <w:spacing w:val="-61"/>
        </w:rPr>
        <w:t> </w:t>
      </w:r>
      <w:r>
        <w:rPr/>
        <w:t>元，已累计使用</w:t>
      </w:r>
      <w:r>
        <w:rPr>
          <w:spacing w:val="-62"/>
        </w:rPr>
        <w:t> </w:t>
      </w:r>
      <w:r>
        <w:rPr/>
        <w:t>164,855,579.53</w:t>
      </w:r>
      <w:r>
        <w:rPr>
          <w:spacing w:val="-61"/>
        </w:rPr>
        <w:t> </w:t>
      </w:r>
      <w:r>
        <w:rPr/>
        <w:t>元，</w:t>
      </w:r>
    </w:p>
    <w:p>
      <w:pPr>
        <w:pStyle w:val="BodyText"/>
        <w:spacing w:line="240" w:lineRule="auto" w:before="125"/>
        <w:ind w:right="0"/>
        <w:jc w:val="both"/>
      </w:pPr>
      <w:r>
        <w:rPr/>
        <w:t>其中本年度已使用</w:t>
      </w:r>
      <w:r>
        <w:rPr>
          <w:spacing w:val="-61"/>
        </w:rPr>
        <w:t> </w:t>
      </w:r>
      <w:r>
        <w:rPr/>
        <w:t>40,315,036.91</w:t>
      </w:r>
      <w:r>
        <w:rPr>
          <w:spacing w:val="-60"/>
        </w:rPr>
        <w:t> </w:t>
      </w:r>
      <w:r>
        <w:rPr/>
        <w:t>元，尚未使用</w:t>
      </w:r>
      <w:r>
        <w:rPr>
          <w:spacing w:val="-61"/>
        </w:rPr>
        <w:t> </w:t>
      </w:r>
      <w:r>
        <w:rPr/>
        <w:t>57,649,076.29</w:t>
      </w:r>
      <w:r>
        <w:rPr>
          <w:spacing w:val="-60"/>
        </w:rPr>
        <w:t> </w:t>
      </w:r>
      <w:r>
        <w:rPr/>
        <w:t>元。尚未使用募集资金存放在银行。</w:t>
      </w:r>
    </w:p>
    <w:p>
      <w:pPr>
        <w:spacing w:line="240" w:lineRule="auto" w:before="9"/>
        <w:rPr>
          <w:rFonts w:ascii="宋体" w:hAnsi="宋体" w:cs="宋体" w:eastAsia="宋体" w:hint="default"/>
          <w:sz w:val="18"/>
          <w:szCs w:val="18"/>
        </w:rPr>
      </w:pPr>
    </w:p>
    <w:p>
      <w:pPr>
        <w:pStyle w:val="BodyText"/>
        <w:spacing w:line="240" w:lineRule="auto"/>
        <w:ind w:left="503" w:right="96"/>
        <w:jc w:val="left"/>
      </w:pPr>
      <w:r>
        <w:rPr>
          <w:rFonts w:ascii="Times New Roman" w:hAnsi="Times New Roman" w:cs="Times New Roman" w:eastAsia="Times New Roman" w:hint="default"/>
        </w:rPr>
        <w:t>2</w:t>
      </w:r>
      <w:r>
        <w:rPr/>
        <w:t>、募集资金使用情况分项目说明：</w:t>
      </w:r>
    </w:p>
    <w:p>
      <w:pPr>
        <w:pStyle w:val="BodyText"/>
        <w:spacing w:line="520" w:lineRule="exact" w:before="59"/>
        <w:ind w:left="564" w:right="196" w:hanging="62"/>
        <w:jc w:val="left"/>
      </w:pPr>
      <w:r>
        <w:rPr>
          <w:spacing w:val="-9"/>
        </w:rPr>
        <w:t>1）、软件研发基地建设设目</w:t>
      </w:r>
      <w:r>
        <w:rPr>
          <w:spacing w:val="-95"/>
        </w:rPr>
        <w:t> </w:t>
      </w:r>
      <w:r>
        <w:rPr>
          <w:spacing w:val="-95"/>
        </w:rPr>
      </w:r>
      <w:r>
        <w:rPr/>
        <w:t>公司原计划通过购买现成的软件园办公楼宇，进行统一装修的方式来建设软件研发基地。但在公</w:t>
      </w:r>
    </w:p>
    <w:p>
      <w:pPr>
        <w:pStyle w:val="BodyText"/>
        <w:spacing w:line="350" w:lineRule="auto" w:before="50"/>
        <w:ind w:left="144" w:right="213"/>
        <w:jc w:val="both"/>
      </w:pPr>
      <w:r>
        <w:rPr/>
        <w:t>司上市后，受深圳市政府扶植高科技企业的政策优惠，以最优惠的价格获得了位于深圳市高科技园区 内的一块土地，用于建造办公楼。虽然建楼的预算费用会超出原计划中购楼的投入金额，但其单位成 本将远低于购楼的单位成本。为适应市场变化，经过慎重研究，公司终止了原募集资金项目中证券投 资信息系统项目、证券总部综合业务管理软件项目的实施，变更为以购置的土地自建金证科技大厦； 剩余募集资金</w:t>
      </w:r>
      <w:r>
        <w:rPr>
          <w:spacing w:val="-61"/>
        </w:rPr>
        <w:t> </w:t>
      </w:r>
      <w:r>
        <w:rPr>
          <w:rFonts w:ascii="Times New Roman" w:hAnsi="Times New Roman" w:cs="Times New Roman" w:eastAsia="Times New Roman" w:hint="default"/>
        </w:rPr>
        <w:t>40,392,254.11</w:t>
      </w:r>
      <w:r>
        <w:rPr>
          <w:rFonts w:ascii="Times New Roman" w:hAnsi="Times New Roman" w:cs="Times New Roman" w:eastAsia="Times New Roman" w:hint="default"/>
          <w:spacing w:val="-8"/>
        </w:rPr>
        <w:t> </w:t>
      </w:r>
      <w:r>
        <w:rPr/>
        <w:t>元补充公司流动资金。</w:t>
      </w:r>
    </w:p>
    <w:p>
      <w:pPr>
        <w:pStyle w:val="BodyText"/>
        <w:spacing w:line="348" w:lineRule="auto" w:before="122"/>
        <w:ind w:left="144" w:right="96" w:firstLine="419"/>
        <w:jc w:val="left"/>
      </w:pPr>
      <w:r>
        <w:rPr/>
        <w:t>上述变更募集资金投向项目事宜已经公司第二届董事会</w:t>
      </w:r>
      <w:r>
        <w:rPr>
          <w:spacing w:val="-61"/>
        </w:rPr>
        <w:t> </w:t>
      </w:r>
      <w:r>
        <w:rPr/>
        <w:t>2006</w:t>
      </w:r>
      <w:r>
        <w:rPr>
          <w:spacing w:val="-61"/>
        </w:rPr>
        <w:t> </w:t>
      </w:r>
      <w:r>
        <w:rPr/>
        <w:t>年第五次会议及公司</w:t>
      </w:r>
      <w:r>
        <w:rPr>
          <w:spacing w:val="-61"/>
        </w:rPr>
        <w:t> </w:t>
      </w:r>
      <w:r>
        <w:rPr/>
        <w:t>2006</w:t>
      </w:r>
      <w:r>
        <w:rPr>
          <w:spacing w:val="-61"/>
        </w:rPr>
        <w:t> </w:t>
      </w:r>
      <w:r>
        <w:rPr/>
        <w:t>年第三次</w:t>
      </w:r>
      <w:r>
        <w:rPr/>
        <w:t> 临时股东大会审议通过。目前软件研发基地建设项目仍在建设阶段，尚未产生收益。</w:t>
      </w:r>
    </w:p>
    <w:p>
      <w:pPr>
        <w:spacing w:after="0" w:line="348" w:lineRule="auto"/>
        <w:jc w:val="left"/>
        <w:sectPr>
          <w:pgSz w:w="12240" w:h="15840"/>
          <w:pgMar w:header="747" w:footer="727" w:top="1040" w:bottom="920" w:left="1380" w:right="1260"/>
        </w:sectPr>
      </w:pPr>
    </w:p>
    <w:p>
      <w:pPr>
        <w:spacing w:line="240" w:lineRule="auto" w:before="0"/>
        <w:rPr>
          <w:rFonts w:ascii="宋体" w:hAnsi="宋体" w:cs="宋体" w:eastAsia="宋体" w:hint="default"/>
          <w:sz w:val="20"/>
          <w:szCs w:val="20"/>
        </w:rPr>
      </w:pPr>
    </w:p>
    <w:p>
      <w:pPr>
        <w:pStyle w:val="BodyText"/>
        <w:spacing w:line="520" w:lineRule="exact" w:before="30"/>
        <w:ind w:left="905" w:right="937" w:hanging="61"/>
        <w:jc w:val="left"/>
      </w:pPr>
      <w:r>
        <w:rPr/>
        <w:t>2）</w:t>
      </w:r>
      <w:r>
        <w:rPr>
          <w:spacing w:val="59"/>
        </w:rPr>
        <w:t> </w:t>
      </w:r>
      <w:r>
        <w:rPr/>
        <w:t>集中式证券交易软件项目</w:t>
      </w:r>
      <w:r>
        <w:rPr/>
        <w:t> 集中式证券交易软件项目经过前期开发和销售，项目已顺利结束，产生收益</w:t>
      </w:r>
      <w:r>
        <w:rPr>
          <w:spacing w:val="-54"/>
        </w:rPr>
        <w:t> </w:t>
      </w:r>
      <w:r>
        <w:rPr/>
        <w:t>50002877.47</w:t>
      </w:r>
      <w:r>
        <w:rPr>
          <w:spacing w:val="-53"/>
        </w:rPr>
        <w:t> </w:t>
      </w:r>
      <w:r>
        <w:rPr/>
        <w:t>元。集</w:t>
      </w:r>
    </w:p>
    <w:p>
      <w:pPr>
        <w:pStyle w:val="BodyText"/>
        <w:spacing w:line="348" w:lineRule="auto" w:before="51"/>
        <w:ind w:left="485" w:right="952"/>
        <w:jc w:val="both"/>
      </w:pPr>
      <w:r>
        <w:rPr/>
        <w:t>中交易系统未达到预期收益的主要原因：行业发展趋势发生了很大变化，产品销售价格不断下降，毛 利率不断降低，根据市场变化，公司推出了高、低端系统供客户选用，使得每套系统的均价低于立项 时的预期，因此难以达到原可行性研究报告所预期的效益。</w:t>
      </w:r>
    </w:p>
    <w:p>
      <w:pPr>
        <w:pStyle w:val="BodyText"/>
        <w:spacing w:line="240" w:lineRule="auto" w:before="151"/>
        <w:ind w:left="905" w:right="937"/>
        <w:jc w:val="left"/>
      </w:pPr>
      <w:r>
        <w:rPr/>
        <w:t>3</w:t>
      </w:r>
      <w:r>
        <w:rPr>
          <w:spacing w:val="-105"/>
        </w:rPr>
        <w:t>）</w:t>
      </w:r>
      <w:r>
        <w:rPr/>
        <w:t>、企业</w:t>
      </w:r>
      <w:r>
        <w:rPr>
          <w:spacing w:val="-2"/>
        </w:rPr>
        <w:t>级</w:t>
      </w:r>
      <w:r>
        <w:rPr/>
        <w:t>金融客户服务中心系统项目</w:t>
      </w:r>
    </w:p>
    <w:p>
      <w:pPr>
        <w:spacing w:line="240" w:lineRule="auto" w:before="9"/>
        <w:rPr>
          <w:rFonts w:ascii="宋体" w:hAnsi="宋体" w:cs="宋体" w:eastAsia="宋体" w:hint="default"/>
          <w:sz w:val="18"/>
          <w:szCs w:val="18"/>
        </w:rPr>
      </w:pPr>
    </w:p>
    <w:p>
      <w:pPr>
        <w:pStyle w:val="BodyText"/>
        <w:spacing w:line="348" w:lineRule="auto"/>
        <w:ind w:left="485" w:right="952" w:firstLine="420"/>
        <w:jc w:val="both"/>
      </w:pPr>
      <w:r>
        <w:rPr/>
        <w:t>企业级金融客户服务中心系统收益未到预期的原因是：由于市场状况发生变化，目前公司重点在 证券</w:t>
      </w:r>
      <w:r>
        <w:rPr>
          <w:spacing w:val="-63"/>
        </w:rPr>
        <w:t> </w:t>
      </w:r>
      <w:r>
        <w:rPr/>
        <w:t>IT</w:t>
      </w:r>
      <w:r>
        <w:rPr>
          <w:spacing w:val="-62"/>
        </w:rPr>
        <w:t> </w:t>
      </w:r>
      <w:r>
        <w:rPr/>
        <w:t>行业发展，因此未达到预期的收益。</w:t>
      </w:r>
    </w:p>
    <w:p>
      <w:pPr>
        <w:pStyle w:val="BodyText"/>
        <w:spacing w:line="348" w:lineRule="auto" w:before="151"/>
        <w:ind w:left="485" w:right="952" w:firstLine="358"/>
        <w:jc w:val="both"/>
      </w:pPr>
      <w:r>
        <w:rPr/>
        <w:t>4)、多渠道金融电子商务平台系统收益未达到预期的原因：是由于市场竞争，导致产品销售价格 下降，系统均价低于预期。</w:t>
      </w:r>
    </w:p>
    <w:p>
      <w:pPr>
        <w:pStyle w:val="BodyText"/>
        <w:spacing w:line="350" w:lineRule="auto" w:before="150"/>
        <w:ind w:left="485" w:right="952" w:firstLine="358"/>
        <w:jc w:val="both"/>
      </w:pPr>
      <w:r>
        <w:rPr>
          <w:spacing w:val="-2"/>
        </w:rPr>
        <w:t>5）、证券投资信息系统、证券总部综合业务管理软件两个募集资金项目，考虑到证券公司的经营</w:t>
      </w:r>
      <w:r>
        <w:rPr/>
        <w:t> 环境及管理模式已经发生很大变化，这两个项目的投资回报率已不能达到当初预期，不再具有投资价 值，公司经过慎重研究，决定取消这两个募集资金投向项目。上述变更募集资金投向项目事宜已经公 司第二届董事会</w:t>
      </w:r>
      <w:r>
        <w:rPr>
          <w:spacing w:val="-62"/>
        </w:rPr>
        <w:t> </w:t>
      </w:r>
      <w:r>
        <w:rPr/>
        <w:t>2006</w:t>
      </w:r>
      <w:r>
        <w:rPr>
          <w:spacing w:val="-62"/>
        </w:rPr>
        <w:t> </w:t>
      </w:r>
      <w:r>
        <w:rPr/>
        <w:t>年第五次会议及公司</w:t>
      </w:r>
      <w:r>
        <w:rPr>
          <w:spacing w:val="-62"/>
        </w:rPr>
        <w:t> </w:t>
      </w:r>
      <w:r>
        <w:rPr/>
        <w:t>2006</w:t>
      </w:r>
      <w:r>
        <w:rPr>
          <w:spacing w:val="-62"/>
        </w:rPr>
        <w:t> </w:t>
      </w:r>
      <w:r>
        <w:rPr/>
        <w:t>年第三次临时股东大会审议通过。</w:t>
      </w:r>
    </w:p>
    <w:p>
      <w:pPr>
        <w:pStyle w:val="BodyText"/>
        <w:spacing w:line="240" w:lineRule="auto" w:before="149"/>
        <w:ind w:left="844" w:right="937"/>
        <w:jc w:val="left"/>
      </w:pPr>
      <w:r>
        <w:rPr>
          <w:rFonts w:ascii="Times New Roman" w:hAnsi="Times New Roman" w:cs="Times New Roman" w:eastAsia="Times New Roman" w:hint="default"/>
        </w:rPr>
        <w:t>3</w:t>
      </w:r>
      <w:r>
        <w:rPr/>
        <w:t>、承诺项目使用情况</w:t>
      </w:r>
    </w:p>
    <w:p>
      <w:pPr>
        <w:spacing w:line="240" w:lineRule="auto" w:before="6"/>
        <w:rPr>
          <w:rFonts w:ascii="宋体" w:hAnsi="宋体" w:cs="宋体" w:eastAsia="宋体" w:hint="default"/>
          <w:sz w:val="17"/>
          <w:szCs w:val="17"/>
        </w:rPr>
      </w:pPr>
    </w:p>
    <w:p>
      <w:pPr>
        <w:pStyle w:val="BodyText"/>
        <w:tabs>
          <w:tab w:pos="8618" w:val="left" w:leader="none"/>
        </w:tabs>
        <w:spacing w:line="240" w:lineRule="auto"/>
        <w:ind w:left="6880"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440"/>
        <w:gridCol w:w="1856"/>
        <w:gridCol w:w="664"/>
        <w:gridCol w:w="2008"/>
        <w:gridCol w:w="1800"/>
        <w:gridCol w:w="1440"/>
        <w:gridCol w:w="648"/>
        <w:gridCol w:w="584"/>
      </w:tblGrid>
      <w:tr>
        <w:trPr>
          <w:trHeight w:val="1096" w:hRule="exact"/>
        </w:trPr>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承诺项目名称</w:t>
            </w:r>
          </w:p>
        </w:tc>
        <w:tc>
          <w:tcPr>
            <w:tcW w:w="18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拟投入金额</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44" w:lineRule="auto" w:before="98"/>
              <w:ind w:left="143" w:right="143"/>
              <w:jc w:val="both"/>
              <w:rPr>
                <w:rFonts w:ascii="宋体" w:hAnsi="宋体" w:cs="宋体" w:eastAsia="宋体" w:hint="default"/>
                <w:sz w:val="18"/>
                <w:szCs w:val="18"/>
              </w:rPr>
            </w:pPr>
            <w:r>
              <w:rPr>
                <w:rFonts w:ascii="宋体" w:hAnsi="宋体" w:cs="宋体" w:eastAsia="宋体" w:hint="default"/>
                <w:sz w:val="18"/>
                <w:szCs w:val="18"/>
              </w:rPr>
              <w:t>是否 变更 项目</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实际投入金额</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产生收益情况</w:t>
            </w:r>
          </w:p>
        </w:tc>
        <w:tc>
          <w:tcPr>
            <w:tcW w:w="648"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36"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4" w:lineRule="auto" w:before="4"/>
              <w:ind w:left="136" w:right="134"/>
              <w:jc w:val="both"/>
              <w:rPr>
                <w:rFonts w:ascii="宋体" w:hAnsi="宋体" w:cs="宋体" w:eastAsia="宋体" w:hint="default"/>
                <w:sz w:val="18"/>
                <w:szCs w:val="18"/>
              </w:rPr>
            </w:pPr>
            <w:r>
              <w:rPr>
                <w:rFonts w:ascii="宋体" w:hAnsi="宋体" w:cs="宋体" w:eastAsia="宋体" w:hint="default"/>
                <w:sz w:val="18"/>
                <w:szCs w:val="18"/>
              </w:rPr>
              <w:t>符合 计划 进度</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4"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4" w:lineRule="auto" w:before="4"/>
              <w:ind w:left="104" w:right="103"/>
              <w:jc w:val="both"/>
              <w:rPr>
                <w:rFonts w:ascii="宋体" w:hAnsi="宋体" w:cs="宋体" w:eastAsia="宋体" w:hint="default"/>
                <w:sz w:val="18"/>
                <w:szCs w:val="18"/>
              </w:rPr>
            </w:pPr>
            <w:r>
              <w:rPr>
                <w:rFonts w:ascii="宋体" w:hAnsi="宋体" w:cs="宋体" w:eastAsia="宋体" w:hint="default"/>
                <w:sz w:val="18"/>
                <w:szCs w:val="18"/>
              </w:rPr>
              <w:t>符合 预计 收益</w:t>
            </w:r>
          </w:p>
        </w:tc>
      </w:tr>
      <w:tr>
        <w:trPr>
          <w:trHeight w:val="614" w:hRule="exact"/>
        </w:trPr>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23"/>
                <w:sz w:val="18"/>
                <w:szCs w:val="18"/>
              </w:rPr>
              <w:t>软件研发基地</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8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left="460" w:right="0"/>
              <w:jc w:val="left"/>
              <w:rPr>
                <w:rFonts w:ascii="Arial" w:hAnsi="Arial" w:cs="Arial" w:eastAsia="Arial" w:hint="default"/>
                <w:sz w:val="18"/>
                <w:szCs w:val="18"/>
              </w:rPr>
            </w:pPr>
            <w:r>
              <w:rPr>
                <w:rFonts w:ascii="Arial"/>
                <w:sz w:val="18"/>
              </w:rPr>
              <w:t>87,733,400.00</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23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100"/>
              <w:jc w:val="right"/>
              <w:rPr>
                <w:rFonts w:ascii="Arial" w:hAnsi="Arial" w:cs="Arial" w:eastAsia="Arial" w:hint="default"/>
                <w:sz w:val="18"/>
                <w:szCs w:val="18"/>
              </w:rPr>
            </w:pPr>
            <w:r>
              <w:rPr>
                <w:rFonts w:ascii="Arial"/>
                <w:spacing w:val="-2"/>
                <w:sz w:val="18"/>
              </w:rPr>
              <w:t>19,791,150.11</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10,200,000.00</w:t>
            </w:r>
            <w:r>
              <w:rPr>
                <w:rFonts w:ascii="Arial"/>
                <w:sz w:val="18"/>
              </w:rPr>
            </w:r>
          </w:p>
        </w:tc>
        <w:tc>
          <w:tcPr>
            <w:tcW w:w="1440" w:type="dxa"/>
            <w:tcBorders>
              <w:top w:val="single" w:sz="6" w:space="0" w:color="101010"/>
              <w:left w:val="single" w:sz="6" w:space="0" w:color="101010"/>
              <w:bottom w:val="single" w:sz="6" w:space="0" w:color="101010"/>
              <w:right w:val="single" w:sz="6" w:space="0" w:color="101010"/>
            </w:tcBorders>
          </w:tcPr>
          <w:p>
            <w:pPr/>
          </w:p>
        </w:tc>
        <w:tc>
          <w:tcPr>
            <w:tcW w:w="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3"/>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3"/>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16" w:hRule="exact"/>
        </w:trPr>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23"/>
                <w:sz w:val="18"/>
                <w:szCs w:val="18"/>
              </w:rPr>
              <w:t>集中式证券交</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易软件项目</w:t>
            </w:r>
          </w:p>
        </w:tc>
        <w:tc>
          <w:tcPr>
            <w:tcW w:w="18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left="460" w:right="0"/>
              <w:jc w:val="left"/>
              <w:rPr>
                <w:rFonts w:ascii="Arial" w:hAnsi="Arial" w:cs="Arial" w:eastAsia="Arial" w:hint="default"/>
                <w:sz w:val="18"/>
                <w:szCs w:val="18"/>
              </w:rPr>
            </w:pPr>
            <w:r>
              <w:rPr>
                <w:rFonts w:ascii="Arial"/>
                <w:sz w:val="18"/>
              </w:rPr>
              <w:t>29,608,345.89</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left="23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100"/>
              <w:jc w:val="right"/>
              <w:rPr>
                <w:rFonts w:ascii="Arial" w:hAnsi="Arial" w:cs="Arial" w:eastAsia="Arial" w:hint="default"/>
                <w:sz w:val="18"/>
                <w:szCs w:val="18"/>
              </w:rPr>
            </w:pPr>
            <w:r>
              <w:rPr>
                <w:rFonts w:ascii="Arial"/>
                <w:spacing w:val="-1"/>
                <w:sz w:val="18"/>
              </w:rPr>
              <w:t>29,608,345.89</w:t>
            </w:r>
            <w:r>
              <w:rPr>
                <w:rFonts w:ascii="Arial"/>
                <w:sz w:val="18"/>
              </w:rPr>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72,550,000.00</w:t>
            </w:r>
            <w:r>
              <w:rPr>
                <w:rFonts w:ascii="Arial"/>
                <w:sz w:val="18"/>
              </w:rPr>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left="100" w:right="0"/>
              <w:jc w:val="left"/>
              <w:rPr>
                <w:rFonts w:ascii="Arial" w:hAnsi="Arial" w:cs="Arial" w:eastAsia="Arial" w:hint="default"/>
                <w:sz w:val="18"/>
                <w:szCs w:val="18"/>
              </w:rPr>
            </w:pPr>
            <w:r>
              <w:rPr>
                <w:rFonts w:ascii="Arial"/>
                <w:sz w:val="18"/>
              </w:rPr>
              <w:t>50002877.47</w:t>
            </w:r>
          </w:p>
        </w:tc>
        <w:tc>
          <w:tcPr>
            <w:tcW w:w="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3"/>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3"/>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54" w:hRule="exact"/>
        </w:trPr>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23"/>
                <w:sz w:val="18"/>
                <w:szCs w:val="18"/>
              </w:rPr>
              <w:t>企业级金融客</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4" w:lineRule="auto" w:before="4"/>
              <w:ind w:left="100" w:right="71"/>
              <w:jc w:val="left"/>
              <w:rPr>
                <w:rFonts w:ascii="宋体" w:hAnsi="宋体" w:cs="宋体" w:eastAsia="宋体" w:hint="default"/>
                <w:sz w:val="18"/>
                <w:szCs w:val="18"/>
              </w:rPr>
            </w:pPr>
            <w:r>
              <w:rPr>
                <w:rFonts w:ascii="宋体" w:hAnsi="宋体" w:cs="宋体" w:eastAsia="宋体" w:hint="default"/>
                <w:spacing w:val="23"/>
                <w:sz w:val="18"/>
                <w:szCs w:val="18"/>
              </w:rPr>
              <w:t>户服务中心系</w:t>
            </w:r>
            <w:r>
              <w:rPr>
                <w:rFonts w:ascii="宋体" w:hAnsi="宋体" w:cs="宋体" w:eastAsia="宋体" w:hint="default"/>
                <w:spacing w:val="-62"/>
                <w:sz w:val="18"/>
                <w:szCs w:val="18"/>
              </w:rPr>
              <w:t> </w:t>
            </w:r>
            <w:r>
              <w:rPr>
                <w:rFonts w:ascii="宋体" w:hAnsi="宋体" w:cs="宋体" w:eastAsia="宋体" w:hint="default"/>
                <w:sz w:val="18"/>
                <w:szCs w:val="18"/>
              </w:rPr>
              <w:t>统项目</w:t>
            </w:r>
          </w:p>
        </w:tc>
        <w:tc>
          <w:tcPr>
            <w:tcW w:w="18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60" w:right="0"/>
              <w:jc w:val="left"/>
              <w:rPr>
                <w:rFonts w:ascii="Arial" w:hAnsi="Arial" w:cs="Arial" w:eastAsia="Arial" w:hint="default"/>
                <w:sz w:val="18"/>
                <w:szCs w:val="18"/>
              </w:rPr>
            </w:pPr>
            <w:r>
              <w:rPr>
                <w:rFonts w:ascii="Arial"/>
                <w:sz w:val="18"/>
              </w:rPr>
              <w:t>39,685,500.00</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39,685,492.37</w:t>
            </w:r>
            <w:r>
              <w:rPr>
                <w:rFonts w:ascii="Arial"/>
                <w:sz w:val="18"/>
              </w:rPr>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61,900,000.00</w:t>
            </w:r>
            <w:r>
              <w:rPr>
                <w:rFonts w:ascii="Arial"/>
                <w:sz w:val="18"/>
              </w:rPr>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Arial" w:hAnsi="Arial" w:cs="Arial" w:eastAsia="Arial" w:hint="default"/>
                <w:sz w:val="18"/>
                <w:szCs w:val="18"/>
              </w:rPr>
            </w:pPr>
            <w:r>
              <w:rPr>
                <w:rFonts w:ascii="Arial"/>
                <w:sz w:val="18"/>
              </w:rPr>
              <w:t>11286945.00</w:t>
            </w:r>
          </w:p>
        </w:tc>
        <w:tc>
          <w:tcPr>
            <w:tcW w:w="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56" w:hRule="exact"/>
        </w:trPr>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23"/>
                <w:sz w:val="18"/>
                <w:szCs w:val="18"/>
              </w:rPr>
              <w:t>多渠道金融电</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4" w:lineRule="auto" w:before="4"/>
              <w:ind w:left="100" w:right="71"/>
              <w:jc w:val="left"/>
              <w:rPr>
                <w:rFonts w:ascii="宋体" w:hAnsi="宋体" w:cs="宋体" w:eastAsia="宋体" w:hint="default"/>
                <w:sz w:val="18"/>
                <w:szCs w:val="18"/>
              </w:rPr>
            </w:pPr>
            <w:r>
              <w:rPr>
                <w:rFonts w:ascii="宋体" w:hAnsi="宋体" w:cs="宋体" w:eastAsia="宋体" w:hint="default"/>
                <w:spacing w:val="23"/>
                <w:sz w:val="18"/>
                <w:szCs w:val="18"/>
              </w:rPr>
              <w:t>子商务平台项</w:t>
            </w:r>
            <w:r>
              <w:rPr>
                <w:rFonts w:ascii="宋体" w:hAnsi="宋体" w:cs="宋体" w:eastAsia="宋体" w:hint="default"/>
                <w:spacing w:val="-62"/>
                <w:sz w:val="18"/>
                <w:szCs w:val="18"/>
              </w:rPr>
              <w:t> </w:t>
            </w:r>
            <w:r>
              <w:rPr>
                <w:rFonts w:ascii="宋体" w:hAnsi="宋体" w:cs="宋体" w:eastAsia="宋体" w:hint="default"/>
                <w:sz w:val="18"/>
                <w:szCs w:val="18"/>
              </w:rPr>
              <w:t>目</w:t>
            </w:r>
          </w:p>
        </w:tc>
        <w:tc>
          <w:tcPr>
            <w:tcW w:w="18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60" w:right="0"/>
              <w:jc w:val="left"/>
              <w:rPr>
                <w:rFonts w:ascii="Arial" w:hAnsi="Arial" w:cs="Arial" w:eastAsia="Arial" w:hint="default"/>
                <w:sz w:val="18"/>
                <w:szCs w:val="18"/>
              </w:rPr>
            </w:pPr>
            <w:r>
              <w:rPr>
                <w:rFonts w:ascii="Arial"/>
                <w:sz w:val="18"/>
              </w:rPr>
              <w:t>35,356,300.00</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35,378,337.05</w:t>
            </w:r>
            <w:r>
              <w:rPr>
                <w:rFonts w:ascii="Arial"/>
                <w:sz w:val="18"/>
              </w:rPr>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33,600,000.00</w:t>
            </w:r>
            <w:r>
              <w:rPr>
                <w:rFonts w:ascii="Arial"/>
                <w:sz w:val="18"/>
              </w:rPr>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Arial" w:hAnsi="Arial" w:cs="Arial" w:eastAsia="Arial" w:hint="default"/>
                <w:sz w:val="18"/>
                <w:szCs w:val="18"/>
              </w:rPr>
            </w:pPr>
            <w:r>
              <w:rPr>
                <w:rFonts w:ascii="Arial"/>
                <w:sz w:val="18"/>
              </w:rPr>
              <w:t>16934176.75</w:t>
            </w:r>
          </w:p>
        </w:tc>
        <w:tc>
          <w:tcPr>
            <w:tcW w:w="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4" w:hRule="exact"/>
        </w:trPr>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8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left="460" w:right="0"/>
              <w:jc w:val="left"/>
              <w:rPr>
                <w:rFonts w:ascii="Arial" w:hAnsi="Arial" w:cs="Arial" w:eastAsia="Arial" w:hint="default"/>
                <w:sz w:val="18"/>
                <w:szCs w:val="18"/>
              </w:rPr>
            </w:pPr>
            <w:r>
              <w:rPr>
                <w:rFonts w:ascii="Arial"/>
                <w:sz w:val="18"/>
              </w:rPr>
              <w:t>40,392,254.11</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23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100"/>
              <w:jc w:val="right"/>
              <w:rPr>
                <w:rFonts w:ascii="Arial" w:hAnsi="Arial" w:cs="Arial" w:eastAsia="Arial" w:hint="default"/>
                <w:sz w:val="18"/>
                <w:szCs w:val="18"/>
              </w:rPr>
            </w:pPr>
            <w:r>
              <w:rPr>
                <w:rFonts w:ascii="Arial"/>
                <w:spacing w:val="-2"/>
                <w:sz w:val="18"/>
              </w:rPr>
              <w:t>40,392,254.11</w:t>
            </w:r>
          </w:p>
        </w:tc>
        <w:tc>
          <w:tcPr>
            <w:tcW w:w="1800" w:type="dxa"/>
            <w:tcBorders>
              <w:top w:val="single" w:sz="6" w:space="0" w:color="101010"/>
              <w:left w:val="single" w:sz="6" w:space="0" w:color="101010"/>
              <w:bottom w:val="single" w:sz="6" w:space="0" w:color="101010"/>
              <w:right w:val="single" w:sz="6" w:space="0" w:color="101010"/>
            </w:tcBorders>
          </w:tcPr>
          <w:p>
            <w:pPr/>
          </w:p>
        </w:tc>
        <w:tc>
          <w:tcPr>
            <w:tcW w:w="1440" w:type="dxa"/>
            <w:tcBorders>
              <w:top w:val="single" w:sz="6" w:space="0" w:color="101010"/>
              <w:left w:val="single" w:sz="6" w:space="0" w:color="101010"/>
              <w:bottom w:val="single" w:sz="6" w:space="0" w:color="101010"/>
              <w:right w:val="single" w:sz="6" w:space="0" w:color="101010"/>
            </w:tcBorders>
          </w:tcPr>
          <w:p>
            <w:pPr/>
          </w:p>
        </w:tc>
        <w:tc>
          <w:tcPr>
            <w:tcW w:w="6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6" w:hRule="exact"/>
        </w:trPr>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left="460" w:right="0"/>
              <w:jc w:val="left"/>
              <w:rPr>
                <w:rFonts w:ascii="Arial" w:hAnsi="Arial" w:cs="Arial" w:eastAsia="Arial" w:hint="default"/>
                <w:sz w:val="18"/>
                <w:szCs w:val="18"/>
              </w:rPr>
            </w:pPr>
            <w:r>
              <w:rPr>
                <w:rFonts w:ascii="Arial"/>
                <w:sz w:val="18"/>
              </w:rPr>
              <w:t>232,775,800.00</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136"/>
              <w:jc w:val="right"/>
              <w:rPr>
                <w:rFonts w:ascii="Arial" w:hAnsi="Arial" w:cs="Arial" w:eastAsia="Arial" w:hint="default"/>
                <w:sz w:val="18"/>
                <w:szCs w:val="18"/>
              </w:rPr>
            </w:pPr>
            <w:r>
              <w:rPr>
                <w:rFonts w:ascii="Arial"/>
                <w:w w:val="100"/>
                <w:sz w:val="18"/>
              </w:rPr>
              <w:t>/</w:t>
            </w:r>
          </w:p>
        </w:tc>
        <w:tc>
          <w:tcPr>
            <w:tcW w:w="2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left="460" w:right="0"/>
              <w:jc w:val="left"/>
              <w:rPr>
                <w:rFonts w:ascii="Arial" w:hAnsi="Arial" w:cs="Arial" w:eastAsia="Arial" w:hint="default"/>
                <w:sz w:val="18"/>
                <w:szCs w:val="18"/>
              </w:rPr>
            </w:pPr>
            <w:r>
              <w:rPr>
                <w:rFonts w:ascii="Arial"/>
                <w:sz w:val="18"/>
              </w:rPr>
              <w:t>164,855,579.53</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right="98"/>
              <w:jc w:val="right"/>
              <w:rPr>
                <w:rFonts w:ascii="Arial" w:hAnsi="Arial" w:cs="Arial" w:eastAsia="Arial" w:hint="default"/>
                <w:sz w:val="18"/>
                <w:szCs w:val="18"/>
              </w:rPr>
            </w:pPr>
            <w:r>
              <w:rPr>
                <w:rFonts w:ascii="Arial"/>
                <w:spacing w:val="-1"/>
                <w:sz w:val="18"/>
              </w:rPr>
              <w:t>178,250,000.00</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2"/>
              <w:ind w:left="100" w:right="0"/>
              <w:jc w:val="left"/>
              <w:rPr>
                <w:rFonts w:ascii="Arial" w:hAnsi="Arial" w:cs="Arial" w:eastAsia="Arial" w:hint="default"/>
                <w:sz w:val="18"/>
                <w:szCs w:val="18"/>
              </w:rPr>
            </w:pPr>
            <w:r>
              <w:rPr>
                <w:rFonts w:ascii="Arial"/>
                <w:sz w:val="18"/>
              </w:rPr>
              <w:t>78,223,999.22</w:t>
            </w:r>
          </w:p>
        </w:tc>
        <w:tc>
          <w:tcPr>
            <w:tcW w:w="648" w:type="dxa"/>
            <w:tcBorders>
              <w:top w:val="single" w:sz="6" w:space="0" w:color="101010"/>
              <w:left w:val="single" w:sz="6" w:space="0" w:color="101010"/>
              <w:bottom w:val="single" w:sz="6" w:space="0" w:color="101010"/>
              <w:right w:val="single" w:sz="6" w:space="0" w:color="101010"/>
            </w:tcBorders>
          </w:tcPr>
          <w:p>
            <w:pPr/>
          </w:p>
        </w:tc>
        <w:tc>
          <w:tcPr>
            <w:tcW w:w="584"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40" w:lineRule="auto" w:before="75"/>
        <w:ind w:left="905" w:right="937"/>
        <w:jc w:val="left"/>
      </w:pPr>
      <w:r>
        <w:rPr>
          <w:rFonts w:ascii="Arial" w:hAnsi="Arial" w:cs="Arial" w:eastAsia="Arial" w:hint="default"/>
        </w:rPr>
        <w:t>1)</w:t>
      </w:r>
      <w:r>
        <w:rPr/>
        <w:t>、软件研发基地建设项目</w:t>
      </w:r>
    </w:p>
    <w:p>
      <w:pPr>
        <w:spacing w:line="240" w:lineRule="auto" w:before="9"/>
        <w:rPr>
          <w:rFonts w:ascii="宋体" w:hAnsi="宋体" w:cs="宋体" w:eastAsia="宋体" w:hint="default"/>
          <w:sz w:val="17"/>
          <w:szCs w:val="17"/>
        </w:rPr>
      </w:pPr>
    </w:p>
    <w:p>
      <w:pPr>
        <w:pStyle w:val="BodyText"/>
        <w:spacing w:line="240" w:lineRule="auto"/>
        <w:ind w:left="905" w:right="937"/>
        <w:jc w:val="left"/>
      </w:pPr>
      <w:r>
        <w:rPr/>
        <w:t>项目拟投入</w:t>
      </w:r>
      <w:r>
        <w:rPr>
          <w:spacing w:val="-63"/>
        </w:rPr>
        <w:t> </w:t>
      </w:r>
      <w:r>
        <w:rPr>
          <w:rFonts w:ascii="Arial" w:hAnsi="Arial" w:cs="Arial" w:eastAsia="Arial" w:hint="default"/>
        </w:rPr>
        <w:t>87,733,400.00</w:t>
      </w:r>
      <w:r>
        <w:rPr>
          <w:rFonts w:ascii="Arial" w:hAnsi="Arial" w:cs="Arial" w:eastAsia="Arial" w:hint="default"/>
          <w:spacing w:val="-16"/>
        </w:rPr>
        <w:t> </w:t>
      </w:r>
      <w:r>
        <w:rPr/>
        <w:t>元，实际投入</w:t>
      </w:r>
      <w:r>
        <w:rPr>
          <w:spacing w:val="-63"/>
        </w:rPr>
        <w:t> </w:t>
      </w:r>
      <w:r>
        <w:rPr>
          <w:rFonts w:ascii="Arial" w:hAnsi="Arial" w:cs="Arial" w:eastAsia="Arial" w:hint="default"/>
        </w:rPr>
        <w:t>19,791,150.11</w:t>
      </w:r>
      <w:r>
        <w:rPr>
          <w:rFonts w:ascii="Arial" w:hAnsi="Arial" w:cs="Arial" w:eastAsia="Arial" w:hint="default"/>
          <w:spacing w:val="-16"/>
        </w:rPr>
        <w:t> </w:t>
      </w:r>
      <w:r>
        <w:rPr/>
        <w:t>元</w:t>
      </w:r>
    </w:p>
    <w:p>
      <w:pPr>
        <w:spacing w:after="0" w:line="240" w:lineRule="auto"/>
        <w:jc w:val="left"/>
        <w:sectPr>
          <w:pgSz w:w="12240" w:h="15840"/>
          <w:pgMar w:header="747" w:footer="727" w:top="1040" w:bottom="920" w:left="1040" w:right="5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65" w:right="0"/>
        <w:jc w:val="left"/>
      </w:pPr>
      <w:r>
        <w:rPr>
          <w:rFonts w:ascii="Arial" w:hAnsi="Arial" w:cs="Arial" w:eastAsia="Arial" w:hint="default"/>
        </w:rPr>
        <w:t>2)</w:t>
      </w:r>
      <w:r>
        <w:rPr/>
        <w:t>、集中式证券交易软件项目</w:t>
      </w:r>
    </w:p>
    <w:p>
      <w:pPr>
        <w:spacing w:line="240" w:lineRule="auto" w:before="7"/>
        <w:rPr>
          <w:rFonts w:ascii="宋体" w:hAnsi="宋体" w:cs="宋体" w:eastAsia="宋体" w:hint="default"/>
          <w:sz w:val="17"/>
          <w:szCs w:val="17"/>
        </w:rPr>
      </w:pPr>
    </w:p>
    <w:p>
      <w:pPr>
        <w:pStyle w:val="BodyText"/>
        <w:spacing w:line="240" w:lineRule="auto"/>
        <w:ind w:left="565" w:right="0"/>
        <w:jc w:val="left"/>
      </w:pPr>
      <w:r>
        <w:rPr/>
        <w:t>项目拟投入</w:t>
      </w:r>
      <w:r>
        <w:rPr>
          <w:spacing w:val="-59"/>
        </w:rPr>
        <w:t> </w:t>
      </w:r>
      <w:r>
        <w:rPr>
          <w:rFonts w:ascii="Arial" w:hAnsi="Arial" w:cs="Arial" w:eastAsia="Arial" w:hint="default"/>
        </w:rPr>
        <w:t>29,608,345.89</w:t>
      </w:r>
      <w:r>
        <w:rPr>
          <w:rFonts w:ascii="Arial" w:hAnsi="Arial" w:cs="Arial" w:eastAsia="Arial" w:hint="default"/>
          <w:spacing w:val="-12"/>
        </w:rPr>
        <w:t> </w:t>
      </w:r>
      <w:r>
        <w:rPr/>
        <w:t>元，实际投入</w:t>
      </w:r>
      <w:r>
        <w:rPr>
          <w:spacing w:val="-59"/>
        </w:rPr>
        <w:t> </w:t>
      </w:r>
      <w:r>
        <w:rPr>
          <w:rFonts w:ascii="Arial" w:hAnsi="Arial" w:cs="Arial" w:eastAsia="Arial" w:hint="default"/>
        </w:rPr>
        <w:t>29,608,345.89</w:t>
      </w:r>
      <w:r>
        <w:rPr>
          <w:rFonts w:ascii="Arial" w:hAnsi="Arial" w:cs="Arial" w:eastAsia="Arial" w:hint="default"/>
          <w:spacing w:val="-12"/>
        </w:rPr>
        <w:t> </w:t>
      </w:r>
      <w:r>
        <w:rPr/>
        <w:t>元</w:t>
      </w:r>
    </w:p>
    <w:p>
      <w:pPr>
        <w:spacing w:line="240" w:lineRule="auto" w:before="9"/>
        <w:rPr>
          <w:rFonts w:ascii="宋体" w:hAnsi="宋体" w:cs="宋体" w:eastAsia="宋体" w:hint="default"/>
          <w:sz w:val="17"/>
          <w:szCs w:val="17"/>
        </w:rPr>
      </w:pPr>
    </w:p>
    <w:p>
      <w:pPr>
        <w:pStyle w:val="BodyText"/>
        <w:spacing w:line="240" w:lineRule="auto"/>
        <w:ind w:left="565" w:right="0"/>
        <w:jc w:val="left"/>
      </w:pPr>
      <w:r>
        <w:rPr>
          <w:rFonts w:ascii="Arial" w:hAnsi="Arial" w:cs="Arial" w:eastAsia="Arial" w:hint="default"/>
        </w:rPr>
        <w:t>3)</w:t>
      </w:r>
      <w:r>
        <w:rPr/>
        <w:t>、企业级金融客户服务中心系统项目</w:t>
      </w:r>
    </w:p>
    <w:p>
      <w:pPr>
        <w:spacing w:line="240" w:lineRule="auto" w:before="7"/>
        <w:rPr>
          <w:rFonts w:ascii="宋体" w:hAnsi="宋体" w:cs="宋体" w:eastAsia="宋体" w:hint="default"/>
          <w:sz w:val="17"/>
          <w:szCs w:val="17"/>
        </w:rPr>
      </w:pPr>
    </w:p>
    <w:p>
      <w:pPr>
        <w:pStyle w:val="BodyText"/>
        <w:spacing w:line="240" w:lineRule="auto"/>
        <w:ind w:left="565" w:right="0"/>
        <w:jc w:val="left"/>
      </w:pPr>
      <w:r>
        <w:rPr/>
        <w:t>项目拟投入</w:t>
      </w:r>
      <w:r>
        <w:rPr>
          <w:spacing w:val="-59"/>
        </w:rPr>
        <w:t> </w:t>
      </w:r>
      <w:r>
        <w:rPr>
          <w:rFonts w:ascii="Arial" w:hAnsi="Arial" w:cs="Arial" w:eastAsia="Arial" w:hint="default"/>
        </w:rPr>
        <w:t>39,685,500.00</w:t>
      </w:r>
      <w:r>
        <w:rPr>
          <w:rFonts w:ascii="Arial" w:hAnsi="Arial" w:cs="Arial" w:eastAsia="Arial" w:hint="default"/>
          <w:spacing w:val="-12"/>
        </w:rPr>
        <w:t> </w:t>
      </w:r>
      <w:r>
        <w:rPr/>
        <w:t>元，实际投入</w:t>
      </w:r>
      <w:r>
        <w:rPr>
          <w:spacing w:val="-59"/>
        </w:rPr>
        <w:t> </w:t>
      </w:r>
      <w:r>
        <w:rPr>
          <w:rFonts w:ascii="Arial" w:hAnsi="Arial" w:cs="Arial" w:eastAsia="Arial" w:hint="default"/>
        </w:rPr>
        <w:t>39,685,492.37</w:t>
      </w:r>
      <w:r>
        <w:rPr>
          <w:rFonts w:ascii="Arial" w:hAnsi="Arial" w:cs="Arial" w:eastAsia="Arial" w:hint="default"/>
          <w:spacing w:val="-12"/>
        </w:rPr>
        <w:t> </w:t>
      </w:r>
      <w:r>
        <w:rPr/>
        <w:t>元</w:t>
      </w:r>
    </w:p>
    <w:p>
      <w:pPr>
        <w:spacing w:line="240" w:lineRule="auto" w:before="7"/>
        <w:rPr>
          <w:rFonts w:ascii="宋体" w:hAnsi="宋体" w:cs="宋体" w:eastAsia="宋体" w:hint="default"/>
          <w:sz w:val="17"/>
          <w:szCs w:val="17"/>
        </w:rPr>
      </w:pPr>
    </w:p>
    <w:p>
      <w:pPr>
        <w:pStyle w:val="BodyText"/>
        <w:spacing w:line="240" w:lineRule="auto"/>
        <w:ind w:left="565" w:right="0"/>
        <w:jc w:val="left"/>
      </w:pPr>
      <w:r>
        <w:rPr>
          <w:rFonts w:ascii="Arial" w:hAnsi="Arial" w:cs="Arial" w:eastAsia="Arial" w:hint="default"/>
        </w:rPr>
        <w:t>4)</w:t>
      </w:r>
      <w:r>
        <w:rPr/>
        <w:t>、多渠道金融电子商务平台项目</w:t>
      </w:r>
    </w:p>
    <w:p>
      <w:pPr>
        <w:spacing w:line="240" w:lineRule="auto" w:before="9"/>
        <w:rPr>
          <w:rFonts w:ascii="宋体" w:hAnsi="宋体" w:cs="宋体" w:eastAsia="宋体" w:hint="default"/>
          <w:sz w:val="17"/>
          <w:szCs w:val="17"/>
        </w:rPr>
      </w:pPr>
    </w:p>
    <w:p>
      <w:pPr>
        <w:pStyle w:val="BodyText"/>
        <w:spacing w:line="240" w:lineRule="auto"/>
        <w:ind w:left="565" w:right="0"/>
        <w:jc w:val="left"/>
      </w:pPr>
      <w:r>
        <w:rPr/>
        <w:t>项目拟投入</w:t>
      </w:r>
      <w:r>
        <w:rPr>
          <w:spacing w:val="-59"/>
        </w:rPr>
        <w:t> </w:t>
      </w:r>
      <w:r>
        <w:rPr>
          <w:rFonts w:ascii="Arial" w:hAnsi="Arial" w:cs="Arial" w:eastAsia="Arial" w:hint="default"/>
        </w:rPr>
        <w:t>35,356,300.00</w:t>
      </w:r>
      <w:r>
        <w:rPr>
          <w:rFonts w:ascii="Arial" w:hAnsi="Arial" w:cs="Arial" w:eastAsia="Arial" w:hint="default"/>
          <w:spacing w:val="-12"/>
        </w:rPr>
        <w:t> </w:t>
      </w:r>
      <w:r>
        <w:rPr/>
        <w:t>元，实际投入</w:t>
      </w:r>
      <w:r>
        <w:rPr>
          <w:spacing w:val="-59"/>
        </w:rPr>
        <w:t> </w:t>
      </w:r>
      <w:r>
        <w:rPr>
          <w:rFonts w:ascii="Arial" w:hAnsi="Arial" w:cs="Arial" w:eastAsia="Arial" w:hint="default"/>
        </w:rPr>
        <w:t>35,378,337.05</w:t>
      </w:r>
      <w:r>
        <w:rPr>
          <w:rFonts w:ascii="Arial" w:hAnsi="Arial" w:cs="Arial" w:eastAsia="Arial" w:hint="default"/>
          <w:spacing w:val="-12"/>
        </w:rPr>
        <w:t> </w:t>
      </w:r>
      <w:r>
        <w:rPr/>
        <w:t>元</w:t>
      </w:r>
    </w:p>
    <w:p>
      <w:pPr>
        <w:spacing w:line="240" w:lineRule="auto" w:before="7"/>
        <w:rPr>
          <w:rFonts w:ascii="宋体" w:hAnsi="宋体" w:cs="宋体" w:eastAsia="宋体" w:hint="default"/>
          <w:sz w:val="17"/>
          <w:szCs w:val="17"/>
        </w:rPr>
      </w:pPr>
    </w:p>
    <w:p>
      <w:pPr>
        <w:pStyle w:val="BodyText"/>
        <w:spacing w:line="240" w:lineRule="auto"/>
        <w:ind w:left="565" w:right="0"/>
        <w:jc w:val="left"/>
      </w:pPr>
      <w:r>
        <w:rPr>
          <w:rFonts w:ascii="Arial" w:hAnsi="Arial" w:cs="Arial" w:eastAsia="Arial" w:hint="default"/>
        </w:rPr>
        <w:t>5)</w:t>
      </w:r>
      <w:r>
        <w:rPr/>
        <w:t>、补充流动资金</w:t>
      </w:r>
    </w:p>
    <w:p>
      <w:pPr>
        <w:spacing w:line="240" w:lineRule="auto" w:before="7"/>
        <w:rPr>
          <w:rFonts w:ascii="宋体" w:hAnsi="宋体" w:cs="宋体" w:eastAsia="宋体" w:hint="default"/>
          <w:sz w:val="17"/>
          <w:szCs w:val="17"/>
        </w:rPr>
      </w:pPr>
    </w:p>
    <w:p>
      <w:pPr>
        <w:pStyle w:val="BodyText"/>
        <w:spacing w:line="432" w:lineRule="auto"/>
        <w:ind w:left="565" w:right="3548"/>
        <w:jc w:val="left"/>
      </w:pPr>
      <w:r>
        <w:rPr/>
        <w:t>项目拟投入</w:t>
      </w:r>
      <w:r>
        <w:rPr>
          <w:spacing w:val="-65"/>
        </w:rPr>
        <w:t> </w:t>
      </w:r>
      <w:r>
        <w:rPr>
          <w:rFonts w:ascii="Arial" w:hAnsi="Arial" w:cs="Arial" w:eastAsia="Arial" w:hint="default"/>
        </w:rPr>
        <w:t>40,392,254.11</w:t>
      </w:r>
      <w:r>
        <w:rPr>
          <w:rFonts w:ascii="Arial" w:hAnsi="Arial" w:cs="Arial" w:eastAsia="Arial" w:hint="default"/>
          <w:spacing w:val="-18"/>
        </w:rPr>
        <w:t> </w:t>
      </w:r>
      <w:r>
        <w:rPr/>
        <w:t>元，实际投入</w:t>
      </w:r>
      <w:r>
        <w:rPr>
          <w:spacing w:val="-65"/>
        </w:rPr>
        <w:t> </w:t>
      </w:r>
      <w:r>
        <w:rPr>
          <w:rFonts w:ascii="Arial" w:hAnsi="Arial" w:cs="Arial" w:eastAsia="Arial" w:hint="default"/>
        </w:rPr>
        <w:t>40,392,254.11</w:t>
      </w:r>
      <w:r>
        <w:rPr>
          <w:rFonts w:ascii="Arial" w:hAnsi="Arial" w:cs="Arial" w:eastAsia="Arial" w:hint="default"/>
          <w:spacing w:val="-18"/>
        </w:rPr>
        <w:t> </w:t>
      </w:r>
      <w:r>
        <w:rPr/>
        <w:t>元 </w:t>
      </w:r>
      <w:r>
        <w:rPr>
          <w:rFonts w:ascii="Arial" w:hAnsi="Arial" w:cs="Arial" w:eastAsia="Arial" w:hint="default"/>
        </w:rPr>
        <w:t>4</w:t>
      </w:r>
      <w:r>
        <w:rPr/>
        <w:t>、非募集资金项目情况 报告期内，公司无非募集资金投资项目。</w:t>
      </w:r>
    </w:p>
    <w:p>
      <w:pPr>
        <w:pStyle w:val="BodyText"/>
        <w:spacing w:line="441" w:lineRule="auto" w:before="76"/>
        <w:ind w:left="504" w:right="2685" w:firstLine="61"/>
        <w:jc w:val="left"/>
      </w:pPr>
      <w:r>
        <w:rPr>
          <w:rFonts w:ascii="Arial" w:hAnsi="Arial" w:cs="Arial" w:eastAsia="Arial" w:hint="default"/>
        </w:rPr>
        <w:t>(</w:t>
      </w:r>
      <w:r>
        <w:rPr/>
        <w:t>四</w:t>
      </w:r>
      <w:r>
        <w:rPr>
          <w:rFonts w:ascii="Arial" w:hAnsi="Arial" w:cs="Arial" w:eastAsia="Arial" w:hint="default"/>
        </w:rPr>
        <w:t>)</w:t>
      </w:r>
      <w:r>
        <w:rPr/>
        <w:t>公司会计政策、会计估计变更或重大会计差错更正的原因及影响</w:t>
      </w:r>
      <w:r>
        <w:rPr>
          <w:w w:val="99"/>
        </w:rPr>
        <w:t> </w:t>
      </w:r>
      <w:r>
        <w:rPr/>
        <w:t>报告期内，公司无会计政策、会计估计变更或重大会计差错。</w:t>
      </w:r>
      <w:r>
        <w:rPr>
          <w:w w:val="99"/>
        </w:rPr>
        <w:t> </w:t>
      </w:r>
      <w:r>
        <w:rPr/>
        <w:t>(五)董事会日常工作情况</w:t>
      </w:r>
    </w:p>
    <w:p>
      <w:pPr>
        <w:pStyle w:val="BodyText"/>
        <w:spacing w:line="240" w:lineRule="auto" w:before="68"/>
        <w:ind w:left="565" w:right="0"/>
        <w:jc w:val="left"/>
      </w:pPr>
      <w:r>
        <w:rPr/>
        <w:t>1、董事会会议情况及决议内容</w:t>
      </w:r>
    </w:p>
    <w:p>
      <w:pPr>
        <w:spacing w:line="240" w:lineRule="auto" w:before="10"/>
        <w:rPr>
          <w:rFonts w:ascii="宋体" w:hAnsi="宋体" w:cs="宋体" w:eastAsia="宋体" w:hint="default"/>
          <w:sz w:val="18"/>
          <w:szCs w:val="18"/>
        </w:rPr>
      </w:pPr>
    </w:p>
    <w:p>
      <w:pPr>
        <w:pStyle w:val="BodyText"/>
        <w:spacing w:line="350" w:lineRule="auto"/>
        <w:ind w:right="111" w:firstLine="420"/>
        <w:jc w:val="both"/>
      </w:pPr>
      <w:r>
        <w:rPr/>
        <w:t>(1)</w:t>
      </w:r>
      <w:r>
        <w:rPr>
          <w:spacing w:val="-8"/>
        </w:rPr>
        <w:t> </w:t>
      </w:r>
      <w:r>
        <w:rPr/>
        <w:t>公司于</w:t>
      </w:r>
      <w:r>
        <w:rPr>
          <w:spacing w:val="-52"/>
        </w:rPr>
        <w:t> </w:t>
      </w:r>
      <w:r>
        <w:rPr/>
        <w:t>2007</w:t>
      </w:r>
      <w:r>
        <w:rPr>
          <w:spacing w:val="-50"/>
        </w:rPr>
        <w:t> </w:t>
      </w:r>
      <w:r>
        <w:rPr/>
        <w:t>年</w:t>
      </w:r>
      <w:r>
        <w:rPr>
          <w:spacing w:val="-52"/>
        </w:rPr>
        <w:t> </w:t>
      </w:r>
      <w:r>
        <w:rPr/>
        <w:t>3</w:t>
      </w:r>
      <w:r>
        <w:rPr>
          <w:spacing w:val="-50"/>
        </w:rPr>
        <w:t> </w:t>
      </w:r>
      <w:r>
        <w:rPr/>
        <w:t>月</w:t>
      </w:r>
      <w:r>
        <w:rPr>
          <w:spacing w:val="-52"/>
        </w:rPr>
        <w:t> </w:t>
      </w:r>
      <w:r>
        <w:rPr/>
        <w:t>30</w:t>
      </w:r>
      <w:r>
        <w:rPr>
          <w:spacing w:val="-50"/>
        </w:rPr>
        <w:t> </w:t>
      </w:r>
      <w:r>
        <w:rPr/>
        <w:t>日召开第二届董事会</w:t>
      </w:r>
      <w:r>
        <w:rPr>
          <w:spacing w:val="-51"/>
        </w:rPr>
        <w:t> </w:t>
      </w:r>
      <w:r>
        <w:rPr/>
        <w:t>2007</w:t>
      </w:r>
      <w:r>
        <w:rPr>
          <w:spacing w:val="-50"/>
        </w:rPr>
        <w:t> </w:t>
      </w:r>
      <w:r>
        <w:rPr/>
        <w:t>第一次会议，审议并通过了《2006</w:t>
      </w:r>
      <w:r>
        <w:rPr>
          <w:spacing w:val="-51"/>
        </w:rPr>
        <w:t> </w:t>
      </w:r>
      <w:r>
        <w:rPr/>
        <w:t>年年度</w:t>
      </w:r>
      <w:r>
        <w:rPr>
          <w:spacing w:val="-1"/>
        </w:rPr>
        <w:t> </w:t>
      </w:r>
      <w:r>
        <w:rPr>
          <w:spacing w:val="-13"/>
        </w:rPr>
        <w:t>报告及报告摘要的议案》、《2006</w:t>
      </w:r>
      <w:r>
        <w:rPr>
          <w:spacing w:val="-26"/>
        </w:rPr>
        <w:t> </w:t>
      </w:r>
      <w:r>
        <w:rPr>
          <w:spacing w:val="-14"/>
        </w:rPr>
        <w:t>年公司董事会工作报告》、《2006</w:t>
      </w:r>
      <w:r>
        <w:rPr>
          <w:spacing w:val="-26"/>
        </w:rPr>
        <w:t> </w:t>
      </w:r>
      <w:r>
        <w:rPr>
          <w:spacing w:val="-13"/>
        </w:rPr>
        <w:t>年度公司总裁工作报告》、《2006</w:t>
      </w:r>
      <w:r>
        <w:rPr>
          <w:spacing w:val="-27"/>
        </w:rPr>
        <w:t> </w:t>
      </w:r>
      <w:r>
        <w:rPr/>
        <w:t>年</w:t>
      </w:r>
      <w:r>
        <w:rPr>
          <w:spacing w:val="-103"/>
        </w:rPr>
        <w:t> </w:t>
      </w:r>
      <w:r>
        <w:rPr>
          <w:spacing w:val="-103"/>
        </w:rPr>
      </w:r>
      <w:r>
        <w:rPr>
          <w:spacing w:val="-15"/>
        </w:rPr>
        <w:t>度公司财务决算报告》、《2006</w:t>
      </w:r>
      <w:r>
        <w:rPr>
          <w:spacing w:val="-26"/>
        </w:rPr>
        <w:t> </w:t>
      </w:r>
      <w:r>
        <w:rPr>
          <w:spacing w:val="-15"/>
        </w:rPr>
        <w:t>年度公司利润分配预案》、《关于续聘公司财务审计机构的议案》、《关于</w:t>
      </w:r>
      <w:r>
        <w:rPr>
          <w:spacing w:val="-96"/>
        </w:rPr>
        <w:t> </w:t>
      </w:r>
      <w:r>
        <w:rPr>
          <w:spacing w:val="-96"/>
        </w:rPr>
      </w:r>
      <w:r>
        <w:rPr>
          <w:spacing w:val="-10"/>
        </w:rPr>
        <w:t>对控股子公司深圳市金慧盈通数据服务有限公司增资的议案》、《关于公司召开</w:t>
      </w:r>
      <w:r>
        <w:rPr/>
        <w:t> </w:t>
      </w:r>
      <w:r>
        <w:rPr>
          <w:spacing w:val="-1"/>
        </w:rPr>
        <w:t>2006</w:t>
      </w:r>
      <w:r>
        <w:rPr>
          <w:spacing w:val="-76"/>
        </w:rPr>
        <w:t> </w:t>
      </w:r>
      <w:r>
        <w:rPr>
          <w:spacing w:val="-1"/>
        </w:rPr>
        <w:t>年年度股东大会的</w:t>
      </w:r>
      <w:r>
        <w:rPr/>
      </w:r>
    </w:p>
    <w:p>
      <w:pPr>
        <w:pStyle w:val="BodyText"/>
        <w:spacing w:line="240" w:lineRule="auto" w:before="28"/>
        <w:ind w:right="0"/>
        <w:jc w:val="left"/>
      </w:pPr>
      <w:r>
        <w:rPr/>
        <w:t>议案</w:t>
      </w:r>
      <w:r>
        <w:rPr>
          <w:spacing w:val="-105"/>
        </w:rPr>
        <w:t>》</w:t>
      </w:r>
      <w:r>
        <w:rPr>
          <w:spacing w:val="-1"/>
        </w:rPr>
        <w:t>。决</w:t>
      </w:r>
      <w:r>
        <w:rPr>
          <w:spacing w:val="-2"/>
        </w:rPr>
        <w:t>议</w:t>
      </w:r>
      <w:r>
        <w:rPr>
          <w:spacing w:val="-1"/>
        </w:rPr>
        <w:t>公告刊登</w:t>
      </w:r>
      <w:r>
        <w:rPr/>
        <w:t>在</w:t>
      </w:r>
      <w:r>
        <w:rPr>
          <w:spacing w:val="-53"/>
        </w:rPr>
        <w:t> </w:t>
      </w:r>
      <w:r>
        <w:rPr>
          <w:spacing w:val="-1"/>
        </w:rPr>
        <w:t>200</w:t>
      </w:r>
      <w:r>
        <w:rPr/>
        <w:t>7</w:t>
      </w:r>
      <w:r>
        <w:rPr>
          <w:spacing w:val="-52"/>
        </w:rPr>
        <w:t> </w:t>
      </w:r>
      <w:r>
        <w:rPr/>
        <w:t>年</w:t>
      </w:r>
      <w:r>
        <w:rPr>
          <w:spacing w:val="-54"/>
        </w:rPr>
        <w:t> </w:t>
      </w:r>
      <w:r>
        <w:rPr/>
        <w:t>4</w:t>
      </w:r>
      <w:r>
        <w:rPr>
          <w:spacing w:val="-52"/>
        </w:rPr>
        <w:t> </w:t>
      </w:r>
      <w:r>
        <w:rPr/>
        <w:t>月</w:t>
      </w:r>
      <w:r>
        <w:rPr>
          <w:spacing w:val="-54"/>
        </w:rPr>
        <w:t> </w:t>
      </w:r>
      <w:r>
        <w:rPr/>
        <w:t>3</w:t>
      </w:r>
      <w:r>
        <w:rPr>
          <w:spacing w:val="-53"/>
        </w:rPr>
        <w:t> </w:t>
      </w:r>
      <w:r>
        <w:rPr>
          <w:spacing w:val="-1"/>
        </w:rPr>
        <w:t>日的《证券时报</w:t>
      </w:r>
      <w:r>
        <w:rPr>
          <w:spacing w:val="-105"/>
        </w:rPr>
        <w:t>》、</w:t>
      </w:r>
      <w:r>
        <w:rPr/>
        <w:t>《</w:t>
      </w:r>
      <w:r>
        <w:rPr>
          <w:spacing w:val="-2"/>
        </w:rPr>
        <w:t>上</w:t>
      </w:r>
      <w:r>
        <w:rPr/>
        <w:t>海证券报</w:t>
      </w:r>
      <w:r>
        <w:rPr>
          <w:spacing w:val="-105"/>
        </w:rPr>
        <w:t>》</w:t>
      </w:r>
      <w:r>
        <w:rPr/>
        <w:t>。</w:t>
      </w:r>
    </w:p>
    <w:p>
      <w:pPr>
        <w:spacing w:line="240" w:lineRule="auto" w:before="9"/>
        <w:rPr>
          <w:rFonts w:ascii="宋体" w:hAnsi="宋体" w:cs="宋体" w:eastAsia="宋体" w:hint="default"/>
          <w:sz w:val="18"/>
          <w:szCs w:val="18"/>
        </w:rPr>
      </w:pPr>
    </w:p>
    <w:p>
      <w:pPr>
        <w:pStyle w:val="BodyText"/>
        <w:spacing w:line="240" w:lineRule="auto"/>
        <w:ind w:left="565" w:right="0"/>
        <w:jc w:val="left"/>
      </w:pPr>
      <w:r>
        <w:rPr/>
        <w:t>(2)</w:t>
      </w:r>
      <w:r>
        <w:rPr>
          <w:spacing w:val="-8"/>
        </w:rPr>
        <w:t> </w:t>
      </w:r>
      <w:r>
        <w:rPr/>
        <w:t>公司于</w:t>
      </w:r>
      <w:r>
        <w:rPr>
          <w:spacing w:val="-52"/>
        </w:rPr>
        <w:t> </w:t>
      </w:r>
      <w:r>
        <w:rPr/>
        <w:t>2007</w:t>
      </w:r>
      <w:r>
        <w:rPr>
          <w:spacing w:val="-50"/>
        </w:rPr>
        <w:t> </w:t>
      </w:r>
      <w:r>
        <w:rPr/>
        <w:t>年</w:t>
      </w:r>
      <w:r>
        <w:rPr>
          <w:spacing w:val="-52"/>
        </w:rPr>
        <w:t> </w:t>
      </w:r>
      <w:r>
        <w:rPr/>
        <w:t>4</w:t>
      </w:r>
      <w:r>
        <w:rPr>
          <w:spacing w:val="-50"/>
        </w:rPr>
        <w:t> </w:t>
      </w:r>
      <w:r>
        <w:rPr/>
        <w:t>月</w:t>
      </w:r>
      <w:r>
        <w:rPr>
          <w:spacing w:val="-52"/>
        </w:rPr>
        <w:t> </w:t>
      </w:r>
      <w:r>
        <w:rPr/>
        <w:t>25</w:t>
      </w:r>
      <w:r>
        <w:rPr>
          <w:spacing w:val="-50"/>
        </w:rPr>
        <w:t> </w:t>
      </w:r>
      <w:r>
        <w:rPr/>
        <w:t>日召开第二届董事会</w:t>
      </w:r>
      <w:r>
        <w:rPr>
          <w:spacing w:val="-51"/>
        </w:rPr>
        <w:t> </w:t>
      </w:r>
      <w:r>
        <w:rPr/>
        <w:t>2007</w:t>
      </w:r>
      <w:r>
        <w:rPr>
          <w:spacing w:val="-50"/>
        </w:rPr>
        <w:t> </w:t>
      </w:r>
      <w:r>
        <w:rPr/>
        <w:t>第二次会议，审议并通过了《2007</w:t>
      </w:r>
      <w:r>
        <w:rPr>
          <w:spacing w:val="-51"/>
        </w:rPr>
        <w:t> </w:t>
      </w:r>
      <w:r>
        <w:rPr/>
        <w:t>年第一</w:t>
      </w:r>
    </w:p>
    <w:p>
      <w:pPr>
        <w:pStyle w:val="BodyText"/>
        <w:spacing w:line="240" w:lineRule="auto" w:before="126"/>
        <w:ind w:right="0"/>
        <w:jc w:val="left"/>
      </w:pPr>
      <w:r>
        <w:rPr/>
        <w:t>季度公司冲回部分对天一证券委托理财减值准备的议案</w:t>
      </w:r>
      <w:r>
        <w:rPr>
          <w:spacing w:val="-105"/>
        </w:rPr>
        <w:t>》</w:t>
      </w:r>
      <w:r>
        <w:rPr>
          <w:spacing w:val="-106"/>
        </w:rPr>
        <w:t>、</w:t>
      </w:r>
      <w:r>
        <w:rPr/>
        <w:t>《公司</w:t>
      </w:r>
      <w:r>
        <w:rPr>
          <w:spacing w:val="-53"/>
        </w:rPr>
        <w:t> </w:t>
      </w:r>
      <w:r>
        <w:rPr/>
        <w:t>2007</w:t>
      </w:r>
      <w:r>
        <w:rPr>
          <w:spacing w:val="-53"/>
        </w:rPr>
        <w:t> </w:t>
      </w:r>
      <w:r>
        <w:rPr/>
        <w:t>年第一季度报告</w:t>
      </w:r>
      <w:r>
        <w:rPr>
          <w:spacing w:val="-105"/>
        </w:rPr>
        <w:t>》</w:t>
      </w:r>
      <w:r>
        <w:rPr/>
        <w:t>。决</w:t>
      </w:r>
      <w:r>
        <w:rPr>
          <w:spacing w:val="-2"/>
        </w:rPr>
        <w:t>议</w:t>
      </w:r>
      <w:r>
        <w:rPr/>
        <w:t>公告刊</w:t>
      </w:r>
    </w:p>
    <w:p>
      <w:pPr>
        <w:pStyle w:val="BodyText"/>
        <w:spacing w:line="240" w:lineRule="auto" w:before="125"/>
        <w:ind w:right="0"/>
        <w:jc w:val="left"/>
      </w:pPr>
      <w:r>
        <w:rPr>
          <w:spacing w:val="-1"/>
        </w:rPr>
        <w:t>登</w:t>
      </w:r>
      <w:r>
        <w:rPr/>
        <w:t>在</w:t>
      </w:r>
      <w:r>
        <w:rPr>
          <w:spacing w:val="-53"/>
        </w:rPr>
        <w:t> </w:t>
      </w:r>
      <w:r>
        <w:rPr>
          <w:spacing w:val="-1"/>
        </w:rPr>
        <w:t>200</w:t>
      </w:r>
      <w:r>
        <w:rPr/>
        <w:t>7</w:t>
      </w:r>
      <w:r>
        <w:rPr>
          <w:spacing w:val="-52"/>
        </w:rPr>
        <w:t> </w:t>
      </w:r>
      <w:r>
        <w:rPr/>
        <w:t>年</w:t>
      </w:r>
      <w:r>
        <w:rPr>
          <w:spacing w:val="-54"/>
        </w:rPr>
        <w:t> </w:t>
      </w:r>
      <w:r>
        <w:rPr/>
        <w:t>4</w:t>
      </w:r>
      <w:r>
        <w:rPr>
          <w:spacing w:val="-52"/>
        </w:rPr>
        <w:t> </w:t>
      </w:r>
      <w:r>
        <w:rPr/>
        <w:t>月</w:t>
      </w:r>
      <w:r>
        <w:rPr>
          <w:spacing w:val="-54"/>
        </w:rPr>
        <w:t> </w:t>
      </w:r>
      <w:r>
        <w:rPr/>
        <w:t>26</w:t>
      </w:r>
      <w:r>
        <w:rPr>
          <w:spacing w:val="-52"/>
        </w:rPr>
        <w:t> </w:t>
      </w:r>
      <w:r>
        <w:rPr>
          <w:spacing w:val="-1"/>
        </w:rPr>
        <w:t>日</w:t>
      </w:r>
      <w:r>
        <w:rPr>
          <w:spacing w:val="-2"/>
        </w:rPr>
        <w:t>的</w:t>
      </w:r>
      <w:r>
        <w:rPr>
          <w:spacing w:val="-1"/>
        </w:rPr>
        <w:t>《证券时报</w:t>
      </w:r>
      <w:r>
        <w:rPr>
          <w:spacing w:val="-106"/>
        </w:rPr>
        <w:t>》</w:t>
      </w:r>
      <w:r>
        <w:rPr>
          <w:spacing w:val="-105"/>
        </w:rPr>
        <w:t>、</w:t>
      </w:r>
      <w:r>
        <w:rPr/>
        <w:t>《上海证</w:t>
      </w:r>
      <w:r>
        <w:rPr>
          <w:spacing w:val="-2"/>
        </w:rPr>
        <w:t>券</w:t>
      </w:r>
      <w:r>
        <w:rPr/>
        <w:t>报</w:t>
      </w:r>
      <w:r>
        <w:rPr>
          <w:spacing w:val="-105"/>
        </w:rPr>
        <w:t>》</w:t>
      </w:r>
      <w:r>
        <w:rPr/>
        <w:t>。</w:t>
      </w:r>
    </w:p>
    <w:p>
      <w:pPr>
        <w:spacing w:line="240" w:lineRule="auto" w:before="9"/>
        <w:rPr>
          <w:rFonts w:ascii="宋体" w:hAnsi="宋体" w:cs="宋体" w:eastAsia="宋体" w:hint="default"/>
          <w:sz w:val="18"/>
          <w:szCs w:val="18"/>
        </w:rPr>
      </w:pPr>
    </w:p>
    <w:p>
      <w:pPr>
        <w:pStyle w:val="BodyText"/>
        <w:spacing w:line="240" w:lineRule="auto"/>
        <w:ind w:left="565" w:right="0"/>
        <w:jc w:val="left"/>
      </w:pPr>
      <w:r>
        <w:rPr/>
        <w:t>(3)</w:t>
      </w:r>
      <w:r>
        <w:rPr>
          <w:spacing w:val="-9"/>
        </w:rPr>
        <w:t> </w:t>
      </w:r>
      <w:r>
        <w:rPr/>
        <w:t>公司于</w:t>
      </w:r>
      <w:r>
        <w:rPr>
          <w:spacing w:val="-58"/>
        </w:rPr>
        <w:t> </w:t>
      </w:r>
      <w:r>
        <w:rPr/>
        <w:t>2007</w:t>
      </w:r>
      <w:r>
        <w:rPr>
          <w:spacing w:val="-56"/>
        </w:rPr>
        <w:t> </w:t>
      </w:r>
      <w:r>
        <w:rPr/>
        <w:t>年</w:t>
      </w:r>
      <w:r>
        <w:rPr>
          <w:spacing w:val="-57"/>
        </w:rPr>
        <w:t> </w:t>
      </w:r>
      <w:r>
        <w:rPr/>
        <w:t>6</w:t>
      </w:r>
      <w:r>
        <w:rPr>
          <w:spacing w:val="-57"/>
        </w:rPr>
        <w:t> </w:t>
      </w:r>
      <w:r>
        <w:rPr/>
        <w:t>月</w:t>
      </w:r>
      <w:r>
        <w:rPr>
          <w:spacing w:val="-57"/>
        </w:rPr>
        <w:t> </w:t>
      </w:r>
      <w:r>
        <w:rPr/>
        <w:t>5</w:t>
      </w:r>
      <w:r>
        <w:rPr>
          <w:spacing w:val="-57"/>
        </w:rPr>
        <w:t> </w:t>
      </w:r>
      <w:r>
        <w:rPr/>
        <w:t>日召开第二届董事会</w:t>
      </w:r>
      <w:r>
        <w:rPr>
          <w:spacing w:val="-57"/>
        </w:rPr>
        <w:t> </w:t>
      </w:r>
      <w:r>
        <w:rPr/>
        <w:t>2007</w:t>
      </w:r>
      <w:r>
        <w:rPr>
          <w:spacing w:val="-56"/>
        </w:rPr>
        <w:t> </w:t>
      </w:r>
      <w:r>
        <w:rPr/>
        <w:t>第三次会议，审议并通过了《关于为控股子</w:t>
      </w:r>
    </w:p>
    <w:p>
      <w:pPr>
        <w:pStyle w:val="BodyText"/>
        <w:spacing w:line="348" w:lineRule="auto" w:before="126"/>
        <w:ind w:right="101"/>
        <w:jc w:val="left"/>
      </w:pPr>
      <w:r>
        <w:rPr/>
        <w:t>公司深圳市齐普生信息科技有限公司提供担保的议案</w:t>
      </w:r>
      <w:r>
        <w:rPr>
          <w:spacing w:val="-105"/>
        </w:rPr>
        <w:t>》</w:t>
      </w:r>
      <w:r>
        <w:rPr/>
        <w:t>。</w:t>
      </w:r>
      <w:r>
        <w:rPr>
          <w:spacing w:val="-2"/>
        </w:rPr>
        <w:t>决</w:t>
      </w:r>
      <w:r>
        <w:rPr/>
        <w:t>议公告刊登在</w:t>
      </w:r>
      <w:r>
        <w:rPr>
          <w:spacing w:val="-53"/>
        </w:rPr>
        <w:t> </w:t>
      </w:r>
      <w:r>
        <w:rPr/>
        <w:t>2007</w:t>
      </w:r>
      <w:r>
        <w:rPr>
          <w:spacing w:val="-52"/>
        </w:rPr>
        <w:t> </w:t>
      </w:r>
      <w:r>
        <w:rPr/>
        <w:t>年</w:t>
      </w:r>
      <w:r>
        <w:rPr>
          <w:spacing w:val="-54"/>
        </w:rPr>
        <w:t> </w:t>
      </w:r>
      <w:r>
        <w:rPr/>
        <w:t>6</w:t>
      </w:r>
      <w:r>
        <w:rPr>
          <w:spacing w:val="-53"/>
        </w:rPr>
        <w:t> </w:t>
      </w:r>
      <w:r>
        <w:rPr/>
        <w:t>月</w:t>
      </w:r>
      <w:r>
        <w:rPr>
          <w:spacing w:val="-53"/>
        </w:rPr>
        <w:t> </w:t>
      </w:r>
      <w:r>
        <w:rPr/>
        <w:t>6</w:t>
      </w:r>
      <w:r>
        <w:rPr>
          <w:spacing w:val="-52"/>
        </w:rPr>
        <w:t> </w:t>
      </w:r>
      <w:r>
        <w:rPr/>
        <w:t>日的</w:t>
      </w:r>
      <w:r>
        <w:rPr>
          <w:spacing w:val="-2"/>
        </w:rPr>
        <w:t>《</w:t>
      </w:r>
      <w:r>
        <w:rPr/>
        <w:t>证券时</w:t>
      </w:r>
      <w:r>
        <w:rPr/>
        <w:t> 报</w:t>
      </w:r>
      <w:r>
        <w:rPr>
          <w:spacing w:val="-105"/>
        </w:rPr>
        <w:t>》、</w:t>
      </w:r>
      <w:r>
        <w:rPr/>
        <w:t>《上</w:t>
      </w:r>
      <w:r>
        <w:rPr>
          <w:spacing w:val="-2"/>
        </w:rPr>
        <w:t>海</w:t>
      </w:r>
      <w:r>
        <w:rPr/>
        <w:t>证券报</w:t>
      </w:r>
      <w:r>
        <w:rPr>
          <w:spacing w:val="-105"/>
        </w:rPr>
        <w:t>》</w:t>
      </w:r>
      <w:r>
        <w:rPr/>
        <w:t>。</w:t>
      </w:r>
    </w:p>
    <w:p>
      <w:pPr>
        <w:pStyle w:val="BodyText"/>
        <w:spacing w:line="350" w:lineRule="auto" w:before="150"/>
        <w:ind w:right="110" w:firstLine="420"/>
        <w:jc w:val="both"/>
      </w:pPr>
      <w:r>
        <w:rPr/>
        <w:t>(4)</w:t>
      </w:r>
      <w:r>
        <w:rPr>
          <w:spacing w:val="-3"/>
        </w:rPr>
        <w:t> </w:t>
      </w:r>
      <w:r>
        <w:rPr/>
        <w:t>公司于</w:t>
      </w:r>
      <w:r>
        <w:rPr>
          <w:spacing w:val="-55"/>
        </w:rPr>
        <w:t> </w:t>
      </w:r>
      <w:r>
        <w:rPr/>
        <w:t>2007</w:t>
      </w:r>
      <w:r>
        <w:rPr>
          <w:spacing w:val="-53"/>
        </w:rPr>
        <w:t> </w:t>
      </w:r>
      <w:r>
        <w:rPr/>
        <w:t>年</w:t>
      </w:r>
      <w:r>
        <w:rPr>
          <w:spacing w:val="-55"/>
        </w:rPr>
        <w:t> </w:t>
      </w:r>
      <w:r>
        <w:rPr/>
        <w:t>6</w:t>
      </w:r>
      <w:r>
        <w:rPr>
          <w:spacing w:val="-53"/>
        </w:rPr>
        <w:t> </w:t>
      </w:r>
      <w:r>
        <w:rPr/>
        <w:t>月</w:t>
      </w:r>
      <w:r>
        <w:rPr>
          <w:spacing w:val="-55"/>
        </w:rPr>
        <w:t> </w:t>
      </w:r>
      <w:r>
        <w:rPr/>
        <w:t>29</w:t>
      </w:r>
      <w:r>
        <w:rPr>
          <w:spacing w:val="-53"/>
        </w:rPr>
        <w:t> </w:t>
      </w:r>
      <w:r>
        <w:rPr/>
        <w:t>日召开第二届董事会</w:t>
      </w:r>
      <w:r>
        <w:rPr>
          <w:spacing w:val="-54"/>
        </w:rPr>
        <w:t> </w:t>
      </w:r>
      <w:r>
        <w:rPr/>
        <w:t>2007</w:t>
      </w:r>
      <w:r>
        <w:rPr>
          <w:spacing w:val="-53"/>
        </w:rPr>
        <w:t> </w:t>
      </w:r>
      <w:r>
        <w:rPr>
          <w:spacing w:val="-7"/>
        </w:rPr>
        <w:t>第四次会议，审议并通过了《关于加强上市</w:t>
      </w:r>
      <w:r>
        <w:rPr>
          <w:spacing w:val="-1"/>
        </w:rPr>
        <w:t> </w:t>
      </w:r>
      <w:r>
        <w:rPr>
          <w:spacing w:val="-5"/>
        </w:rPr>
        <w:t>公司治理专项活动的自查报告及整改计划》、《关于信息披露事务管理制度的议案》。决议公告刊登在</w:t>
      </w:r>
      <w:r>
        <w:rPr>
          <w:spacing w:val="2"/>
        </w:rPr>
        <w:t> </w:t>
      </w:r>
      <w:r>
        <w:rPr/>
        <w:t>2007</w:t>
      </w:r>
      <w:r>
        <w:rPr>
          <w:spacing w:val="-53"/>
        </w:rPr>
        <w:t> </w:t>
      </w:r>
      <w:r>
        <w:rPr/>
        <w:t>年</w:t>
      </w:r>
      <w:r>
        <w:rPr>
          <w:spacing w:val="-53"/>
        </w:rPr>
        <w:t> </w:t>
      </w:r>
      <w:r>
        <w:rPr/>
        <w:t>6</w:t>
      </w:r>
      <w:r>
        <w:rPr>
          <w:spacing w:val="-53"/>
        </w:rPr>
        <w:t> </w:t>
      </w:r>
      <w:r>
        <w:rPr/>
        <w:t>月</w:t>
      </w:r>
      <w:r>
        <w:rPr>
          <w:spacing w:val="-54"/>
        </w:rPr>
        <w:t> </w:t>
      </w:r>
      <w:r>
        <w:rPr/>
        <w:t>30</w:t>
      </w:r>
      <w:r>
        <w:rPr>
          <w:spacing w:val="-52"/>
        </w:rPr>
        <w:t> </w:t>
      </w:r>
      <w:r>
        <w:rPr>
          <w:spacing w:val="-19"/>
        </w:rPr>
        <w:t>日的《证券时报》、《上海证券报》。</w:t>
      </w:r>
    </w:p>
    <w:p>
      <w:pPr>
        <w:spacing w:after="0" w:line="350" w:lineRule="auto"/>
        <w:jc w:val="both"/>
        <w:sectPr>
          <w:pgSz w:w="12240" w:h="15840"/>
          <w:pgMar w:header="747" w:footer="727" w:top="1040" w:bottom="920" w:left="1380" w:right="13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50" w:lineRule="auto"/>
        <w:ind w:right="112" w:firstLine="420"/>
        <w:jc w:val="both"/>
      </w:pPr>
      <w:r>
        <w:rPr/>
        <w:t>(5)</w:t>
      </w:r>
      <w:r>
        <w:rPr>
          <w:spacing w:val="-3"/>
        </w:rPr>
        <w:t> </w:t>
      </w:r>
      <w:r>
        <w:rPr/>
        <w:t>公司于</w:t>
      </w:r>
      <w:r>
        <w:rPr>
          <w:spacing w:val="-55"/>
        </w:rPr>
        <w:t> </w:t>
      </w:r>
      <w:r>
        <w:rPr/>
        <w:t>2007</w:t>
      </w:r>
      <w:r>
        <w:rPr>
          <w:spacing w:val="-53"/>
        </w:rPr>
        <w:t> </w:t>
      </w:r>
      <w:r>
        <w:rPr/>
        <w:t>年</w:t>
      </w:r>
      <w:r>
        <w:rPr>
          <w:spacing w:val="-55"/>
        </w:rPr>
        <w:t> </w:t>
      </w:r>
      <w:r>
        <w:rPr/>
        <w:t>7</w:t>
      </w:r>
      <w:r>
        <w:rPr>
          <w:spacing w:val="-53"/>
        </w:rPr>
        <w:t> </w:t>
      </w:r>
      <w:r>
        <w:rPr/>
        <w:t>月</w:t>
      </w:r>
      <w:r>
        <w:rPr>
          <w:spacing w:val="-55"/>
        </w:rPr>
        <w:t> </w:t>
      </w:r>
      <w:r>
        <w:rPr/>
        <w:t>25</w:t>
      </w:r>
      <w:r>
        <w:rPr>
          <w:spacing w:val="-53"/>
        </w:rPr>
        <w:t> </w:t>
      </w:r>
      <w:r>
        <w:rPr/>
        <w:t>日召开第二届董事会</w:t>
      </w:r>
      <w:r>
        <w:rPr>
          <w:spacing w:val="-54"/>
        </w:rPr>
        <w:t> </w:t>
      </w:r>
      <w:r>
        <w:rPr/>
        <w:t>2007</w:t>
      </w:r>
      <w:r>
        <w:rPr>
          <w:spacing w:val="-53"/>
        </w:rPr>
        <w:t> </w:t>
      </w:r>
      <w:r>
        <w:rPr>
          <w:spacing w:val="-7"/>
        </w:rPr>
        <w:t>第五次会议，审议并通过了《关于为控股子</w:t>
      </w:r>
      <w:r>
        <w:rPr>
          <w:spacing w:val="-1"/>
        </w:rPr>
        <w:t> </w:t>
      </w:r>
      <w:r>
        <w:rPr>
          <w:spacing w:val="-5"/>
        </w:rPr>
        <w:t>公司深圳市齐普生信息科技有限公司提供担保的议案》、《关于为控股子公司深圳市金证卡尔电子有限</w:t>
      </w:r>
      <w:r>
        <w:rPr>
          <w:spacing w:val="-92"/>
        </w:rPr>
        <w:t> </w:t>
      </w:r>
      <w:r>
        <w:rPr>
          <w:spacing w:val="-92"/>
        </w:rPr>
      </w:r>
      <w:r>
        <w:rPr>
          <w:spacing w:val="-7"/>
        </w:rPr>
        <w:t>公司提供担保的议案》。决议公告刊登在</w:t>
      </w:r>
      <w:r>
        <w:rPr>
          <w:spacing w:val="-49"/>
        </w:rPr>
        <w:t> </w:t>
      </w:r>
      <w:r>
        <w:rPr>
          <w:spacing w:val="-1"/>
        </w:rPr>
        <w:t>2007</w:t>
      </w:r>
      <w:r>
        <w:rPr>
          <w:spacing w:val="-48"/>
        </w:rPr>
        <w:t> </w:t>
      </w:r>
      <w:r>
        <w:rPr/>
        <w:t>年</w:t>
      </w:r>
      <w:r>
        <w:rPr>
          <w:spacing w:val="-50"/>
        </w:rPr>
        <w:t> </w:t>
      </w:r>
      <w:r>
        <w:rPr/>
        <w:t>7</w:t>
      </w:r>
      <w:r>
        <w:rPr>
          <w:spacing w:val="-48"/>
        </w:rPr>
        <w:t> </w:t>
      </w:r>
      <w:r>
        <w:rPr/>
        <w:t>月</w:t>
      </w:r>
      <w:r>
        <w:rPr>
          <w:spacing w:val="-50"/>
        </w:rPr>
        <w:t> </w:t>
      </w:r>
      <w:r>
        <w:rPr/>
        <w:t>26</w:t>
      </w:r>
      <w:r>
        <w:rPr>
          <w:spacing w:val="-48"/>
        </w:rPr>
        <w:t> </w:t>
      </w:r>
      <w:r>
        <w:rPr>
          <w:spacing w:val="-20"/>
        </w:rPr>
        <w:t>日的《证券时报》、《上海证券报》。</w:t>
      </w:r>
    </w:p>
    <w:p>
      <w:pPr>
        <w:pStyle w:val="BodyText"/>
        <w:spacing w:line="350" w:lineRule="auto" w:before="148"/>
        <w:ind w:right="111" w:firstLine="420"/>
        <w:jc w:val="both"/>
      </w:pPr>
      <w:r>
        <w:rPr/>
        <w:t>(6)</w:t>
      </w:r>
      <w:r>
        <w:rPr>
          <w:spacing w:val="-3"/>
        </w:rPr>
        <w:t> </w:t>
      </w:r>
      <w:r>
        <w:rPr/>
        <w:t>公司于</w:t>
      </w:r>
      <w:r>
        <w:rPr>
          <w:spacing w:val="-55"/>
        </w:rPr>
        <w:t> </w:t>
      </w:r>
      <w:r>
        <w:rPr/>
        <w:t>2007</w:t>
      </w:r>
      <w:r>
        <w:rPr>
          <w:spacing w:val="-53"/>
        </w:rPr>
        <w:t> </w:t>
      </w:r>
      <w:r>
        <w:rPr/>
        <w:t>年</w:t>
      </w:r>
      <w:r>
        <w:rPr>
          <w:spacing w:val="-55"/>
        </w:rPr>
        <w:t> </w:t>
      </w:r>
      <w:r>
        <w:rPr/>
        <w:t>8</w:t>
      </w:r>
      <w:r>
        <w:rPr>
          <w:spacing w:val="-53"/>
        </w:rPr>
        <w:t> </w:t>
      </w:r>
      <w:r>
        <w:rPr/>
        <w:t>月</w:t>
      </w:r>
      <w:r>
        <w:rPr>
          <w:spacing w:val="-55"/>
        </w:rPr>
        <w:t> </w:t>
      </w:r>
      <w:r>
        <w:rPr/>
        <w:t>21</w:t>
      </w:r>
      <w:r>
        <w:rPr>
          <w:spacing w:val="-53"/>
        </w:rPr>
        <w:t> </w:t>
      </w:r>
      <w:r>
        <w:rPr/>
        <w:t>日召开第二届董事会</w:t>
      </w:r>
      <w:r>
        <w:rPr>
          <w:spacing w:val="-54"/>
        </w:rPr>
        <w:t> </w:t>
      </w:r>
      <w:r>
        <w:rPr/>
        <w:t>2007</w:t>
      </w:r>
      <w:r>
        <w:rPr>
          <w:spacing w:val="-53"/>
        </w:rPr>
        <w:t> </w:t>
      </w:r>
      <w:r>
        <w:rPr>
          <w:spacing w:val="-10"/>
        </w:rPr>
        <w:t>第六次会议，审议并通过了《关于公司</w:t>
      </w:r>
      <w:r>
        <w:rPr>
          <w:spacing w:val="-54"/>
        </w:rPr>
        <w:t> </w:t>
      </w:r>
      <w:r>
        <w:rPr/>
        <w:t>2007</w:t>
      </w:r>
      <w:r>
        <w:rPr/>
        <w:t> </w:t>
      </w:r>
      <w:r>
        <w:rPr>
          <w:spacing w:val="-10"/>
        </w:rPr>
        <w:t>年中期报告及报告摘要的议案》、《关于公司董事会换届选举的议案》、《关于公司向银行申请融资的议</w:t>
      </w:r>
      <w:r>
        <w:rPr>
          <w:spacing w:val="-68"/>
        </w:rPr>
        <w:t> </w:t>
      </w:r>
      <w:r>
        <w:rPr>
          <w:spacing w:val="-68"/>
        </w:rPr>
      </w:r>
      <w:r>
        <w:rPr>
          <w:spacing w:val="-22"/>
        </w:rPr>
        <w:t>案》、《关于公司召开</w:t>
      </w:r>
      <w:r>
        <w:rPr>
          <w:spacing w:val="-51"/>
        </w:rPr>
        <w:t> </w:t>
      </w:r>
      <w:r>
        <w:rPr>
          <w:spacing w:val="-1"/>
        </w:rPr>
        <w:t>2007</w:t>
      </w:r>
      <w:r>
        <w:rPr>
          <w:spacing w:val="-50"/>
        </w:rPr>
        <w:t> </w:t>
      </w:r>
      <w:r>
        <w:rPr>
          <w:spacing w:val="-6"/>
        </w:rPr>
        <w:t>年第三次临时股东大会的议案》。决议公告刊登在</w:t>
      </w:r>
      <w:r>
        <w:rPr>
          <w:spacing w:val="-51"/>
        </w:rPr>
        <w:t> </w:t>
      </w:r>
      <w:r>
        <w:rPr/>
        <w:t>2007</w:t>
      </w:r>
      <w:r>
        <w:rPr>
          <w:spacing w:val="-50"/>
        </w:rPr>
        <w:t> </w:t>
      </w:r>
      <w:r>
        <w:rPr/>
        <w:t>年</w:t>
      </w:r>
      <w:r>
        <w:rPr>
          <w:spacing w:val="-52"/>
        </w:rPr>
        <w:t> </w:t>
      </w:r>
      <w:r>
        <w:rPr/>
        <w:t>8</w:t>
      </w:r>
      <w:r>
        <w:rPr>
          <w:spacing w:val="-51"/>
        </w:rPr>
        <w:t> </w:t>
      </w:r>
      <w:r>
        <w:rPr/>
        <w:t>月</w:t>
      </w:r>
      <w:r>
        <w:rPr>
          <w:spacing w:val="-51"/>
        </w:rPr>
        <w:t> </w:t>
      </w:r>
      <w:r>
        <w:rPr/>
        <w:t>22</w:t>
      </w:r>
      <w:r>
        <w:rPr>
          <w:spacing w:val="-50"/>
        </w:rPr>
        <w:t> </w:t>
      </w:r>
      <w:r>
        <w:rPr>
          <w:spacing w:val="-1"/>
        </w:rPr>
        <w:t>日的《证</w:t>
      </w:r>
      <w:r>
        <w:rPr/>
        <w:t> </w:t>
      </w:r>
      <w:r>
        <w:rPr>
          <w:spacing w:val="-25"/>
        </w:rPr>
        <w:t>券时报》、《上海证券报》。</w:t>
      </w:r>
    </w:p>
    <w:p>
      <w:pPr>
        <w:pStyle w:val="BodyText"/>
        <w:spacing w:line="350" w:lineRule="auto" w:before="148"/>
        <w:ind w:right="111" w:firstLine="420"/>
        <w:jc w:val="both"/>
      </w:pPr>
      <w:r>
        <w:rPr/>
        <w:t>（7）公司于</w:t>
      </w:r>
      <w:r>
        <w:rPr>
          <w:spacing w:val="-55"/>
        </w:rPr>
        <w:t> </w:t>
      </w:r>
      <w:r>
        <w:rPr/>
        <w:t>2007</w:t>
      </w:r>
      <w:r>
        <w:rPr>
          <w:spacing w:val="-53"/>
        </w:rPr>
        <w:t> </w:t>
      </w:r>
      <w:r>
        <w:rPr/>
        <w:t>年</w:t>
      </w:r>
      <w:r>
        <w:rPr>
          <w:spacing w:val="-55"/>
        </w:rPr>
        <w:t> </w:t>
      </w:r>
      <w:r>
        <w:rPr/>
        <w:t>9</w:t>
      </w:r>
      <w:r>
        <w:rPr>
          <w:spacing w:val="-53"/>
        </w:rPr>
        <w:t> </w:t>
      </w:r>
      <w:r>
        <w:rPr/>
        <w:t>月</w:t>
      </w:r>
      <w:r>
        <w:rPr>
          <w:spacing w:val="-55"/>
        </w:rPr>
        <w:t> </w:t>
      </w:r>
      <w:r>
        <w:rPr/>
        <w:t>19</w:t>
      </w:r>
      <w:r>
        <w:rPr>
          <w:spacing w:val="-53"/>
        </w:rPr>
        <w:t> </w:t>
      </w:r>
      <w:r>
        <w:rPr/>
        <w:t>日召开第三届董事会</w:t>
      </w:r>
      <w:r>
        <w:rPr>
          <w:spacing w:val="-54"/>
        </w:rPr>
        <w:t> </w:t>
      </w:r>
      <w:r>
        <w:rPr/>
        <w:t>2007</w:t>
      </w:r>
      <w:r>
        <w:rPr>
          <w:spacing w:val="-53"/>
        </w:rPr>
        <w:t> </w:t>
      </w:r>
      <w:r>
        <w:rPr/>
        <w:t>第一次会议，审议并通过了《关于选举公</w:t>
      </w:r>
      <w:r>
        <w:rPr/>
        <w:t> </w:t>
      </w:r>
      <w:r>
        <w:rPr>
          <w:spacing w:val="-10"/>
        </w:rPr>
        <w:t>司第三届董事会董事长的议案》、《关于聘任公司高级管理人员的议案》、《关于修改公司章程部分条款</w:t>
      </w:r>
      <w:r>
        <w:rPr>
          <w:spacing w:val="-67"/>
        </w:rPr>
        <w:t> </w:t>
      </w:r>
      <w:r>
        <w:rPr>
          <w:spacing w:val="-67"/>
        </w:rPr>
      </w:r>
      <w:r>
        <w:rPr>
          <w:spacing w:val="-14"/>
        </w:rPr>
        <w:t>的议案》、《关于成立董事会专业委员会的议案》、《关于董事会专业委员会议事细则的议案》、《关于召</w:t>
      </w:r>
      <w:r>
        <w:rPr>
          <w:spacing w:val="-81"/>
        </w:rPr>
        <w:t> </w:t>
      </w:r>
      <w:r>
        <w:rPr>
          <w:spacing w:val="-81"/>
        </w:rPr>
      </w:r>
      <w:r>
        <w:rPr/>
        <w:t>开公司</w:t>
      </w:r>
      <w:r>
        <w:rPr>
          <w:spacing w:val="-51"/>
        </w:rPr>
        <w:t> </w:t>
      </w:r>
      <w:r>
        <w:rPr/>
        <w:t>2007</w:t>
      </w:r>
      <w:r>
        <w:rPr>
          <w:spacing w:val="-51"/>
        </w:rPr>
        <w:t> </w:t>
      </w:r>
      <w:r>
        <w:rPr>
          <w:spacing w:val="-6"/>
        </w:rPr>
        <w:t>年第四次临时股东大会议案》。决议公告刊登在</w:t>
      </w:r>
      <w:r>
        <w:rPr>
          <w:spacing w:val="-51"/>
        </w:rPr>
        <w:t> </w:t>
      </w:r>
      <w:r>
        <w:rPr>
          <w:spacing w:val="-1"/>
        </w:rPr>
        <w:t>2007</w:t>
      </w:r>
      <w:r>
        <w:rPr>
          <w:spacing w:val="-50"/>
        </w:rPr>
        <w:t> </w:t>
      </w:r>
      <w:r>
        <w:rPr/>
        <w:t>年</w:t>
      </w:r>
      <w:r>
        <w:rPr>
          <w:spacing w:val="-51"/>
        </w:rPr>
        <w:t> </w:t>
      </w:r>
      <w:r>
        <w:rPr/>
        <w:t>9</w:t>
      </w:r>
      <w:r>
        <w:rPr>
          <w:spacing w:val="-51"/>
        </w:rPr>
        <w:t> </w:t>
      </w:r>
      <w:r>
        <w:rPr/>
        <w:t>月</w:t>
      </w:r>
      <w:r>
        <w:rPr>
          <w:spacing w:val="-51"/>
        </w:rPr>
        <w:t> </w:t>
      </w:r>
      <w:r>
        <w:rPr>
          <w:spacing w:val="-1"/>
        </w:rPr>
        <w:t>20</w:t>
      </w:r>
      <w:r>
        <w:rPr>
          <w:spacing w:val="-50"/>
        </w:rPr>
        <w:t> </w:t>
      </w:r>
      <w:r>
        <w:rPr>
          <w:spacing w:val="-19"/>
        </w:rPr>
        <w:t>日的《证券时报》、《上海</w:t>
      </w:r>
      <w:r>
        <w:rPr/>
        <w:t> </w:t>
      </w:r>
      <w:r>
        <w:rPr>
          <w:spacing w:val="-21"/>
        </w:rPr>
        <w:t>证券报》。</w:t>
      </w:r>
    </w:p>
    <w:p>
      <w:pPr>
        <w:pStyle w:val="BodyText"/>
        <w:spacing w:line="350" w:lineRule="auto" w:before="148"/>
        <w:ind w:right="111" w:firstLine="420"/>
        <w:jc w:val="both"/>
      </w:pPr>
      <w:r>
        <w:rPr/>
        <w:t>（8）公司于</w:t>
      </w:r>
      <w:r>
        <w:rPr>
          <w:spacing w:val="-49"/>
        </w:rPr>
        <w:t> </w:t>
      </w:r>
      <w:r>
        <w:rPr/>
        <w:t>2007</w:t>
      </w:r>
      <w:r>
        <w:rPr>
          <w:spacing w:val="-48"/>
        </w:rPr>
        <w:t> </w:t>
      </w:r>
      <w:r>
        <w:rPr/>
        <w:t>年</w:t>
      </w:r>
      <w:r>
        <w:rPr>
          <w:spacing w:val="-48"/>
        </w:rPr>
        <w:t> </w:t>
      </w:r>
      <w:r>
        <w:rPr/>
        <w:t>10</w:t>
      </w:r>
      <w:r>
        <w:rPr>
          <w:spacing w:val="-48"/>
        </w:rPr>
        <w:t> </w:t>
      </w:r>
      <w:r>
        <w:rPr/>
        <w:t>月</w:t>
      </w:r>
      <w:r>
        <w:rPr>
          <w:spacing w:val="-48"/>
        </w:rPr>
        <w:t> </w:t>
      </w:r>
      <w:r>
        <w:rPr/>
        <w:t>23</w:t>
      </w:r>
      <w:r>
        <w:rPr>
          <w:spacing w:val="-47"/>
        </w:rPr>
        <w:t> </w:t>
      </w:r>
      <w:r>
        <w:rPr/>
        <w:t>日召开第三届董事会</w:t>
      </w:r>
      <w:r>
        <w:rPr>
          <w:spacing w:val="-48"/>
        </w:rPr>
        <w:t> </w:t>
      </w:r>
      <w:r>
        <w:rPr/>
        <w:t>2007</w:t>
      </w:r>
      <w:r>
        <w:rPr>
          <w:spacing w:val="-47"/>
        </w:rPr>
        <w:t> </w:t>
      </w:r>
      <w:r>
        <w:rPr/>
        <w:t>第二次会议，审议并通过了《公司</w:t>
      </w:r>
      <w:r>
        <w:rPr>
          <w:spacing w:val="-48"/>
        </w:rPr>
        <w:t> </w:t>
      </w:r>
      <w:r>
        <w:rPr/>
        <w:t>2007</w:t>
      </w:r>
      <w:r>
        <w:rPr/>
        <w:t> </w:t>
      </w:r>
      <w:r>
        <w:rPr>
          <w:spacing w:val="-10"/>
        </w:rPr>
        <w:t>年第三季度报告的议案》、《关于公司治理整改报告的议案》、《关于公司独立董事工作制度、总裁工作</w:t>
      </w:r>
      <w:r>
        <w:rPr>
          <w:spacing w:val="-66"/>
        </w:rPr>
        <w:t> </w:t>
      </w:r>
      <w:r>
        <w:rPr>
          <w:spacing w:val="-66"/>
        </w:rPr>
      </w:r>
      <w:r>
        <w:rPr>
          <w:spacing w:val="-4"/>
        </w:rPr>
        <w:t>细则、高管持股变动管理规则的议案》。决议在上海证券交易所备案未公告。</w:t>
      </w:r>
    </w:p>
    <w:p>
      <w:pPr>
        <w:pStyle w:val="BodyText"/>
        <w:spacing w:line="240" w:lineRule="auto" w:before="148"/>
        <w:ind w:left="565" w:right="0"/>
        <w:jc w:val="left"/>
      </w:pPr>
      <w:r>
        <w:rPr/>
        <w:t>2、董事会对股东大会决议的执行情况</w:t>
      </w:r>
    </w:p>
    <w:p>
      <w:pPr>
        <w:spacing w:line="240" w:lineRule="auto" w:before="9"/>
        <w:rPr>
          <w:rFonts w:ascii="宋体" w:hAnsi="宋体" w:cs="宋体" w:eastAsia="宋体" w:hint="default"/>
          <w:sz w:val="18"/>
          <w:szCs w:val="18"/>
        </w:rPr>
      </w:pPr>
    </w:p>
    <w:p>
      <w:pPr>
        <w:pStyle w:val="BodyText"/>
        <w:spacing w:line="350" w:lineRule="auto"/>
        <w:ind w:right="112" w:firstLine="420"/>
        <w:jc w:val="both"/>
      </w:pPr>
      <w:r>
        <w:rPr>
          <w:spacing w:val="-1"/>
        </w:rPr>
        <w:t>(1)</w:t>
      </w:r>
      <w:r>
        <w:rPr>
          <w:spacing w:val="1"/>
        </w:rPr>
        <w:t> </w:t>
      </w:r>
      <w:r>
        <w:rPr>
          <w:spacing w:val="-1"/>
        </w:rPr>
        <w:t>根据</w:t>
      </w:r>
      <w:r>
        <w:rPr>
          <w:spacing w:val="-53"/>
        </w:rPr>
        <w:t> </w:t>
      </w:r>
      <w:r>
        <w:rPr>
          <w:spacing w:val="-1"/>
        </w:rPr>
        <w:t>2007</w:t>
      </w:r>
      <w:r>
        <w:rPr>
          <w:spacing w:val="-51"/>
        </w:rPr>
        <w:t> </w:t>
      </w:r>
      <w:r>
        <w:rPr/>
        <w:t>年</w:t>
      </w:r>
      <w:r>
        <w:rPr>
          <w:spacing w:val="-53"/>
        </w:rPr>
        <w:t> </w:t>
      </w:r>
      <w:r>
        <w:rPr/>
        <w:t>6</w:t>
      </w:r>
      <w:r>
        <w:rPr>
          <w:spacing w:val="-51"/>
        </w:rPr>
        <w:t> </w:t>
      </w:r>
      <w:r>
        <w:rPr/>
        <w:t>月</w:t>
      </w:r>
      <w:r>
        <w:rPr>
          <w:spacing w:val="-53"/>
        </w:rPr>
        <w:t> </w:t>
      </w:r>
      <w:r>
        <w:rPr/>
        <w:t>22</w:t>
      </w:r>
      <w:r>
        <w:rPr>
          <w:spacing w:val="-52"/>
        </w:rPr>
        <w:t> </w:t>
      </w:r>
      <w:r>
        <w:rPr>
          <w:spacing w:val="-1"/>
        </w:rPr>
        <w:t>日召开的</w:t>
      </w:r>
      <w:r>
        <w:rPr>
          <w:spacing w:val="-52"/>
        </w:rPr>
        <w:t> </w:t>
      </w:r>
      <w:r>
        <w:rPr>
          <w:spacing w:val="-1"/>
        </w:rPr>
        <w:t>2007</w:t>
      </w:r>
      <w:r>
        <w:rPr>
          <w:spacing w:val="-51"/>
        </w:rPr>
        <w:t> </w:t>
      </w:r>
      <w:r>
        <w:rPr>
          <w:spacing w:val="-5"/>
        </w:rPr>
        <w:t>年第一次临时股东大会审议通过的《关于为控股子公司深</w:t>
      </w:r>
      <w:r>
        <w:rPr/>
        <w:t> </w:t>
      </w:r>
      <w:r>
        <w:rPr>
          <w:spacing w:val="-5"/>
        </w:rPr>
        <w:t>圳市齐普生信息科技有限公司提供担保的议案》，董事会己为本公司控股子公司深圳市齐普生信息科技</w:t>
      </w:r>
      <w:r>
        <w:rPr>
          <w:spacing w:val="-91"/>
        </w:rPr>
        <w:t> </w:t>
      </w:r>
      <w:r>
        <w:rPr>
          <w:spacing w:val="-91"/>
        </w:rPr>
      </w:r>
      <w:r>
        <w:rPr/>
        <w:t>有限公司与深圳商业银行的</w:t>
      </w:r>
      <w:r>
        <w:rPr>
          <w:spacing w:val="-72"/>
        </w:rPr>
        <w:t> </w:t>
      </w:r>
      <w:r>
        <w:rPr/>
        <w:t>4000</w:t>
      </w:r>
      <w:r>
        <w:rPr>
          <w:spacing w:val="-71"/>
        </w:rPr>
        <w:t> </w:t>
      </w:r>
      <w:r>
        <w:rPr/>
        <w:t>万元人民币银行承兑授信额度提供连带责任担保。</w:t>
      </w:r>
    </w:p>
    <w:p>
      <w:pPr>
        <w:pStyle w:val="BodyText"/>
        <w:spacing w:line="350" w:lineRule="auto" w:before="148"/>
        <w:ind w:right="112" w:firstLine="420"/>
        <w:jc w:val="both"/>
      </w:pPr>
      <w:r>
        <w:rPr>
          <w:spacing w:val="-1"/>
        </w:rPr>
        <w:t>(2)</w:t>
      </w:r>
      <w:r>
        <w:rPr>
          <w:spacing w:val="1"/>
        </w:rPr>
        <w:t> </w:t>
      </w:r>
      <w:r>
        <w:rPr>
          <w:spacing w:val="-1"/>
        </w:rPr>
        <w:t>根据</w:t>
      </w:r>
      <w:r>
        <w:rPr>
          <w:spacing w:val="-53"/>
        </w:rPr>
        <w:t> </w:t>
      </w:r>
      <w:r>
        <w:rPr>
          <w:spacing w:val="-1"/>
        </w:rPr>
        <w:t>2007</w:t>
      </w:r>
      <w:r>
        <w:rPr>
          <w:spacing w:val="-51"/>
        </w:rPr>
        <w:t> </w:t>
      </w:r>
      <w:r>
        <w:rPr/>
        <w:t>年</w:t>
      </w:r>
      <w:r>
        <w:rPr>
          <w:spacing w:val="-53"/>
        </w:rPr>
        <w:t> </w:t>
      </w:r>
      <w:r>
        <w:rPr/>
        <w:t>8</w:t>
      </w:r>
      <w:r>
        <w:rPr>
          <w:spacing w:val="-51"/>
        </w:rPr>
        <w:t> </w:t>
      </w:r>
      <w:r>
        <w:rPr/>
        <w:t>月</w:t>
      </w:r>
      <w:r>
        <w:rPr>
          <w:spacing w:val="-53"/>
        </w:rPr>
        <w:t> </w:t>
      </w:r>
      <w:r>
        <w:rPr/>
        <w:t>10</w:t>
      </w:r>
      <w:r>
        <w:rPr>
          <w:spacing w:val="-52"/>
        </w:rPr>
        <w:t> </w:t>
      </w:r>
      <w:r>
        <w:rPr>
          <w:spacing w:val="-1"/>
        </w:rPr>
        <w:t>日召开的</w:t>
      </w:r>
      <w:r>
        <w:rPr>
          <w:spacing w:val="-52"/>
        </w:rPr>
        <w:t> </w:t>
      </w:r>
      <w:r>
        <w:rPr>
          <w:spacing w:val="-1"/>
        </w:rPr>
        <w:t>2007</w:t>
      </w:r>
      <w:r>
        <w:rPr>
          <w:spacing w:val="-51"/>
        </w:rPr>
        <w:t> </w:t>
      </w:r>
      <w:r>
        <w:rPr>
          <w:spacing w:val="-5"/>
        </w:rPr>
        <w:t>年第二次临时股东大会审议通过的《关于为控股子公司深</w:t>
      </w:r>
      <w:r>
        <w:rPr/>
        <w:t> </w:t>
      </w:r>
      <w:r>
        <w:rPr>
          <w:spacing w:val="-3"/>
        </w:rPr>
        <w:t>圳市齐普生信息科技有限公司提供担保的议案》,董事会己为本公司控股子公司深圳市齐普生信息科技</w:t>
      </w:r>
      <w:r>
        <w:rPr>
          <w:spacing w:val="-77"/>
        </w:rPr>
        <w:t> </w:t>
      </w:r>
      <w:r>
        <w:rPr>
          <w:spacing w:val="-77"/>
        </w:rPr>
      </w:r>
      <w:r>
        <w:rPr/>
        <w:t>有限公司与中国建设银行股份有限公司深圳分行申请肆仟万元短期借款提供连带责任担保; 己为本公 司控股子公司深圳市齐普生信息科技有限公司广东发展银行股份有限公司深圳城市广场支行申请贰仟 万元银行承兑汇票借款提供连带责任担保。</w:t>
      </w:r>
    </w:p>
    <w:p>
      <w:pPr>
        <w:pStyle w:val="BodyText"/>
        <w:spacing w:line="350" w:lineRule="auto" w:before="148"/>
        <w:ind w:right="111" w:firstLine="420"/>
        <w:jc w:val="both"/>
      </w:pPr>
      <w:r>
        <w:rPr>
          <w:spacing w:val="-1"/>
        </w:rPr>
        <w:t>根据</w:t>
      </w:r>
      <w:r>
        <w:rPr>
          <w:spacing w:val="-51"/>
        </w:rPr>
        <w:t> </w:t>
      </w:r>
      <w:r>
        <w:rPr>
          <w:spacing w:val="-1"/>
        </w:rPr>
        <w:t>2007</w:t>
      </w:r>
      <w:r>
        <w:rPr>
          <w:spacing w:val="-50"/>
        </w:rPr>
        <w:t> </w:t>
      </w:r>
      <w:r>
        <w:rPr/>
        <w:t>年</w:t>
      </w:r>
      <w:r>
        <w:rPr>
          <w:spacing w:val="-52"/>
        </w:rPr>
        <w:t> </w:t>
      </w:r>
      <w:r>
        <w:rPr/>
        <w:t>8</w:t>
      </w:r>
      <w:r>
        <w:rPr>
          <w:spacing w:val="-50"/>
        </w:rPr>
        <w:t> </w:t>
      </w:r>
      <w:r>
        <w:rPr/>
        <w:t>月</w:t>
      </w:r>
      <w:r>
        <w:rPr>
          <w:spacing w:val="-52"/>
        </w:rPr>
        <w:t> </w:t>
      </w:r>
      <w:r>
        <w:rPr/>
        <w:t>10</w:t>
      </w:r>
      <w:r>
        <w:rPr>
          <w:spacing w:val="-50"/>
        </w:rPr>
        <w:t> </w:t>
      </w:r>
      <w:r>
        <w:rPr>
          <w:spacing w:val="-1"/>
        </w:rPr>
        <w:t>日召开的</w:t>
      </w:r>
      <w:r>
        <w:rPr>
          <w:spacing w:val="-51"/>
        </w:rPr>
        <w:t> </w:t>
      </w:r>
      <w:r>
        <w:rPr>
          <w:spacing w:val="-1"/>
        </w:rPr>
        <w:t>2007</w:t>
      </w:r>
      <w:r>
        <w:rPr>
          <w:spacing w:val="-50"/>
        </w:rPr>
        <w:t> </w:t>
      </w:r>
      <w:r>
        <w:rPr>
          <w:spacing w:val="-5"/>
        </w:rPr>
        <w:t>年第二次临时股东大会审议通过的《关于为本公司控股子公司</w:t>
      </w:r>
      <w:r>
        <w:rPr/>
        <w:t> </w:t>
      </w:r>
      <w:r>
        <w:rPr>
          <w:spacing w:val="-3"/>
        </w:rPr>
        <w:t>深圳市金证卡尔电子有限公司提供担保的议案》；,董事会己为本公司控股子公司深圳市金证卡尔电子</w:t>
      </w:r>
      <w:r>
        <w:rPr>
          <w:spacing w:val="-75"/>
        </w:rPr>
        <w:t> </w:t>
      </w:r>
      <w:r>
        <w:rPr>
          <w:spacing w:val="-75"/>
        </w:rPr>
      </w:r>
      <w:r>
        <w:rPr/>
        <w:t>有限公司与兴业银行股份有限公司深圳中心区支行申请伍佰万的短期借款提供连带责任担保。</w:t>
      </w:r>
    </w:p>
    <w:p>
      <w:pPr>
        <w:pStyle w:val="BodyText"/>
        <w:spacing w:line="348" w:lineRule="auto" w:before="148"/>
        <w:ind w:right="110" w:firstLine="420"/>
        <w:jc w:val="both"/>
      </w:pPr>
      <w:r>
        <w:rPr/>
        <w:t>（3）根据</w:t>
      </w:r>
      <w:r>
        <w:rPr>
          <w:spacing w:val="-54"/>
        </w:rPr>
        <w:t> </w:t>
      </w:r>
      <w:r>
        <w:rPr/>
        <w:t>2007</w:t>
      </w:r>
      <w:r>
        <w:rPr>
          <w:spacing w:val="-53"/>
        </w:rPr>
        <w:t> </w:t>
      </w:r>
      <w:r>
        <w:rPr/>
        <w:t>年</w:t>
      </w:r>
      <w:r>
        <w:rPr>
          <w:spacing w:val="-55"/>
        </w:rPr>
        <w:t> </w:t>
      </w:r>
      <w:r>
        <w:rPr/>
        <w:t>9</w:t>
      </w:r>
      <w:r>
        <w:rPr>
          <w:spacing w:val="-53"/>
        </w:rPr>
        <w:t> </w:t>
      </w:r>
      <w:r>
        <w:rPr/>
        <w:t>月</w:t>
      </w:r>
      <w:r>
        <w:rPr>
          <w:spacing w:val="-55"/>
        </w:rPr>
        <w:t> </w:t>
      </w:r>
      <w:r>
        <w:rPr/>
        <w:t>14</w:t>
      </w:r>
      <w:r>
        <w:rPr>
          <w:spacing w:val="-54"/>
        </w:rPr>
        <w:t> </w:t>
      </w:r>
      <w:r>
        <w:rPr/>
        <w:t>日召开的公司</w:t>
      </w:r>
      <w:r>
        <w:rPr>
          <w:spacing w:val="-54"/>
        </w:rPr>
        <w:t> </w:t>
      </w:r>
      <w:r>
        <w:rPr/>
        <w:t>2007</w:t>
      </w:r>
      <w:r>
        <w:rPr>
          <w:spacing w:val="-53"/>
        </w:rPr>
        <w:t> </w:t>
      </w:r>
      <w:r>
        <w:rPr/>
        <w:t>年第三次临时股东大会审议通过的《关于公司董事</w:t>
      </w:r>
      <w:r>
        <w:rPr/>
        <w:t> </w:t>
      </w:r>
      <w:r>
        <w:rPr>
          <w:spacing w:val="-9"/>
        </w:rPr>
        <w:t>会换届的议案》、《关于监事会换届选举的议案》，公司第三届董事会、监事会己成立。</w:t>
      </w:r>
    </w:p>
    <w:p>
      <w:pPr>
        <w:pStyle w:val="BodyText"/>
        <w:spacing w:line="240" w:lineRule="auto" w:before="151"/>
        <w:ind w:left="565" w:right="0"/>
        <w:jc w:val="left"/>
      </w:pPr>
      <w:r>
        <w:rPr/>
        <w:t>(4)</w:t>
      </w:r>
      <w:r>
        <w:rPr>
          <w:spacing w:val="-1"/>
        </w:rPr>
        <w:t> </w:t>
      </w:r>
      <w:r>
        <w:rPr/>
        <w:t>根据</w:t>
      </w:r>
      <w:r>
        <w:rPr>
          <w:spacing w:val="-55"/>
        </w:rPr>
        <w:t> </w:t>
      </w:r>
      <w:r>
        <w:rPr/>
        <w:t>2007</w:t>
      </w:r>
      <w:r>
        <w:rPr>
          <w:spacing w:val="-53"/>
        </w:rPr>
        <w:t> </w:t>
      </w:r>
      <w:r>
        <w:rPr/>
        <w:t>年</w:t>
      </w:r>
      <w:r>
        <w:rPr>
          <w:spacing w:val="-54"/>
        </w:rPr>
        <w:t> </w:t>
      </w:r>
      <w:r>
        <w:rPr/>
        <w:t>10</w:t>
      </w:r>
      <w:r>
        <w:rPr>
          <w:spacing w:val="-53"/>
        </w:rPr>
        <w:t> </w:t>
      </w:r>
      <w:r>
        <w:rPr/>
        <w:t>月</w:t>
      </w:r>
      <w:r>
        <w:rPr>
          <w:spacing w:val="-55"/>
        </w:rPr>
        <w:t> </w:t>
      </w:r>
      <w:r>
        <w:rPr/>
        <w:t>12</w:t>
      </w:r>
      <w:r>
        <w:rPr>
          <w:spacing w:val="-54"/>
        </w:rPr>
        <w:t> </w:t>
      </w:r>
      <w:r>
        <w:rPr/>
        <w:t>日召开的公司</w:t>
      </w:r>
      <w:r>
        <w:rPr>
          <w:spacing w:val="-54"/>
        </w:rPr>
        <w:t> </w:t>
      </w:r>
      <w:r>
        <w:rPr/>
        <w:t>2007</w:t>
      </w:r>
      <w:r>
        <w:rPr>
          <w:spacing w:val="-53"/>
        </w:rPr>
        <w:t> </w:t>
      </w:r>
      <w:r>
        <w:rPr/>
        <w:t>年第四次临时股东大会审议通过的《关于成立董事</w:t>
      </w:r>
    </w:p>
    <w:p>
      <w:pPr>
        <w:spacing w:after="0" w:line="240" w:lineRule="auto"/>
        <w:jc w:val="left"/>
        <w:sectPr>
          <w:pgSz w:w="12240" w:h="15840"/>
          <w:pgMar w:header="747" w:footer="727" w:top="1040" w:bottom="920" w:left="1380" w:right="13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96"/>
        <w:jc w:val="left"/>
      </w:pPr>
      <w:r>
        <w:rPr/>
        <w:t>会专业委员会的议案</w:t>
      </w:r>
      <w:r>
        <w:rPr>
          <w:spacing w:val="-105"/>
        </w:rPr>
        <w:t>》</w:t>
      </w:r>
      <w:r>
        <w:rPr>
          <w:spacing w:val="-2"/>
        </w:rPr>
        <w:t>，</w:t>
      </w:r>
      <w:r>
        <w:rPr/>
        <w:t>公司董事会专业委员会己成立，并己制定专业委员会议事细则。</w:t>
      </w:r>
    </w:p>
    <w:p>
      <w:pPr>
        <w:pStyle w:val="BodyText"/>
        <w:spacing w:line="350" w:lineRule="auto" w:before="125"/>
        <w:ind w:right="200"/>
        <w:jc w:val="left"/>
      </w:pPr>
      <w:r>
        <w:rPr/>
        <w:t>根据</w:t>
      </w:r>
      <w:r>
        <w:rPr>
          <w:spacing w:val="-48"/>
        </w:rPr>
        <w:t> </w:t>
      </w:r>
      <w:r>
        <w:rPr/>
        <w:t>2007</w:t>
      </w:r>
      <w:r>
        <w:rPr>
          <w:spacing w:val="-47"/>
        </w:rPr>
        <w:t> </w:t>
      </w:r>
      <w:r>
        <w:rPr>
          <w:spacing w:val="-3"/>
        </w:rPr>
        <w:t>年第四次临时股东大会审议通过的《关于修改公司章程部分条款的议案》，公司己对章程相</w:t>
      </w:r>
      <w:r>
        <w:rPr/>
        <w:t> 关条款进行修改。</w:t>
      </w:r>
    </w:p>
    <w:p>
      <w:pPr>
        <w:pStyle w:val="BodyText"/>
        <w:spacing w:line="240" w:lineRule="auto" w:before="148"/>
        <w:ind w:left="565" w:right="96"/>
        <w:jc w:val="left"/>
      </w:pPr>
      <w:r>
        <w:rPr/>
        <w:t>3、董事会下设的审计委员会的履职情况汇总报告</w:t>
      </w:r>
    </w:p>
    <w:p>
      <w:pPr>
        <w:spacing w:line="240" w:lineRule="auto" w:before="9"/>
        <w:rPr>
          <w:rFonts w:ascii="宋体" w:hAnsi="宋体" w:cs="宋体" w:eastAsia="宋体" w:hint="default"/>
          <w:sz w:val="18"/>
          <w:szCs w:val="18"/>
        </w:rPr>
      </w:pPr>
    </w:p>
    <w:p>
      <w:pPr>
        <w:pStyle w:val="BodyText"/>
        <w:spacing w:line="240" w:lineRule="auto"/>
        <w:ind w:left="565" w:right="96"/>
        <w:jc w:val="left"/>
      </w:pPr>
      <w:r>
        <w:rPr/>
        <w:t>（1）董事会审计委员会工作情况</w:t>
      </w:r>
    </w:p>
    <w:p>
      <w:pPr>
        <w:spacing w:line="240" w:lineRule="auto" w:before="10"/>
        <w:rPr>
          <w:rFonts w:ascii="宋体" w:hAnsi="宋体" w:cs="宋体" w:eastAsia="宋体" w:hint="default"/>
          <w:sz w:val="18"/>
          <w:szCs w:val="18"/>
        </w:rPr>
      </w:pPr>
    </w:p>
    <w:p>
      <w:pPr>
        <w:pStyle w:val="BodyText"/>
        <w:spacing w:line="348" w:lineRule="auto"/>
        <w:ind w:right="210" w:firstLine="420"/>
        <w:jc w:val="both"/>
      </w:pPr>
      <w:r>
        <w:rPr/>
        <w:t>在公司第三届董事会成立后，</w:t>
      </w:r>
      <w:r>
        <w:rPr>
          <w:spacing w:val="-1"/>
        </w:rPr>
        <w:t> </w:t>
      </w:r>
      <w:r>
        <w:rPr/>
        <w:t>2007</w:t>
      </w:r>
      <w:r>
        <w:rPr>
          <w:spacing w:val="-47"/>
        </w:rPr>
        <w:t> </w:t>
      </w:r>
      <w:r>
        <w:rPr/>
        <w:t>年</w:t>
      </w:r>
      <w:r>
        <w:rPr>
          <w:spacing w:val="-47"/>
        </w:rPr>
        <w:t> </w:t>
      </w:r>
      <w:r>
        <w:rPr/>
        <w:t>9</w:t>
      </w:r>
      <w:r>
        <w:rPr>
          <w:spacing w:val="-46"/>
        </w:rPr>
        <w:t> </w:t>
      </w:r>
      <w:r>
        <w:rPr/>
        <w:t>月</w:t>
      </w:r>
      <w:r>
        <w:rPr>
          <w:spacing w:val="-47"/>
        </w:rPr>
        <w:t> </w:t>
      </w:r>
      <w:r>
        <w:rPr/>
        <w:t>14</w:t>
      </w:r>
      <w:r>
        <w:rPr>
          <w:spacing w:val="-46"/>
        </w:rPr>
        <w:t> </w:t>
      </w:r>
      <w:r>
        <w:rPr/>
        <w:t>日经公司第三届董事会</w:t>
      </w:r>
      <w:r>
        <w:rPr>
          <w:spacing w:val="-47"/>
        </w:rPr>
        <w:t> </w:t>
      </w:r>
      <w:r>
        <w:rPr/>
        <w:t>2007</w:t>
      </w:r>
      <w:r>
        <w:rPr>
          <w:spacing w:val="-46"/>
        </w:rPr>
        <w:t> </w:t>
      </w:r>
      <w:r>
        <w:rPr/>
        <w:t>年第一次会议审议，</w:t>
      </w:r>
      <w:r>
        <w:rPr/>
        <w:t> 公司成立了董事会会审计委员会，并制定相关议事细则。报告期内，根据监管部门有关文件的要求， 审计委员会对年度报告财务会计报告发表了两次审阅意见。</w:t>
      </w:r>
    </w:p>
    <w:p>
      <w:pPr>
        <w:spacing w:line="348" w:lineRule="auto" w:before="151"/>
        <w:ind w:left="145" w:right="213" w:firstLine="422"/>
        <w:jc w:val="both"/>
        <w:rPr>
          <w:rFonts w:ascii="宋体" w:hAnsi="宋体" w:cs="宋体" w:eastAsia="宋体" w:hint="default"/>
          <w:sz w:val="21"/>
          <w:szCs w:val="21"/>
        </w:rPr>
      </w:pPr>
      <w:r>
        <w:rPr>
          <w:rFonts w:ascii="宋体" w:hAnsi="宋体" w:cs="宋体" w:eastAsia="宋体" w:hint="default"/>
          <w:b/>
          <w:bCs/>
          <w:sz w:val="21"/>
          <w:szCs w:val="21"/>
        </w:rPr>
        <w:t>（2）在年审注册会计师进场前，对未经审计的财务报告发表首次书面意见，审计委员会意见如</w:t>
      </w:r>
      <w:r>
        <w:rPr>
          <w:rFonts w:ascii="宋体" w:hAnsi="宋体" w:cs="宋体" w:eastAsia="宋体" w:hint="default"/>
          <w:b/>
          <w:bCs/>
          <w:w w:val="99"/>
          <w:sz w:val="21"/>
          <w:szCs w:val="21"/>
        </w:rPr>
        <w:t> </w:t>
      </w:r>
      <w:r>
        <w:rPr>
          <w:rFonts w:ascii="宋体" w:hAnsi="宋体" w:cs="宋体" w:eastAsia="宋体" w:hint="default"/>
          <w:b/>
          <w:bCs/>
          <w:sz w:val="21"/>
          <w:szCs w:val="21"/>
        </w:rPr>
        <w:t>下</w:t>
      </w:r>
      <w:r>
        <w:rPr>
          <w:rFonts w:ascii="宋体" w:hAnsi="宋体" w:cs="宋体" w:eastAsia="宋体" w:hint="default"/>
          <w:sz w:val="21"/>
          <w:szCs w:val="21"/>
        </w:rPr>
        <w:t>：我们认真审阅了公司计划财务部</w:t>
      </w:r>
      <w:r>
        <w:rPr>
          <w:rFonts w:ascii="宋体" w:hAnsi="宋体" w:cs="宋体" w:eastAsia="宋体" w:hint="default"/>
          <w:spacing w:val="-42"/>
          <w:sz w:val="21"/>
          <w:szCs w:val="21"/>
        </w:rPr>
        <w:t> </w:t>
      </w: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21</w:t>
      </w:r>
      <w:r>
        <w:rPr>
          <w:rFonts w:ascii="宋体" w:hAnsi="宋体" w:cs="宋体" w:eastAsia="宋体" w:hint="default"/>
          <w:spacing w:val="-42"/>
          <w:sz w:val="21"/>
          <w:szCs w:val="21"/>
        </w:rPr>
        <w:t> </w:t>
      </w:r>
      <w:r>
        <w:rPr>
          <w:rFonts w:ascii="宋体" w:hAnsi="宋体" w:cs="宋体" w:eastAsia="宋体" w:hint="default"/>
          <w:sz w:val="21"/>
          <w:szCs w:val="21"/>
        </w:rPr>
        <w:t>日提交的财务报表，包括截止</w:t>
      </w:r>
      <w:r>
        <w:rPr>
          <w:rFonts w:ascii="宋体" w:hAnsi="宋体" w:cs="宋体" w:eastAsia="宋体" w:hint="default"/>
          <w:spacing w:val="-42"/>
          <w:sz w:val="21"/>
          <w:szCs w:val="21"/>
        </w:rPr>
        <w:t> </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日的资产负债表，2007</w:t>
      </w:r>
      <w:r>
        <w:rPr>
          <w:rFonts w:ascii="宋体" w:hAnsi="宋体" w:cs="宋体" w:eastAsia="宋体" w:hint="default"/>
          <w:spacing w:val="-53"/>
          <w:sz w:val="21"/>
          <w:szCs w:val="21"/>
        </w:rPr>
        <w:t> </w:t>
      </w:r>
      <w:r>
        <w:rPr>
          <w:rFonts w:ascii="宋体" w:hAnsi="宋体" w:cs="宋体" w:eastAsia="宋体" w:hint="default"/>
          <w:sz w:val="21"/>
          <w:szCs w:val="21"/>
        </w:rPr>
        <w:t>年度利润表、股东权益变动表和现金流量表。</w:t>
      </w:r>
    </w:p>
    <w:p>
      <w:pPr>
        <w:pStyle w:val="BodyText"/>
        <w:spacing w:line="348" w:lineRule="auto" w:before="151"/>
        <w:ind w:left="144" w:right="96" w:firstLine="420"/>
        <w:jc w:val="left"/>
      </w:pPr>
      <w:r>
        <w:rPr>
          <w:spacing w:val="-8"/>
        </w:rPr>
        <w:t>我们按照《企业会计准则—基本准则》、《企业会计准则》等具体准则以及公司有关财务制度规定，</w:t>
      </w:r>
      <w:r>
        <w:rPr/>
        <w:t> 对会计资料的真实性、完整性、财务报表是否严格按照新会计准则及公司有关财务制度规定编制予以 了重点关注。</w:t>
      </w:r>
    </w:p>
    <w:p>
      <w:pPr>
        <w:pStyle w:val="BodyText"/>
        <w:spacing w:line="348" w:lineRule="auto" w:before="151"/>
        <w:ind w:left="144" w:right="213" w:firstLine="420"/>
        <w:jc w:val="both"/>
      </w:pPr>
      <w:r>
        <w:rPr/>
        <w:t>通过询问公司有关财务人员及管理人员、查阅相关资料、以及对重大财务数据进行分析，我们认 为：公司会计政策选用恰当，会计估计合理，未发现有重大错报、漏报情况，未发现有大股东占用公 司资金情况，未发现公司有对外违规担保情况及异常关联交易情况。</w:t>
      </w:r>
    </w:p>
    <w:p>
      <w:pPr>
        <w:pStyle w:val="BodyText"/>
        <w:spacing w:line="348" w:lineRule="auto" w:before="151"/>
        <w:ind w:left="144" w:right="213" w:firstLine="420"/>
        <w:jc w:val="both"/>
      </w:pPr>
      <w:r>
        <w:rPr/>
        <w:t>基于本次财务报表的审阅时间距离审计报告日及财务报表报出日尚有一段期间，提请公司计划财 务部重点关注并严格按照新企业准则处理好资产负债日期后事项，以保证财务报表的公允性、真实性 及完整性。</w:t>
      </w:r>
    </w:p>
    <w:p>
      <w:pPr>
        <w:pStyle w:val="BodyText"/>
        <w:spacing w:line="350" w:lineRule="auto" w:before="151"/>
        <w:ind w:left="144" w:right="93" w:firstLine="422"/>
        <w:jc w:val="left"/>
      </w:pPr>
      <w:r>
        <w:rPr>
          <w:rFonts w:ascii="宋体" w:hAnsi="宋体" w:cs="宋体" w:eastAsia="宋体" w:hint="default"/>
          <w:b/>
          <w:bCs/>
        </w:rPr>
        <w:t>（3）在年审注册会计师出具初步审计意见后，审计委员会再次审阅财务报告并发表第二次书面</w:t>
      </w:r>
      <w:r>
        <w:rPr>
          <w:rFonts w:ascii="宋体" w:hAnsi="宋体" w:cs="宋体" w:eastAsia="宋体" w:hint="default"/>
          <w:b/>
          <w:bCs/>
          <w:w w:val="99"/>
        </w:rPr>
        <w:t> </w:t>
      </w:r>
      <w:r>
        <w:rPr>
          <w:rFonts w:ascii="宋体" w:hAnsi="宋体" w:cs="宋体" w:eastAsia="宋体" w:hint="default"/>
          <w:b/>
          <w:bCs/>
        </w:rPr>
        <w:t>意见</w:t>
      </w:r>
      <w:r>
        <w:rPr/>
        <w:t>：我们审阅了公司财务部提交的经年审注册会计师出具初步审计意见后，</w:t>
      </w:r>
      <w:r>
        <w:rPr>
          <w:spacing w:val="-4"/>
        </w:rPr>
        <w:t> </w:t>
      </w:r>
      <w:r>
        <w:rPr/>
        <w:t>按照《企业会计准则》</w:t>
      </w:r>
      <w:r>
        <w:rPr/>
        <w:t> 以及公司有关财务制度规定，针对会计资料的真实性、完整性，财务报表是否严格按照业会计准则和 公司有关财务制度规定编制及资产负债表日期后事项予以了重点关注。 通过与年审注册会计师沟通初步审计意见后，我们认为：公司财务报表己按新企业会计准则及公司财 务制度编制，在所有重大方面公允反映了公司</w:t>
      </w:r>
      <w:r>
        <w:rPr>
          <w:spacing w:val="-57"/>
        </w:rPr>
        <w:t> </w:t>
      </w:r>
      <w:r>
        <w:rPr/>
        <w:t>2007</w:t>
      </w:r>
      <w:r>
        <w:rPr>
          <w:spacing w:val="-56"/>
        </w:rPr>
        <w:t> </w:t>
      </w:r>
      <w:r>
        <w:rPr/>
        <w:t>年</w:t>
      </w:r>
      <w:r>
        <w:rPr>
          <w:spacing w:val="-57"/>
        </w:rPr>
        <w:t> </w:t>
      </w:r>
      <w:r>
        <w:rPr/>
        <w:t>12</w:t>
      </w:r>
      <w:r>
        <w:rPr>
          <w:spacing w:val="-56"/>
        </w:rPr>
        <w:t> </w:t>
      </w:r>
      <w:r>
        <w:rPr/>
        <w:t>月</w:t>
      </w:r>
      <w:r>
        <w:rPr>
          <w:spacing w:val="-58"/>
        </w:rPr>
        <w:t> </w:t>
      </w:r>
      <w:r>
        <w:rPr/>
        <w:t>31</w:t>
      </w:r>
      <w:r>
        <w:rPr>
          <w:spacing w:val="-56"/>
        </w:rPr>
        <w:t> </w:t>
      </w:r>
      <w:r>
        <w:rPr/>
        <w:t>日的财务状况以及</w:t>
      </w:r>
      <w:r>
        <w:rPr>
          <w:spacing w:val="-57"/>
        </w:rPr>
        <w:t> </w:t>
      </w:r>
      <w:r>
        <w:rPr/>
        <w:t>2007</w:t>
      </w:r>
      <w:r>
        <w:rPr>
          <w:spacing w:val="-56"/>
        </w:rPr>
        <w:t> </w:t>
      </w:r>
      <w:r>
        <w:rPr/>
        <w:t>年度的经营成</w:t>
      </w:r>
      <w:r>
        <w:rPr/>
        <w:t> 果和现金流量。</w:t>
      </w:r>
    </w:p>
    <w:p>
      <w:pPr>
        <w:pStyle w:val="Heading3"/>
        <w:spacing w:line="348" w:lineRule="auto" w:before="148"/>
        <w:ind w:left="144" w:right="214" w:firstLine="422"/>
        <w:jc w:val="both"/>
        <w:rPr>
          <w:b w:val="0"/>
          <w:bCs w:val="0"/>
        </w:rPr>
      </w:pPr>
      <w:r>
        <w:rPr/>
        <w:t>（4）关于会计事务所年报审计工作的总结报告以及对下年度续聘会计师事务所的决议情况，审</w:t>
      </w:r>
      <w:r>
        <w:rPr>
          <w:w w:val="99"/>
        </w:rPr>
        <w:t> </w:t>
      </w:r>
      <w:r>
        <w:rPr/>
        <w:t>计委员会关于北京立信会计师事务所有限责任公司从事本年度审计工作的总结报告：</w:t>
      </w:r>
      <w:r>
        <w:rPr>
          <w:b w:val="0"/>
          <w:bCs w:val="0"/>
        </w:rPr>
      </w:r>
    </w:p>
    <w:p>
      <w:pPr>
        <w:spacing w:after="0" w:line="348" w:lineRule="auto"/>
        <w:jc w:val="both"/>
        <w:sectPr>
          <w:pgSz w:w="12240" w:h="15840"/>
          <w:pgMar w:header="747" w:footer="727" w:top="1040" w:bottom="920" w:left="1380" w:right="126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350" w:lineRule="auto"/>
        <w:ind w:right="96" w:firstLine="420"/>
        <w:jc w:val="left"/>
      </w:pPr>
      <w:r>
        <w:rPr/>
        <w:t>2008</w:t>
      </w:r>
      <w:r>
        <w:rPr>
          <w:spacing w:val="-53"/>
        </w:rPr>
        <w:t> </w:t>
      </w:r>
      <w:r>
        <w:rPr/>
        <w:t>月</w:t>
      </w:r>
      <w:r>
        <w:rPr>
          <w:spacing w:val="-53"/>
        </w:rPr>
        <w:t> </w:t>
      </w:r>
      <w:r>
        <w:rPr/>
        <w:t>1</w:t>
      </w:r>
      <w:r>
        <w:rPr>
          <w:spacing w:val="-52"/>
        </w:rPr>
        <w:t> </w:t>
      </w:r>
      <w:r>
        <w:rPr/>
        <w:t>月我们收到了公司财务部提交的公司年报审计安排情况表及</w:t>
      </w:r>
      <w:r>
        <w:rPr>
          <w:spacing w:val="-53"/>
        </w:rPr>
        <w:t> </w:t>
      </w:r>
      <w:r>
        <w:rPr/>
        <w:t>2007</w:t>
      </w:r>
      <w:r>
        <w:rPr>
          <w:spacing w:val="-52"/>
        </w:rPr>
        <w:t> </w:t>
      </w:r>
      <w:r>
        <w:rPr>
          <w:spacing w:val="-16"/>
        </w:rPr>
        <w:t>年财务报表，按照《企</w:t>
      </w:r>
      <w:r>
        <w:rPr/>
        <w:t> </w:t>
      </w:r>
      <w:r>
        <w:rPr>
          <w:spacing w:val="-5"/>
        </w:rPr>
        <w:t>业会计准则—基本准则》、《企业会计准则》等具体准则以及公司有关财务制度规定，我们对会计资料</w:t>
      </w:r>
      <w:r>
        <w:rPr>
          <w:spacing w:val="-90"/>
        </w:rPr>
        <w:t> </w:t>
      </w:r>
      <w:r>
        <w:rPr>
          <w:spacing w:val="-90"/>
        </w:rPr>
      </w:r>
      <w:r>
        <w:rPr>
          <w:spacing w:val="-3"/>
        </w:rPr>
        <w:t>的真实性、完整性、财务报表是否严格按照新会计准则及公司有关财务制度规定编制予以了重点关注。</w:t>
      </w:r>
      <w:r>
        <w:rPr>
          <w:spacing w:val="-74"/>
        </w:rPr>
        <w:t> </w:t>
      </w:r>
      <w:r>
        <w:rPr>
          <w:spacing w:val="-74"/>
        </w:rPr>
      </w:r>
      <w:r>
        <w:rPr/>
        <w:t>2</w:t>
      </w:r>
      <w:r>
        <w:rPr>
          <w:spacing w:val="-1"/>
        </w:rPr>
        <w:t> </w:t>
      </w:r>
      <w:r>
        <w:rPr/>
        <w:t>月我们约见了公司年报审计的主审人员及会计师就年报审计中的有关问题进行了充分的沟通。2008</w:t>
      </w:r>
    </w:p>
    <w:p>
      <w:pPr>
        <w:pStyle w:val="BodyText"/>
        <w:spacing w:line="240" w:lineRule="auto" w:before="28"/>
        <w:ind w:right="96"/>
        <w:jc w:val="left"/>
      </w:pPr>
      <w:r>
        <w:rPr/>
        <w:t>年</w:t>
      </w:r>
      <w:r>
        <w:rPr>
          <w:spacing w:val="-64"/>
        </w:rPr>
        <w:t> </w:t>
      </w:r>
      <w:r>
        <w:rPr/>
        <w:t>4</w:t>
      </w:r>
      <w:r>
        <w:rPr>
          <w:spacing w:val="-64"/>
        </w:rPr>
        <w:t> </w:t>
      </w:r>
      <w:r>
        <w:rPr/>
        <w:t>月北京立信会计师事务所有限责任公司为公司</w:t>
      </w:r>
      <w:r>
        <w:rPr>
          <w:spacing w:val="-64"/>
        </w:rPr>
        <w:t> </w:t>
      </w:r>
      <w:r>
        <w:rPr/>
        <w:t>2007</w:t>
      </w:r>
      <w:r>
        <w:rPr>
          <w:spacing w:val="-64"/>
        </w:rPr>
        <w:t> </w:t>
      </w:r>
      <w:r>
        <w:rPr/>
        <w:t>年度报告出具了标准无保留意见的审计报告。</w:t>
      </w:r>
    </w:p>
    <w:p>
      <w:pPr>
        <w:spacing w:line="240" w:lineRule="auto" w:before="10"/>
        <w:rPr>
          <w:rFonts w:ascii="宋体" w:hAnsi="宋体" w:cs="宋体" w:eastAsia="宋体" w:hint="default"/>
          <w:sz w:val="18"/>
          <w:szCs w:val="18"/>
        </w:rPr>
      </w:pPr>
    </w:p>
    <w:p>
      <w:pPr>
        <w:pStyle w:val="BodyText"/>
        <w:spacing w:line="348" w:lineRule="auto"/>
        <w:ind w:right="195" w:firstLine="420"/>
        <w:jc w:val="left"/>
      </w:pPr>
      <w:r>
        <w:rPr/>
        <w:t>我们认为：北京立信会计师事务所有限责任公司在提任公司审计机构期间，坚持以公允、客观的 </w:t>
      </w:r>
      <w:r>
        <w:rPr>
          <w:spacing w:val="-4"/>
        </w:rPr>
        <w:t>态度进行独立审计，很好的履行了责任和义务。出具的审计报告充分反映公司</w:t>
      </w:r>
      <w:r>
        <w:rPr>
          <w:spacing w:val="-54"/>
        </w:rPr>
        <w:t> </w:t>
      </w:r>
      <w:r>
        <w:rPr/>
        <w:t>2007</w:t>
      </w:r>
      <w:r>
        <w:rPr>
          <w:spacing w:val="-53"/>
        </w:rPr>
        <w:t> </w:t>
      </w:r>
      <w:r>
        <w:rPr/>
        <w:t>年</w:t>
      </w:r>
      <w:r>
        <w:rPr>
          <w:spacing w:val="-55"/>
        </w:rPr>
        <w:t> </w:t>
      </w:r>
      <w:r>
        <w:rPr/>
        <w:t>12</w:t>
      </w:r>
      <w:r>
        <w:rPr>
          <w:spacing w:val="-54"/>
        </w:rPr>
        <w:t> </w:t>
      </w:r>
      <w:r>
        <w:rPr/>
        <w:t>月</w:t>
      </w:r>
      <w:r>
        <w:rPr>
          <w:spacing w:val="-54"/>
        </w:rPr>
        <w:t> </w:t>
      </w:r>
      <w:r>
        <w:rPr/>
        <w:t>31</w:t>
      </w:r>
      <w:r>
        <w:rPr>
          <w:spacing w:val="-53"/>
        </w:rPr>
        <w:t> </w:t>
      </w:r>
      <w:r>
        <w:rPr/>
        <w:t>日的财</w:t>
      </w:r>
    </w:p>
    <w:p>
      <w:pPr>
        <w:pStyle w:val="BodyText"/>
        <w:spacing w:line="240" w:lineRule="auto" w:before="30"/>
        <w:ind w:right="96"/>
        <w:jc w:val="left"/>
      </w:pPr>
      <w:r>
        <w:rPr/>
        <w:t>务状况以及</w:t>
      </w:r>
      <w:r>
        <w:rPr>
          <w:spacing w:val="-72"/>
        </w:rPr>
        <w:t> </w:t>
      </w:r>
      <w:r>
        <w:rPr/>
        <w:t>2007</w:t>
      </w:r>
      <w:r>
        <w:rPr>
          <w:spacing w:val="-72"/>
        </w:rPr>
        <w:t> </w:t>
      </w:r>
      <w:r>
        <w:rPr/>
        <w:t>年度的经营成果和现金流量，出具的审计结论符合公司的实际情况。</w:t>
      </w:r>
    </w:p>
    <w:p>
      <w:pPr>
        <w:spacing w:line="520" w:lineRule="atLeast" w:before="0"/>
        <w:ind w:left="502" w:right="96" w:firstLine="0"/>
        <w:jc w:val="left"/>
        <w:rPr>
          <w:rFonts w:ascii="宋体" w:hAnsi="宋体" w:cs="宋体" w:eastAsia="宋体" w:hint="default"/>
          <w:sz w:val="21"/>
          <w:szCs w:val="21"/>
        </w:rPr>
      </w:pPr>
      <w:r>
        <w:rPr>
          <w:rFonts w:ascii="宋体" w:hAnsi="宋体" w:cs="宋体" w:eastAsia="宋体" w:hint="default"/>
          <w:b/>
          <w:bCs/>
          <w:sz w:val="21"/>
          <w:szCs w:val="21"/>
        </w:rPr>
        <w:t>审计委员会关于续聘会计师事务所的意见</w:t>
      </w:r>
      <w:r>
        <w:rPr>
          <w:rFonts w:ascii="宋体" w:hAnsi="宋体" w:cs="宋体" w:eastAsia="宋体" w:hint="default"/>
          <w:b/>
          <w:bCs/>
          <w:spacing w:val="1"/>
          <w:w w:val="99"/>
          <w:sz w:val="21"/>
          <w:szCs w:val="21"/>
        </w:rPr>
        <w:t> </w:t>
      </w:r>
      <w:r>
        <w:rPr>
          <w:rFonts w:ascii="宋体" w:hAnsi="宋体" w:cs="宋体" w:eastAsia="宋体" w:hint="default"/>
          <w:sz w:val="21"/>
          <w:szCs w:val="21"/>
        </w:rPr>
        <w:t>鉴于北京立信会计师事务所有限责任公司在公司年度审计工作中表现中的执业能力及勤勉尽责任</w:t>
      </w:r>
    </w:p>
    <w:p>
      <w:pPr>
        <w:pStyle w:val="BodyText"/>
        <w:spacing w:line="240" w:lineRule="auto" w:before="125"/>
        <w:ind w:right="96"/>
        <w:jc w:val="left"/>
      </w:pPr>
      <w:r>
        <w:rPr/>
        <w:t>的工作态度，同意继续聘请该所为公司</w:t>
      </w:r>
      <w:r>
        <w:rPr>
          <w:spacing w:val="-55"/>
        </w:rPr>
        <w:t> </w:t>
      </w:r>
      <w:r>
        <w:rPr>
          <w:rFonts w:ascii="Arial" w:hAnsi="Arial" w:cs="Arial" w:eastAsia="Arial" w:hint="default"/>
        </w:rPr>
        <w:t>2008</w:t>
      </w:r>
      <w:r>
        <w:rPr>
          <w:rFonts w:ascii="Arial" w:hAnsi="Arial" w:cs="Arial" w:eastAsia="Arial" w:hint="default"/>
          <w:spacing w:val="-8"/>
        </w:rPr>
        <w:t> </w:t>
      </w:r>
      <w:r>
        <w:rPr/>
        <w:t>年度审计单位。</w:t>
      </w:r>
    </w:p>
    <w:p>
      <w:pPr>
        <w:spacing w:line="240" w:lineRule="auto" w:before="9"/>
        <w:rPr>
          <w:rFonts w:ascii="宋体" w:hAnsi="宋体" w:cs="宋体" w:eastAsia="宋体" w:hint="default"/>
          <w:sz w:val="17"/>
          <w:szCs w:val="17"/>
        </w:rPr>
      </w:pPr>
    </w:p>
    <w:p>
      <w:pPr>
        <w:pStyle w:val="BodyText"/>
        <w:spacing w:line="240" w:lineRule="auto"/>
        <w:ind w:left="502" w:right="96"/>
        <w:jc w:val="left"/>
      </w:pPr>
      <w:r>
        <w:rPr>
          <w:rFonts w:ascii="Arial" w:hAnsi="Arial" w:cs="Arial" w:eastAsia="Arial" w:hint="default"/>
        </w:rPr>
        <w:t>4</w:t>
      </w:r>
      <w:r>
        <w:rPr/>
        <w:t>、董事会下设的薪酬委员会的履职情况汇总报告</w:t>
      </w:r>
    </w:p>
    <w:p>
      <w:pPr>
        <w:spacing w:line="240" w:lineRule="auto" w:before="7"/>
        <w:rPr>
          <w:rFonts w:ascii="宋体" w:hAnsi="宋体" w:cs="宋体" w:eastAsia="宋体" w:hint="default"/>
          <w:sz w:val="17"/>
          <w:szCs w:val="17"/>
        </w:rPr>
      </w:pPr>
    </w:p>
    <w:p>
      <w:pPr>
        <w:pStyle w:val="BodyText"/>
        <w:spacing w:line="340" w:lineRule="auto"/>
        <w:ind w:right="108" w:firstLine="357"/>
        <w:jc w:val="left"/>
      </w:pPr>
      <w:r>
        <w:rPr/>
        <w:t>薪酬委员会对公司董事、监事和高级管理人员的</w:t>
      </w:r>
      <w:r>
        <w:rPr>
          <w:spacing w:val="-54"/>
        </w:rPr>
        <w:t> </w:t>
      </w:r>
      <w:r>
        <w:rPr>
          <w:rFonts w:ascii="Arial" w:hAnsi="Arial" w:cs="Arial" w:eastAsia="Arial" w:hint="default"/>
        </w:rPr>
        <w:t>2007</w:t>
      </w:r>
      <w:r>
        <w:rPr>
          <w:rFonts w:ascii="Arial" w:hAnsi="Arial" w:cs="Arial" w:eastAsia="Arial" w:hint="default"/>
          <w:spacing w:val="-7"/>
        </w:rPr>
        <w:t> </w:t>
      </w:r>
      <w:r>
        <w:rPr/>
        <w:t>年薪酬情况进行了审核，认为：公司董事、 监事和高级管理人员的薪酬决策程序符合规定，公司年初时根据公司总体发展战略和年度经营目标确 定各位高管人员的年度经营业绩考核综合指标或管理职责，年末根据各高管人员的经营业绩综合指标 进行考核，上述人员的薪酬标准符合公司薪资管理办法的规定，公司 </w:t>
      </w:r>
      <w:r>
        <w:rPr>
          <w:rFonts w:ascii="Arial" w:hAnsi="Arial" w:cs="Arial" w:eastAsia="Arial" w:hint="default"/>
        </w:rPr>
        <w:t>2007</w:t>
      </w:r>
      <w:r>
        <w:rPr>
          <w:rFonts w:ascii="Arial" w:hAnsi="Arial" w:cs="Arial" w:eastAsia="Arial" w:hint="default"/>
          <w:spacing w:val="-3"/>
        </w:rPr>
        <w:t> </w:t>
      </w:r>
      <w:r>
        <w:rPr/>
        <w:t>年度报告中披露的董事、 监事和高级管理人员的薪酬真实、准确。</w:t>
      </w:r>
    </w:p>
    <w:p>
      <w:pPr>
        <w:pStyle w:val="BodyText"/>
        <w:spacing w:line="240" w:lineRule="auto" w:before="157"/>
        <w:ind w:left="502" w:right="96"/>
        <w:jc w:val="left"/>
      </w:pPr>
      <w:r>
        <w:rPr>
          <w:rFonts w:ascii="Arial" w:hAnsi="Arial" w:cs="Arial" w:eastAsia="Arial" w:hint="default"/>
        </w:rPr>
        <w:t>(</w:t>
      </w:r>
      <w:r>
        <w:rPr/>
        <w:t>六</w:t>
      </w:r>
      <w:r>
        <w:rPr>
          <w:rFonts w:ascii="Arial" w:hAnsi="Arial" w:cs="Arial" w:eastAsia="Arial" w:hint="default"/>
        </w:rPr>
        <w:t>)</w:t>
      </w:r>
      <w:r>
        <w:rPr>
          <w:rFonts w:ascii="Arial" w:hAnsi="Arial" w:cs="Arial" w:eastAsia="Arial" w:hint="default"/>
          <w:spacing w:val="45"/>
        </w:rPr>
        <w:t> </w:t>
      </w:r>
      <w:r>
        <w:rPr/>
        <w:t>利润分配或资本公积金转增预案</w:t>
      </w:r>
    </w:p>
    <w:p>
      <w:pPr>
        <w:pStyle w:val="BodyText"/>
        <w:spacing w:line="338" w:lineRule="auto" w:before="120"/>
        <w:ind w:left="144" w:right="202" w:firstLine="358"/>
        <w:jc w:val="left"/>
      </w:pPr>
      <w:r>
        <w:rPr/>
        <w:t>公司</w:t>
      </w:r>
      <w:r>
        <w:rPr>
          <w:spacing w:val="-44"/>
        </w:rPr>
        <w:t> </w:t>
      </w:r>
      <w:r>
        <w:rPr>
          <w:rFonts w:ascii="Arial" w:hAnsi="Arial" w:cs="Arial" w:eastAsia="Arial" w:hint="default"/>
        </w:rPr>
        <w:t>2007</w:t>
      </w:r>
      <w:r>
        <w:rPr>
          <w:rFonts w:ascii="Arial" w:hAnsi="Arial" w:cs="Arial" w:eastAsia="Arial" w:hint="default"/>
          <w:spacing w:val="3"/>
        </w:rPr>
        <w:t> </w:t>
      </w:r>
      <w:r>
        <w:rPr>
          <w:spacing w:val="-3"/>
        </w:rPr>
        <w:t>度将不进行分红派息，也不进行资本公积金转增股本。以上分配方案尚需提交公司股东</w:t>
      </w:r>
      <w:r>
        <w:rPr/>
        <w:t> 大会审议通过。</w:t>
      </w:r>
    </w:p>
    <w:p>
      <w:pPr>
        <w:pStyle w:val="BodyText"/>
        <w:spacing w:line="436" w:lineRule="auto" w:before="168"/>
        <w:ind w:left="684" w:right="96" w:hanging="182"/>
        <w:jc w:val="left"/>
      </w:pPr>
      <w:r>
        <w:rPr>
          <w:rFonts w:ascii="Arial" w:hAnsi="Arial" w:cs="Arial" w:eastAsia="Arial" w:hint="default"/>
        </w:rPr>
        <w:t>(</w:t>
      </w:r>
      <w:r>
        <w:rPr/>
        <w:t>七</w:t>
      </w:r>
      <w:r>
        <w:rPr>
          <w:rFonts w:ascii="Arial" w:hAnsi="Arial" w:cs="Arial" w:eastAsia="Arial" w:hint="default"/>
        </w:rPr>
        <w:t>)</w:t>
      </w:r>
      <w:r>
        <w:rPr>
          <w:rFonts w:ascii="Arial" w:hAnsi="Arial" w:cs="Arial" w:eastAsia="Arial" w:hint="default"/>
          <w:spacing w:val="46"/>
        </w:rPr>
        <w:t> </w:t>
      </w:r>
      <w:r>
        <w:rPr/>
        <w:t>公司本报告期盈利但未提出现金利润分配预案</w:t>
      </w:r>
      <w:r>
        <w:rPr>
          <w:w w:val="99"/>
        </w:rPr>
        <w:t> </w:t>
      </w:r>
      <w:r>
        <w:rPr/>
        <w:t>本报告期盈利但未提出现金利润分配预案的原因：为公司长远发展，本报告期公司不进行利润</w:t>
      </w:r>
    </w:p>
    <w:p>
      <w:pPr>
        <w:pStyle w:val="BodyText"/>
        <w:spacing w:line="237" w:lineRule="exact"/>
        <w:ind w:left="144" w:right="96"/>
        <w:jc w:val="left"/>
      </w:pPr>
      <w:r>
        <w:rPr/>
        <w:t>分配。</w:t>
      </w:r>
    </w:p>
    <w:p>
      <w:pPr>
        <w:spacing w:line="240" w:lineRule="auto" w:before="5"/>
        <w:rPr>
          <w:rFonts w:ascii="宋体" w:hAnsi="宋体" w:cs="宋体" w:eastAsia="宋体" w:hint="default"/>
          <w:sz w:val="19"/>
          <w:szCs w:val="19"/>
        </w:rPr>
      </w:pPr>
    </w:p>
    <w:p>
      <w:pPr>
        <w:pStyle w:val="BodyText"/>
        <w:spacing w:line="240" w:lineRule="auto"/>
        <w:ind w:left="684" w:right="96"/>
        <w:jc w:val="left"/>
      </w:pPr>
      <w:r>
        <w:rPr/>
        <w:t>公司未分配利润的用途和使用计划：补充公司流动资金</w:t>
      </w:r>
    </w:p>
    <w:p>
      <w:pPr>
        <w:spacing w:after="0" w:line="240" w:lineRule="auto"/>
        <w:jc w:val="left"/>
        <w:sectPr>
          <w:pgSz w:w="12240" w:h="15840"/>
          <w:pgMar w:header="747" w:footer="727" w:top="1040" w:bottom="920" w:left="1380" w:right="1260"/>
        </w:sectPr>
      </w:pPr>
    </w:p>
    <w:p>
      <w:pPr>
        <w:spacing w:line="240" w:lineRule="auto" w:before="5"/>
        <w:rPr>
          <w:rFonts w:ascii="宋体" w:hAnsi="宋体" w:cs="宋体" w:eastAsia="宋体" w:hint="default"/>
          <w:sz w:val="24"/>
          <w:szCs w:val="24"/>
        </w:rPr>
      </w:pPr>
    </w:p>
    <w:p>
      <w:pPr>
        <w:pStyle w:val="BodyText"/>
        <w:spacing w:line="240" w:lineRule="auto" w:before="35"/>
        <w:ind w:left="355" w:right="96"/>
        <w:jc w:val="left"/>
      </w:pPr>
      <w:r>
        <w:rPr/>
        <w:t>（八）注册会计师对公司控股股东及其他关联方占用资金情况的专项说明</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727" w:top="1040" w:bottom="920" w:left="1380" w:right="1260"/>
        </w:sectPr>
      </w:pPr>
    </w:p>
    <w:p>
      <w:pPr>
        <w:pStyle w:val="Heading3"/>
        <w:spacing w:line="274" w:lineRule="exact" w:before="35"/>
        <w:ind w:left="2504" w:right="0"/>
        <w:jc w:val="center"/>
        <w:rPr>
          <w:b w:val="0"/>
          <w:bCs w:val="0"/>
        </w:rPr>
      </w:pPr>
      <w:r>
        <w:rPr/>
        <w:t>关于深圳市金证科技股份有限公司</w:t>
      </w:r>
      <w:r>
        <w:rPr>
          <w:b w:val="0"/>
          <w:bCs w:val="0"/>
        </w:rPr>
      </w:r>
    </w:p>
    <w:p>
      <w:pPr>
        <w:pStyle w:val="Heading3"/>
        <w:spacing w:line="272" w:lineRule="exact" w:before="26"/>
        <w:ind w:left="2503" w:right="0"/>
        <w:jc w:val="center"/>
        <w:rPr>
          <w:b w:val="0"/>
          <w:bCs w:val="0"/>
        </w:rPr>
      </w:pPr>
      <w:r>
        <w:rPr>
          <w:rFonts w:ascii="Arial" w:hAnsi="Arial" w:cs="Arial" w:eastAsia="Arial" w:hint="default"/>
        </w:rPr>
        <w:t>2007</w:t>
      </w:r>
      <w:r>
        <w:rPr>
          <w:rFonts w:ascii="Arial" w:hAnsi="Arial" w:cs="Arial" w:eastAsia="Arial" w:hint="default"/>
          <w:spacing w:val="-18"/>
        </w:rPr>
        <w:t> </w:t>
      </w:r>
      <w:r>
        <w:rPr/>
        <w:t>年度控股股东及其他关联方资金占用情况的</w:t>
      </w:r>
      <w:r>
        <w:rPr>
          <w:w w:val="99"/>
        </w:rPr>
        <w:t> </w:t>
      </w:r>
      <w:r>
        <w:rPr/>
        <w:t>专项说明</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30"/>
          <w:szCs w:val="30"/>
        </w:rPr>
      </w:pPr>
    </w:p>
    <w:p>
      <w:pPr>
        <w:pStyle w:val="Heading3"/>
        <w:spacing w:line="240" w:lineRule="auto"/>
        <w:ind w:left="256" w:right="0"/>
        <w:jc w:val="left"/>
        <w:rPr>
          <w:b w:val="0"/>
          <w:bCs w:val="0"/>
        </w:rPr>
      </w:pPr>
      <w:r>
        <w:rPr/>
        <w:t>京信核字</w:t>
      </w:r>
      <w:r>
        <w:rPr>
          <w:rFonts w:ascii="Arial" w:hAnsi="Arial" w:cs="Arial" w:eastAsia="Arial" w:hint="default"/>
        </w:rPr>
        <w:t>[2008]582</w:t>
      </w:r>
      <w:r>
        <w:rPr>
          <w:rFonts w:ascii="Arial" w:hAnsi="Arial" w:cs="Arial" w:eastAsia="Arial" w:hint="default"/>
          <w:spacing w:val="-14"/>
        </w:rPr>
        <w:t> </w:t>
      </w:r>
      <w:r>
        <w:rPr/>
        <w:t>号</w:t>
      </w:r>
      <w:r>
        <w:rPr>
          <w:b w:val="0"/>
          <w:bCs w:val="0"/>
        </w:rPr>
      </w:r>
    </w:p>
    <w:p>
      <w:pPr>
        <w:spacing w:after="0" w:line="240" w:lineRule="auto"/>
        <w:jc w:val="left"/>
        <w:sectPr>
          <w:type w:val="continuous"/>
          <w:pgSz w:w="12240" w:h="15840"/>
          <w:pgMar w:top="660" w:bottom="280" w:left="1380" w:right="1260"/>
          <w:cols w:num="2" w:equalWidth="0">
            <w:col w:w="7026" w:space="40"/>
            <w:col w:w="2534"/>
          </w:cols>
        </w:sectPr>
      </w:pPr>
    </w:p>
    <w:p>
      <w:pPr>
        <w:spacing w:line="240" w:lineRule="auto" w:before="13"/>
        <w:rPr>
          <w:rFonts w:ascii="宋体" w:hAnsi="宋体" w:cs="宋体" w:eastAsia="宋体" w:hint="default"/>
          <w:b/>
          <w:bCs/>
          <w:sz w:val="17"/>
          <w:szCs w:val="17"/>
        </w:rPr>
      </w:pPr>
    </w:p>
    <w:p>
      <w:pPr>
        <w:pStyle w:val="BodyText"/>
        <w:spacing w:line="240" w:lineRule="auto" w:before="35"/>
        <w:ind w:right="96"/>
        <w:jc w:val="left"/>
      </w:pPr>
      <w:r>
        <w:rPr/>
        <w:t>深圳市金证科技股份有限公司全体股东：</w:t>
      </w:r>
    </w:p>
    <w:p>
      <w:pPr>
        <w:spacing w:line="240" w:lineRule="auto" w:before="9"/>
        <w:rPr>
          <w:rFonts w:ascii="宋体" w:hAnsi="宋体" w:cs="宋体" w:eastAsia="宋体" w:hint="default"/>
          <w:sz w:val="25"/>
          <w:szCs w:val="25"/>
        </w:rPr>
      </w:pPr>
    </w:p>
    <w:p>
      <w:pPr>
        <w:pStyle w:val="BodyText"/>
        <w:spacing w:line="463" w:lineRule="auto"/>
        <w:ind w:left="144" w:right="203" w:firstLine="572"/>
        <w:jc w:val="left"/>
      </w:pPr>
      <w:r>
        <w:rPr/>
        <w:t>我们接受委托，已于</w:t>
      </w:r>
      <w:r>
        <w:rPr>
          <w:spacing w:val="-58"/>
        </w:rPr>
        <w:t> </w:t>
      </w:r>
      <w:r>
        <w:rPr>
          <w:rFonts w:ascii="Arial" w:hAnsi="Arial" w:cs="Arial" w:eastAsia="Arial" w:hint="default"/>
        </w:rPr>
        <w:t>2008</w:t>
      </w:r>
      <w:r>
        <w:rPr>
          <w:rFonts w:ascii="Arial" w:hAnsi="Arial" w:cs="Arial" w:eastAsia="Arial" w:hint="default"/>
          <w:spacing w:val="-11"/>
        </w:rPr>
        <w:t> </w:t>
      </w:r>
      <w:r>
        <w:rPr/>
        <w:t>年</w:t>
      </w:r>
      <w:r>
        <w:rPr>
          <w:spacing w:val="-58"/>
        </w:rPr>
        <w:t> </w:t>
      </w:r>
      <w:r>
        <w:rPr>
          <w:rFonts w:ascii="Arial" w:hAnsi="Arial" w:cs="Arial" w:eastAsia="Arial" w:hint="default"/>
        </w:rPr>
        <w:t>4</w:t>
      </w:r>
      <w:r>
        <w:rPr>
          <w:rFonts w:ascii="Arial" w:hAnsi="Arial" w:cs="Arial" w:eastAsia="Arial" w:hint="default"/>
          <w:spacing w:val="-11"/>
        </w:rPr>
        <w:t> </w:t>
      </w:r>
      <w:r>
        <w:rPr/>
        <w:t>月</w:t>
      </w:r>
      <w:r>
        <w:rPr>
          <w:spacing w:val="-58"/>
        </w:rPr>
        <w:t> </w:t>
      </w:r>
      <w:r>
        <w:rPr>
          <w:rFonts w:ascii="Arial" w:hAnsi="Arial" w:cs="Arial" w:eastAsia="Arial" w:hint="default"/>
        </w:rPr>
        <w:t>11</w:t>
      </w:r>
      <w:r>
        <w:rPr>
          <w:rFonts w:ascii="Arial" w:hAnsi="Arial" w:cs="Arial" w:eastAsia="Arial" w:hint="default"/>
          <w:spacing w:val="-11"/>
        </w:rPr>
        <w:t> </w:t>
      </w:r>
      <w:r>
        <w:rPr/>
        <w:t>日完成了对深圳市金证科技股份有限公司（以下简称“贵 公司”）</w:t>
      </w:r>
      <w:r>
        <w:rPr>
          <w:rFonts w:ascii="Arial" w:hAnsi="Arial" w:cs="Arial" w:eastAsia="Arial" w:hint="default"/>
        </w:rPr>
        <w:t>2007 </w:t>
      </w:r>
      <w:r>
        <w:rPr/>
        <w:t>年度财务报表的审计工作，并出具了京信审字</w:t>
      </w:r>
      <w:r>
        <w:rPr>
          <w:rFonts w:ascii="Arial" w:hAnsi="Arial" w:cs="Arial" w:eastAsia="Arial" w:hint="default"/>
        </w:rPr>
        <w:t>[2008]601</w:t>
      </w:r>
      <w:r>
        <w:rPr>
          <w:rFonts w:ascii="Arial" w:hAnsi="Arial" w:cs="Arial" w:eastAsia="Arial" w:hint="default"/>
          <w:spacing w:val="-22"/>
        </w:rPr>
        <w:t> </w:t>
      </w:r>
      <w:r>
        <w:rPr/>
        <w:t>号无保留意见的审计报告。</w:t>
      </w:r>
    </w:p>
    <w:p>
      <w:pPr>
        <w:pStyle w:val="BodyText"/>
        <w:spacing w:line="472" w:lineRule="auto" w:before="103"/>
        <w:ind w:left="144" w:right="97" w:firstLine="525"/>
        <w:jc w:val="left"/>
      </w:pPr>
      <w:r>
        <w:rPr>
          <w:spacing w:val="-3"/>
        </w:rPr>
        <w:t>根据中国证券监督管理委员会及国务院国有资产监督管理委员会《关于规范上市公司与关联方资</w:t>
      </w:r>
      <w:r>
        <w:rPr/>
        <w:t> 金往来及上市公司对外担保若干问题的通知》（证监发</w:t>
      </w:r>
      <w:r>
        <w:rPr>
          <w:rFonts w:ascii="Arial" w:hAnsi="Arial" w:cs="Arial" w:eastAsia="Arial" w:hint="default"/>
        </w:rPr>
        <w:t>[2003]56 </w:t>
      </w:r>
      <w:r>
        <w:rPr/>
        <w:t>号，以下简称“</w:t>
      </w:r>
      <w:r>
        <w:rPr>
          <w:rFonts w:ascii="Arial" w:hAnsi="Arial" w:cs="Arial" w:eastAsia="Arial" w:hint="default"/>
        </w:rPr>
        <w:t>56</w:t>
      </w:r>
      <w:r>
        <w:rPr>
          <w:rFonts w:ascii="Arial" w:hAnsi="Arial" w:cs="Arial" w:eastAsia="Arial" w:hint="default"/>
          <w:spacing w:val="-19"/>
        </w:rPr>
        <w:t> </w:t>
      </w:r>
      <w:r>
        <w:rPr/>
        <w:t>号文”）的要求， 贵公司编制了本专项说明所附的截止</w:t>
      </w:r>
      <w:r>
        <w:rPr>
          <w:spacing w:val="-54"/>
        </w:rPr>
        <w:t> </w:t>
      </w:r>
      <w:r>
        <w:rPr>
          <w:rFonts w:ascii="Arial" w:hAnsi="Arial" w:cs="Arial" w:eastAsia="Arial" w:hint="default"/>
        </w:rPr>
        <w:t>2007</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日贵公司控股股东及其他关联方资金占用情况 汇总表（以下简称“汇总表”）。贵公司的责任是如实编制汇总表并提供真实、合法、完整的有关资 金占用情况的全部资料。我们的责任是在实施年度财务报表审计工作的基础上，按</w:t>
      </w:r>
      <w:r>
        <w:rPr>
          <w:spacing w:val="-54"/>
        </w:rPr>
        <w:t> </w:t>
      </w:r>
      <w:r>
        <w:rPr>
          <w:rFonts w:ascii="Arial" w:hAnsi="Arial" w:cs="Arial" w:eastAsia="Arial" w:hint="default"/>
        </w:rPr>
        <w:t>56</w:t>
      </w:r>
      <w:r>
        <w:rPr>
          <w:rFonts w:ascii="Arial" w:hAnsi="Arial" w:cs="Arial" w:eastAsia="Arial" w:hint="default"/>
          <w:spacing w:val="-7"/>
        </w:rPr>
        <w:t> </w:t>
      </w:r>
      <w:r>
        <w:rPr/>
        <w:t>号文以及证监 会银监会关于规范上市公司对外担保行为的通知证监发</w:t>
      </w:r>
      <w:r>
        <w:rPr>
          <w:rFonts w:ascii="Arial" w:hAnsi="Arial" w:cs="Arial" w:eastAsia="Arial" w:hint="default"/>
        </w:rPr>
        <w:t>[2005]120</w:t>
      </w:r>
      <w:r>
        <w:rPr>
          <w:rFonts w:ascii="Arial" w:hAnsi="Arial" w:cs="Arial" w:eastAsia="Arial" w:hint="default"/>
          <w:spacing w:val="-14"/>
        </w:rPr>
        <w:t> </w:t>
      </w:r>
      <w:r>
        <w:rPr/>
        <w:t>号文的相关要求出具专项说明。</w:t>
      </w:r>
    </w:p>
    <w:p>
      <w:pPr>
        <w:pStyle w:val="BodyText"/>
        <w:spacing w:line="506" w:lineRule="auto" w:before="92"/>
        <w:ind w:left="714" w:right="96" w:hanging="72"/>
        <w:jc w:val="left"/>
      </w:pPr>
      <w:r>
        <w:rPr/>
        <w:t>截止</w:t>
      </w:r>
      <w:r>
        <w:rPr>
          <w:spacing w:val="-54"/>
        </w:rPr>
        <w:t> </w:t>
      </w:r>
      <w:r>
        <w:rPr>
          <w:rFonts w:ascii="Arial" w:hAnsi="Arial" w:cs="Arial" w:eastAsia="Arial" w:hint="default"/>
        </w:rPr>
        <w:t>2007</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日，贵公司不存在控股股东及其他关联方违规占用贵公司资金的情况。 </w:t>
      </w:r>
      <w:r>
        <w:rPr>
          <w:spacing w:val="-2"/>
        </w:rPr>
        <w:t>本专项说明仅供贵公司披露控股股东及其他关联方占用资金情况之用，不得用作任何其他目的。</w:t>
      </w:r>
    </w:p>
    <w:p>
      <w:pPr>
        <w:pStyle w:val="BodyText"/>
        <w:spacing w:line="489" w:lineRule="auto" w:before="51"/>
        <w:ind w:left="144" w:right="196"/>
        <w:jc w:val="left"/>
      </w:pPr>
      <w:r>
        <w:rPr/>
        <w:t>为了更好地理解贵公司的控股股东及其他关联方占用资金情况，后附汇总表应当与已审财务报表一并 阅读。</w:t>
      </w:r>
    </w:p>
    <w:p>
      <w:pPr>
        <w:spacing w:line="240" w:lineRule="auto" w:before="9"/>
        <w:rPr>
          <w:rFonts w:ascii="宋体" w:hAnsi="宋体" w:cs="宋体" w:eastAsia="宋体" w:hint="default"/>
          <w:sz w:val="14"/>
          <w:szCs w:val="14"/>
        </w:rPr>
      </w:pPr>
    </w:p>
    <w:p>
      <w:pPr>
        <w:pStyle w:val="Heading3"/>
        <w:tabs>
          <w:tab w:pos="4880" w:val="left" w:leader="none"/>
        </w:tabs>
        <w:spacing w:line="240" w:lineRule="auto"/>
        <w:ind w:left="355" w:right="96"/>
        <w:jc w:val="left"/>
        <w:rPr>
          <w:b w:val="0"/>
          <w:bCs w:val="0"/>
        </w:rPr>
      </w:pPr>
      <w:r>
        <w:rPr>
          <w:w w:val="95"/>
        </w:rPr>
        <w:t>北京立信会计师事务所有限公司</w:t>
        <w:tab/>
      </w:r>
      <w:r>
        <w:rPr/>
        <w:t>中国注册会计师：周珊珊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type w:val="continuous"/>
          <w:pgSz w:w="12240" w:h="15840"/>
          <w:pgMar w:top="660" w:bottom="280" w:left="1380" w:right="1260"/>
        </w:sectPr>
      </w:pPr>
    </w:p>
    <w:p>
      <w:pPr>
        <w:pStyle w:val="Heading3"/>
        <w:spacing w:line="240" w:lineRule="auto" w:before="35"/>
        <w:ind w:left="1298" w:right="0"/>
        <w:jc w:val="left"/>
        <w:rPr>
          <w:b w:val="0"/>
          <w:bCs w:val="0"/>
        </w:rPr>
      </w:pPr>
      <w:r>
        <w:rPr>
          <w:w w:val="95"/>
        </w:rPr>
        <w:t>中国·北京</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13"/>
          <w:szCs w:val="13"/>
        </w:rPr>
      </w:pPr>
    </w:p>
    <w:p>
      <w:pPr>
        <w:spacing w:line="355" w:lineRule="auto" w:before="0"/>
        <w:ind w:left="1404" w:right="447" w:hanging="106"/>
        <w:jc w:val="left"/>
        <w:rPr>
          <w:rFonts w:ascii="宋体" w:hAnsi="宋体" w:cs="宋体" w:eastAsia="宋体" w:hint="default"/>
          <w:sz w:val="21"/>
          <w:szCs w:val="21"/>
        </w:rPr>
      </w:pPr>
      <w:r>
        <w:rPr>
          <w:rFonts w:ascii="宋体" w:hAnsi="宋体" w:cs="宋体" w:eastAsia="宋体" w:hint="default"/>
          <w:b/>
          <w:bCs/>
          <w:w w:val="95"/>
          <w:sz w:val="21"/>
          <w:szCs w:val="21"/>
        </w:rPr>
        <w:t>中国注册会计师：夏如意</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二○○八年四月十一日</w:t>
      </w:r>
    </w:p>
    <w:p>
      <w:pPr>
        <w:spacing w:after="0" w:line="355" w:lineRule="auto"/>
        <w:jc w:val="left"/>
        <w:rPr>
          <w:rFonts w:ascii="宋体" w:hAnsi="宋体" w:cs="宋体" w:eastAsia="宋体" w:hint="default"/>
          <w:sz w:val="21"/>
          <w:szCs w:val="21"/>
        </w:rPr>
        <w:sectPr>
          <w:type w:val="continuous"/>
          <w:pgSz w:w="12240" w:h="15840"/>
          <w:pgMar w:top="660" w:bottom="280" w:left="1380" w:right="1260"/>
          <w:cols w:num="2" w:equalWidth="0">
            <w:col w:w="2353" w:space="1219"/>
            <w:col w:w="6028"/>
          </w:cols>
        </w:sectPr>
      </w:pPr>
    </w:p>
    <w:p>
      <w:pPr>
        <w:spacing w:line="240" w:lineRule="auto" w:before="5"/>
        <w:rPr>
          <w:rFonts w:ascii="宋体" w:hAnsi="宋体" w:cs="宋体" w:eastAsia="宋体" w:hint="default"/>
          <w:sz w:val="24"/>
          <w:szCs w:val="24"/>
        </w:rPr>
      </w:pPr>
    </w:p>
    <w:p>
      <w:pPr>
        <w:pStyle w:val="BodyText"/>
        <w:spacing w:line="240" w:lineRule="auto" w:before="35"/>
        <w:ind w:left="845" w:right="0"/>
        <w:jc w:val="left"/>
      </w:pPr>
      <w:r>
        <w:rPr/>
        <w:t>附件一：深圳市金证科技股份有限公司控股股东及其他关联方资金占用情况汇总表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2413" w:right="0" w:firstLine="0"/>
        <w:jc w:val="left"/>
        <w:rPr>
          <w:rFonts w:ascii="宋体" w:hAnsi="宋体" w:cs="宋体" w:eastAsia="宋体" w:hint="default"/>
          <w:sz w:val="32"/>
          <w:szCs w:val="32"/>
        </w:rPr>
      </w:pPr>
      <w:r>
        <w:rPr>
          <w:rFonts w:ascii="宋体" w:hAnsi="宋体" w:cs="宋体" w:eastAsia="宋体" w:hint="default"/>
          <w:b/>
          <w:bCs/>
          <w:sz w:val="32"/>
          <w:szCs w:val="32"/>
        </w:rPr>
        <w:t>控股股东及其他关联方资金占用情况汇总表</w:t>
      </w:r>
      <w:r>
        <w:rPr>
          <w:rFonts w:ascii="宋体" w:hAnsi="宋体" w:cs="宋体" w:eastAsia="宋体" w:hint="default"/>
          <w:sz w:val="32"/>
          <w:szCs w:val="32"/>
        </w:rPr>
      </w:r>
    </w:p>
    <w:p>
      <w:pPr>
        <w:spacing w:line="240" w:lineRule="auto" w:before="6"/>
        <w:rPr>
          <w:rFonts w:ascii="宋体" w:hAnsi="宋体" w:cs="宋体" w:eastAsia="宋体" w:hint="default"/>
          <w:b/>
          <w:bCs/>
          <w:sz w:val="26"/>
          <w:szCs w:val="26"/>
        </w:rPr>
      </w:pPr>
    </w:p>
    <w:p>
      <w:pPr>
        <w:tabs>
          <w:tab w:pos="6966" w:val="left" w:leader="none"/>
          <w:tab w:pos="8981" w:val="left" w:leader="none"/>
        </w:tabs>
        <w:spacing w:before="0"/>
        <w:ind w:left="305" w:right="0" w:firstLine="0"/>
        <w:jc w:val="left"/>
        <w:rPr>
          <w:rFonts w:ascii="宋体" w:hAnsi="宋体" w:cs="宋体" w:eastAsia="宋体" w:hint="default"/>
          <w:sz w:val="18"/>
          <w:szCs w:val="18"/>
        </w:rPr>
      </w:pPr>
      <w:r>
        <w:rPr>
          <w:rFonts w:ascii="宋体" w:hAnsi="宋体" w:cs="宋体" w:eastAsia="宋体" w:hint="default"/>
          <w:sz w:val="18"/>
          <w:szCs w:val="18"/>
        </w:rPr>
        <w:t>编制单位：深圳市金证科技股份有限公司</w:t>
        <w:tab/>
      </w: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w:t>
        <w:tab/>
        <w:t>单位：万元</w:t>
      </w:r>
    </w:p>
    <w:tbl>
      <w:tblPr>
        <w:tblW w:w="0" w:type="auto"/>
        <w:jc w:val="left"/>
        <w:tblInd w:w="115" w:type="dxa"/>
        <w:tblLayout w:type="fixed"/>
        <w:tblCellMar>
          <w:top w:w="0" w:type="dxa"/>
          <w:left w:w="0" w:type="dxa"/>
          <w:bottom w:w="0" w:type="dxa"/>
          <w:right w:w="0" w:type="dxa"/>
        </w:tblCellMar>
        <w:tblLook w:val="01E0"/>
      </w:tblPr>
      <w:tblGrid>
        <w:gridCol w:w="1260"/>
        <w:gridCol w:w="900"/>
        <w:gridCol w:w="1080"/>
        <w:gridCol w:w="900"/>
        <w:gridCol w:w="900"/>
        <w:gridCol w:w="900"/>
        <w:gridCol w:w="900"/>
        <w:gridCol w:w="900"/>
        <w:gridCol w:w="900"/>
        <w:gridCol w:w="720"/>
        <w:gridCol w:w="900"/>
      </w:tblGrid>
      <w:tr>
        <w:trPr>
          <w:trHeight w:val="886" w:hRule="exact"/>
        </w:trPr>
        <w:tc>
          <w:tcPr>
            <w:tcW w:w="126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32" w:lineRule="exact"/>
              <w:ind w:left="529" w:right="84" w:hanging="450"/>
              <w:jc w:val="left"/>
              <w:rPr>
                <w:rFonts w:ascii="宋体" w:hAnsi="宋体" w:cs="宋体" w:eastAsia="宋体" w:hint="default"/>
                <w:sz w:val="18"/>
                <w:szCs w:val="18"/>
              </w:rPr>
            </w:pPr>
            <w:r>
              <w:rPr>
                <w:rFonts w:ascii="宋体" w:hAnsi="宋体" w:cs="宋体" w:eastAsia="宋体" w:hint="default"/>
                <w:sz w:val="18"/>
                <w:szCs w:val="18"/>
              </w:rPr>
              <w:t>资金占用方类 别</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32" w:lineRule="exact"/>
              <w:ind w:left="175" w:right="83" w:hanging="90"/>
              <w:jc w:val="left"/>
              <w:rPr>
                <w:rFonts w:ascii="宋体" w:hAnsi="宋体" w:cs="宋体" w:eastAsia="宋体" w:hint="default"/>
                <w:sz w:val="18"/>
                <w:szCs w:val="18"/>
              </w:rPr>
            </w:pPr>
            <w:r>
              <w:rPr>
                <w:rFonts w:ascii="宋体" w:hAnsi="宋体" w:cs="宋体" w:eastAsia="宋体" w:hint="default"/>
                <w:sz w:val="18"/>
                <w:szCs w:val="18"/>
              </w:rPr>
              <w:t>资金占用 方名称</w:t>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142"/>
              <w:ind w:left="85" w:right="83"/>
              <w:jc w:val="center"/>
              <w:rPr>
                <w:rFonts w:ascii="宋体" w:hAnsi="宋体" w:cs="宋体" w:eastAsia="宋体" w:hint="default"/>
                <w:sz w:val="18"/>
                <w:szCs w:val="18"/>
              </w:rPr>
            </w:pPr>
            <w:r>
              <w:rPr>
                <w:rFonts w:ascii="宋体" w:hAnsi="宋体" w:cs="宋体" w:eastAsia="宋体" w:hint="default"/>
                <w:sz w:val="18"/>
                <w:szCs w:val="18"/>
              </w:rPr>
              <w:t>占用方与上 市公司的关 联关系</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142"/>
              <w:ind w:left="85" w:right="83"/>
              <w:jc w:val="both"/>
              <w:rPr>
                <w:rFonts w:ascii="宋体" w:hAnsi="宋体" w:cs="宋体" w:eastAsia="宋体" w:hint="default"/>
                <w:sz w:val="18"/>
                <w:szCs w:val="18"/>
              </w:rPr>
            </w:pPr>
            <w:r>
              <w:rPr>
                <w:rFonts w:ascii="宋体" w:hAnsi="宋体" w:cs="宋体" w:eastAsia="宋体" w:hint="default"/>
                <w:sz w:val="18"/>
                <w:szCs w:val="18"/>
              </w:rPr>
              <w:t>上市公司 核算的会 计科目</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32" w:lineRule="auto" w:before="146"/>
              <w:ind w:left="85" w:right="40" w:hanging="43"/>
              <w:jc w:val="both"/>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年期 初占用资 金余额</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32" w:lineRule="auto" w:before="146"/>
              <w:ind w:left="85" w:right="40" w:hanging="43"/>
              <w:jc w:val="both"/>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年度 占用累计 发生金额</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32" w:lineRule="auto" w:before="146"/>
              <w:ind w:left="85" w:right="41" w:hanging="44"/>
              <w:jc w:val="both"/>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年度 占用资金 的利息</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32" w:lineRule="auto" w:before="146"/>
              <w:ind w:left="85" w:right="40" w:hanging="43"/>
              <w:jc w:val="both"/>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年度 偿还累计 发生金额</w:t>
            </w: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32" w:lineRule="auto" w:before="146"/>
              <w:ind w:left="86" w:right="40" w:hanging="43"/>
              <w:jc w:val="both"/>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年期 末占用资 金余额</w:t>
            </w:r>
          </w:p>
        </w:tc>
        <w:tc>
          <w:tcPr>
            <w:tcW w:w="7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32" w:lineRule="exact"/>
              <w:ind w:left="86" w:right="82"/>
              <w:jc w:val="left"/>
              <w:rPr>
                <w:rFonts w:ascii="宋体" w:hAnsi="宋体" w:cs="宋体" w:eastAsia="宋体" w:hint="default"/>
                <w:sz w:val="18"/>
                <w:szCs w:val="18"/>
              </w:rPr>
            </w:pPr>
            <w:r>
              <w:rPr>
                <w:rFonts w:ascii="宋体" w:hAnsi="宋体" w:cs="宋体" w:eastAsia="宋体" w:hint="default"/>
                <w:sz w:val="18"/>
                <w:szCs w:val="18"/>
              </w:rPr>
              <w:t>占用形 成原因</w:t>
            </w:r>
          </w:p>
        </w:tc>
        <w:tc>
          <w:tcPr>
            <w:tcW w:w="90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86" w:right="0"/>
              <w:jc w:val="left"/>
              <w:rPr>
                <w:rFonts w:ascii="宋体" w:hAnsi="宋体" w:cs="宋体" w:eastAsia="宋体" w:hint="default"/>
                <w:sz w:val="18"/>
                <w:szCs w:val="18"/>
              </w:rPr>
            </w:pPr>
            <w:r>
              <w:rPr>
                <w:rFonts w:ascii="宋体" w:hAnsi="宋体" w:cs="宋体" w:eastAsia="宋体" w:hint="default"/>
                <w:sz w:val="18"/>
                <w:szCs w:val="18"/>
              </w:rPr>
              <w:t>占用性质</w:t>
            </w:r>
          </w:p>
        </w:tc>
      </w:tr>
      <w:tr>
        <w:trPr>
          <w:trHeight w:val="285" w:hRule="exact"/>
        </w:trPr>
        <w:tc>
          <w:tcPr>
            <w:tcW w:w="1260" w:type="dxa"/>
            <w:tcBorders>
              <w:top w:val="single" w:sz="4" w:space="0" w:color="000000"/>
              <w:left w:val="single" w:sz="8"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杜宣</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24" w:lineRule="exact"/>
              <w:ind w:left="28" w:right="0"/>
              <w:jc w:val="left"/>
              <w:rPr>
                <w:rFonts w:ascii="Arial" w:hAnsi="Arial" w:cs="Arial" w:eastAsia="Arial" w:hint="default"/>
                <w:sz w:val="18"/>
                <w:szCs w:val="18"/>
              </w:rPr>
            </w:pPr>
            <w:r>
              <w:rPr>
                <w:rFonts w:ascii="宋体" w:hAnsi="宋体" w:cs="宋体" w:eastAsia="宋体" w:hint="default"/>
                <w:sz w:val="18"/>
                <w:szCs w:val="18"/>
              </w:rPr>
              <w:t>持股</w:t>
            </w:r>
            <w:r>
              <w:rPr>
                <w:rFonts w:ascii="宋体" w:hAnsi="宋体" w:cs="宋体" w:eastAsia="宋体" w:hint="default"/>
                <w:spacing w:val="-51"/>
                <w:sz w:val="18"/>
                <w:szCs w:val="18"/>
              </w:rPr>
              <w:t> </w:t>
            </w:r>
            <w:r>
              <w:rPr>
                <w:rFonts w:ascii="Arial" w:hAnsi="Arial" w:cs="Arial" w:eastAsia="Arial" w:hint="default"/>
                <w:sz w:val="18"/>
                <w:szCs w:val="18"/>
              </w:rPr>
              <w:t>12.52%</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11" w:lineRule="exact"/>
              <w:ind w:left="35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11" w:lineRule="exact"/>
              <w:ind w:right="353"/>
              <w:jc w:val="righ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11" w:lineRule="exact"/>
              <w:ind w:left="35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8" w:space="0" w:color="000000"/>
            </w:tcBorders>
          </w:tcPr>
          <w:p>
            <w:pPr/>
          </w:p>
        </w:tc>
      </w:tr>
      <w:tr>
        <w:trPr>
          <w:trHeight w:val="312" w:hRule="exact"/>
        </w:trPr>
        <w:tc>
          <w:tcPr>
            <w:tcW w:w="1260" w:type="dxa"/>
            <w:tcBorders>
              <w:top w:val="nil" w:sz="6" w:space="0" w:color="auto"/>
              <w:left w:val="single" w:sz="8" w:space="0" w:color="000000"/>
              <w:bottom w:val="nil" w:sz="6" w:space="0" w:color="auto"/>
              <w:right w:val="single" w:sz="4" w:space="0" w:color="000000"/>
            </w:tcBorders>
          </w:tcPr>
          <w:p>
            <w:pPr>
              <w:pStyle w:val="TableParagraph"/>
              <w:spacing w:line="240" w:lineRule="auto" w:before="5"/>
              <w:ind w:left="4" w:right="-20"/>
              <w:jc w:val="center"/>
              <w:rPr>
                <w:rFonts w:ascii="宋体" w:hAnsi="宋体" w:cs="宋体" w:eastAsia="宋体" w:hint="default"/>
                <w:sz w:val="18"/>
                <w:szCs w:val="18"/>
              </w:rPr>
            </w:pPr>
            <w:r>
              <w:rPr>
                <w:rFonts w:ascii="宋体" w:hAnsi="宋体" w:cs="宋体" w:eastAsia="宋体" w:hint="default"/>
                <w:spacing w:val="25"/>
                <w:sz w:val="18"/>
                <w:szCs w:val="18"/>
              </w:rPr>
              <w:t>控股股东实际</w:t>
            </w:r>
            <w:r>
              <w:rPr>
                <w:rFonts w:ascii="宋体" w:hAnsi="宋体" w:cs="宋体" w:eastAsia="宋体" w:hint="default"/>
                <w:spacing w:val="-60"/>
                <w:sz w:val="18"/>
                <w:szCs w:val="18"/>
              </w:rPr>
              <w:t> </w:t>
            </w:r>
            <w:r>
              <w:rPr>
                <w:rFonts w:ascii="宋体" w:hAnsi="宋体" w:cs="宋体" w:eastAsia="宋体" w:hint="default"/>
                <w:sz w:val="18"/>
                <w:szCs w:val="18"/>
              </w:rPr>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8" w:space="0" w:color="000000"/>
            </w:tcBorders>
          </w:tcPr>
          <w:p>
            <w:pPr/>
          </w:p>
        </w:tc>
      </w:tr>
      <w:tr>
        <w:trPr>
          <w:trHeight w:val="364" w:hRule="exact"/>
        </w:trPr>
        <w:tc>
          <w:tcPr>
            <w:tcW w:w="1260" w:type="dxa"/>
            <w:tcBorders>
              <w:top w:val="nil" w:sz="6" w:space="0" w:color="auto"/>
              <w:left w:val="single" w:sz="8" w:space="0" w:color="000000"/>
              <w:bottom w:val="nil" w:sz="6" w:space="0" w:color="auto"/>
              <w:right w:val="single" w:sz="4" w:space="0" w:color="000000"/>
            </w:tcBorders>
          </w:tcPr>
          <w:p>
            <w:pPr>
              <w:pStyle w:val="TableParagraph"/>
              <w:spacing w:line="240" w:lineRule="auto" w:before="43"/>
              <w:ind w:left="4" w:right="-20"/>
              <w:jc w:val="center"/>
              <w:rPr>
                <w:rFonts w:ascii="宋体" w:hAnsi="宋体" w:cs="宋体" w:eastAsia="宋体" w:hint="default"/>
                <w:sz w:val="18"/>
                <w:szCs w:val="18"/>
              </w:rPr>
            </w:pPr>
            <w:r>
              <w:rPr>
                <w:rFonts w:ascii="宋体" w:hAnsi="宋体" w:cs="宋体" w:eastAsia="宋体" w:hint="default"/>
                <w:spacing w:val="25"/>
                <w:sz w:val="18"/>
                <w:szCs w:val="18"/>
              </w:rPr>
              <w:t>控制人及其附</w:t>
            </w:r>
            <w:r>
              <w:rPr>
                <w:rFonts w:ascii="宋体" w:hAnsi="宋体" w:cs="宋体" w:eastAsia="宋体" w:hint="default"/>
                <w:spacing w:val="-60"/>
                <w:sz w:val="18"/>
                <w:szCs w:val="18"/>
              </w:rPr>
              <w:t> </w:t>
            </w:r>
            <w:r>
              <w:rPr>
                <w:rFonts w:ascii="宋体" w:hAnsi="宋体" w:cs="宋体" w:eastAsia="宋体" w:hint="default"/>
                <w:sz w:val="18"/>
                <w:szCs w:val="18"/>
              </w:rPr>
            </w:r>
          </w:p>
        </w:tc>
        <w:tc>
          <w:tcPr>
            <w:tcW w:w="900" w:type="dxa"/>
            <w:vMerge w:val="restart"/>
            <w:tcBorders>
              <w:top w:val="single" w:sz="4" w:space="0" w:color="000000"/>
              <w:left w:val="single" w:sz="4" w:space="0" w:color="000000"/>
              <w:right w:val="single" w:sz="4" w:space="0" w:color="000000"/>
            </w:tcBorders>
          </w:tcPr>
          <w:p>
            <w:pPr>
              <w:pStyle w:val="TableParagraph"/>
              <w:spacing w:line="211" w:lineRule="exact"/>
              <w:ind w:left="265"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080" w:type="dxa"/>
            <w:vMerge w:val="restart"/>
            <w:tcBorders>
              <w:top w:val="single" w:sz="4" w:space="0" w:color="000000"/>
              <w:left w:val="single" w:sz="4" w:space="0" w:color="000000"/>
              <w:right w:val="single" w:sz="4" w:space="0" w:color="000000"/>
            </w:tcBorders>
          </w:tcPr>
          <w:p>
            <w:pPr>
              <w:pStyle w:val="TableParagraph"/>
              <w:spacing w:line="224" w:lineRule="exact"/>
              <w:ind w:left="34" w:right="0"/>
              <w:jc w:val="left"/>
              <w:rPr>
                <w:rFonts w:ascii="Arial" w:hAnsi="Arial" w:cs="Arial" w:eastAsia="Arial"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Arial" w:hAnsi="Arial" w:cs="Arial" w:eastAsia="Arial" w:hint="default"/>
                <w:spacing w:val="-3"/>
                <w:sz w:val="18"/>
                <w:szCs w:val="18"/>
              </w:rPr>
              <w:t>11.89%</w:t>
            </w:r>
          </w:p>
        </w:tc>
        <w:tc>
          <w:tcPr>
            <w:tcW w:w="900" w:type="dxa"/>
            <w:vMerge w:val="restart"/>
            <w:tcBorders>
              <w:top w:val="single" w:sz="4" w:space="0" w:color="000000"/>
              <w:left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vMerge w:val="restart"/>
            <w:tcBorders>
              <w:top w:val="single" w:sz="4" w:space="0" w:color="000000"/>
              <w:left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vMerge w:val="restart"/>
            <w:tcBorders>
              <w:top w:val="single" w:sz="4" w:space="0" w:color="000000"/>
              <w:left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vMerge w:val="restart"/>
            <w:tcBorders>
              <w:top w:val="single" w:sz="4" w:space="0" w:color="000000"/>
              <w:left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vMerge w:val="restart"/>
            <w:tcBorders>
              <w:top w:val="single" w:sz="4" w:space="0" w:color="000000"/>
              <w:left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vMerge w:val="restart"/>
            <w:tcBorders>
              <w:top w:val="single" w:sz="4" w:space="0" w:color="000000"/>
              <w:left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8" w:space="0" w:color="000000"/>
            </w:tcBorders>
          </w:tcPr>
          <w:p>
            <w:pPr/>
          </w:p>
        </w:tc>
      </w:tr>
      <w:tr>
        <w:trPr>
          <w:trHeight w:val="235" w:hRule="exact"/>
        </w:trPr>
        <w:tc>
          <w:tcPr>
            <w:tcW w:w="1260" w:type="dxa"/>
            <w:vMerge w:val="restart"/>
            <w:tcBorders>
              <w:top w:val="nil" w:sz="6" w:space="0" w:color="auto"/>
              <w:left w:val="single" w:sz="8"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属企业</w:t>
            </w:r>
          </w:p>
        </w:tc>
        <w:tc>
          <w:tcPr>
            <w:tcW w:w="90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8" w:space="0" w:color="000000"/>
            </w:tcBorders>
          </w:tcPr>
          <w:p>
            <w:pPr/>
          </w:p>
        </w:tc>
      </w:tr>
      <w:tr>
        <w:trPr>
          <w:trHeight w:val="599" w:hRule="exact"/>
        </w:trPr>
        <w:tc>
          <w:tcPr>
            <w:tcW w:w="1260" w:type="dxa"/>
            <w:vMerge/>
            <w:tcBorders>
              <w:left w:val="single" w:sz="8" w:space="0" w:color="000000"/>
              <w:bottom w:val="nil" w:sz="6" w:space="0" w:color="auto"/>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徐岷波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8" w:right="0"/>
              <w:jc w:val="left"/>
              <w:rPr>
                <w:rFonts w:ascii="Arial" w:hAnsi="Arial" w:cs="Arial" w:eastAsia="Arial" w:hint="default"/>
                <w:sz w:val="18"/>
                <w:szCs w:val="18"/>
              </w:rPr>
            </w:pPr>
            <w:r>
              <w:rPr>
                <w:rFonts w:ascii="宋体" w:hAnsi="宋体" w:cs="宋体" w:eastAsia="宋体" w:hint="default"/>
                <w:sz w:val="18"/>
                <w:szCs w:val="18"/>
              </w:rPr>
              <w:t>持股</w:t>
            </w:r>
            <w:r>
              <w:rPr>
                <w:rFonts w:ascii="宋体" w:hAnsi="宋体" w:cs="宋体" w:eastAsia="宋体" w:hint="default"/>
                <w:spacing w:val="-51"/>
                <w:sz w:val="18"/>
                <w:szCs w:val="18"/>
              </w:rPr>
              <w:t> </w:t>
            </w:r>
            <w:r>
              <w:rPr>
                <w:rFonts w:ascii="Arial" w:hAnsi="Arial" w:cs="Arial" w:eastAsia="Arial" w:hint="default"/>
                <w:sz w:val="18"/>
                <w:szCs w:val="18"/>
              </w:rPr>
              <w:t>12.09%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5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353"/>
              <w:jc w:val="righ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5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8" w:space="0" w:color="000000"/>
            </w:tcBorders>
          </w:tcPr>
          <w:p>
            <w:pPr/>
          </w:p>
        </w:tc>
      </w:tr>
      <w:tr>
        <w:trPr>
          <w:trHeight w:val="802" w:hRule="exact"/>
        </w:trPr>
        <w:tc>
          <w:tcPr>
            <w:tcW w:w="1260" w:type="dxa"/>
            <w:tcBorders>
              <w:top w:val="nil" w:sz="6" w:space="0" w:color="auto"/>
              <w:left w:val="single" w:sz="8"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李结义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4" w:right="0"/>
              <w:jc w:val="left"/>
              <w:rPr>
                <w:rFonts w:ascii="Arial" w:hAnsi="Arial" w:cs="Arial" w:eastAsia="Arial"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Arial" w:hAnsi="Arial" w:cs="Arial" w:eastAsia="Arial" w:hint="default"/>
                <w:spacing w:val="-3"/>
                <w:sz w:val="18"/>
                <w:szCs w:val="18"/>
              </w:rPr>
              <w:t>11.42%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8" w:space="0" w:color="000000"/>
            </w:tcBorders>
          </w:tcPr>
          <w:p>
            <w:pPr/>
          </w:p>
        </w:tc>
      </w:tr>
      <w:tr>
        <w:trPr>
          <w:trHeight w:val="600" w:hRule="exact"/>
        </w:trPr>
        <w:tc>
          <w:tcPr>
            <w:tcW w:w="1260" w:type="dxa"/>
            <w:tcBorders>
              <w:top w:val="single" w:sz="4" w:space="0" w:color="000000"/>
              <w:left w:val="single" w:sz="8" w:space="0" w:color="000000"/>
              <w:bottom w:val="single" w:sz="4" w:space="0" w:color="000000"/>
              <w:right w:val="single" w:sz="4" w:space="0" w:color="000000"/>
            </w:tcBorders>
          </w:tcPr>
          <w:p>
            <w:pPr>
              <w:pStyle w:val="TableParagraph"/>
              <w:spacing w:line="211"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5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353"/>
              <w:jc w:val="righ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5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8" w:space="0" w:color="000000"/>
            </w:tcBorders>
          </w:tcPr>
          <w:p>
            <w:pPr/>
          </w:p>
        </w:tc>
      </w:tr>
    </w:tbl>
    <w:p>
      <w:pPr>
        <w:pStyle w:val="BodyText"/>
        <w:spacing w:line="255" w:lineRule="exact"/>
        <w:ind w:left="845" w:right="0"/>
        <w:jc w:val="both"/>
      </w:pPr>
      <w:r>
        <w:rPr/>
        <w:t>公司法定代表人：杜宣     主管会计机构负责人：周永洪       会计机构负责人</w:t>
      </w:r>
      <w:r>
        <w:rPr>
          <w:spacing w:val="101"/>
        </w:rPr>
        <w:t> </w:t>
      </w:r>
      <w:r>
        <w:rPr/>
        <w:t>周永洪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1"/>
        <w:spacing w:line="240" w:lineRule="auto"/>
        <w:ind w:left="845" w:right="0"/>
        <w:jc w:val="both"/>
        <w:rPr>
          <w:b w:val="0"/>
          <w:bCs w:val="0"/>
        </w:rPr>
      </w:pPr>
      <w:bookmarkStart w:name="_TOC_250003" w:id="8"/>
      <w:r>
        <w:rPr/>
        <w:t>九、监事会报告</w:t>
      </w:r>
      <w:bookmarkEnd w:id="8"/>
      <w:r>
        <w:rPr>
          <w:b w:val="0"/>
          <w:bCs w:val="0"/>
        </w:rPr>
      </w: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21"/>
          <w:szCs w:val="21"/>
        </w:rPr>
      </w:pPr>
    </w:p>
    <w:p>
      <w:pPr>
        <w:pStyle w:val="BodyText"/>
        <w:spacing w:line="240" w:lineRule="auto"/>
        <w:ind w:left="1265" w:right="0"/>
        <w:jc w:val="left"/>
      </w:pPr>
      <w:r>
        <w:rPr/>
        <w:t>(一)监事会的工作情况</w:t>
      </w:r>
    </w:p>
    <w:p>
      <w:pPr>
        <w:spacing w:line="240" w:lineRule="auto" w:before="9"/>
        <w:rPr>
          <w:rFonts w:ascii="宋体" w:hAnsi="宋体" w:cs="宋体" w:eastAsia="宋体" w:hint="default"/>
          <w:sz w:val="18"/>
          <w:szCs w:val="18"/>
        </w:rPr>
      </w:pPr>
    </w:p>
    <w:p>
      <w:pPr>
        <w:pStyle w:val="BodyText"/>
        <w:spacing w:line="240" w:lineRule="auto"/>
        <w:ind w:left="1265" w:right="0"/>
        <w:jc w:val="left"/>
      </w:pPr>
      <w:r>
        <w:rPr/>
        <w:t>1</w:t>
      </w:r>
      <w:r>
        <w:rPr>
          <w:spacing w:val="-105"/>
        </w:rPr>
        <w:t>、</w:t>
      </w:r>
      <w:r>
        <w:rPr>
          <w:spacing w:val="-1"/>
        </w:rPr>
        <w:t>公司第二届监事</w:t>
      </w:r>
      <w:r>
        <w:rPr/>
        <w:t>会</w:t>
      </w:r>
      <w:r>
        <w:rPr>
          <w:spacing w:val="-53"/>
        </w:rPr>
        <w:t> </w:t>
      </w:r>
      <w:r>
        <w:rPr>
          <w:spacing w:val="-1"/>
        </w:rPr>
        <w:t>200</w:t>
      </w:r>
      <w:r>
        <w:rPr/>
        <w:t>7</w:t>
      </w:r>
      <w:r>
        <w:rPr>
          <w:spacing w:val="-52"/>
        </w:rPr>
        <w:t> </w:t>
      </w:r>
      <w:r>
        <w:rPr>
          <w:spacing w:val="-1"/>
        </w:rPr>
        <w:t>年第一次</w:t>
      </w:r>
      <w:r>
        <w:rPr>
          <w:spacing w:val="-2"/>
        </w:rPr>
        <w:t>会</w:t>
      </w:r>
      <w:r>
        <w:rPr>
          <w:spacing w:val="-1"/>
        </w:rPr>
        <w:t>议</w:t>
      </w:r>
      <w:r>
        <w:rPr/>
        <w:t>于</w:t>
      </w:r>
      <w:r>
        <w:rPr>
          <w:spacing w:val="-53"/>
        </w:rPr>
        <w:t> </w:t>
      </w:r>
      <w:r>
        <w:rPr>
          <w:spacing w:val="-1"/>
        </w:rPr>
        <w:t>200</w:t>
      </w:r>
      <w:r>
        <w:rPr/>
        <w:t>7</w:t>
      </w:r>
      <w:r>
        <w:rPr>
          <w:spacing w:val="-52"/>
        </w:rPr>
        <w:t> </w:t>
      </w:r>
      <w:r>
        <w:rPr/>
        <w:t>年</w:t>
      </w:r>
      <w:r>
        <w:rPr>
          <w:spacing w:val="-54"/>
        </w:rPr>
        <w:t> </w:t>
      </w:r>
      <w:r>
        <w:rPr/>
        <w:t>3</w:t>
      </w:r>
      <w:r>
        <w:rPr>
          <w:spacing w:val="-52"/>
        </w:rPr>
        <w:t> </w:t>
      </w:r>
      <w:r>
        <w:rPr/>
        <w:t>月</w:t>
      </w:r>
      <w:r>
        <w:rPr>
          <w:spacing w:val="-54"/>
        </w:rPr>
        <w:t> </w:t>
      </w:r>
      <w:r>
        <w:rPr/>
        <w:t>30</w:t>
      </w:r>
      <w:r>
        <w:rPr>
          <w:spacing w:val="-52"/>
        </w:rPr>
        <w:t> </w:t>
      </w:r>
      <w:r>
        <w:rPr>
          <w:spacing w:val="-1"/>
        </w:rPr>
        <w:t>日</w:t>
      </w:r>
      <w:r>
        <w:rPr>
          <w:spacing w:val="-2"/>
        </w:rPr>
        <w:t>下</w:t>
      </w:r>
      <w:r>
        <w:rPr/>
        <w:t>午</w:t>
      </w:r>
      <w:r>
        <w:rPr>
          <w:spacing w:val="-53"/>
        </w:rPr>
        <w:t> </w:t>
      </w:r>
      <w:r>
        <w:rPr>
          <w:spacing w:val="-1"/>
        </w:rPr>
        <w:t>1</w:t>
      </w:r>
      <w:r>
        <w:rPr/>
        <w:t>4</w:t>
      </w:r>
      <w:r>
        <w:rPr>
          <w:spacing w:val="-52"/>
        </w:rPr>
        <w:t> </w:t>
      </w:r>
      <w:r>
        <w:rPr>
          <w:spacing w:val="-1"/>
        </w:rPr>
        <w:t>时在</w:t>
      </w:r>
      <w:r>
        <w:rPr>
          <w:spacing w:val="-2"/>
        </w:rPr>
        <w:t>深</w:t>
      </w:r>
      <w:r>
        <w:rPr>
          <w:spacing w:val="-1"/>
        </w:rPr>
        <w:t>圳市福华</w:t>
      </w:r>
      <w:r>
        <w:rPr/>
        <w:t>路</w:t>
      </w:r>
      <w:r>
        <w:rPr>
          <w:spacing w:val="-53"/>
        </w:rPr>
        <w:t> </w:t>
      </w:r>
      <w:r>
        <w:rPr>
          <w:spacing w:val="-1"/>
        </w:rPr>
        <w:t>32</w:t>
      </w:r>
      <w:r>
        <w:rPr/>
        <w:t>2</w:t>
      </w:r>
      <w:r>
        <w:rPr>
          <w:spacing w:val="-52"/>
        </w:rPr>
        <w:t> </w:t>
      </w:r>
      <w:r>
        <w:rPr>
          <w:spacing w:val="-1"/>
        </w:rPr>
        <w:t>号文</w:t>
      </w:r>
      <w:r>
        <w:rPr/>
      </w:r>
    </w:p>
    <w:p>
      <w:pPr>
        <w:pStyle w:val="BodyText"/>
        <w:spacing w:line="350" w:lineRule="auto" w:before="125"/>
        <w:ind w:left="845" w:right="430"/>
        <w:jc w:val="both"/>
      </w:pPr>
      <w:r>
        <w:rPr/>
        <w:t>蔚大厦</w:t>
      </w:r>
      <w:r>
        <w:rPr>
          <w:spacing w:val="-48"/>
        </w:rPr>
        <w:t> </w:t>
      </w:r>
      <w:r>
        <w:rPr/>
        <w:t>22</w:t>
      </w:r>
      <w:r>
        <w:rPr>
          <w:spacing w:val="-47"/>
        </w:rPr>
        <w:t> </w:t>
      </w:r>
      <w:r>
        <w:rPr>
          <w:spacing w:val="-4"/>
        </w:rPr>
        <w:t>楼会议室召开。会议由监事会召集人王凯先生主持，本次会议应到监事</w:t>
      </w:r>
      <w:r>
        <w:rPr>
          <w:spacing w:val="-48"/>
        </w:rPr>
        <w:t> </w:t>
      </w:r>
      <w:r>
        <w:rPr/>
        <w:t>3</w:t>
      </w:r>
      <w:r>
        <w:rPr>
          <w:spacing w:val="-47"/>
        </w:rPr>
        <w:t> </w:t>
      </w:r>
      <w:r>
        <w:rPr>
          <w:spacing w:val="-6"/>
        </w:rPr>
        <w:t>人，实到监事及代</w:t>
      </w:r>
      <w:r>
        <w:rPr>
          <w:spacing w:val="-101"/>
        </w:rPr>
        <w:t> </w:t>
      </w:r>
      <w:r>
        <w:rPr>
          <w:spacing w:val="-101"/>
        </w:rPr>
      </w:r>
      <w:r>
        <w:rPr/>
        <w:t>理人</w:t>
      </w:r>
      <w:r>
        <w:rPr>
          <w:spacing w:val="-45"/>
        </w:rPr>
        <w:t> </w:t>
      </w:r>
      <w:r>
        <w:rPr/>
        <w:t>3</w:t>
      </w:r>
      <w:r>
        <w:rPr>
          <w:spacing w:val="-45"/>
        </w:rPr>
        <w:t> </w:t>
      </w:r>
      <w:r>
        <w:rPr/>
        <w:t>人。会议以</w:t>
      </w:r>
      <w:r>
        <w:rPr>
          <w:spacing w:val="-45"/>
        </w:rPr>
        <w:t> </w:t>
      </w:r>
      <w:r>
        <w:rPr/>
        <w:t>3</w:t>
      </w:r>
      <w:r>
        <w:rPr>
          <w:spacing w:val="-45"/>
        </w:rPr>
        <w:t> </w:t>
      </w:r>
      <w:r>
        <w:rPr/>
        <w:t>票同意，0</w:t>
      </w:r>
      <w:r>
        <w:rPr>
          <w:spacing w:val="-45"/>
        </w:rPr>
        <w:t> </w:t>
      </w:r>
      <w:r>
        <w:rPr/>
        <w:t>票反对，0</w:t>
      </w:r>
      <w:r>
        <w:rPr>
          <w:spacing w:val="-45"/>
        </w:rPr>
        <w:t> </w:t>
      </w:r>
      <w:r>
        <w:rPr/>
        <w:t>票弃权的投票结果，审议并通过了《2006</w:t>
      </w:r>
      <w:r>
        <w:rPr>
          <w:spacing w:val="-46"/>
        </w:rPr>
        <w:t> </w:t>
      </w:r>
      <w:r>
        <w:rPr/>
        <w:t>年度公司监事会</w:t>
      </w:r>
      <w:r>
        <w:rPr/>
        <w:t> </w:t>
      </w:r>
      <w:r>
        <w:rPr>
          <w:spacing w:val="-28"/>
        </w:rPr>
        <w:t>工作报告》、《公司</w:t>
      </w:r>
      <w:r>
        <w:rPr>
          <w:spacing w:val="-52"/>
        </w:rPr>
        <w:t> </w:t>
      </w:r>
      <w:r>
        <w:rPr>
          <w:spacing w:val="-1"/>
        </w:rPr>
        <w:t>2006</w:t>
      </w:r>
      <w:r>
        <w:rPr>
          <w:spacing w:val="-51"/>
        </w:rPr>
        <w:t> </w:t>
      </w:r>
      <w:r>
        <w:rPr>
          <w:spacing w:val="-7"/>
        </w:rPr>
        <w:t>年度报告及报告摘要》。本次会议的决议公告刊登于</w:t>
      </w:r>
      <w:r>
        <w:rPr>
          <w:spacing w:val="-52"/>
        </w:rPr>
        <w:t> </w:t>
      </w:r>
      <w:r>
        <w:rPr>
          <w:spacing w:val="-1"/>
        </w:rPr>
        <w:t>2007</w:t>
      </w:r>
      <w:r>
        <w:rPr>
          <w:spacing w:val="-51"/>
        </w:rPr>
        <w:t> </w:t>
      </w:r>
      <w:r>
        <w:rPr/>
        <w:t>年</w:t>
      </w:r>
      <w:r>
        <w:rPr>
          <w:spacing w:val="-53"/>
        </w:rPr>
        <w:t> </w:t>
      </w:r>
      <w:r>
        <w:rPr/>
        <w:t>4</w:t>
      </w:r>
      <w:r>
        <w:rPr>
          <w:spacing w:val="-52"/>
        </w:rPr>
        <w:t> </w:t>
      </w:r>
      <w:r>
        <w:rPr/>
        <w:t>月</w:t>
      </w:r>
      <w:r>
        <w:rPr>
          <w:spacing w:val="-52"/>
        </w:rPr>
        <w:t> </w:t>
      </w:r>
      <w:r>
        <w:rPr/>
        <w:t>3</w:t>
      </w:r>
      <w:r>
        <w:rPr>
          <w:spacing w:val="-51"/>
        </w:rPr>
        <w:t> </w:t>
      </w:r>
      <w:r>
        <w:rPr>
          <w:spacing w:val="-8"/>
        </w:rPr>
        <w:t>日的《证券</w:t>
      </w:r>
      <w:r>
        <w:rPr/>
        <w:t> </w:t>
      </w:r>
      <w:r>
        <w:rPr>
          <w:spacing w:val="-9"/>
        </w:rPr>
        <w:t>时报》和《上海证券报》。</w:t>
      </w:r>
    </w:p>
    <w:p>
      <w:pPr>
        <w:pStyle w:val="BodyText"/>
        <w:spacing w:line="240" w:lineRule="auto" w:before="149"/>
        <w:ind w:left="1265" w:right="0"/>
        <w:jc w:val="left"/>
      </w:pPr>
      <w:r>
        <w:rPr/>
        <w:t>2</w:t>
      </w:r>
      <w:r>
        <w:rPr>
          <w:spacing w:val="-105"/>
        </w:rPr>
        <w:t>、</w:t>
      </w:r>
      <w:r>
        <w:rPr>
          <w:spacing w:val="-1"/>
        </w:rPr>
        <w:t>公司第二届监事</w:t>
      </w:r>
      <w:r>
        <w:rPr/>
        <w:t>会</w:t>
      </w:r>
      <w:r>
        <w:rPr>
          <w:spacing w:val="-53"/>
        </w:rPr>
        <w:t> </w:t>
      </w:r>
      <w:r>
        <w:rPr>
          <w:spacing w:val="-1"/>
        </w:rPr>
        <w:t>200</w:t>
      </w:r>
      <w:r>
        <w:rPr/>
        <w:t>7</w:t>
      </w:r>
      <w:r>
        <w:rPr>
          <w:spacing w:val="-52"/>
        </w:rPr>
        <w:t> </w:t>
      </w:r>
      <w:r>
        <w:rPr>
          <w:spacing w:val="-1"/>
        </w:rPr>
        <w:t>年第二次</w:t>
      </w:r>
      <w:r>
        <w:rPr>
          <w:spacing w:val="-2"/>
        </w:rPr>
        <w:t>会</w:t>
      </w:r>
      <w:r>
        <w:rPr>
          <w:spacing w:val="-1"/>
        </w:rPr>
        <w:t>议</w:t>
      </w:r>
      <w:r>
        <w:rPr/>
        <w:t>于</w:t>
      </w:r>
      <w:r>
        <w:rPr>
          <w:spacing w:val="-53"/>
        </w:rPr>
        <w:t> </w:t>
      </w:r>
      <w:r>
        <w:rPr>
          <w:spacing w:val="-1"/>
        </w:rPr>
        <w:t>200</w:t>
      </w:r>
      <w:r>
        <w:rPr/>
        <w:t>7</w:t>
      </w:r>
      <w:r>
        <w:rPr>
          <w:spacing w:val="-52"/>
        </w:rPr>
        <w:t> </w:t>
      </w:r>
      <w:r>
        <w:rPr/>
        <w:t>年</w:t>
      </w:r>
      <w:r>
        <w:rPr>
          <w:spacing w:val="-54"/>
        </w:rPr>
        <w:t> </w:t>
      </w:r>
      <w:r>
        <w:rPr/>
        <w:t>4</w:t>
      </w:r>
      <w:r>
        <w:rPr>
          <w:spacing w:val="-52"/>
        </w:rPr>
        <w:t> </w:t>
      </w:r>
      <w:r>
        <w:rPr/>
        <w:t>月</w:t>
      </w:r>
      <w:r>
        <w:rPr>
          <w:spacing w:val="-54"/>
        </w:rPr>
        <w:t> </w:t>
      </w:r>
      <w:r>
        <w:rPr/>
        <w:t>25</w:t>
      </w:r>
      <w:r>
        <w:rPr>
          <w:spacing w:val="-52"/>
        </w:rPr>
        <w:t> </w:t>
      </w:r>
      <w:r>
        <w:rPr>
          <w:spacing w:val="-1"/>
        </w:rPr>
        <w:t>日</w:t>
      </w:r>
      <w:r>
        <w:rPr>
          <w:spacing w:val="-2"/>
        </w:rPr>
        <w:t>上</w:t>
      </w:r>
      <w:r>
        <w:rPr/>
        <w:t>午</w:t>
      </w:r>
      <w:r>
        <w:rPr>
          <w:spacing w:val="-53"/>
        </w:rPr>
        <w:t> </w:t>
      </w:r>
      <w:r>
        <w:rPr>
          <w:spacing w:val="-1"/>
        </w:rPr>
        <w:t>1</w:t>
      </w:r>
      <w:r>
        <w:rPr/>
        <w:t>1</w:t>
      </w:r>
      <w:r>
        <w:rPr>
          <w:spacing w:val="-52"/>
        </w:rPr>
        <w:t> </w:t>
      </w:r>
      <w:r>
        <w:rPr>
          <w:spacing w:val="-1"/>
        </w:rPr>
        <w:t>时在</w:t>
      </w:r>
      <w:r>
        <w:rPr>
          <w:spacing w:val="-2"/>
        </w:rPr>
        <w:t>深</w:t>
      </w:r>
      <w:r>
        <w:rPr>
          <w:spacing w:val="-1"/>
        </w:rPr>
        <w:t>圳市福华</w:t>
      </w:r>
      <w:r>
        <w:rPr/>
        <w:t>路</w:t>
      </w:r>
      <w:r>
        <w:rPr>
          <w:spacing w:val="-53"/>
        </w:rPr>
        <w:t> </w:t>
      </w:r>
      <w:r>
        <w:rPr>
          <w:spacing w:val="-1"/>
        </w:rPr>
        <w:t>32</w:t>
      </w:r>
      <w:r>
        <w:rPr/>
        <w:t>2</w:t>
      </w:r>
      <w:r>
        <w:rPr>
          <w:spacing w:val="-52"/>
        </w:rPr>
        <w:t> </w:t>
      </w:r>
      <w:r>
        <w:rPr>
          <w:spacing w:val="-1"/>
        </w:rPr>
        <w:t>号文</w:t>
      </w:r>
      <w:r>
        <w:rPr/>
      </w:r>
    </w:p>
    <w:p>
      <w:pPr>
        <w:pStyle w:val="BodyText"/>
        <w:spacing w:line="240" w:lineRule="auto" w:before="125"/>
        <w:ind w:left="845" w:right="0"/>
        <w:jc w:val="both"/>
      </w:pPr>
      <w:r>
        <w:rPr/>
        <w:t>蔚大厦</w:t>
      </w:r>
      <w:r>
        <w:rPr>
          <w:spacing w:val="-47"/>
        </w:rPr>
        <w:t> </w:t>
      </w:r>
      <w:r>
        <w:rPr/>
        <w:t>22</w:t>
      </w:r>
      <w:r>
        <w:rPr>
          <w:spacing w:val="-46"/>
        </w:rPr>
        <w:t> </w:t>
      </w:r>
      <w:r>
        <w:rPr>
          <w:spacing w:val="-4"/>
        </w:rPr>
        <w:t>楼会议室召开。会议由监事会召集人王凯先生主持，本次会议应到监事</w:t>
      </w:r>
      <w:r>
        <w:rPr>
          <w:spacing w:val="-47"/>
        </w:rPr>
        <w:t> </w:t>
      </w:r>
      <w:r>
        <w:rPr/>
        <w:t>3</w:t>
      </w:r>
      <w:r>
        <w:rPr>
          <w:spacing w:val="-46"/>
        </w:rPr>
        <w:t> </w:t>
      </w:r>
      <w:r>
        <w:rPr>
          <w:spacing w:val="-6"/>
        </w:rPr>
        <w:t>人，实到监事及代</w:t>
      </w:r>
      <w:r>
        <w:rPr/>
      </w:r>
    </w:p>
    <w:p>
      <w:pPr>
        <w:pStyle w:val="BodyText"/>
        <w:spacing w:line="240" w:lineRule="auto" w:before="125"/>
        <w:ind w:left="845" w:right="0"/>
        <w:jc w:val="both"/>
      </w:pPr>
      <w:r>
        <w:rPr/>
        <w:t>理人</w:t>
      </w:r>
      <w:r>
        <w:rPr>
          <w:spacing w:val="-59"/>
        </w:rPr>
        <w:t> </w:t>
      </w:r>
      <w:r>
        <w:rPr/>
        <w:t>3</w:t>
      </w:r>
      <w:r>
        <w:rPr>
          <w:spacing w:val="-58"/>
        </w:rPr>
        <w:t> </w:t>
      </w:r>
      <w:r>
        <w:rPr/>
        <w:t>人。会议以</w:t>
      </w:r>
      <w:r>
        <w:rPr>
          <w:spacing w:val="-59"/>
        </w:rPr>
        <w:t> </w:t>
      </w:r>
      <w:r>
        <w:rPr/>
        <w:t>3</w:t>
      </w:r>
      <w:r>
        <w:rPr>
          <w:spacing w:val="-58"/>
        </w:rPr>
        <w:t> </w:t>
      </w:r>
      <w:r>
        <w:rPr/>
        <w:t>票同意，0</w:t>
      </w:r>
      <w:r>
        <w:rPr>
          <w:spacing w:val="-58"/>
        </w:rPr>
        <w:t> </w:t>
      </w:r>
      <w:r>
        <w:rPr/>
        <w:t>票反对，0</w:t>
      </w:r>
      <w:r>
        <w:rPr>
          <w:spacing w:val="-58"/>
        </w:rPr>
        <w:t> </w:t>
      </w:r>
      <w:r>
        <w:rPr/>
        <w:t>票弃权的投票结果，审议并通过了《公司</w:t>
      </w:r>
      <w:r>
        <w:rPr>
          <w:spacing w:val="-59"/>
        </w:rPr>
        <w:t> </w:t>
      </w:r>
      <w:r>
        <w:rPr/>
        <w:t>2007</w:t>
      </w:r>
      <w:r>
        <w:rPr>
          <w:spacing w:val="-58"/>
        </w:rPr>
        <w:t> </w:t>
      </w:r>
      <w:r>
        <w:rPr/>
        <w:t>年第一季度</w:t>
      </w:r>
    </w:p>
    <w:p>
      <w:pPr>
        <w:pStyle w:val="BodyText"/>
        <w:spacing w:line="240" w:lineRule="auto" w:before="126"/>
        <w:ind w:left="845" w:right="0"/>
        <w:jc w:val="both"/>
      </w:pPr>
      <w:r>
        <w:rPr/>
        <w:t>报告</w:t>
      </w:r>
      <w:r>
        <w:rPr>
          <w:spacing w:val="-105"/>
        </w:rPr>
        <w:t>》</w:t>
      </w:r>
      <w:r>
        <w:rPr>
          <w:spacing w:val="-1"/>
        </w:rPr>
        <w:t>。本</w:t>
      </w:r>
      <w:r>
        <w:rPr>
          <w:spacing w:val="-2"/>
        </w:rPr>
        <w:t>次</w:t>
      </w:r>
      <w:r>
        <w:rPr>
          <w:spacing w:val="-1"/>
        </w:rPr>
        <w:t>会议的决议公告刊登</w:t>
      </w:r>
      <w:r>
        <w:rPr/>
        <w:t>于</w:t>
      </w:r>
      <w:r>
        <w:rPr>
          <w:spacing w:val="-53"/>
        </w:rPr>
        <w:t> </w:t>
      </w:r>
      <w:r>
        <w:rPr>
          <w:spacing w:val="-1"/>
        </w:rPr>
        <w:t>200</w:t>
      </w:r>
      <w:r>
        <w:rPr/>
        <w:t>7</w:t>
      </w:r>
      <w:r>
        <w:rPr>
          <w:spacing w:val="-52"/>
        </w:rPr>
        <w:t> </w:t>
      </w:r>
      <w:r>
        <w:rPr/>
        <w:t>年</w:t>
      </w:r>
      <w:r>
        <w:rPr>
          <w:spacing w:val="-54"/>
        </w:rPr>
        <w:t> </w:t>
      </w:r>
      <w:r>
        <w:rPr/>
        <w:t>4</w:t>
      </w:r>
      <w:r>
        <w:rPr>
          <w:spacing w:val="-52"/>
        </w:rPr>
        <w:t> </w:t>
      </w:r>
      <w:r>
        <w:rPr/>
        <w:t>月</w:t>
      </w:r>
      <w:r>
        <w:rPr>
          <w:spacing w:val="-54"/>
        </w:rPr>
        <w:t> </w:t>
      </w:r>
      <w:r>
        <w:rPr>
          <w:spacing w:val="-1"/>
        </w:rPr>
        <w:t>2</w:t>
      </w:r>
      <w:r>
        <w:rPr/>
        <w:t>6</w:t>
      </w:r>
      <w:r>
        <w:rPr>
          <w:spacing w:val="-52"/>
        </w:rPr>
        <w:t> </w:t>
      </w:r>
      <w:r>
        <w:rPr>
          <w:spacing w:val="-1"/>
        </w:rPr>
        <w:t>日的《证</w:t>
      </w:r>
      <w:r>
        <w:rPr>
          <w:spacing w:val="-2"/>
        </w:rPr>
        <w:t>券</w:t>
      </w:r>
      <w:r>
        <w:rPr>
          <w:spacing w:val="-1"/>
        </w:rPr>
        <w:t>时报》和《上海证券报</w:t>
      </w:r>
      <w:r>
        <w:rPr>
          <w:spacing w:val="-105"/>
        </w:rPr>
        <w:t>》</w:t>
      </w:r>
      <w:r>
        <w:rPr/>
        <w:t>。</w:t>
      </w:r>
    </w:p>
    <w:p>
      <w:pPr>
        <w:spacing w:line="240" w:lineRule="auto" w:before="9"/>
        <w:rPr>
          <w:rFonts w:ascii="宋体" w:hAnsi="宋体" w:cs="宋体" w:eastAsia="宋体" w:hint="default"/>
          <w:sz w:val="18"/>
          <w:szCs w:val="18"/>
        </w:rPr>
      </w:pPr>
    </w:p>
    <w:p>
      <w:pPr>
        <w:pStyle w:val="BodyText"/>
        <w:spacing w:line="240" w:lineRule="auto"/>
        <w:ind w:left="1265" w:right="0"/>
        <w:jc w:val="left"/>
      </w:pPr>
      <w:r>
        <w:rPr/>
        <w:t>3</w:t>
      </w:r>
      <w:r>
        <w:rPr>
          <w:spacing w:val="-105"/>
        </w:rPr>
        <w:t>、</w:t>
      </w:r>
      <w:r>
        <w:rPr>
          <w:spacing w:val="-1"/>
        </w:rPr>
        <w:t>公司第二届监事</w:t>
      </w:r>
      <w:r>
        <w:rPr/>
        <w:t>会</w:t>
      </w:r>
      <w:r>
        <w:rPr>
          <w:spacing w:val="-53"/>
        </w:rPr>
        <w:t> </w:t>
      </w:r>
      <w:r>
        <w:rPr>
          <w:spacing w:val="-1"/>
        </w:rPr>
        <w:t>200</w:t>
      </w:r>
      <w:r>
        <w:rPr/>
        <w:t>7</w:t>
      </w:r>
      <w:r>
        <w:rPr>
          <w:spacing w:val="-52"/>
        </w:rPr>
        <w:t> </w:t>
      </w:r>
      <w:r>
        <w:rPr>
          <w:spacing w:val="-1"/>
        </w:rPr>
        <w:t>年第三次</w:t>
      </w:r>
      <w:r>
        <w:rPr>
          <w:spacing w:val="-2"/>
        </w:rPr>
        <w:t>会</w:t>
      </w:r>
      <w:r>
        <w:rPr>
          <w:spacing w:val="-1"/>
        </w:rPr>
        <w:t>议</w:t>
      </w:r>
      <w:r>
        <w:rPr/>
        <w:t>于</w:t>
      </w:r>
      <w:r>
        <w:rPr>
          <w:spacing w:val="-53"/>
        </w:rPr>
        <w:t> </w:t>
      </w:r>
      <w:r>
        <w:rPr>
          <w:spacing w:val="-1"/>
        </w:rPr>
        <w:t>200</w:t>
      </w:r>
      <w:r>
        <w:rPr/>
        <w:t>7</w:t>
      </w:r>
      <w:r>
        <w:rPr>
          <w:spacing w:val="-52"/>
        </w:rPr>
        <w:t> </w:t>
      </w:r>
      <w:r>
        <w:rPr/>
        <w:t>年</w:t>
      </w:r>
      <w:r>
        <w:rPr>
          <w:spacing w:val="-54"/>
        </w:rPr>
        <w:t> </w:t>
      </w:r>
      <w:r>
        <w:rPr/>
        <w:t>6</w:t>
      </w:r>
      <w:r>
        <w:rPr>
          <w:spacing w:val="-52"/>
        </w:rPr>
        <w:t> </w:t>
      </w:r>
      <w:r>
        <w:rPr/>
        <w:t>月</w:t>
      </w:r>
      <w:r>
        <w:rPr>
          <w:spacing w:val="-54"/>
        </w:rPr>
        <w:t> </w:t>
      </w:r>
      <w:r>
        <w:rPr/>
        <w:t>29</w:t>
      </w:r>
      <w:r>
        <w:rPr>
          <w:spacing w:val="-52"/>
        </w:rPr>
        <w:t> </w:t>
      </w:r>
      <w:r>
        <w:rPr>
          <w:spacing w:val="-1"/>
        </w:rPr>
        <w:t>日</w:t>
      </w:r>
      <w:r>
        <w:rPr>
          <w:spacing w:val="-2"/>
        </w:rPr>
        <w:t>下</w:t>
      </w:r>
      <w:r>
        <w:rPr/>
        <w:t>午</w:t>
      </w:r>
      <w:r>
        <w:rPr>
          <w:spacing w:val="-53"/>
        </w:rPr>
        <w:t> </w:t>
      </w:r>
      <w:r>
        <w:rPr>
          <w:spacing w:val="-1"/>
        </w:rPr>
        <w:t>1</w:t>
      </w:r>
      <w:r>
        <w:rPr/>
        <w:t>4</w:t>
      </w:r>
      <w:r>
        <w:rPr>
          <w:spacing w:val="-52"/>
        </w:rPr>
        <w:t> </w:t>
      </w:r>
      <w:r>
        <w:rPr>
          <w:spacing w:val="-1"/>
        </w:rPr>
        <w:t>时在</w:t>
      </w:r>
      <w:r>
        <w:rPr>
          <w:spacing w:val="-2"/>
        </w:rPr>
        <w:t>深</w:t>
      </w:r>
      <w:r>
        <w:rPr>
          <w:spacing w:val="-1"/>
        </w:rPr>
        <w:t>圳市福华</w:t>
      </w:r>
      <w:r>
        <w:rPr/>
        <w:t>路</w:t>
      </w:r>
      <w:r>
        <w:rPr>
          <w:spacing w:val="-53"/>
        </w:rPr>
        <w:t> </w:t>
      </w:r>
      <w:r>
        <w:rPr>
          <w:spacing w:val="-1"/>
        </w:rPr>
        <w:t>32</w:t>
      </w:r>
      <w:r>
        <w:rPr/>
        <w:t>2</w:t>
      </w:r>
      <w:r>
        <w:rPr>
          <w:spacing w:val="-52"/>
        </w:rPr>
        <w:t> </w:t>
      </w:r>
      <w:r>
        <w:rPr>
          <w:spacing w:val="-1"/>
        </w:rPr>
        <w:t>号文</w:t>
      </w:r>
      <w:r>
        <w:rPr/>
      </w:r>
    </w:p>
    <w:p>
      <w:pPr>
        <w:pStyle w:val="BodyText"/>
        <w:spacing w:line="240" w:lineRule="auto" w:before="125"/>
        <w:ind w:left="845" w:right="0"/>
        <w:jc w:val="both"/>
      </w:pPr>
      <w:r>
        <w:rPr/>
        <w:t>蔚大厦</w:t>
      </w:r>
      <w:r>
        <w:rPr>
          <w:spacing w:val="-47"/>
        </w:rPr>
        <w:t> </w:t>
      </w:r>
      <w:r>
        <w:rPr/>
        <w:t>22</w:t>
      </w:r>
      <w:r>
        <w:rPr>
          <w:spacing w:val="-46"/>
        </w:rPr>
        <w:t> </w:t>
      </w:r>
      <w:r>
        <w:rPr>
          <w:spacing w:val="-4"/>
        </w:rPr>
        <w:t>楼会议室召开。会议由监事会召集人王凯先生主持，本次会议应到监事</w:t>
      </w:r>
      <w:r>
        <w:rPr>
          <w:spacing w:val="-47"/>
        </w:rPr>
        <w:t> </w:t>
      </w:r>
      <w:r>
        <w:rPr/>
        <w:t>3</w:t>
      </w:r>
      <w:r>
        <w:rPr>
          <w:spacing w:val="-46"/>
        </w:rPr>
        <w:t> </w:t>
      </w:r>
      <w:r>
        <w:rPr>
          <w:spacing w:val="-6"/>
        </w:rPr>
        <w:t>人，实到监事及代</w:t>
      </w:r>
      <w:r>
        <w:rPr/>
      </w:r>
    </w:p>
    <w:p>
      <w:pPr>
        <w:spacing w:after="0" w:line="240" w:lineRule="auto"/>
        <w:jc w:val="both"/>
        <w:sectPr>
          <w:pgSz w:w="12240" w:h="15840"/>
          <w:pgMar w:header="747" w:footer="727" w:top="1040" w:bottom="920" w:left="6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50" w:lineRule="auto"/>
        <w:ind w:right="210"/>
        <w:jc w:val="both"/>
      </w:pPr>
      <w:r>
        <w:rPr/>
        <w:t>理人</w:t>
      </w:r>
      <w:r>
        <w:rPr>
          <w:spacing w:val="-59"/>
        </w:rPr>
        <w:t> </w:t>
      </w:r>
      <w:r>
        <w:rPr/>
        <w:t>3</w:t>
      </w:r>
      <w:r>
        <w:rPr>
          <w:spacing w:val="-58"/>
        </w:rPr>
        <w:t> </w:t>
      </w:r>
      <w:r>
        <w:rPr>
          <w:spacing w:val="-5"/>
        </w:rPr>
        <w:t>人。会议以</w:t>
      </w:r>
      <w:r>
        <w:rPr>
          <w:spacing w:val="-59"/>
        </w:rPr>
        <w:t> </w:t>
      </w:r>
      <w:r>
        <w:rPr/>
        <w:t>3</w:t>
      </w:r>
      <w:r>
        <w:rPr>
          <w:spacing w:val="-58"/>
        </w:rPr>
        <w:t> </w:t>
      </w:r>
      <w:r>
        <w:rPr>
          <w:spacing w:val="-5"/>
        </w:rPr>
        <w:t>票同意，0</w:t>
      </w:r>
      <w:r>
        <w:rPr>
          <w:spacing w:val="-58"/>
        </w:rPr>
        <w:t> </w:t>
      </w:r>
      <w:r>
        <w:rPr>
          <w:spacing w:val="-5"/>
        </w:rPr>
        <w:t>票反对，0</w:t>
      </w:r>
      <w:r>
        <w:rPr>
          <w:spacing w:val="-58"/>
        </w:rPr>
        <w:t> </w:t>
      </w:r>
      <w:r>
        <w:rPr/>
        <w:t>票弃权的投票结果，审议并通过了《关于加强上市公司治理</w:t>
      </w:r>
      <w:r>
        <w:rPr/>
        <w:t> </w:t>
      </w:r>
      <w:r>
        <w:rPr>
          <w:spacing w:val="-7"/>
        </w:rPr>
        <w:t>专向活动的自查报告及整改计划》。本次会议的决议公告刊登于</w:t>
      </w:r>
      <w:r>
        <w:rPr>
          <w:spacing w:val="-53"/>
        </w:rPr>
        <w:t> </w:t>
      </w:r>
      <w:r>
        <w:rPr>
          <w:spacing w:val="-1"/>
        </w:rPr>
        <w:t>2007</w:t>
      </w:r>
      <w:r>
        <w:rPr>
          <w:spacing w:val="-52"/>
        </w:rPr>
        <w:t> </w:t>
      </w:r>
      <w:r>
        <w:rPr/>
        <w:t>年</w:t>
      </w:r>
      <w:r>
        <w:rPr>
          <w:spacing w:val="-54"/>
        </w:rPr>
        <w:t> </w:t>
      </w:r>
      <w:r>
        <w:rPr/>
        <w:t>6</w:t>
      </w:r>
      <w:r>
        <w:rPr>
          <w:spacing w:val="-52"/>
        </w:rPr>
        <w:t> </w:t>
      </w:r>
      <w:r>
        <w:rPr/>
        <w:t>月</w:t>
      </w:r>
      <w:r>
        <w:rPr>
          <w:spacing w:val="-54"/>
        </w:rPr>
        <w:t> </w:t>
      </w:r>
      <w:r>
        <w:rPr/>
        <w:t>30</w:t>
      </w:r>
      <w:r>
        <w:rPr>
          <w:spacing w:val="-52"/>
        </w:rPr>
        <w:t> </w:t>
      </w:r>
      <w:r>
        <w:rPr>
          <w:spacing w:val="-22"/>
        </w:rPr>
        <w:t>日的《证券时报》和《上</w:t>
      </w:r>
      <w:r>
        <w:rPr/>
        <w:t> </w:t>
      </w:r>
      <w:r>
        <w:rPr>
          <w:spacing w:val="-18"/>
        </w:rPr>
        <w:t>海证券报》。</w:t>
      </w:r>
    </w:p>
    <w:p>
      <w:pPr>
        <w:pStyle w:val="BodyText"/>
        <w:spacing w:line="240" w:lineRule="auto" w:before="148"/>
        <w:ind w:left="565" w:right="96"/>
        <w:jc w:val="left"/>
      </w:pPr>
      <w:r>
        <w:rPr/>
        <w:t>4</w:t>
      </w:r>
      <w:r>
        <w:rPr>
          <w:spacing w:val="-105"/>
        </w:rPr>
        <w:t>、</w:t>
      </w:r>
      <w:r>
        <w:rPr>
          <w:spacing w:val="-1"/>
        </w:rPr>
        <w:t>公司第二届监事</w:t>
      </w:r>
      <w:r>
        <w:rPr/>
        <w:t>会</w:t>
      </w:r>
      <w:r>
        <w:rPr>
          <w:spacing w:val="-53"/>
        </w:rPr>
        <w:t> </w:t>
      </w:r>
      <w:r>
        <w:rPr>
          <w:spacing w:val="-1"/>
        </w:rPr>
        <w:t>200</w:t>
      </w:r>
      <w:r>
        <w:rPr/>
        <w:t>7</w:t>
      </w:r>
      <w:r>
        <w:rPr>
          <w:spacing w:val="-52"/>
        </w:rPr>
        <w:t> </w:t>
      </w:r>
      <w:r>
        <w:rPr>
          <w:spacing w:val="-1"/>
        </w:rPr>
        <w:t>年第四次</w:t>
      </w:r>
      <w:r>
        <w:rPr>
          <w:spacing w:val="-2"/>
        </w:rPr>
        <w:t>会</w:t>
      </w:r>
      <w:r>
        <w:rPr>
          <w:spacing w:val="-1"/>
        </w:rPr>
        <w:t>议</w:t>
      </w:r>
      <w:r>
        <w:rPr/>
        <w:t>于</w:t>
      </w:r>
      <w:r>
        <w:rPr>
          <w:spacing w:val="-53"/>
        </w:rPr>
        <w:t> </w:t>
      </w:r>
      <w:r>
        <w:rPr>
          <w:spacing w:val="-1"/>
        </w:rPr>
        <w:t>200</w:t>
      </w:r>
      <w:r>
        <w:rPr/>
        <w:t>7</w:t>
      </w:r>
      <w:r>
        <w:rPr>
          <w:spacing w:val="-52"/>
        </w:rPr>
        <w:t> </w:t>
      </w:r>
      <w:r>
        <w:rPr/>
        <w:t>年</w:t>
      </w:r>
      <w:r>
        <w:rPr>
          <w:spacing w:val="-54"/>
        </w:rPr>
        <w:t> </w:t>
      </w:r>
      <w:r>
        <w:rPr/>
        <w:t>8</w:t>
      </w:r>
      <w:r>
        <w:rPr>
          <w:spacing w:val="-52"/>
        </w:rPr>
        <w:t> </w:t>
      </w:r>
      <w:r>
        <w:rPr/>
        <w:t>月</w:t>
      </w:r>
      <w:r>
        <w:rPr>
          <w:spacing w:val="-54"/>
        </w:rPr>
        <w:t> </w:t>
      </w:r>
      <w:r>
        <w:rPr/>
        <w:t>21</w:t>
      </w:r>
      <w:r>
        <w:rPr>
          <w:spacing w:val="-52"/>
        </w:rPr>
        <w:t> </w:t>
      </w:r>
      <w:r>
        <w:rPr>
          <w:spacing w:val="-1"/>
        </w:rPr>
        <w:t>日</w:t>
      </w:r>
      <w:r>
        <w:rPr>
          <w:spacing w:val="-2"/>
        </w:rPr>
        <w:t>下</w:t>
      </w:r>
      <w:r>
        <w:rPr/>
        <w:t>午</w:t>
      </w:r>
      <w:r>
        <w:rPr>
          <w:spacing w:val="-53"/>
        </w:rPr>
        <w:t> </w:t>
      </w:r>
      <w:r>
        <w:rPr>
          <w:spacing w:val="-1"/>
        </w:rPr>
        <w:t>1</w:t>
      </w:r>
      <w:r>
        <w:rPr/>
        <w:t>4</w:t>
      </w:r>
      <w:r>
        <w:rPr>
          <w:spacing w:val="-52"/>
        </w:rPr>
        <w:t> </w:t>
      </w:r>
      <w:r>
        <w:rPr>
          <w:spacing w:val="-1"/>
        </w:rPr>
        <w:t>时在</w:t>
      </w:r>
      <w:r>
        <w:rPr>
          <w:spacing w:val="-2"/>
        </w:rPr>
        <w:t>深</w:t>
      </w:r>
      <w:r>
        <w:rPr>
          <w:spacing w:val="-1"/>
        </w:rPr>
        <w:t>圳市福华</w:t>
      </w:r>
      <w:r>
        <w:rPr/>
        <w:t>路</w:t>
      </w:r>
      <w:r>
        <w:rPr>
          <w:spacing w:val="-53"/>
        </w:rPr>
        <w:t> </w:t>
      </w:r>
      <w:r>
        <w:rPr>
          <w:spacing w:val="-1"/>
        </w:rPr>
        <w:t>32</w:t>
      </w:r>
      <w:r>
        <w:rPr/>
        <w:t>2</w:t>
      </w:r>
      <w:r>
        <w:rPr>
          <w:spacing w:val="-52"/>
        </w:rPr>
        <w:t> </w:t>
      </w:r>
      <w:r>
        <w:rPr>
          <w:spacing w:val="-1"/>
        </w:rPr>
        <w:t>号文</w:t>
      </w:r>
      <w:r>
        <w:rPr/>
      </w:r>
    </w:p>
    <w:p>
      <w:pPr>
        <w:pStyle w:val="BodyText"/>
        <w:spacing w:line="240" w:lineRule="auto" w:before="125"/>
        <w:ind w:right="0"/>
        <w:jc w:val="both"/>
      </w:pPr>
      <w:r>
        <w:rPr/>
        <w:t>蔚大厦</w:t>
      </w:r>
      <w:r>
        <w:rPr>
          <w:spacing w:val="-47"/>
        </w:rPr>
        <w:t> </w:t>
      </w:r>
      <w:r>
        <w:rPr/>
        <w:t>22</w:t>
      </w:r>
      <w:r>
        <w:rPr>
          <w:spacing w:val="-46"/>
        </w:rPr>
        <w:t> </w:t>
      </w:r>
      <w:r>
        <w:rPr>
          <w:spacing w:val="-4"/>
        </w:rPr>
        <w:t>楼会议室召开。会议由监事会召集人王凯先生主持，本次会议应到监事</w:t>
      </w:r>
      <w:r>
        <w:rPr>
          <w:spacing w:val="-47"/>
        </w:rPr>
        <w:t> </w:t>
      </w:r>
      <w:r>
        <w:rPr/>
        <w:t>3</w:t>
      </w:r>
      <w:r>
        <w:rPr>
          <w:spacing w:val="-46"/>
        </w:rPr>
        <w:t> </w:t>
      </w:r>
      <w:r>
        <w:rPr>
          <w:spacing w:val="-6"/>
        </w:rPr>
        <w:t>人，实到监事及代</w:t>
      </w:r>
      <w:r>
        <w:rPr/>
      </w:r>
    </w:p>
    <w:p>
      <w:pPr>
        <w:pStyle w:val="BodyText"/>
        <w:spacing w:line="240" w:lineRule="auto" w:before="126"/>
        <w:ind w:right="0"/>
        <w:jc w:val="both"/>
      </w:pPr>
      <w:r>
        <w:rPr/>
        <w:t>理人</w:t>
      </w:r>
      <w:r>
        <w:rPr>
          <w:spacing w:val="-59"/>
        </w:rPr>
        <w:t> </w:t>
      </w:r>
      <w:r>
        <w:rPr/>
        <w:t>3</w:t>
      </w:r>
      <w:r>
        <w:rPr>
          <w:spacing w:val="-58"/>
        </w:rPr>
        <w:t> </w:t>
      </w:r>
      <w:r>
        <w:rPr/>
        <w:t>人。会议以</w:t>
      </w:r>
      <w:r>
        <w:rPr>
          <w:spacing w:val="-59"/>
        </w:rPr>
        <w:t> </w:t>
      </w:r>
      <w:r>
        <w:rPr/>
        <w:t>3</w:t>
      </w:r>
      <w:r>
        <w:rPr>
          <w:spacing w:val="-58"/>
        </w:rPr>
        <w:t> </w:t>
      </w:r>
      <w:r>
        <w:rPr/>
        <w:t>票同意，0</w:t>
      </w:r>
      <w:r>
        <w:rPr>
          <w:spacing w:val="-58"/>
        </w:rPr>
        <w:t> </w:t>
      </w:r>
      <w:r>
        <w:rPr/>
        <w:t>票反对，0</w:t>
      </w:r>
      <w:r>
        <w:rPr>
          <w:spacing w:val="-58"/>
        </w:rPr>
        <w:t> </w:t>
      </w:r>
      <w:r>
        <w:rPr/>
        <w:t>票弃权的投票结果，审议并通过了《公司</w:t>
      </w:r>
      <w:r>
        <w:rPr>
          <w:spacing w:val="-59"/>
        </w:rPr>
        <w:t> </w:t>
      </w:r>
      <w:r>
        <w:rPr/>
        <w:t>2007</w:t>
      </w:r>
      <w:r>
        <w:rPr>
          <w:spacing w:val="-58"/>
        </w:rPr>
        <w:t> </w:t>
      </w:r>
      <w:r>
        <w:rPr/>
        <w:t>年中期报告</w:t>
      </w:r>
    </w:p>
    <w:p>
      <w:pPr>
        <w:pStyle w:val="BodyText"/>
        <w:spacing w:line="348" w:lineRule="auto" w:before="125"/>
        <w:ind w:right="212"/>
        <w:jc w:val="both"/>
      </w:pPr>
      <w:r>
        <w:rPr/>
        <w:t>及报告摘要</w:t>
      </w:r>
      <w:r>
        <w:rPr>
          <w:spacing w:val="-106"/>
        </w:rPr>
        <w:t>》</w:t>
      </w:r>
      <w:r>
        <w:rPr>
          <w:spacing w:val="-209"/>
        </w:rPr>
        <w:t>、</w:t>
      </w:r>
      <w:r>
        <w:rPr/>
        <w:t>《关于公</w:t>
      </w:r>
      <w:r>
        <w:rPr>
          <w:spacing w:val="-2"/>
        </w:rPr>
        <w:t>司</w:t>
      </w:r>
      <w:r>
        <w:rPr/>
        <w:t>监事会换届选举的议案</w:t>
      </w:r>
      <w:r>
        <w:rPr>
          <w:spacing w:val="-106"/>
        </w:rPr>
        <w:t>》</w:t>
      </w:r>
      <w:r>
        <w:rPr>
          <w:spacing w:val="-105"/>
        </w:rPr>
        <w:t>。</w:t>
      </w:r>
      <w:r>
        <w:rPr>
          <w:spacing w:val="-1"/>
        </w:rPr>
        <w:t>本次会议的决议公告刊登</w:t>
      </w:r>
      <w:r>
        <w:rPr/>
        <w:t>于</w:t>
      </w:r>
      <w:r>
        <w:rPr>
          <w:spacing w:val="-53"/>
        </w:rPr>
        <w:t> </w:t>
      </w:r>
      <w:r>
        <w:rPr>
          <w:spacing w:val="-1"/>
        </w:rPr>
        <w:t>200</w:t>
      </w:r>
      <w:r>
        <w:rPr/>
        <w:t>7</w:t>
      </w:r>
      <w:r>
        <w:rPr>
          <w:spacing w:val="-52"/>
        </w:rPr>
        <w:t> </w:t>
      </w:r>
      <w:r>
        <w:rPr/>
        <w:t>年</w:t>
      </w:r>
      <w:r>
        <w:rPr>
          <w:spacing w:val="-54"/>
        </w:rPr>
        <w:t> </w:t>
      </w:r>
      <w:r>
        <w:rPr/>
        <w:t>8</w:t>
      </w:r>
      <w:r>
        <w:rPr>
          <w:spacing w:val="-52"/>
        </w:rPr>
        <w:t> </w:t>
      </w:r>
      <w:r>
        <w:rPr/>
        <w:t>月</w:t>
      </w:r>
      <w:r>
        <w:rPr>
          <w:spacing w:val="-54"/>
        </w:rPr>
        <w:t> </w:t>
      </w:r>
      <w:r>
        <w:rPr/>
        <w:t>22</w:t>
      </w:r>
      <w:r>
        <w:rPr>
          <w:spacing w:val="-52"/>
        </w:rPr>
        <w:t> </w:t>
      </w:r>
      <w:r>
        <w:rPr>
          <w:spacing w:val="-1"/>
        </w:rPr>
        <w:t>日</w:t>
      </w:r>
      <w:r>
        <w:rPr>
          <w:spacing w:val="-106"/>
        </w:rPr>
        <w:t>的</w:t>
      </w:r>
      <w:r>
        <w:rPr/>
        <w:t>《证</w:t>
      </w:r>
      <w:r>
        <w:rPr/>
        <w:t> 券时报》和《上海证券报</w:t>
      </w:r>
      <w:r>
        <w:rPr>
          <w:spacing w:val="-105"/>
        </w:rPr>
        <w:t>》</w:t>
      </w:r>
      <w:r>
        <w:rPr/>
        <w:t>。</w:t>
      </w:r>
    </w:p>
    <w:p>
      <w:pPr>
        <w:pStyle w:val="BodyText"/>
        <w:spacing w:line="240" w:lineRule="auto" w:before="151"/>
        <w:ind w:left="565" w:right="96"/>
        <w:jc w:val="left"/>
      </w:pPr>
      <w:r>
        <w:rPr/>
        <w:t>5</w:t>
      </w:r>
      <w:r>
        <w:rPr>
          <w:spacing w:val="-105"/>
        </w:rPr>
        <w:t>、</w:t>
      </w:r>
      <w:r>
        <w:rPr>
          <w:spacing w:val="-1"/>
        </w:rPr>
        <w:t>公司第三届监事</w:t>
      </w:r>
      <w:r>
        <w:rPr/>
        <w:t>会</w:t>
      </w:r>
      <w:r>
        <w:rPr>
          <w:spacing w:val="-53"/>
        </w:rPr>
        <w:t> </w:t>
      </w:r>
      <w:r>
        <w:rPr>
          <w:spacing w:val="-1"/>
        </w:rPr>
        <w:t>200</w:t>
      </w:r>
      <w:r>
        <w:rPr/>
        <w:t>7</w:t>
      </w:r>
      <w:r>
        <w:rPr>
          <w:spacing w:val="-52"/>
        </w:rPr>
        <w:t> </w:t>
      </w:r>
      <w:r>
        <w:rPr>
          <w:spacing w:val="-1"/>
        </w:rPr>
        <w:t>年第一次</w:t>
      </w:r>
      <w:r>
        <w:rPr>
          <w:spacing w:val="-2"/>
        </w:rPr>
        <w:t>会</w:t>
      </w:r>
      <w:r>
        <w:rPr>
          <w:spacing w:val="-1"/>
        </w:rPr>
        <w:t>议</w:t>
      </w:r>
      <w:r>
        <w:rPr/>
        <w:t>于</w:t>
      </w:r>
      <w:r>
        <w:rPr>
          <w:spacing w:val="-53"/>
        </w:rPr>
        <w:t> </w:t>
      </w:r>
      <w:r>
        <w:rPr>
          <w:spacing w:val="-1"/>
        </w:rPr>
        <w:t>200</w:t>
      </w:r>
      <w:r>
        <w:rPr/>
        <w:t>7</w:t>
      </w:r>
      <w:r>
        <w:rPr>
          <w:spacing w:val="-52"/>
        </w:rPr>
        <w:t> </w:t>
      </w:r>
      <w:r>
        <w:rPr/>
        <w:t>年</w:t>
      </w:r>
      <w:r>
        <w:rPr>
          <w:spacing w:val="-54"/>
        </w:rPr>
        <w:t> </w:t>
      </w:r>
      <w:r>
        <w:rPr/>
        <w:t>9</w:t>
      </w:r>
      <w:r>
        <w:rPr>
          <w:spacing w:val="-52"/>
        </w:rPr>
        <w:t> </w:t>
      </w:r>
      <w:r>
        <w:rPr/>
        <w:t>月</w:t>
      </w:r>
      <w:r>
        <w:rPr>
          <w:spacing w:val="-54"/>
        </w:rPr>
        <w:t> </w:t>
      </w:r>
      <w:r>
        <w:rPr/>
        <w:t>19</w:t>
      </w:r>
      <w:r>
        <w:rPr>
          <w:spacing w:val="-52"/>
        </w:rPr>
        <w:t> </w:t>
      </w:r>
      <w:r>
        <w:rPr>
          <w:spacing w:val="-1"/>
        </w:rPr>
        <w:t>日</w:t>
      </w:r>
      <w:r>
        <w:rPr>
          <w:spacing w:val="-2"/>
        </w:rPr>
        <w:t>下</w:t>
      </w:r>
      <w:r>
        <w:rPr/>
        <w:t>午</w:t>
      </w:r>
      <w:r>
        <w:rPr>
          <w:spacing w:val="-53"/>
        </w:rPr>
        <w:t> </w:t>
      </w:r>
      <w:r>
        <w:rPr>
          <w:spacing w:val="-1"/>
        </w:rPr>
        <w:t>1</w:t>
      </w:r>
      <w:r>
        <w:rPr/>
        <w:t>4</w:t>
      </w:r>
      <w:r>
        <w:rPr>
          <w:spacing w:val="-52"/>
        </w:rPr>
        <w:t> </w:t>
      </w:r>
      <w:r>
        <w:rPr>
          <w:spacing w:val="-1"/>
        </w:rPr>
        <w:t>时在</w:t>
      </w:r>
      <w:r>
        <w:rPr>
          <w:spacing w:val="-2"/>
        </w:rPr>
        <w:t>深</w:t>
      </w:r>
      <w:r>
        <w:rPr>
          <w:spacing w:val="-1"/>
        </w:rPr>
        <w:t>圳市福华</w:t>
      </w:r>
      <w:r>
        <w:rPr/>
        <w:t>路</w:t>
      </w:r>
      <w:r>
        <w:rPr>
          <w:spacing w:val="-53"/>
        </w:rPr>
        <w:t> </w:t>
      </w:r>
      <w:r>
        <w:rPr>
          <w:spacing w:val="-1"/>
        </w:rPr>
        <w:t>32</w:t>
      </w:r>
      <w:r>
        <w:rPr/>
        <w:t>2</w:t>
      </w:r>
      <w:r>
        <w:rPr>
          <w:spacing w:val="-52"/>
        </w:rPr>
        <w:t> </w:t>
      </w:r>
      <w:r>
        <w:rPr>
          <w:spacing w:val="-1"/>
        </w:rPr>
        <w:t>号文</w:t>
      </w:r>
      <w:r>
        <w:rPr/>
      </w:r>
    </w:p>
    <w:p>
      <w:pPr>
        <w:pStyle w:val="BodyText"/>
        <w:spacing w:line="350" w:lineRule="auto" w:before="125"/>
        <w:ind w:right="210"/>
        <w:jc w:val="both"/>
      </w:pPr>
      <w:r>
        <w:rPr/>
        <w:t>蔚大厦</w:t>
      </w:r>
      <w:r>
        <w:rPr>
          <w:spacing w:val="-48"/>
        </w:rPr>
        <w:t> </w:t>
      </w:r>
      <w:r>
        <w:rPr/>
        <w:t>22</w:t>
      </w:r>
      <w:r>
        <w:rPr>
          <w:spacing w:val="-47"/>
        </w:rPr>
        <w:t> </w:t>
      </w:r>
      <w:r>
        <w:rPr>
          <w:spacing w:val="-4"/>
        </w:rPr>
        <w:t>楼会议室召开。会议由监事会召集人王凯先生主持，本次会议应到监事</w:t>
      </w:r>
      <w:r>
        <w:rPr>
          <w:spacing w:val="-48"/>
        </w:rPr>
        <w:t> </w:t>
      </w:r>
      <w:r>
        <w:rPr/>
        <w:t>3</w:t>
      </w:r>
      <w:r>
        <w:rPr>
          <w:spacing w:val="-47"/>
        </w:rPr>
        <w:t> </w:t>
      </w:r>
      <w:r>
        <w:rPr>
          <w:spacing w:val="-6"/>
        </w:rPr>
        <w:t>人，实到监事及代</w:t>
      </w:r>
      <w:r>
        <w:rPr>
          <w:spacing w:val="-101"/>
        </w:rPr>
        <w:t> </w:t>
      </w:r>
      <w:r>
        <w:rPr>
          <w:spacing w:val="-101"/>
        </w:rPr>
      </w:r>
      <w:r>
        <w:rPr/>
        <w:t>理人</w:t>
      </w:r>
      <w:r>
        <w:rPr>
          <w:spacing w:val="-59"/>
        </w:rPr>
        <w:t> </w:t>
      </w:r>
      <w:r>
        <w:rPr/>
        <w:t>3</w:t>
      </w:r>
      <w:r>
        <w:rPr>
          <w:spacing w:val="-58"/>
        </w:rPr>
        <w:t> </w:t>
      </w:r>
      <w:r>
        <w:rPr>
          <w:spacing w:val="-5"/>
        </w:rPr>
        <w:t>人。会议以</w:t>
      </w:r>
      <w:r>
        <w:rPr>
          <w:spacing w:val="-59"/>
        </w:rPr>
        <w:t> </w:t>
      </w:r>
      <w:r>
        <w:rPr/>
        <w:t>3</w:t>
      </w:r>
      <w:r>
        <w:rPr>
          <w:spacing w:val="-58"/>
        </w:rPr>
        <w:t> </w:t>
      </w:r>
      <w:r>
        <w:rPr>
          <w:spacing w:val="-5"/>
        </w:rPr>
        <w:t>票同意，0</w:t>
      </w:r>
      <w:r>
        <w:rPr>
          <w:spacing w:val="-58"/>
        </w:rPr>
        <w:t> </w:t>
      </w:r>
      <w:r>
        <w:rPr>
          <w:spacing w:val="-5"/>
        </w:rPr>
        <w:t>票反对，0</w:t>
      </w:r>
      <w:r>
        <w:rPr>
          <w:spacing w:val="-58"/>
        </w:rPr>
        <w:t> </w:t>
      </w:r>
      <w:r>
        <w:rPr/>
        <w:t>票弃权的投票结果，审议并通过了《关于选举第三届监事会</w:t>
      </w:r>
      <w:r>
        <w:rPr/>
        <w:t> </w:t>
      </w:r>
      <w:r>
        <w:rPr>
          <w:spacing w:val="-6"/>
        </w:rPr>
        <w:t>召集人的议案》。本次会议的决议公告刊登于</w:t>
      </w:r>
      <w:r>
        <w:rPr>
          <w:spacing w:val="-50"/>
        </w:rPr>
        <w:t> </w:t>
      </w:r>
      <w:r>
        <w:rPr>
          <w:spacing w:val="-1"/>
        </w:rPr>
        <w:t>2007</w:t>
      </w:r>
      <w:r>
        <w:rPr>
          <w:spacing w:val="-49"/>
        </w:rPr>
        <w:t> </w:t>
      </w:r>
      <w:r>
        <w:rPr/>
        <w:t>年</w:t>
      </w:r>
      <w:r>
        <w:rPr>
          <w:spacing w:val="-51"/>
        </w:rPr>
        <w:t> </w:t>
      </w:r>
      <w:r>
        <w:rPr/>
        <w:t>9</w:t>
      </w:r>
      <w:r>
        <w:rPr>
          <w:spacing w:val="-49"/>
        </w:rPr>
        <w:t> </w:t>
      </w:r>
      <w:r>
        <w:rPr/>
        <w:t>月</w:t>
      </w:r>
      <w:r>
        <w:rPr>
          <w:spacing w:val="-51"/>
        </w:rPr>
        <w:t> </w:t>
      </w:r>
      <w:r>
        <w:rPr/>
        <w:t>20</w:t>
      </w:r>
      <w:r>
        <w:rPr>
          <w:spacing w:val="-50"/>
        </w:rPr>
        <w:t> </w:t>
      </w:r>
      <w:r>
        <w:rPr>
          <w:spacing w:val="-8"/>
        </w:rPr>
        <w:t>日的《证券时报》和《上海证券报》。</w:t>
      </w:r>
    </w:p>
    <w:p>
      <w:pPr>
        <w:pStyle w:val="BodyText"/>
        <w:spacing w:line="240" w:lineRule="auto" w:before="148"/>
        <w:ind w:left="565" w:right="96"/>
        <w:jc w:val="left"/>
      </w:pPr>
      <w:r>
        <w:rPr/>
        <w:t>6、公司第三届监事会</w:t>
      </w:r>
      <w:r>
        <w:rPr>
          <w:spacing w:val="-57"/>
        </w:rPr>
        <w:t> </w:t>
      </w:r>
      <w:r>
        <w:rPr/>
        <w:t>2007</w:t>
      </w:r>
      <w:r>
        <w:rPr>
          <w:spacing w:val="-56"/>
        </w:rPr>
        <w:t> </w:t>
      </w:r>
      <w:r>
        <w:rPr/>
        <w:t>年第二次会议于</w:t>
      </w:r>
      <w:r>
        <w:rPr>
          <w:spacing w:val="-57"/>
        </w:rPr>
        <w:t> </w:t>
      </w:r>
      <w:r>
        <w:rPr/>
        <w:t>2007</w:t>
      </w:r>
      <w:r>
        <w:rPr>
          <w:spacing w:val="-57"/>
        </w:rPr>
        <w:t> </w:t>
      </w:r>
      <w:r>
        <w:rPr/>
        <w:t>年</w:t>
      </w:r>
      <w:r>
        <w:rPr>
          <w:spacing w:val="-57"/>
        </w:rPr>
        <w:t> </w:t>
      </w:r>
      <w:r>
        <w:rPr/>
        <w:t>10</w:t>
      </w:r>
      <w:r>
        <w:rPr>
          <w:spacing w:val="-56"/>
        </w:rPr>
        <w:t> </w:t>
      </w:r>
      <w:r>
        <w:rPr/>
        <w:t>月</w:t>
      </w:r>
      <w:r>
        <w:rPr>
          <w:spacing w:val="-57"/>
        </w:rPr>
        <w:t> </w:t>
      </w:r>
      <w:r>
        <w:rPr/>
        <w:t>23</w:t>
      </w:r>
      <w:r>
        <w:rPr>
          <w:spacing w:val="-56"/>
        </w:rPr>
        <w:t> </w:t>
      </w:r>
      <w:r>
        <w:rPr/>
        <w:t>日下午</w:t>
      </w:r>
      <w:r>
        <w:rPr>
          <w:spacing w:val="-57"/>
        </w:rPr>
        <w:t> </w:t>
      </w:r>
      <w:r>
        <w:rPr/>
        <w:t>14</w:t>
      </w:r>
      <w:r>
        <w:rPr>
          <w:spacing w:val="-56"/>
        </w:rPr>
        <w:t> </w:t>
      </w:r>
      <w:r>
        <w:rPr/>
        <w:t>时在深圳市福华路</w:t>
      </w:r>
      <w:r>
        <w:rPr>
          <w:spacing w:val="-57"/>
        </w:rPr>
        <w:t> </w:t>
      </w:r>
      <w:r>
        <w:rPr/>
        <w:t>322</w:t>
      </w:r>
      <w:r>
        <w:rPr>
          <w:spacing w:val="-55"/>
        </w:rPr>
        <w:t> </w:t>
      </w:r>
      <w:r>
        <w:rPr/>
        <w:t>号</w:t>
      </w:r>
    </w:p>
    <w:p>
      <w:pPr>
        <w:pStyle w:val="BodyText"/>
        <w:spacing w:line="240" w:lineRule="auto" w:before="125"/>
        <w:ind w:right="0"/>
        <w:jc w:val="both"/>
      </w:pPr>
      <w:r>
        <w:rPr/>
        <w:t>文蔚大厦</w:t>
      </w:r>
      <w:r>
        <w:rPr>
          <w:spacing w:val="-48"/>
        </w:rPr>
        <w:t> </w:t>
      </w:r>
      <w:r>
        <w:rPr/>
        <w:t>22</w:t>
      </w:r>
      <w:r>
        <w:rPr>
          <w:spacing w:val="-48"/>
        </w:rPr>
        <w:t> </w:t>
      </w:r>
      <w:r>
        <w:rPr>
          <w:spacing w:val="-4"/>
        </w:rPr>
        <w:t>楼会议室召开。会议由监事会召集人王凯先生主持，本次会议应到监事</w:t>
      </w:r>
      <w:r>
        <w:rPr>
          <w:spacing w:val="-48"/>
        </w:rPr>
        <w:t> </w:t>
      </w:r>
      <w:r>
        <w:rPr/>
        <w:t>3</w:t>
      </w:r>
      <w:r>
        <w:rPr>
          <w:spacing w:val="-48"/>
        </w:rPr>
        <w:t> </w:t>
      </w:r>
      <w:r>
        <w:rPr>
          <w:spacing w:val="-6"/>
        </w:rPr>
        <w:t>人，实到监事及</w:t>
      </w:r>
      <w:r>
        <w:rPr/>
      </w:r>
    </w:p>
    <w:p>
      <w:pPr>
        <w:pStyle w:val="BodyText"/>
        <w:spacing w:line="348" w:lineRule="auto" w:before="126"/>
        <w:ind w:right="213"/>
        <w:jc w:val="both"/>
      </w:pPr>
      <w:r>
        <w:rPr/>
        <w:t>代理人</w:t>
      </w:r>
      <w:r>
        <w:rPr>
          <w:spacing w:val="-54"/>
        </w:rPr>
        <w:t> </w:t>
      </w:r>
      <w:r>
        <w:rPr/>
        <w:t>3</w:t>
      </w:r>
      <w:r>
        <w:rPr>
          <w:spacing w:val="-53"/>
        </w:rPr>
        <w:t> </w:t>
      </w:r>
      <w:r>
        <w:rPr/>
        <w:t>人。会议以</w:t>
      </w:r>
      <w:r>
        <w:rPr>
          <w:spacing w:val="-54"/>
        </w:rPr>
        <w:t> </w:t>
      </w:r>
      <w:r>
        <w:rPr/>
        <w:t>3</w:t>
      </w:r>
      <w:r>
        <w:rPr>
          <w:spacing w:val="-54"/>
        </w:rPr>
        <w:t> </w:t>
      </w:r>
      <w:r>
        <w:rPr/>
        <w:t>票同意，0</w:t>
      </w:r>
      <w:r>
        <w:rPr>
          <w:spacing w:val="-53"/>
        </w:rPr>
        <w:t> </w:t>
      </w:r>
      <w:r>
        <w:rPr/>
        <w:t>票反对，0</w:t>
      </w:r>
      <w:r>
        <w:rPr>
          <w:spacing w:val="-53"/>
        </w:rPr>
        <w:t> </w:t>
      </w:r>
      <w:r>
        <w:rPr/>
        <w:t>票弃权的投票结果，审议并通过了《公司</w:t>
      </w:r>
      <w:r>
        <w:rPr>
          <w:spacing w:val="-54"/>
        </w:rPr>
        <w:t> </w:t>
      </w:r>
      <w:r>
        <w:rPr/>
        <w:t>2007</w:t>
      </w:r>
      <w:r>
        <w:rPr>
          <w:spacing w:val="-53"/>
        </w:rPr>
        <w:t> </w:t>
      </w:r>
      <w:r>
        <w:rPr/>
        <w:t>年第三季</w:t>
      </w:r>
      <w:r>
        <w:rPr/>
        <w:t> </w:t>
      </w:r>
      <w:r>
        <w:rPr>
          <w:spacing w:val="-8"/>
        </w:rPr>
        <w:t>度报告的议案》、。本次会议的决议在上海证券交易所备案未公告。</w:t>
      </w:r>
    </w:p>
    <w:p>
      <w:pPr>
        <w:pStyle w:val="BodyText"/>
        <w:spacing w:line="240" w:lineRule="auto" w:before="150"/>
        <w:ind w:left="565" w:right="96"/>
        <w:jc w:val="left"/>
      </w:pPr>
      <w:r>
        <w:rPr/>
        <w:t>(二)监事会对公司依法运作情况的独立意见</w:t>
      </w:r>
    </w:p>
    <w:p>
      <w:pPr>
        <w:spacing w:line="240" w:lineRule="auto" w:before="10"/>
        <w:rPr>
          <w:rFonts w:ascii="宋体" w:hAnsi="宋体" w:cs="宋体" w:eastAsia="宋体" w:hint="default"/>
          <w:sz w:val="18"/>
          <w:szCs w:val="18"/>
        </w:rPr>
      </w:pPr>
    </w:p>
    <w:p>
      <w:pPr>
        <w:pStyle w:val="BodyText"/>
        <w:spacing w:line="350" w:lineRule="auto"/>
        <w:ind w:right="212" w:firstLine="420"/>
        <w:jc w:val="both"/>
      </w:pPr>
      <w:r>
        <w:rPr/>
        <w:t>公司监事会依照国家有关法律、法规和公司章程，对公司股东大会、董事会会议的召开程序、决 议事项、董事会对股东大会决议的执行情况、公司高管人员执行职务的情况以及公司管理制度进行了 </w:t>
      </w:r>
      <w:r>
        <w:rPr>
          <w:spacing w:val="-6"/>
        </w:rPr>
        <w:t>监督，并列席了</w:t>
      </w:r>
      <w:r>
        <w:rPr>
          <w:spacing w:val="-53"/>
        </w:rPr>
        <w:t> </w:t>
      </w:r>
      <w:r>
        <w:rPr/>
        <w:t>2007</w:t>
      </w:r>
      <w:r>
        <w:rPr>
          <w:spacing w:val="-52"/>
        </w:rPr>
        <w:t> </w:t>
      </w:r>
      <w:r>
        <w:rPr>
          <w:spacing w:val="-3"/>
        </w:rPr>
        <w:t>年度内所召开的各次董事会会议和股东会会议。监事会认为：公司在管理运作方</w:t>
      </w:r>
      <w:r>
        <w:rPr>
          <w:spacing w:val="-1"/>
        </w:rPr>
        <w:t> </w:t>
      </w:r>
      <w:r>
        <w:rPr/>
        <w:t>面，认真遵守国家法律、法规及公司章程的规定，决策程序合法，己建立了的内控制度；信息披露做</w:t>
      </w:r>
      <w:r>
        <w:rPr/>
        <w:t> 到了及时、准确、完整；公司董事及高管在执行公司职务时，诚实守信，未发现违反法律法规、公司 章程或损害公司利益的行为发生。</w:t>
      </w:r>
    </w:p>
    <w:p>
      <w:pPr>
        <w:pStyle w:val="BodyText"/>
        <w:spacing w:line="240" w:lineRule="auto" w:before="149"/>
        <w:ind w:left="565" w:right="96"/>
        <w:jc w:val="left"/>
      </w:pPr>
      <w:r>
        <w:rPr/>
        <w:t>(三)监事会对检查公司财务情况的独立意见</w:t>
      </w:r>
    </w:p>
    <w:p>
      <w:pPr>
        <w:spacing w:line="240" w:lineRule="auto" w:before="9"/>
        <w:rPr>
          <w:rFonts w:ascii="宋体" w:hAnsi="宋体" w:cs="宋体" w:eastAsia="宋体" w:hint="default"/>
          <w:sz w:val="18"/>
          <w:szCs w:val="18"/>
        </w:rPr>
      </w:pPr>
    </w:p>
    <w:p>
      <w:pPr>
        <w:pStyle w:val="BodyText"/>
        <w:spacing w:line="350" w:lineRule="auto"/>
        <w:ind w:right="96" w:firstLine="420"/>
        <w:jc w:val="left"/>
      </w:pPr>
      <w:r>
        <w:rPr>
          <w:spacing w:val="-3"/>
        </w:rPr>
        <w:t>报告期内，监事会本着对全体股东负责的精神，对公司的财务制度和财务状况进行了监督和检查，</w:t>
      </w:r>
      <w:r>
        <w:rPr/>
        <w:t> 公司监事会认为：公司财务管理制度比较完善，各项内控制度得到执行，北京立信会计师事务所有限 </w:t>
      </w:r>
      <w:r>
        <w:rPr>
          <w:spacing w:val="-4"/>
        </w:rPr>
        <w:t>公司审计公司财务报表后出具的标准无保留审计意见，真实、客观、公正的反映了公司</w:t>
      </w:r>
      <w:r>
        <w:rPr>
          <w:spacing w:val="-52"/>
        </w:rPr>
        <w:t> </w:t>
      </w:r>
      <w:r>
        <w:rPr/>
        <w:t>2007</w:t>
      </w:r>
      <w:r>
        <w:rPr>
          <w:spacing w:val="-51"/>
        </w:rPr>
        <w:t> </w:t>
      </w:r>
      <w:r>
        <w:rPr/>
        <w:t>年的财务</w:t>
      </w:r>
      <w:r>
        <w:rPr>
          <w:spacing w:val="-102"/>
        </w:rPr>
        <w:t> </w:t>
      </w:r>
      <w:r>
        <w:rPr>
          <w:spacing w:val="-102"/>
        </w:rPr>
      </w:r>
      <w:r>
        <w:rPr/>
        <w:t>状况和经营成果。</w:t>
      </w:r>
    </w:p>
    <w:p>
      <w:pPr>
        <w:pStyle w:val="BodyText"/>
        <w:spacing w:line="240" w:lineRule="auto" w:before="148"/>
        <w:ind w:left="565" w:right="96"/>
        <w:jc w:val="left"/>
      </w:pPr>
      <w:r>
        <w:rPr/>
        <w:t>(四)监事会对公司最近一次募集资金实际投入情况的独立意见</w:t>
      </w:r>
    </w:p>
    <w:p>
      <w:pPr>
        <w:spacing w:line="240" w:lineRule="auto" w:before="10"/>
        <w:rPr>
          <w:rFonts w:ascii="宋体" w:hAnsi="宋体" w:cs="宋体" w:eastAsia="宋体" w:hint="default"/>
          <w:sz w:val="18"/>
          <w:szCs w:val="18"/>
        </w:rPr>
      </w:pPr>
    </w:p>
    <w:p>
      <w:pPr>
        <w:pStyle w:val="BodyText"/>
        <w:spacing w:line="240" w:lineRule="auto"/>
        <w:ind w:left="565" w:right="96"/>
        <w:jc w:val="left"/>
      </w:pPr>
      <w:r>
        <w:rPr/>
        <w:t>公司于</w:t>
      </w:r>
      <w:r>
        <w:rPr>
          <w:spacing w:val="-59"/>
        </w:rPr>
        <w:t> </w:t>
      </w:r>
      <w:r>
        <w:rPr/>
        <w:t>2003</w:t>
      </w:r>
      <w:r>
        <w:rPr>
          <w:spacing w:val="-59"/>
        </w:rPr>
        <w:t> </w:t>
      </w:r>
      <w:r>
        <w:rPr/>
        <w:t>年通过首次发行募集资金</w:t>
      </w:r>
      <w:r>
        <w:rPr>
          <w:spacing w:val="-59"/>
        </w:rPr>
        <w:t> </w:t>
      </w:r>
      <w:r>
        <w:rPr/>
        <w:t>222,504,655.82</w:t>
      </w:r>
      <w:r>
        <w:rPr>
          <w:spacing w:val="-58"/>
        </w:rPr>
        <w:t> </w:t>
      </w:r>
      <w:r>
        <w:rPr>
          <w:spacing w:val="-9"/>
        </w:rPr>
        <w:t>元，已累计使用</w:t>
      </w:r>
      <w:r>
        <w:rPr>
          <w:spacing w:val="-59"/>
        </w:rPr>
        <w:t> </w:t>
      </w:r>
      <w:r>
        <w:rPr/>
        <w:t>164,855,579.53</w:t>
      </w:r>
      <w:r>
        <w:rPr>
          <w:spacing w:val="-59"/>
        </w:rPr>
        <w:t> </w:t>
      </w:r>
      <w:r>
        <w:rPr>
          <w:spacing w:val="-14"/>
        </w:rPr>
        <w:t>元，其中</w:t>
      </w:r>
      <w:r>
        <w:rPr/>
      </w:r>
    </w:p>
    <w:p>
      <w:pPr>
        <w:spacing w:after="0" w:line="240" w:lineRule="auto"/>
        <w:jc w:val="left"/>
        <w:sectPr>
          <w:pgSz w:w="12240" w:h="15840"/>
          <w:pgMar w:header="747" w:footer="727" w:top="1040" w:bottom="920" w:left="1380" w:right="12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50" w:lineRule="auto"/>
        <w:ind w:right="95"/>
        <w:jc w:val="left"/>
      </w:pPr>
      <w:r>
        <w:rPr/>
        <w:t>本年度已使用</w:t>
      </w:r>
      <w:r>
        <w:rPr>
          <w:spacing w:val="-54"/>
        </w:rPr>
        <w:t> </w:t>
      </w:r>
      <w:r>
        <w:rPr/>
        <w:t>40,315,036.91</w:t>
      </w:r>
      <w:r>
        <w:rPr>
          <w:spacing w:val="-53"/>
        </w:rPr>
        <w:t> </w:t>
      </w:r>
      <w:r>
        <w:rPr/>
        <w:t>元，尚未使用</w:t>
      </w:r>
      <w:r>
        <w:rPr>
          <w:spacing w:val="-54"/>
        </w:rPr>
        <w:t> </w:t>
      </w:r>
      <w:r>
        <w:rPr/>
        <w:t>57,649,076.29</w:t>
      </w:r>
      <w:r>
        <w:rPr>
          <w:spacing w:val="-53"/>
        </w:rPr>
        <w:t> </w:t>
      </w:r>
      <w:r>
        <w:rPr/>
        <w:t>元。尚未使用募集资金存放在银行。</w:t>
      </w:r>
      <w:r>
        <w:rPr/>
        <w:t> 报告期内监事会对公司募集资金使用情况进行了监督检查，认为公司募集资金投向符合国家法规的有 关规定,未发现有损害公司中、小股东利益的行为。</w:t>
      </w:r>
    </w:p>
    <w:p>
      <w:pPr>
        <w:pStyle w:val="BodyText"/>
        <w:spacing w:line="453" w:lineRule="auto" w:before="148"/>
        <w:ind w:left="565" w:right="4085"/>
        <w:jc w:val="left"/>
      </w:pPr>
      <w:r>
        <w:rPr/>
        <w:t>(五)监事会对公司收购出售资产情况的独立意见 报告期内，公司没有发生收购、出售资产的交易行为 (六)监事会对公司关联交易情况的独立意见 报告期内，公司没有发生收购、出售资产的交易行为</w:t>
      </w:r>
    </w:p>
    <w:p>
      <w:pPr>
        <w:pStyle w:val="Heading1"/>
        <w:spacing w:line="240" w:lineRule="auto" w:before="73"/>
        <w:ind w:right="0"/>
        <w:jc w:val="left"/>
        <w:rPr>
          <w:b w:val="0"/>
          <w:bCs w:val="0"/>
        </w:rPr>
      </w:pPr>
      <w:bookmarkStart w:name="_TOC_250002" w:id="9"/>
      <w:r>
        <w:rPr/>
        <w:t>十、重要事项</w:t>
      </w:r>
      <w:bookmarkEnd w:id="9"/>
      <w:r>
        <w:rPr>
          <w:b w:val="0"/>
          <w:bCs w:val="0"/>
        </w:rPr>
      </w:r>
    </w:p>
    <w:p>
      <w:pPr>
        <w:spacing w:line="240" w:lineRule="auto" w:before="0"/>
        <w:rPr>
          <w:rFonts w:ascii="黑体" w:hAnsi="黑体" w:cs="黑体" w:eastAsia="黑体" w:hint="default"/>
          <w:b/>
          <w:bCs/>
          <w:sz w:val="30"/>
          <w:szCs w:val="30"/>
        </w:rPr>
      </w:pPr>
    </w:p>
    <w:p>
      <w:pPr>
        <w:spacing w:line="240" w:lineRule="auto" w:before="0"/>
        <w:rPr>
          <w:rFonts w:ascii="黑体" w:hAnsi="黑体" w:cs="黑体" w:eastAsia="黑体" w:hint="default"/>
          <w:b/>
          <w:bCs/>
          <w:sz w:val="21"/>
          <w:szCs w:val="21"/>
        </w:rPr>
      </w:pPr>
    </w:p>
    <w:p>
      <w:pPr>
        <w:pStyle w:val="BodyText"/>
        <w:spacing w:line="439" w:lineRule="auto"/>
        <w:ind w:left="503" w:right="442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重大诉讼仲裁事项</w:t>
      </w:r>
      <w:r>
        <w:rPr>
          <w:w w:val="99"/>
        </w:rPr>
        <w:t> </w:t>
      </w:r>
      <w:r>
        <w:rPr/>
        <w:t>本年度公司无重大诉讼、仲裁事项。</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报告期内公司收购及出售资产、吸收合并事项</w:t>
      </w:r>
      <w:r>
        <w:rPr>
          <w:w w:val="99"/>
        </w:rPr>
        <w:t> </w:t>
      </w:r>
      <w:r>
        <w:rPr/>
        <w:t>本年度公司无收购及出售资产、吸收合并事项。</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报告期内公司重大关联交易事项</w:t>
      </w:r>
      <w:r>
        <w:rPr>
          <w:w w:val="99"/>
        </w:rPr>
        <w:t> </w:t>
      </w:r>
      <w:r>
        <w:rPr/>
        <w:t>本年度公司无重大关联交易事项。</w:t>
      </w:r>
    </w:p>
    <w:p>
      <w:pPr>
        <w:pStyle w:val="BodyText"/>
        <w:spacing w:line="436" w:lineRule="auto" w:before="71"/>
        <w:ind w:left="503" w:right="624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托管情况</w:t>
      </w:r>
      <w:r>
        <w:rPr>
          <w:w w:val="99"/>
        </w:rPr>
        <w:t> </w:t>
      </w:r>
      <w:r>
        <w:rPr/>
        <w:t>本年度公司无托管事项。</w:t>
      </w:r>
      <w:r>
        <w:rPr>
          <w:w w:val="99"/>
        </w:rPr>
        <w:t>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承包情况</w:t>
      </w:r>
      <w:r>
        <w:rPr>
          <w:w w:val="99"/>
        </w:rPr>
        <w:t> </w:t>
      </w:r>
      <w:r>
        <w:rPr/>
        <w:t>本年度公司无承包事项。</w:t>
      </w:r>
    </w:p>
    <w:p>
      <w:pPr>
        <w:pStyle w:val="BodyText"/>
        <w:spacing w:line="372" w:lineRule="auto" w:before="3"/>
        <w:ind w:left="764" w:right="6406" w:hanging="261"/>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租赁情况</w:t>
      </w:r>
      <w:r>
        <w:rPr>
          <w:w w:val="99"/>
        </w:rPr>
        <w:t> </w:t>
      </w:r>
      <w:r>
        <w:rPr/>
        <w:t>本年度公司无租赁事项。</w:t>
      </w:r>
    </w:p>
    <w:p>
      <w:pPr>
        <w:spacing w:after="0" w:line="372" w:lineRule="auto"/>
        <w:jc w:val="left"/>
        <w:sectPr>
          <w:pgSz w:w="12240" w:h="15840"/>
          <w:pgMar w:header="747" w:footer="727" w:top="1040" w:bottom="920" w:left="138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35"/>
        <w:ind w:left="505" w:right="226"/>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担保情况</w:t>
      </w:r>
    </w:p>
    <w:p>
      <w:pPr>
        <w:pStyle w:val="BodyText"/>
        <w:spacing w:line="240" w:lineRule="auto" w:before="49"/>
        <w:ind w:left="0" w:right="33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3173"/>
        <w:gridCol w:w="1336"/>
        <w:gridCol w:w="1086"/>
        <w:gridCol w:w="929"/>
        <w:gridCol w:w="1667"/>
        <w:gridCol w:w="571"/>
        <w:gridCol w:w="689"/>
      </w:tblGrid>
      <w:tr>
        <w:trPr>
          <w:trHeight w:val="466"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 w:right="1"/>
              <w:jc w:val="center"/>
              <w:rPr>
                <w:rFonts w:ascii="宋体" w:hAnsi="宋体" w:cs="宋体" w:eastAsia="宋体" w:hint="default"/>
                <w:sz w:val="21"/>
                <w:szCs w:val="21"/>
              </w:rPr>
            </w:pPr>
            <w:r>
              <w:rPr>
                <w:rFonts w:ascii="宋体" w:hAnsi="宋体" w:cs="宋体" w:eastAsia="宋体" w:hint="default"/>
                <w:sz w:val="21"/>
                <w:szCs w:val="21"/>
              </w:rPr>
              <w:t>公司对外担保情况</w:t>
            </w:r>
          </w:p>
        </w:tc>
      </w:tr>
      <w:tr>
        <w:trPr>
          <w:trHeight w:val="1921" w:hRule="exact"/>
        </w:trPr>
        <w:tc>
          <w:tcPr>
            <w:tcW w:w="31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47"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3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发生日期</w:t>
            </w:r>
          </w:p>
          <w:p>
            <w:pPr>
              <w:pStyle w:val="TableParagraph"/>
              <w:spacing w:line="272" w:lineRule="exact" w:before="26"/>
              <w:ind w:left="135" w:right="133"/>
              <w:jc w:val="center"/>
              <w:rPr>
                <w:rFonts w:ascii="宋体" w:hAnsi="宋体" w:cs="宋体" w:eastAsia="宋体" w:hint="default"/>
                <w:sz w:val="21"/>
                <w:szCs w:val="21"/>
              </w:rPr>
            </w:pPr>
            <w:r>
              <w:rPr>
                <w:rFonts w:ascii="宋体" w:hAnsi="宋体" w:cs="宋体" w:eastAsia="宋体" w:hint="default"/>
                <w:sz w:val="21"/>
                <w:szCs w:val="21"/>
              </w:rPr>
              <w:t>（协议签署 日）</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4"/>
              <w:jc w:val="right"/>
              <w:rPr>
                <w:rFonts w:ascii="宋体" w:hAnsi="宋体" w:cs="宋体" w:eastAsia="宋体" w:hint="default"/>
                <w:sz w:val="21"/>
                <w:szCs w:val="21"/>
              </w:rPr>
            </w:pPr>
            <w:r>
              <w:rPr>
                <w:rFonts w:ascii="宋体" w:hAnsi="宋体" w:cs="宋体" w:eastAsia="宋体" w:hint="default"/>
                <w:sz w:val="21"/>
                <w:szCs w:val="21"/>
              </w:rPr>
              <w:t>担保金额</w:t>
            </w:r>
          </w:p>
        </w:tc>
        <w:tc>
          <w:tcPr>
            <w:tcW w:w="9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351" w:right="140" w:hanging="210"/>
              <w:jc w:val="left"/>
              <w:rPr>
                <w:rFonts w:ascii="宋体" w:hAnsi="宋体" w:cs="宋体" w:eastAsia="宋体" w:hint="default"/>
                <w:sz w:val="21"/>
                <w:szCs w:val="21"/>
              </w:rPr>
            </w:pPr>
            <w:r>
              <w:rPr>
                <w:rFonts w:ascii="宋体" w:hAnsi="宋体" w:cs="宋体" w:eastAsia="宋体" w:hint="default"/>
                <w:sz w:val="21"/>
                <w:szCs w:val="21"/>
              </w:rPr>
              <w:t>担保类 型</w:t>
            </w:r>
          </w:p>
        </w:tc>
        <w:tc>
          <w:tcPr>
            <w:tcW w:w="16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571"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72" w:right="171"/>
              <w:jc w:val="both"/>
              <w:rPr>
                <w:rFonts w:ascii="宋体" w:hAnsi="宋体" w:cs="宋体" w:eastAsia="宋体" w:hint="default"/>
                <w:sz w:val="21"/>
                <w:szCs w:val="21"/>
              </w:rPr>
            </w:pPr>
            <w:r>
              <w:rPr>
                <w:rFonts w:ascii="宋体" w:hAnsi="宋体" w:cs="宋体" w:eastAsia="宋体" w:hint="default"/>
                <w:sz w:val="21"/>
                <w:szCs w:val="21"/>
              </w:rPr>
              <w:t>是 否 履 行 完 毕</w:t>
            </w:r>
          </w:p>
        </w:tc>
        <w:tc>
          <w:tcPr>
            <w:tcW w:w="68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7"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27" w:right="125"/>
              <w:jc w:val="both"/>
              <w:rPr>
                <w:rFonts w:ascii="宋体" w:hAnsi="宋体" w:cs="宋体" w:eastAsia="宋体" w:hint="default"/>
                <w:sz w:val="21"/>
                <w:szCs w:val="21"/>
              </w:rPr>
            </w:pPr>
            <w:r>
              <w:rPr>
                <w:rFonts w:ascii="宋体" w:hAnsi="宋体" w:cs="宋体" w:eastAsia="宋体" w:hint="default"/>
                <w:sz w:val="21"/>
                <w:szCs w:val="21"/>
              </w:rPr>
              <w:t>为关 联方 担保</w:t>
            </w:r>
          </w:p>
          <w:p>
            <w:pPr>
              <w:pStyle w:val="TableParagraph"/>
              <w:spacing w:line="272" w:lineRule="exact"/>
              <w:ind w:left="127" w:right="125"/>
              <w:jc w:val="center"/>
              <w:rPr>
                <w:rFonts w:ascii="宋体" w:hAnsi="宋体" w:cs="宋体" w:eastAsia="宋体" w:hint="default"/>
                <w:sz w:val="21"/>
                <w:szCs w:val="21"/>
              </w:rPr>
            </w:pPr>
            <w:r>
              <w:rPr>
                <w:rFonts w:ascii="宋体" w:hAnsi="宋体" w:cs="宋体" w:eastAsia="宋体" w:hint="default"/>
                <w:sz w:val="21"/>
                <w:szCs w:val="21"/>
              </w:rPr>
              <w:t>（是 或 否）</w:t>
            </w:r>
          </w:p>
        </w:tc>
      </w:tr>
      <w:tr>
        <w:trPr>
          <w:trHeight w:val="559" w:hRule="exact"/>
        </w:trPr>
        <w:tc>
          <w:tcPr>
            <w:tcW w:w="31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深圳市齐普生信息科技有限公司</w:t>
            </w:r>
          </w:p>
        </w:tc>
        <w:tc>
          <w:tcPr>
            <w:tcW w:w="13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left="100" w:right="0"/>
              <w:jc w:val="left"/>
              <w:rPr>
                <w:rFonts w:ascii="Arial" w:hAnsi="Arial" w:cs="Arial" w:eastAsia="Arial" w:hint="default"/>
                <w:sz w:val="21"/>
                <w:szCs w:val="21"/>
              </w:rPr>
            </w:pPr>
            <w:r>
              <w:rPr>
                <w:rFonts w:ascii="Arial"/>
                <w:sz w:val="21"/>
              </w:rPr>
              <w:t>2007-10-16</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1,750</w:t>
            </w:r>
            <w:r>
              <w:rPr>
                <w:rFonts w:ascii="Arial"/>
                <w:sz w:val="21"/>
              </w:rPr>
            </w:r>
          </w:p>
        </w:tc>
        <w:tc>
          <w:tcPr>
            <w:tcW w:w="92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连带责</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1667"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left="100" w:right="0"/>
              <w:jc w:val="left"/>
              <w:rPr>
                <w:rFonts w:ascii="宋体" w:hAnsi="宋体" w:cs="宋体" w:eastAsia="宋体" w:hint="default"/>
                <w:sz w:val="21"/>
                <w:szCs w:val="21"/>
              </w:rPr>
            </w:pPr>
            <w:r>
              <w:rPr>
                <w:rFonts w:ascii="Arial" w:hAnsi="Arial" w:cs="Arial" w:eastAsia="Arial" w:hint="default"/>
                <w:sz w:val="21"/>
                <w:szCs w:val="21"/>
              </w:rPr>
              <w:t>2007-10-16 </w:t>
            </w:r>
            <w:r>
              <w:rPr>
                <w:rFonts w:ascii="Arial" w:hAnsi="Arial" w:cs="Arial" w:eastAsia="Arial" w:hint="default"/>
                <w:spacing w:val="43"/>
                <w:sz w:val="21"/>
                <w:szCs w:val="21"/>
              </w:rPr>
              <w:t> </w:t>
            </w:r>
            <w:r>
              <w:rPr>
                <w:rFonts w:ascii="宋体" w:hAnsi="宋体" w:cs="宋体" w:eastAsia="宋体" w:hint="default"/>
                <w:sz w:val="21"/>
                <w:szCs w:val="21"/>
              </w:rPr>
              <w:t>～</w:t>
            </w:r>
          </w:p>
          <w:p>
            <w:pPr>
              <w:pStyle w:val="TableParagraph"/>
              <w:spacing w:line="240" w:lineRule="auto" w:before="17"/>
              <w:ind w:left="100" w:right="0"/>
              <w:jc w:val="left"/>
              <w:rPr>
                <w:rFonts w:ascii="Arial" w:hAnsi="Arial" w:cs="Arial" w:eastAsia="Arial" w:hint="default"/>
                <w:sz w:val="21"/>
                <w:szCs w:val="21"/>
              </w:rPr>
            </w:pPr>
            <w:r>
              <w:rPr>
                <w:rFonts w:ascii="Arial"/>
                <w:sz w:val="21"/>
              </w:rPr>
              <w:t>2009-10-16</w:t>
            </w:r>
          </w:p>
        </w:tc>
        <w:tc>
          <w:tcPr>
            <w:tcW w:w="5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31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深圳市齐普生信息科技有限公司</w:t>
            </w:r>
          </w:p>
        </w:tc>
        <w:tc>
          <w:tcPr>
            <w:tcW w:w="13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left="100" w:right="0"/>
              <w:jc w:val="left"/>
              <w:rPr>
                <w:rFonts w:ascii="Arial" w:hAnsi="Arial" w:cs="Arial" w:eastAsia="Arial" w:hint="default"/>
                <w:sz w:val="21"/>
                <w:szCs w:val="21"/>
              </w:rPr>
            </w:pPr>
            <w:r>
              <w:rPr>
                <w:rFonts w:ascii="Arial"/>
                <w:sz w:val="21"/>
              </w:rPr>
              <w:t>2007-6-4</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4,000</w:t>
            </w:r>
            <w:r>
              <w:rPr>
                <w:rFonts w:ascii="Arial"/>
                <w:sz w:val="21"/>
              </w:rPr>
            </w:r>
          </w:p>
        </w:tc>
        <w:tc>
          <w:tcPr>
            <w:tcW w:w="92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连带责</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1667" w:type="dxa"/>
            <w:tcBorders>
              <w:top w:val="single" w:sz="6" w:space="0" w:color="101010"/>
              <w:left w:val="single" w:sz="6" w:space="0" w:color="101010"/>
              <w:bottom w:val="single" w:sz="6" w:space="0" w:color="101010"/>
              <w:right w:val="single" w:sz="6" w:space="0" w:color="101010"/>
            </w:tcBorders>
          </w:tcPr>
          <w:p>
            <w:pPr>
              <w:pStyle w:val="TableParagraph"/>
              <w:tabs>
                <w:tab w:pos="1341" w:val="left" w:leader="none"/>
              </w:tabs>
              <w:spacing w:line="270" w:lineRule="exact"/>
              <w:ind w:left="100" w:right="0"/>
              <w:jc w:val="left"/>
              <w:rPr>
                <w:rFonts w:ascii="宋体" w:hAnsi="宋体" w:cs="宋体" w:eastAsia="宋体" w:hint="default"/>
                <w:sz w:val="21"/>
                <w:szCs w:val="21"/>
              </w:rPr>
            </w:pPr>
            <w:r>
              <w:rPr>
                <w:rFonts w:ascii="Arial" w:hAnsi="Arial" w:cs="Arial" w:eastAsia="Arial" w:hint="default"/>
                <w:spacing w:val="-1"/>
                <w:sz w:val="21"/>
                <w:szCs w:val="21"/>
              </w:rPr>
              <w:t>2007-6-4</w:t>
              <w:tab/>
            </w:r>
            <w:r>
              <w:rPr>
                <w:rFonts w:ascii="宋体" w:hAnsi="宋体" w:cs="宋体" w:eastAsia="宋体" w:hint="default"/>
                <w:sz w:val="21"/>
                <w:szCs w:val="21"/>
              </w:rPr>
              <w:t>～</w:t>
            </w:r>
          </w:p>
          <w:p>
            <w:pPr>
              <w:pStyle w:val="TableParagraph"/>
              <w:spacing w:line="240" w:lineRule="auto" w:before="17"/>
              <w:ind w:left="100" w:right="0"/>
              <w:jc w:val="left"/>
              <w:rPr>
                <w:rFonts w:ascii="Arial" w:hAnsi="Arial" w:cs="Arial" w:eastAsia="Arial" w:hint="default"/>
                <w:sz w:val="21"/>
                <w:szCs w:val="21"/>
              </w:rPr>
            </w:pPr>
            <w:r>
              <w:rPr>
                <w:rFonts w:ascii="Arial"/>
                <w:sz w:val="21"/>
              </w:rPr>
              <w:t>2009-6-4</w:t>
            </w:r>
          </w:p>
        </w:tc>
        <w:tc>
          <w:tcPr>
            <w:tcW w:w="5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31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深圳市齐普生信息科技有限公司</w:t>
            </w:r>
          </w:p>
        </w:tc>
        <w:tc>
          <w:tcPr>
            <w:tcW w:w="13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left="100" w:right="0"/>
              <w:jc w:val="left"/>
              <w:rPr>
                <w:rFonts w:ascii="Arial" w:hAnsi="Arial" w:cs="Arial" w:eastAsia="Arial" w:hint="default"/>
                <w:sz w:val="21"/>
                <w:szCs w:val="21"/>
              </w:rPr>
            </w:pPr>
            <w:r>
              <w:rPr>
                <w:rFonts w:ascii="Arial"/>
                <w:spacing w:val="-3"/>
                <w:sz w:val="21"/>
              </w:rPr>
              <w:t>2006-11-13</w:t>
            </w:r>
            <w:r>
              <w:rPr>
                <w:rFonts w:ascii="Arial"/>
                <w:sz w:val="21"/>
              </w:rPr>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4,000</w:t>
            </w:r>
            <w:r>
              <w:rPr>
                <w:rFonts w:ascii="Arial"/>
                <w:sz w:val="21"/>
              </w:rPr>
            </w:r>
          </w:p>
        </w:tc>
        <w:tc>
          <w:tcPr>
            <w:tcW w:w="92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连带责</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1667" w:type="dxa"/>
            <w:tcBorders>
              <w:top w:val="single" w:sz="6" w:space="0" w:color="101010"/>
              <w:left w:val="single" w:sz="6" w:space="0" w:color="101010"/>
              <w:bottom w:val="single" w:sz="6" w:space="0" w:color="101010"/>
              <w:right w:val="single" w:sz="6" w:space="0" w:color="101010"/>
            </w:tcBorders>
          </w:tcPr>
          <w:p>
            <w:pPr>
              <w:pStyle w:val="TableParagraph"/>
              <w:spacing w:line="270" w:lineRule="exact"/>
              <w:ind w:left="100" w:right="0"/>
              <w:jc w:val="left"/>
              <w:rPr>
                <w:rFonts w:ascii="宋体" w:hAnsi="宋体" w:cs="宋体" w:eastAsia="宋体" w:hint="default"/>
                <w:sz w:val="21"/>
                <w:szCs w:val="21"/>
              </w:rPr>
            </w:pPr>
            <w:r>
              <w:rPr>
                <w:rFonts w:ascii="Arial" w:hAnsi="Arial" w:cs="Arial" w:eastAsia="Arial" w:hint="default"/>
                <w:spacing w:val="-3"/>
                <w:sz w:val="21"/>
                <w:szCs w:val="21"/>
              </w:rPr>
              <w:t>2006-11-13  </w:t>
            </w:r>
            <w:r>
              <w:rPr>
                <w:rFonts w:ascii="Arial" w:hAnsi="Arial" w:cs="Arial" w:eastAsia="Arial" w:hint="default"/>
                <w:spacing w:val="21"/>
                <w:sz w:val="21"/>
                <w:szCs w:val="21"/>
              </w:rPr>
              <w:t> </w:t>
            </w:r>
            <w:r>
              <w:rPr>
                <w:rFonts w:ascii="宋体" w:hAnsi="宋体" w:cs="宋体" w:eastAsia="宋体" w:hint="default"/>
                <w:sz w:val="21"/>
                <w:szCs w:val="21"/>
              </w:rPr>
              <w:t>～</w:t>
            </w:r>
          </w:p>
          <w:p>
            <w:pPr>
              <w:pStyle w:val="TableParagraph"/>
              <w:spacing w:line="240" w:lineRule="auto" w:before="17"/>
              <w:ind w:left="100" w:right="0"/>
              <w:jc w:val="left"/>
              <w:rPr>
                <w:rFonts w:ascii="Arial" w:hAnsi="Arial" w:cs="Arial" w:eastAsia="Arial" w:hint="default"/>
                <w:sz w:val="21"/>
                <w:szCs w:val="21"/>
              </w:rPr>
            </w:pPr>
            <w:r>
              <w:rPr>
                <w:rFonts w:ascii="Arial"/>
                <w:spacing w:val="-3"/>
                <w:sz w:val="21"/>
              </w:rPr>
              <w:t>2008-11-13</w:t>
            </w:r>
            <w:r>
              <w:rPr>
                <w:rFonts w:ascii="Arial"/>
                <w:sz w:val="21"/>
              </w:rPr>
            </w:r>
          </w:p>
        </w:tc>
        <w:tc>
          <w:tcPr>
            <w:tcW w:w="5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31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深圳市金证卡尔电子有限公司</w:t>
            </w:r>
          </w:p>
        </w:tc>
        <w:tc>
          <w:tcPr>
            <w:tcW w:w="13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left="100" w:right="0"/>
              <w:jc w:val="left"/>
              <w:rPr>
                <w:rFonts w:ascii="Arial" w:hAnsi="Arial" w:cs="Arial" w:eastAsia="Arial" w:hint="default"/>
                <w:sz w:val="21"/>
                <w:szCs w:val="21"/>
              </w:rPr>
            </w:pPr>
            <w:r>
              <w:rPr>
                <w:rFonts w:ascii="Arial"/>
                <w:sz w:val="21"/>
              </w:rPr>
              <w:t>2007-7-27</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500</w:t>
            </w:r>
            <w:r>
              <w:rPr>
                <w:rFonts w:ascii="Arial"/>
                <w:sz w:val="21"/>
              </w:rPr>
            </w:r>
          </w:p>
        </w:tc>
        <w:tc>
          <w:tcPr>
            <w:tcW w:w="92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连带责</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1667" w:type="dxa"/>
            <w:tcBorders>
              <w:top w:val="single" w:sz="6" w:space="0" w:color="101010"/>
              <w:left w:val="single" w:sz="6" w:space="0" w:color="101010"/>
              <w:bottom w:val="single" w:sz="6" w:space="0" w:color="101010"/>
              <w:right w:val="single" w:sz="6" w:space="0" w:color="101010"/>
            </w:tcBorders>
          </w:tcPr>
          <w:p>
            <w:pPr>
              <w:pStyle w:val="TableParagraph"/>
              <w:tabs>
                <w:tab w:pos="1340" w:val="left" w:leader="none"/>
              </w:tabs>
              <w:spacing w:line="270" w:lineRule="exact"/>
              <w:ind w:left="100" w:right="0"/>
              <w:jc w:val="left"/>
              <w:rPr>
                <w:rFonts w:ascii="宋体" w:hAnsi="宋体" w:cs="宋体" w:eastAsia="宋体" w:hint="default"/>
                <w:sz w:val="21"/>
                <w:szCs w:val="21"/>
              </w:rPr>
            </w:pPr>
            <w:r>
              <w:rPr>
                <w:rFonts w:ascii="Arial" w:hAnsi="Arial" w:cs="Arial" w:eastAsia="Arial" w:hint="default"/>
                <w:spacing w:val="-1"/>
                <w:sz w:val="21"/>
                <w:szCs w:val="21"/>
              </w:rPr>
              <w:t>2007-7-27</w:t>
              <w:tab/>
            </w:r>
            <w:r>
              <w:rPr>
                <w:rFonts w:ascii="宋体" w:hAnsi="宋体" w:cs="宋体" w:eastAsia="宋体" w:hint="default"/>
                <w:sz w:val="21"/>
                <w:szCs w:val="21"/>
              </w:rPr>
              <w:t>～</w:t>
            </w:r>
          </w:p>
          <w:p>
            <w:pPr>
              <w:pStyle w:val="TableParagraph"/>
              <w:spacing w:line="240" w:lineRule="auto" w:before="17"/>
              <w:ind w:left="100" w:right="0"/>
              <w:jc w:val="left"/>
              <w:rPr>
                <w:rFonts w:ascii="Arial" w:hAnsi="Arial" w:cs="Arial" w:eastAsia="Arial" w:hint="default"/>
                <w:sz w:val="21"/>
                <w:szCs w:val="21"/>
              </w:rPr>
            </w:pPr>
            <w:r>
              <w:rPr>
                <w:rFonts w:ascii="Arial"/>
                <w:sz w:val="21"/>
              </w:rPr>
              <w:t>2009-7-27</w:t>
            </w:r>
          </w:p>
        </w:tc>
        <w:tc>
          <w:tcPr>
            <w:tcW w:w="5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w w:val="99"/>
                <w:sz w:val="21"/>
              </w:rPr>
              <w:t>0</w:t>
            </w:r>
            <w:r>
              <w:rPr>
                <w:rFonts w:ascii="Arial"/>
                <w:sz w:val="21"/>
              </w:rPr>
            </w:r>
          </w:p>
        </w:tc>
      </w:tr>
      <w:tr>
        <w:trPr>
          <w:trHeight w:val="287"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w w:val="99"/>
                <w:sz w:val="21"/>
              </w:rPr>
              <w:t>0</w:t>
            </w:r>
            <w:r>
              <w:rPr>
                <w:rFonts w:ascii="Arial"/>
                <w:sz w:val="21"/>
              </w:rPr>
            </w:r>
          </w:p>
        </w:tc>
      </w:tr>
      <w:tr>
        <w:trPr>
          <w:trHeight w:val="466"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7"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10,250</w:t>
            </w:r>
            <w:r>
              <w:rPr>
                <w:rFonts w:ascii="Arial"/>
                <w:sz w:val="21"/>
              </w:rPr>
            </w:r>
          </w:p>
        </w:tc>
      </w:tr>
      <w:tr>
        <w:trPr>
          <w:trHeight w:val="288"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6,520</w:t>
            </w:r>
            <w:r>
              <w:rPr>
                <w:rFonts w:ascii="Arial"/>
                <w:sz w:val="21"/>
              </w:rPr>
            </w:r>
          </w:p>
        </w:tc>
      </w:tr>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7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36"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100"/>
              <w:jc w:val="right"/>
              <w:rPr>
                <w:rFonts w:ascii="Arial" w:hAnsi="Arial" w:cs="Arial" w:eastAsia="Arial" w:hint="default"/>
                <w:sz w:val="21"/>
                <w:szCs w:val="21"/>
              </w:rPr>
            </w:pPr>
            <w:r>
              <w:rPr>
                <w:rFonts w:ascii="Arial"/>
                <w:spacing w:val="-1"/>
                <w:w w:val="95"/>
                <w:sz w:val="21"/>
              </w:rPr>
              <w:t>6,520</w:t>
            </w:r>
            <w:r>
              <w:rPr>
                <w:rFonts w:ascii="Arial"/>
                <w:sz w:val="21"/>
              </w:rPr>
            </w:r>
          </w:p>
        </w:tc>
      </w:tr>
      <w:tr>
        <w:trPr>
          <w:trHeight w:val="287"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16.48%</w:t>
            </w:r>
            <w:r>
              <w:rPr>
                <w:rFonts w:ascii="Arial"/>
                <w:sz w:val="21"/>
              </w:rPr>
            </w:r>
          </w:p>
        </w:tc>
      </w:tr>
      <w:tr>
        <w:trPr>
          <w:trHeight w:val="466"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7"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w w:val="99"/>
                <w:sz w:val="21"/>
              </w:rPr>
              <w:t>0</w:t>
            </w:r>
            <w:r>
              <w:rPr>
                <w:rFonts w:ascii="Arial"/>
                <w:sz w:val="21"/>
              </w:rPr>
            </w:r>
          </w:p>
        </w:tc>
      </w:tr>
      <w:tr>
        <w:trPr>
          <w:trHeight w:val="1020"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72" w:lineRule="exact"/>
              <w:ind w:left="100" w:right="95"/>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13"/>
                <w:sz w:val="21"/>
                <w:szCs w:val="21"/>
              </w:rPr>
              <w:t> </w:t>
            </w:r>
            <w:r>
              <w:rPr>
                <w:rFonts w:ascii="Arial" w:hAnsi="Arial" w:cs="Arial" w:eastAsia="Arial" w:hint="default"/>
                <w:spacing w:val="2"/>
                <w:sz w:val="21"/>
                <w:szCs w:val="21"/>
              </w:rPr>
              <w:t>70</w:t>
            </w:r>
            <w:r>
              <w:rPr>
                <w:rFonts w:ascii="宋体" w:hAnsi="宋体" w:cs="宋体" w:eastAsia="宋体" w:hint="default"/>
                <w:spacing w:val="2"/>
                <w:sz w:val="21"/>
                <w:szCs w:val="21"/>
              </w:rPr>
              <w:t>％的被担保对象提供的债务担保金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8"/>
              <w:jc w:val="right"/>
              <w:rPr>
                <w:rFonts w:ascii="Arial" w:hAnsi="Arial" w:cs="Arial" w:eastAsia="Arial" w:hint="default"/>
                <w:sz w:val="21"/>
                <w:szCs w:val="21"/>
              </w:rPr>
            </w:pPr>
            <w:r>
              <w:rPr>
                <w:rFonts w:ascii="Arial"/>
                <w:w w:val="99"/>
                <w:sz w:val="21"/>
              </w:rPr>
              <w:t>0</w:t>
            </w:r>
            <w:r>
              <w:rPr>
                <w:rFonts w:ascii="Arial"/>
                <w:sz w:val="21"/>
              </w:rPr>
            </w:r>
          </w:p>
        </w:tc>
      </w:tr>
      <w:tr>
        <w:trPr>
          <w:trHeight w:val="288"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6"/>
                <w:sz w:val="21"/>
                <w:szCs w:val="21"/>
              </w:rPr>
              <w:t> </w:t>
            </w:r>
            <w:r>
              <w:rPr>
                <w:rFonts w:ascii="Arial" w:hAnsi="Arial" w:cs="Arial" w:eastAsia="Arial" w:hint="default"/>
                <w:sz w:val="21"/>
                <w:szCs w:val="21"/>
              </w:rPr>
              <w:t>50</w:t>
            </w:r>
            <w:r>
              <w:rPr>
                <w:rFonts w:ascii="宋体" w:hAnsi="宋体" w:cs="宋体" w:eastAsia="宋体" w:hint="default"/>
                <w:sz w:val="21"/>
                <w:szCs w:val="21"/>
              </w:rPr>
              <w:t>％部分的金额</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w w:val="99"/>
                <w:sz w:val="21"/>
              </w:rPr>
              <w:t>0</w:t>
            </w:r>
            <w:r>
              <w:rPr>
                <w:rFonts w:ascii="Arial"/>
                <w:sz w:val="21"/>
              </w:rPr>
            </w:r>
          </w:p>
        </w:tc>
      </w:tr>
      <w:tr>
        <w:trPr>
          <w:trHeight w:val="436" w:hRule="exact"/>
        </w:trPr>
        <w:tc>
          <w:tcPr>
            <w:tcW w:w="652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29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98"/>
              <w:jc w:val="right"/>
              <w:rPr>
                <w:rFonts w:ascii="Arial" w:hAnsi="Arial" w:cs="Arial" w:eastAsia="Arial" w:hint="default"/>
                <w:sz w:val="21"/>
                <w:szCs w:val="21"/>
              </w:rPr>
            </w:pPr>
            <w:r>
              <w:rPr>
                <w:rFonts w:ascii="Arial"/>
                <w:w w:val="99"/>
                <w:sz w:val="21"/>
              </w:rPr>
              <w:t>0</w:t>
            </w:r>
            <w:r>
              <w:rPr>
                <w:rFonts w:ascii="Arial"/>
                <w:sz w:val="21"/>
              </w:rPr>
            </w:r>
          </w:p>
        </w:tc>
      </w:tr>
    </w:tbl>
    <w:p>
      <w:pPr>
        <w:spacing w:line="240" w:lineRule="auto" w:before="10"/>
        <w:rPr>
          <w:rFonts w:ascii="宋体" w:hAnsi="宋体" w:cs="宋体" w:eastAsia="宋体" w:hint="default"/>
          <w:sz w:val="22"/>
          <w:szCs w:val="22"/>
        </w:rPr>
      </w:pPr>
    </w:p>
    <w:p>
      <w:pPr>
        <w:pStyle w:val="BodyText"/>
        <w:spacing w:line="240" w:lineRule="auto" w:before="35"/>
        <w:ind w:left="565" w:right="226"/>
        <w:jc w:val="left"/>
      </w:pPr>
      <w:r>
        <w:rPr>
          <w:spacing w:val="-7"/>
        </w:rPr>
        <w:t>（</w:t>
      </w:r>
      <w:r>
        <w:rPr>
          <w:rFonts w:ascii="Arial" w:hAnsi="Arial" w:cs="Arial" w:eastAsia="Arial" w:hint="default"/>
          <w:spacing w:val="-7"/>
        </w:rPr>
        <w:t>1</w:t>
      </w:r>
      <w:r>
        <w:rPr>
          <w:spacing w:val="-7"/>
        </w:rPr>
        <w:t>）本公司于</w:t>
      </w:r>
      <w:r>
        <w:rPr>
          <w:spacing w:val="-61"/>
        </w:rPr>
        <w:t> </w:t>
      </w:r>
      <w:r>
        <w:rPr>
          <w:rFonts w:ascii="Arial" w:hAnsi="Arial" w:cs="Arial" w:eastAsia="Arial" w:hint="default"/>
        </w:rPr>
        <w:t>2006</w:t>
      </w:r>
      <w:r>
        <w:rPr>
          <w:rFonts w:ascii="Arial" w:hAnsi="Arial" w:cs="Arial" w:eastAsia="Arial" w:hint="default"/>
          <w:spacing w:val="-14"/>
        </w:rPr>
        <w:t> </w:t>
      </w:r>
      <w:r>
        <w:rPr/>
        <w:t>年</w:t>
      </w:r>
      <w:r>
        <w:rPr>
          <w:spacing w:val="-61"/>
        </w:rPr>
        <w:t> </w:t>
      </w:r>
      <w:r>
        <w:rPr>
          <w:rFonts w:ascii="Arial" w:hAnsi="Arial" w:cs="Arial" w:eastAsia="Arial" w:hint="default"/>
          <w:spacing w:val="-8"/>
        </w:rPr>
        <w:t>11</w:t>
      </w:r>
      <w:r>
        <w:rPr>
          <w:rFonts w:ascii="Arial" w:hAnsi="Arial" w:cs="Arial" w:eastAsia="Arial" w:hint="default"/>
          <w:spacing w:val="-14"/>
        </w:rPr>
        <w:t> </w:t>
      </w:r>
      <w:r>
        <w:rPr/>
        <w:t>月</w:t>
      </w:r>
      <w:r>
        <w:rPr>
          <w:spacing w:val="-61"/>
        </w:rPr>
        <w:t> </w:t>
      </w:r>
      <w:r>
        <w:rPr>
          <w:rFonts w:ascii="Arial" w:hAnsi="Arial" w:cs="Arial" w:eastAsia="Arial" w:hint="default"/>
        </w:rPr>
        <w:t>13</w:t>
      </w:r>
      <w:r>
        <w:rPr>
          <w:rFonts w:ascii="Arial" w:hAnsi="Arial" w:cs="Arial" w:eastAsia="Arial" w:hint="default"/>
          <w:spacing w:val="-14"/>
        </w:rPr>
        <w:t> </w:t>
      </w:r>
      <w:r>
        <w:rPr/>
        <w:t>日与中国建设银行股份有限公司深圳分行签订了《人民币额度借</w:t>
      </w:r>
    </w:p>
    <w:p>
      <w:pPr>
        <w:pStyle w:val="BodyText"/>
        <w:spacing w:line="240" w:lineRule="auto" w:before="110"/>
        <w:ind w:left="144" w:right="226"/>
        <w:jc w:val="left"/>
        <w:rPr>
          <w:rFonts w:ascii="Arial" w:hAnsi="Arial" w:cs="Arial" w:eastAsia="Arial" w:hint="default"/>
        </w:rPr>
      </w:pPr>
      <w:r>
        <w:rPr/>
        <w:t>款保证合同</w:t>
      </w:r>
      <w:r>
        <w:rPr>
          <w:spacing w:val="-149"/>
        </w:rPr>
        <w:t>》</w:t>
      </w:r>
      <w:r>
        <w:rPr/>
        <w:t>（保</w:t>
      </w:r>
      <w:r>
        <w:rPr>
          <w:spacing w:val="-53"/>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6"/>
        </w:rPr>
        <w:t> </w:t>
      </w:r>
      <w:r>
        <w:rPr/>
        <w:t>流</w:t>
      </w:r>
      <w:r>
        <w:rPr>
          <w:spacing w:val="-53"/>
        </w:rPr>
        <w:t> </w:t>
      </w:r>
      <w:r>
        <w:rPr>
          <w:rFonts w:ascii="Arial" w:hAnsi="Arial" w:cs="Arial" w:eastAsia="Arial" w:hint="default"/>
          <w:spacing w:val="-16"/>
          <w:w w:val="99"/>
        </w:rPr>
        <w:t>1</w:t>
      </w:r>
      <w:r>
        <w:rPr>
          <w:rFonts w:ascii="Arial" w:hAnsi="Arial" w:cs="Arial" w:eastAsia="Arial" w:hint="default"/>
          <w:spacing w:val="-1"/>
          <w:w w:val="99"/>
        </w:rPr>
        <w:t>10</w:t>
      </w:r>
      <w:r>
        <w:rPr>
          <w:rFonts w:ascii="Arial" w:hAnsi="Arial" w:cs="Arial" w:eastAsia="Arial" w:hint="default"/>
          <w:w w:val="99"/>
        </w:rPr>
        <w:t>4</w:t>
      </w:r>
      <w:r>
        <w:rPr>
          <w:rFonts w:ascii="Arial" w:hAnsi="Arial" w:cs="Arial" w:eastAsia="Arial" w:hint="default"/>
          <w:spacing w:val="-1"/>
          <w:w w:val="99"/>
        </w:rPr>
        <w:t>08</w:t>
      </w:r>
      <w:r>
        <w:rPr>
          <w:rFonts w:ascii="Arial" w:hAnsi="Arial" w:cs="Arial" w:eastAsia="Arial" w:hint="default"/>
          <w:w w:val="99"/>
        </w:rPr>
        <w:t>6</w:t>
      </w:r>
      <w:r>
        <w:rPr>
          <w:rFonts w:ascii="Arial" w:hAnsi="Arial" w:cs="Arial" w:eastAsia="Arial" w:hint="default"/>
          <w:spacing w:val="-1"/>
          <w:w w:val="99"/>
        </w:rPr>
        <w:t>R-</w:t>
      </w:r>
      <w:r>
        <w:rPr>
          <w:rFonts w:ascii="Arial" w:hAnsi="Arial" w:cs="Arial" w:eastAsia="Arial" w:hint="default"/>
          <w:spacing w:val="1"/>
          <w:w w:val="99"/>
        </w:rPr>
        <w:t>1</w:t>
      </w:r>
      <w:r>
        <w:rPr>
          <w:spacing w:val="-105"/>
        </w:rPr>
        <w:t>）</w:t>
      </w:r>
      <w:r>
        <w:rPr>
          <w:spacing w:val="-44"/>
        </w:rPr>
        <w:t>，</w:t>
      </w:r>
      <w:r>
        <w:rPr/>
        <w:t>为控股</w:t>
      </w:r>
      <w:r>
        <w:rPr>
          <w:spacing w:val="-2"/>
        </w:rPr>
        <w:t>子</w:t>
      </w:r>
      <w:r>
        <w:rPr/>
        <w:t>公司</w:t>
      </w:r>
      <w:r>
        <w:rPr>
          <w:rFonts w:ascii="Arial" w:hAnsi="Arial" w:cs="Arial" w:eastAsia="Arial" w:hint="default"/>
        </w:rPr>
        <w:t>—</w:t>
      </w:r>
      <w:r>
        <w:rPr/>
        <w:t>深圳市齐普生信息科技有限公司</w:t>
      </w:r>
      <w:r>
        <w:rPr>
          <w:spacing w:val="-53"/>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5"/>
        </w:rPr>
        <w:t> </w:t>
      </w:r>
      <w:r>
        <w:rPr/>
        <w:t>年</w:t>
      </w:r>
      <w:r>
        <w:rPr>
          <w:spacing w:val="-53"/>
        </w:rPr>
        <w:t> </w:t>
      </w:r>
      <w:r>
        <w:rPr>
          <w:rFonts w:ascii="Arial" w:hAnsi="Arial" w:cs="Arial" w:eastAsia="Arial" w:hint="default"/>
          <w:spacing w:val="-15"/>
          <w:w w:val="99"/>
        </w:rPr>
        <w:t>11</w:t>
      </w:r>
      <w:r>
        <w:rPr>
          <w:rFonts w:ascii="Arial" w:hAnsi="Arial" w:cs="Arial" w:eastAsia="Arial" w:hint="default"/>
        </w:rPr>
      </w:r>
    </w:p>
    <w:p>
      <w:pPr>
        <w:pStyle w:val="BodyText"/>
        <w:spacing w:line="240" w:lineRule="auto" w:before="111"/>
        <w:ind w:left="144" w:right="226"/>
        <w:jc w:val="left"/>
        <w:rPr>
          <w:rFonts w:ascii="Arial" w:hAnsi="Arial" w:cs="Arial" w:eastAsia="Arial" w:hint="default"/>
        </w:rPr>
      </w:pPr>
      <w:r>
        <w:rPr/>
        <w:t>月</w:t>
      </w:r>
      <w:r>
        <w:rPr>
          <w:spacing w:val="-54"/>
        </w:rPr>
        <w:t> </w:t>
      </w:r>
      <w:r>
        <w:rPr>
          <w:rFonts w:ascii="Arial" w:hAnsi="Arial" w:cs="Arial" w:eastAsia="Arial" w:hint="default"/>
        </w:rPr>
        <w:t>28</w:t>
      </w:r>
      <w:r>
        <w:rPr>
          <w:rFonts w:ascii="Arial" w:hAnsi="Arial" w:cs="Arial" w:eastAsia="Arial" w:hint="default"/>
          <w:spacing w:val="-7"/>
        </w:rPr>
        <w:t> </w:t>
      </w:r>
      <w:r>
        <w:rPr/>
        <w:t>日至</w:t>
      </w:r>
      <w:r>
        <w:rPr>
          <w:spacing w:val="-54"/>
        </w:rPr>
        <w:t> </w:t>
      </w:r>
      <w:r>
        <w:rPr>
          <w:rFonts w:ascii="Arial" w:hAnsi="Arial" w:cs="Arial" w:eastAsia="Arial" w:hint="default"/>
        </w:rPr>
        <w:t>2007</w:t>
      </w:r>
      <w:r>
        <w:rPr>
          <w:rFonts w:ascii="Arial" w:hAnsi="Arial" w:cs="Arial" w:eastAsia="Arial" w:hint="default"/>
          <w:spacing w:val="-7"/>
        </w:rPr>
        <w:t> </w:t>
      </w:r>
      <w:r>
        <w:rPr/>
        <w:t>年</w:t>
      </w:r>
      <w:r>
        <w:rPr>
          <w:spacing w:val="-54"/>
        </w:rPr>
        <w:t> </w:t>
      </w:r>
      <w:r>
        <w:rPr>
          <w:rFonts w:ascii="Arial" w:hAnsi="Arial" w:cs="Arial" w:eastAsia="Arial" w:hint="default"/>
          <w:spacing w:val="-8"/>
        </w:rPr>
        <w:t>11</w:t>
      </w:r>
      <w:r>
        <w:rPr>
          <w:rFonts w:ascii="Arial" w:hAnsi="Arial" w:cs="Arial" w:eastAsia="Arial" w:hint="default"/>
          <w:spacing w:val="-7"/>
        </w:rPr>
        <w:t> </w:t>
      </w:r>
      <w:r>
        <w:rPr/>
        <w:t>月</w:t>
      </w:r>
      <w:r>
        <w:rPr>
          <w:spacing w:val="-53"/>
        </w:rPr>
        <w:t> </w:t>
      </w:r>
      <w:r>
        <w:rPr>
          <w:rFonts w:ascii="Arial" w:hAnsi="Arial" w:cs="Arial" w:eastAsia="Arial" w:hint="default"/>
        </w:rPr>
        <w:t>27</w:t>
      </w:r>
      <w:r>
        <w:rPr>
          <w:rFonts w:ascii="Arial" w:hAnsi="Arial" w:cs="Arial" w:eastAsia="Arial" w:hint="default"/>
          <w:spacing w:val="-7"/>
        </w:rPr>
        <w:t> </w:t>
      </w:r>
      <w:r>
        <w:rPr/>
        <w:t>日期间内总额在</w:t>
      </w:r>
      <w:r>
        <w:rPr>
          <w:spacing w:val="-54"/>
        </w:rPr>
        <w:t> </w:t>
      </w:r>
      <w:r>
        <w:rPr>
          <w:rFonts w:ascii="Arial" w:hAnsi="Arial" w:cs="Arial" w:eastAsia="Arial" w:hint="default"/>
        </w:rPr>
        <w:t>4000</w:t>
      </w:r>
      <w:r>
        <w:rPr>
          <w:rFonts w:ascii="Arial" w:hAnsi="Arial" w:cs="Arial" w:eastAsia="Arial" w:hint="default"/>
          <w:spacing w:val="-6"/>
        </w:rPr>
        <w:t> </w:t>
      </w:r>
      <w:r>
        <w:rPr>
          <w:spacing w:val="-4"/>
        </w:rPr>
        <w:t>万元内的借款提供连带责任保证。截止</w:t>
      </w:r>
      <w:r>
        <w:rPr>
          <w:spacing w:val="-54"/>
        </w:rPr>
        <w:t> </w:t>
      </w:r>
      <w:r>
        <w:rPr>
          <w:rFonts w:ascii="Arial" w:hAnsi="Arial" w:cs="Arial" w:eastAsia="Arial" w:hint="default"/>
        </w:rPr>
        <w:t>2007</w:t>
      </w:r>
      <w:r>
        <w:rPr>
          <w:rFonts w:ascii="Arial" w:hAnsi="Arial" w:cs="Arial" w:eastAsia="Arial" w:hint="default"/>
          <w:spacing w:val="-7"/>
        </w:rPr>
        <w:t> </w:t>
      </w:r>
      <w:r>
        <w:rPr/>
        <w:t>年</w:t>
      </w:r>
      <w:r>
        <w:rPr>
          <w:spacing w:val="-54"/>
        </w:rPr>
        <w:t> </w:t>
      </w:r>
      <w:r>
        <w:rPr>
          <w:rFonts w:ascii="Arial" w:hAnsi="Arial" w:cs="Arial" w:eastAsia="Arial" w:hint="default"/>
        </w:rPr>
        <w:t>12</w:t>
      </w:r>
    </w:p>
    <w:p>
      <w:pPr>
        <w:pStyle w:val="BodyText"/>
        <w:spacing w:line="331" w:lineRule="auto" w:before="110"/>
        <w:ind w:left="144" w:right="318"/>
        <w:jc w:val="left"/>
      </w:pPr>
      <w:r>
        <w:rPr/>
        <w:t>月</w:t>
      </w:r>
      <w:r>
        <w:rPr>
          <w:spacing w:val="-71"/>
        </w:rPr>
        <w:t> </w:t>
      </w:r>
      <w:r>
        <w:rPr>
          <w:rFonts w:ascii="Arial" w:hAnsi="Arial" w:cs="Arial" w:eastAsia="Arial" w:hint="default"/>
        </w:rPr>
        <w:t>31</w:t>
      </w:r>
      <w:r>
        <w:rPr>
          <w:rFonts w:ascii="Arial" w:hAnsi="Arial" w:cs="Arial" w:eastAsia="Arial" w:hint="default"/>
          <w:spacing w:val="-24"/>
        </w:rPr>
        <w:t> </w:t>
      </w:r>
      <w:r>
        <w:rPr/>
        <w:t>日，深圳市齐普生信息科技有限公司在中国建设银行股份有限公司深圳分行借款金额为</w:t>
      </w:r>
      <w:r>
        <w:rPr>
          <w:spacing w:val="-71"/>
        </w:rPr>
        <w:t> </w:t>
      </w:r>
      <w:r>
        <w:rPr>
          <w:rFonts w:ascii="Arial" w:hAnsi="Arial" w:cs="Arial" w:eastAsia="Arial" w:hint="default"/>
        </w:rPr>
        <w:t>1985</w:t>
      </w:r>
      <w:r>
        <w:rPr>
          <w:rFonts w:ascii="Arial" w:hAnsi="Arial" w:cs="Arial" w:eastAsia="Arial" w:hint="default"/>
          <w:spacing w:val="-24"/>
        </w:rPr>
        <w:t> </w:t>
      </w:r>
      <w:r>
        <w:rPr/>
        <w:t>万 元。</w:t>
      </w:r>
    </w:p>
    <w:p>
      <w:pPr>
        <w:spacing w:after="0" w:line="331" w:lineRule="auto"/>
        <w:jc w:val="left"/>
        <w:sectPr>
          <w:pgSz w:w="12240" w:h="15840"/>
          <w:pgMar w:header="747" w:footer="727" w:top="1040" w:bottom="920" w:left="13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65" w:right="0"/>
        <w:jc w:val="left"/>
      </w:pPr>
      <w:r>
        <w:rPr>
          <w:spacing w:val="4"/>
        </w:rPr>
        <w:t>（</w:t>
      </w:r>
      <w:r>
        <w:rPr>
          <w:rFonts w:ascii="Arial" w:hAnsi="Arial" w:cs="Arial" w:eastAsia="Arial" w:hint="default"/>
          <w:spacing w:val="4"/>
        </w:rPr>
        <w:t>2</w:t>
      </w:r>
      <w:r>
        <w:rPr>
          <w:spacing w:val="4"/>
        </w:rPr>
        <w:t>）本公司于 </w:t>
      </w:r>
      <w:r>
        <w:rPr>
          <w:rFonts w:ascii="Arial" w:hAnsi="Arial" w:cs="Arial" w:eastAsia="Arial" w:hint="default"/>
        </w:rPr>
        <w:t>2007  </w:t>
      </w:r>
      <w:r>
        <w:rPr/>
        <w:t>年 </w:t>
      </w:r>
      <w:r>
        <w:rPr>
          <w:rFonts w:ascii="Arial" w:hAnsi="Arial" w:cs="Arial" w:eastAsia="Arial" w:hint="default"/>
        </w:rPr>
        <w:t>10  </w:t>
      </w:r>
      <w:r>
        <w:rPr/>
        <w:t>月 </w:t>
      </w:r>
      <w:r>
        <w:rPr>
          <w:rFonts w:ascii="Arial" w:hAnsi="Arial" w:cs="Arial" w:eastAsia="Arial" w:hint="default"/>
        </w:rPr>
        <w:t>16 </w:t>
      </w:r>
      <w:r>
        <w:rPr>
          <w:rFonts w:ascii="Arial" w:hAnsi="Arial" w:cs="Arial" w:eastAsia="Arial" w:hint="default"/>
          <w:spacing w:val="5"/>
        </w:rPr>
        <w:t> </w:t>
      </w:r>
      <w:r>
        <w:rPr>
          <w:spacing w:val="5"/>
        </w:rPr>
        <w:t>日与广东发展银行股份有限公司深圳城市广场支行签订了</w:t>
      </w:r>
    </w:p>
    <w:p>
      <w:pPr>
        <w:pStyle w:val="BodyText"/>
        <w:spacing w:line="240" w:lineRule="auto" w:before="110"/>
        <w:ind w:left="144" w:right="0"/>
        <w:jc w:val="left"/>
      </w:pPr>
      <w:r>
        <w:rPr>
          <w:rFonts w:ascii="Arial" w:hAnsi="Arial" w:cs="Arial" w:eastAsia="Arial" w:hint="default"/>
          <w:spacing w:val="-1"/>
          <w:w w:val="99"/>
        </w:rPr>
        <w:t>102</w:t>
      </w:r>
      <w:r>
        <w:rPr>
          <w:rFonts w:ascii="Arial" w:hAnsi="Arial" w:cs="Arial" w:eastAsia="Arial" w:hint="default"/>
          <w:w w:val="99"/>
        </w:rPr>
        <w:t>0</w:t>
      </w:r>
      <w:r>
        <w:rPr>
          <w:rFonts w:ascii="Arial" w:hAnsi="Arial" w:cs="Arial" w:eastAsia="Arial" w:hint="default"/>
          <w:spacing w:val="-1"/>
          <w:w w:val="99"/>
        </w:rPr>
        <w:t>01</w:t>
      </w:r>
      <w:r>
        <w:rPr>
          <w:rFonts w:ascii="Arial" w:hAnsi="Arial" w:cs="Arial" w:eastAsia="Arial" w:hint="default"/>
          <w:w w:val="99"/>
        </w:rPr>
        <w:t>0</w:t>
      </w:r>
      <w:r>
        <w:rPr>
          <w:rFonts w:ascii="Arial" w:hAnsi="Arial" w:cs="Arial" w:eastAsia="Arial" w:hint="default"/>
          <w:spacing w:val="-1"/>
          <w:w w:val="99"/>
        </w:rPr>
        <w:t>72</w:t>
      </w:r>
      <w:r>
        <w:rPr>
          <w:rFonts w:ascii="Arial" w:hAnsi="Arial" w:cs="Arial" w:eastAsia="Arial" w:hint="default"/>
          <w:w w:val="99"/>
        </w:rPr>
        <w:t>7</w:t>
      </w:r>
      <w:r>
        <w:rPr>
          <w:rFonts w:ascii="Arial" w:hAnsi="Arial" w:cs="Arial" w:eastAsia="Arial" w:hint="default"/>
          <w:spacing w:val="-1"/>
          <w:w w:val="99"/>
        </w:rPr>
        <w:t>6-0</w:t>
      </w:r>
      <w:r>
        <w:rPr>
          <w:rFonts w:ascii="Arial" w:hAnsi="Arial" w:cs="Arial" w:eastAsia="Arial" w:hint="default"/>
          <w:spacing w:val="-41"/>
          <w:w w:val="99"/>
        </w:rPr>
        <w:t>1</w:t>
      </w:r>
      <w:r>
        <w:rPr/>
        <w:t>《最高</w:t>
      </w:r>
      <w:r>
        <w:rPr>
          <w:spacing w:val="1"/>
        </w:rPr>
        <w:t>额</w:t>
      </w:r>
      <w:r>
        <w:rPr/>
        <w:t>保证合同</w:t>
      </w:r>
      <w:r>
        <w:rPr>
          <w:spacing w:val="-105"/>
        </w:rPr>
        <w:t>》</w:t>
      </w:r>
      <w:r>
        <w:rPr>
          <w:spacing w:val="-42"/>
        </w:rPr>
        <w:t>，</w:t>
      </w:r>
      <w:r>
        <w:rPr/>
        <w:t>为控股子公司</w:t>
      </w:r>
      <w:r>
        <w:rPr>
          <w:rFonts w:ascii="Arial" w:hAnsi="Arial" w:cs="Arial" w:eastAsia="Arial" w:hint="default"/>
        </w:rPr>
        <w:t>—</w:t>
      </w:r>
      <w:r>
        <w:rPr/>
        <w:t>深圳市齐普生信息科技有限公司</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10</w:t>
      </w:r>
      <w:r>
        <w:rPr>
          <w:rFonts w:ascii="Arial" w:hAnsi="Arial" w:cs="Arial" w:eastAsia="Arial" w:hint="default"/>
          <w:spacing w:val="-6"/>
        </w:rPr>
        <w:t> </w:t>
      </w:r>
      <w:r>
        <w:rPr/>
        <w:t>月</w:t>
      </w:r>
    </w:p>
    <w:p>
      <w:pPr>
        <w:pStyle w:val="BodyText"/>
        <w:spacing w:line="240" w:lineRule="auto" w:before="111"/>
        <w:ind w:left="144" w:right="0"/>
        <w:jc w:val="left"/>
        <w:rPr>
          <w:rFonts w:ascii="Arial" w:hAnsi="Arial" w:cs="Arial" w:eastAsia="Arial" w:hint="default"/>
        </w:rPr>
      </w:pPr>
      <w:r>
        <w:rPr>
          <w:rFonts w:ascii="Arial" w:hAnsi="Arial" w:cs="Arial" w:eastAsia="Arial" w:hint="default"/>
          <w:spacing w:val="-1"/>
          <w:w w:val="99"/>
        </w:rPr>
        <w:t>1</w:t>
      </w:r>
      <w:r>
        <w:rPr>
          <w:rFonts w:ascii="Arial" w:hAnsi="Arial" w:cs="Arial" w:eastAsia="Arial" w:hint="default"/>
          <w:w w:val="99"/>
        </w:rPr>
        <w:t>8</w:t>
      </w:r>
      <w:r>
        <w:rPr>
          <w:rFonts w:ascii="Arial" w:hAnsi="Arial" w:cs="Arial" w:eastAsia="Arial" w:hint="default"/>
          <w:spacing w:val="-28"/>
        </w:rPr>
        <w:t> </w:t>
      </w:r>
      <w:r>
        <w:rPr/>
        <w:t>日至</w:t>
      </w:r>
      <w:r>
        <w:rPr>
          <w:spacing w:val="-74"/>
        </w:rPr>
        <w:t> </w:t>
      </w:r>
      <w:r>
        <w:rPr>
          <w:rFonts w:ascii="Arial" w:hAnsi="Arial" w:cs="Arial" w:eastAsia="Arial" w:hint="default"/>
          <w:w w:val="99"/>
        </w:rPr>
        <w:t>2</w:t>
      </w:r>
      <w:r>
        <w:rPr>
          <w:rFonts w:ascii="Arial" w:hAnsi="Arial" w:cs="Arial" w:eastAsia="Arial" w:hint="default"/>
          <w:spacing w:val="-1"/>
          <w:w w:val="99"/>
        </w:rPr>
        <w:t>00</w:t>
      </w:r>
      <w:r>
        <w:rPr>
          <w:rFonts w:ascii="Arial" w:hAnsi="Arial" w:cs="Arial" w:eastAsia="Arial" w:hint="default"/>
          <w:w w:val="99"/>
        </w:rPr>
        <w:t>8</w:t>
      </w:r>
      <w:r>
        <w:rPr>
          <w:rFonts w:ascii="Arial" w:hAnsi="Arial" w:cs="Arial" w:eastAsia="Arial" w:hint="default"/>
          <w:spacing w:val="-27"/>
        </w:rPr>
        <w:t> </w:t>
      </w:r>
      <w:r>
        <w:rPr/>
        <w:t>年</w:t>
      </w:r>
      <w:r>
        <w:rPr>
          <w:spacing w:val="-74"/>
        </w:rPr>
        <w:t> </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28"/>
        </w:rPr>
        <w:t> </w:t>
      </w:r>
      <w:r>
        <w:rPr/>
        <w:t>月</w:t>
      </w:r>
      <w:r>
        <w:rPr>
          <w:spacing w:val="-74"/>
        </w:rPr>
        <w:t> </w:t>
      </w:r>
      <w:r>
        <w:rPr>
          <w:rFonts w:ascii="Arial" w:hAnsi="Arial" w:cs="Arial" w:eastAsia="Arial" w:hint="default"/>
          <w:w w:val="99"/>
        </w:rPr>
        <w:t>17</w:t>
      </w:r>
      <w:r>
        <w:rPr>
          <w:rFonts w:ascii="Arial" w:hAnsi="Arial" w:cs="Arial" w:eastAsia="Arial" w:hint="default"/>
          <w:spacing w:val="-28"/>
        </w:rPr>
        <w:t> </w:t>
      </w:r>
      <w:r>
        <w:rPr>
          <w:spacing w:val="1"/>
        </w:rPr>
        <w:t>日</w:t>
      </w:r>
      <w:r>
        <w:rPr/>
        <w:t>期间总额在</w:t>
      </w:r>
      <w:r>
        <w:rPr>
          <w:spacing w:val="-74"/>
        </w:rPr>
        <w:t> </w:t>
      </w:r>
      <w:r>
        <w:rPr>
          <w:rFonts w:ascii="Arial" w:hAnsi="Arial" w:cs="Arial" w:eastAsia="Arial" w:hint="default"/>
          <w:spacing w:val="-1"/>
          <w:w w:val="99"/>
        </w:rPr>
        <w:t>175</w:t>
      </w:r>
      <w:r>
        <w:rPr>
          <w:rFonts w:ascii="Arial" w:hAnsi="Arial" w:cs="Arial" w:eastAsia="Arial" w:hint="default"/>
          <w:w w:val="99"/>
        </w:rPr>
        <w:t>0</w:t>
      </w:r>
      <w:r>
        <w:rPr>
          <w:rFonts w:ascii="Arial" w:hAnsi="Arial" w:cs="Arial" w:eastAsia="Arial" w:hint="default"/>
          <w:spacing w:val="-28"/>
        </w:rPr>
        <w:t> </w:t>
      </w:r>
      <w:r>
        <w:rPr/>
        <w:t>万元内</w:t>
      </w:r>
      <w:r>
        <w:rPr>
          <w:spacing w:val="1"/>
        </w:rPr>
        <w:t>的</w:t>
      </w:r>
      <w:r>
        <w:rPr/>
        <w:t>银行承兑汇票借款提供连带责任保证</w:t>
      </w:r>
      <w:r>
        <w:rPr>
          <w:spacing w:val="-105"/>
        </w:rPr>
        <w:t>。</w:t>
      </w:r>
      <w:r>
        <w:rPr/>
        <w:t>截止</w:t>
      </w:r>
      <w:r>
        <w:rPr>
          <w:spacing w:val="-74"/>
        </w:rPr>
        <w:t> </w:t>
      </w:r>
      <w:r>
        <w:rPr>
          <w:rFonts w:ascii="Arial" w:hAnsi="Arial" w:cs="Arial" w:eastAsia="Arial" w:hint="default"/>
          <w:spacing w:val="-1"/>
          <w:w w:val="99"/>
        </w:rPr>
        <w:t>20</w:t>
      </w:r>
      <w:r>
        <w:rPr>
          <w:rFonts w:ascii="Arial" w:hAnsi="Arial" w:cs="Arial" w:eastAsia="Arial" w:hint="default"/>
          <w:w w:val="99"/>
        </w:rPr>
        <w:t>07</w:t>
      </w:r>
      <w:r>
        <w:rPr>
          <w:rFonts w:ascii="Arial" w:hAnsi="Arial" w:cs="Arial" w:eastAsia="Arial" w:hint="default"/>
        </w:rPr>
      </w:r>
    </w:p>
    <w:p>
      <w:pPr>
        <w:pStyle w:val="BodyText"/>
        <w:spacing w:line="240" w:lineRule="auto" w:before="110"/>
        <w:ind w:right="0"/>
        <w:jc w:val="left"/>
      </w:pPr>
      <w:r>
        <w:rPr/>
        <w:t>年</w:t>
      </w:r>
      <w:r>
        <w:rPr>
          <w:spacing w:val="-66"/>
        </w:rPr>
        <w:t> </w:t>
      </w:r>
      <w:r>
        <w:rPr>
          <w:rFonts w:ascii="Arial" w:hAnsi="Arial" w:cs="Arial" w:eastAsia="Arial" w:hint="default"/>
        </w:rPr>
        <w:t>12</w:t>
      </w:r>
      <w:r>
        <w:rPr>
          <w:rFonts w:ascii="Arial" w:hAnsi="Arial" w:cs="Arial" w:eastAsia="Arial" w:hint="default"/>
          <w:spacing w:val="-19"/>
        </w:rPr>
        <w:t> </w:t>
      </w:r>
      <w:r>
        <w:rPr/>
        <w:t>月</w:t>
      </w:r>
      <w:r>
        <w:rPr>
          <w:spacing w:val="-66"/>
        </w:rPr>
        <w:t> </w:t>
      </w:r>
      <w:r>
        <w:rPr>
          <w:rFonts w:ascii="Arial" w:hAnsi="Arial" w:cs="Arial" w:eastAsia="Arial" w:hint="default"/>
        </w:rPr>
        <w:t>31</w:t>
      </w:r>
      <w:r>
        <w:rPr>
          <w:rFonts w:ascii="Arial" w:hAnsi="Arial" w:cs="Arial" w:eastAsia="Arial" w:hint="default"/>
          <w:spacing w:val="-18"/>
        </w:rPr>
        <w:t> </w:t>
      </w:r>
      <w:r>
        <w:rPr/>
        <w:t>日深圳市齐普生信息科技有限公司在广东发展银行银行股份有限公司深圳城市广场支行已</w:t>
      </w:r>
    </w:p>
    <w:p>
      <w:pPr>
        <w:pStyle w:val="BodyText"/>
        <w:spacing w:line="240" w:lineRule="auto" w:before="110"/>
        <w:ind w:right="0"/>
        <w:jc w:val="left"/>
      </w:pPr>
      <w:r>
        <w:rPr/>
        <w:t>出票未到期的银行承兑汇票金额为</w:t>
      </w:r>
      <w:r>
        <w:rPr>
          <w:spacing w:val="-55"/>
        </w:rPr>
        <w:t> </w:t>
      </w:r>
      <w:r>
        <w:rPr>
          <w:rFonts w:ascii="Arial" w:hAnsi="Arial" w:cs="Arial" w:eastAsia="Arial" w:hint="default"/>
        </w:rPr>
        <w:t>776</w:t>
      </w:r>
      <w:r>
        <w:rPr>
          <w:rFonts w:ascii="Arial" w:hAnsi="Arial" w:cs="Arial" w:eastAsia="Arial" w:hint="default"/>
          <w:spacing w:val="-8"/>
        </w:rPr>
        <w:t> </w:t>
      </w:r>
      <w:r>
        <w:rPr/>
        <w:t>万元。</w:t>
      </w:r>
    </w:p>
    <w:p>
      <w:pPr>
        <w:spacing w:line="240" w:lineRule="auto" w:before="9"/>
        <w:rPr>
          <w:rFonts w:ascii="宋体" w:hAnsi="宋体" w:cs="宋体" w:eastAsia="宋体" w:hint="default"/>
          <w:sz w:val="17"/>
          <w:szCs w:val="17"/>
        </w:rPr>
      </w:pPr>
    </w:p>
    <w:p>
      <w:pPr>
        <w:pStyle w:val="BodyText"/>
        <w:spacing w:line="336" w:lineRule="auto"/>
        <w:ind w:left="144" w:right="111" w:firstLine="420"/>
        <w:jc w:val="both"/>
      </w:pPr>
      <w:r>
        <w:rPr>
          <w:spacing w:val="-4"/>
        </w:rPr>
        <w:t>（</w:t>
      </w:r>
      <w:r>
        <w:rPr>
          <w:rFonts w:ascii="Arial" w:hAnsi="Arial" w:cs="Arial" w:eastAsia="Arial" w:hint="default"/>
          <w:spacing w:val="-4"/>
        </w:rPr>
        <w:t>3</w:t>
      </w:r>
      <w:r>
        <w:rPr>
          <w:spacing w:val="-4"/>
        </w:rPr>
        <w:t>）本公司于</w:t>
      </w:r>
      <w:r>
        <w:rPr>
          <w:spacing w:val="-63"/>
        </w:rPr>
        <w:t> </w:t>
      </w:r>
      <w:r>
        <w:rPr>
          <w:rFonts w:ascii="Arial" w:hAnsi="Arial" w:cs="Arial" w:eastAsia="Arial" w:hint="default"/>
        </w:rPr>
        <w:t>2007</w:t>
      </w:r>
      <w:r>
        <w:rPr>
          <w:rFonts w:ascii="Arial" w:hAnsi="Arial" w:cs="Arial" w:eastAsia="Arial" w:hint="default"/>
          <w:spacing w:val="-16"/>
        </w:rPr>
        <w:t> </w:t>
      </w:r>
      <w:r>
        <w:rPr/>
        <w:t>年</w:t>
      </w:r>
      <w:r>
        <w:rPr>
          <w:spacing w:val="-63"/>
        </w:rPr>
        <w:t> </w:t>
      </w:r>
      <w:r>
        <w:rPr>
          <w:rFonts w:ascii="Arial" w:hAnsi="Arial" w:cs="Arial" w:eastAsia="Arial" w:hint="default"/>
        </w:rPr>
        <w:t>6</w:t>
      </w:r>
      <w:r>
        <w:rPr>
          <w:rFonts w:ascii="Arial" w:hAnsi="Arial" w:cs="Arial" w:eastAsia="Arial" w:hint="default"/>
          <w:spacing w:val="-15"/>
        </w:rPr>
        <w:t> </w:t>
      </w:r>
      <w:r>
        <w:rPr/>
        <w:t>月</w:t>
      </w:r>
      <w:r>
        <w:rPr>
          <w:spacing w:val="-63"/>
        </w:rPr>
        <w:t> </w:t>
      </w:r>
      <w:r>
        <w:rPr>
          <w:rFonts w:ascii="Arial" w:hAnsi="Arial" w:cs="Arial" w:eastAsia="Arial" w:hint="default"/>
        </w:rPr>
        <w:t>4</w:t>
      </w:r>
      <w:r>
        <w:rPr>
          <w:rFonts w:ascii="Arial" w:hAnsi="Arial" w:cs="Arial" w:eastAsia="Arial" w:hint="default"/>
          <w:spacing w:val="-16"/>
        </w:rPr>
        <w:t> </w:t>
      </w:r>
      <w:r>
        <w:rPr/>
        <w:t>日与深圳市商业银行营业部（已更名为：深圳平安银行股份有限公 </w:t>
      </w:r>
      <w:r>
        <w:rPr>
          <w:spacing w:val="-4"/>
          <w:w w:val="99"/>
        </w:rPr>
        <w:t>司营业部）签订了深商银（营）授信保字（</w:t>
      </w:r>
      <w:r>
        <w:rPr>
          <w:rFonts w:ascii="Arial" w:hAnsi="Arial" w:cs="Arial" w:eastAsia="Arial" w:hint="default"/>
          <w:spacing w:val="-4"/>
          <w:w w:val="99"/>
        </w:rPr>
        <w:t>2007</w:t>
      </w:r>
      <w:r>
        <w:rPr>
          <w:spacing w:val="-4"/>
          <w:w w:val="99"/>
        </w:rPr>
        <w:t>）第</w:t>
      </w:r>
      <w:r>
        <w:rPr>
          <w:spacing w:val="-43"/>
          <w:w w:val="99"/>
        </w:rPr>
        <w:t> </w:t>
      </w:r>
      <w:r>
        <w:rPr>
          <w:rFonts w:ascii="Arial" w:hAnsi="Arial" w:cs="Arial" w:eastAsia="Arial" w:hint="default"/>
          <w:spacing w:val="-2"/>
          <w:w w:val="99"/>
        </w:rPr>
        <w:t>A110010700025</w:t>
      </w:r>
      <w:r>
        <w:rPr>
          <w:rFonts w:ascii="Arial" w:hAnsi="Arial" w:cs="Arial" w:eastAsia="Arial" w:hint="default"/>
          <w:spacing w:val="4"/>
          <w:w w:val="99"/>
        </w:rPr>
        <w:t> </w:t>
      </w:r>
      <w:r>
        <w:rPr>
          <w:spacing w:val="-10"/>
        </w:rPr>
        <w:t>号《最高额保证合同》，为控股</w:t>
      </w:r>
      <w:r>
        <w:rPr>
          <w:spacing w:val="-101"/>
        </w:rPr>
        <w:t> </w:t>
      </w:r>
      <w:r>
        <w:rPr>
          <w:spacing w:val="-101"/>
        </w:rPr>
      </w:r>
      <w:r>
        <w:rPr/>
        <w:t>子公司</w:t>
      </w:r>
      <w:r>
        <w:rPr>
          <w:rFonts w:ascii="Arial" w:hAnsi="Arial" w:cs="Arial" w:eastAsia="Arial" w:hint="default"/>
        </w:rPr>
        <w:t>—</w:t>
      </w:r>
      <w:r>
        <w:rPr/>
        <w:t>深圳市齐普生信息科技有限公司</w:t>
      </w:r>
      <w:r>
        <w:rPr>
          <w:spacing w:val="-60"/>
        </w:rPr>
        <w:t> </w:t>
      </w:r>
      <w:r>
        <w:rPr>
          <w:rFonts w:ascii="Arial" w:hAnsi="Arial" w:cs="Arial" w:eastAsia="Arial" w:hint="default"/>
        </w:rPr>
        <w:t>2007</w:t>
      </w:r>
      <w:r>
        <w:rPr>
          <w:rFonts w:ascii="Arial" w:hAnsi="Arial" w:cs="Arial" w:eastAsia="Arial" w:hint="default"/>
          <w:spacing w:val="-12"/>
        </w:rPr>
        <w:t> </w:t>
      </w:r>
      <w:r>
        <w:rPr/>
        <w:t>年</w:t>
      </w:r>
      <w:r>
        <w:rPr>
          <w:spacing w:val="-60"/>
        </w:rPr>
        <w:t> </w:t>
      </w:r>
      <w:r>
        <w:rPr>
          <w:rFonts w:ascii="Arial" w:hAnsi="Arial" w:cs="Arial" w:eastAsia="Arial" w:hint="default"/>
        </w:rPr>
        <w:t>6</w:t>
      </w:r>
      <w:r>
        <w:rPr>
          <w:rFonts w:ascii="Arial" w:hAnsi="Arial" w:cs="Arial" w:eastAsia="Arial" w:hint="default"/>
          <w:spacing w:val="-13"/>
        </w:rPr>
        <w:t> </w:t>
      </w:r>
      <w:r>
        <w:rPr/>
        <w:t>月</w:t>
      </w:r>
      <w:r>
        <w:rPr>
          <w:spacing w:val="-60"/>
        </w:rPr>
        <w:t> </w:t>
      </w:r>
      <w:r>
        <w:rPr>
          <w:rFonts w:ascii="Arial" w:hAnsi="Arial" w:cs="Arial" w:eastAsia="Arial" w:hint="default"/>
        </w:rPr>
        <w:t>4</w:t>
      </w:r>
      <w:r>
        <w:rPr>
          <w:rFonts w:ascii="Arial" w:hAnsi="Arial" w:cs="Arial" w:eastAsia="Arial" w:hint="default"/>
          <w:spacing w:val="-13"/>
        </w:rPr>
        <w:t> </w:t>
      </w:r>
      <w:r>
        <w:rPr/>
        <w:t>日至</w:t>
      </w:r>
      <w:r>
        <w:rPr>
          <w:spacing w:val="-60"/>
        </w:rPr>
        <w:t> </w:t>
      </w:r>
      <w:r>
        <w:rPr>
          <w:rFonts w:ascii="Arial" w:hAnsi="Arial" w:cs="Arial" w:eastAsia="Arial" w:hint="default"/>
        </w:rPr>
        <w:t>2008</w:t>
      </w:r>
      <w:r>
        <w:rPr>
          <w:rFonts w:ascii="Arial" w:hAnsi="Arial" w:cs="Arial" w:eastAsia="Arial" w:hint="default"/>
          <w:spacing w:val="-13"/>
        </w:rPr>
        <w:t> </w:t>
      </w:r>
      <w:r>
        <w:rPr/>
        <w:t>年</w:t>
      </w:r>
      <w:r>
        <w:rPr>
          <w:spacing w:val="-60"/>
        </w:rPr>
        <w:t> </w:t>
      </w:r>
      <w:r>
        <w:rPr>
          <w:rFonts w:ascii="Arial" w:hAnsi="Arial" w:cs="Arial" w:eastAsia="Arial" w:hint="default"/>
        </w:rPr>
        <w:t>6</w:t>
      </w:r>
      <w:r>
        <w:rPr>
          <w:rFonts w:ascii="Arial" w:hAnsi="Arial" w:cs="Arial" w:eastAsia="Arial" w:hint="default"/>
          <w:spacing w:val="-12"/>
        </w:rPr>
        <w:t> </w:t>
      </w:r>
      <w:r>
        <w:rPr/>
        <w:t>月</w:t>
      </w:r>
      <w:r>
        <w:rPr>
          <w:spacing w:val="-60"/>
        </w:rPr>
        <w:t> </w:t>
      </w:r>
      <w:r>
        <w:rPr>
          <w:rFonts w:ascii="Arial" w:hAnsi="Arial" w:cs="Arial" w:eastAsia="Arial" w:hint="default"/>
        </w:rPr>
        <w:t>3</w:t>
      </w:r>
      <w:r>
        <w:rPr>
          <w:rFonts w:ascii="Arial" w:hAnsi="Arial" w:cs="Arial" w:eastAsia="Arial" w:hint="default"/>
          <w:spacing w:val="-13"/>
        </w:rPr>
        <w:t> </w:t>
      </w:r>
      <w:r>
        <w:rPr/>
        <w:t>日期间总额在</w:t>
      </w:r>
      <w:r>
        <w:rPr>
          <w:spacing w:val="-60"/>
        </w:rPr>
        <w:t> </w:t>
      </w:r>
      <w:r>
        <w:rPr>
          <w:rFonts w:ascii="Arial" w:hAnsi="Arial" w:cs="Arial" w:eastAsia="Arial" w:hint="default"/>
        </w:rPr>
        <w:t>4000</w:t>
      </w:r>
      <w:r>
        <w:rPr>
          <w:rFonts w:ascii="Arial" w:hAnsi="Arial" w:cs="Arial" w:eastAsia="Arial" w:hint="default"/>
          <w:spacing w:val="-12"/>
        </w:rPr>
        <w:t> </w:t>
      </w:r>
      <w:r>
        <w:rPr/>
        <w:t>万元 内的银行承兑汇票借款提供连带责任保证（保证期间从《最高额保证合同》生效之日起至主合同项下 </w:t>
      </w:r>
      <w:r>
        <w:rPr>
          <w:spacing w:val="-8"/>
        </w:rPr>
        <w:t>所有融资中最后到期的融资期限届满日另加两年）。截止</w:t>
      </w:r>
      <w:r>
        <w:rPr>
          <w:spacing w:val="-53"/>
        </w:rPr>
        <w:t> </w:t>
      </w:r>
      <w:r>
        <w:rPr>
          <w:rFonts w:ascii="Arial" w:hAnsi="Arial" w:cs="Arial" w:eastAsia="Arial" w:hint="default"/>
          <w:spacing w:val="-1"/>
          <w:w w:val="99"/>
        </w:rPr>
        <w:t>2007</w:t>
      </w:r>
      <w:r>
        <w:rPr>
          <w:rFonts w:ascii="Arial" w:hAnsi="Arial" w:cs="Arial" w:eastAsia="Arial" w:hint="default"/>
          <w:spacing w:val="-6"/>
          <w:w w:val="99"/>
        </w:rPr>
        <w:t> </w:t>
      </w:r>
      <w:r>
        <w:rPr/>
        <w:t>年</w:t>
      </w:r>
      <w:r>
        <w:rPr>
          <w:spacing w:val="-53"/>
        </w:rPr>
        <w:t> </w:t>
      </w:r>
      <w:r>
        <w:rPr>
          <w:rFonts w:ascii="Arial" w:hAnsi="Arial" w:cs="Arial" w:eastAsia="Arial" w:hint="default"/>
          <w:spacing w:val="-1"/>
          <w:w w:val="99"/>
        </w:rPr>
        <w:t>12</w:t>
      </w:r>
      <w:r>
        <w:rPr>
          <w:rFonts w:ascii="Arial" w:hAnsi="Arial" w:cs="Arial" w:eastAsia="Arial" w:hint="default"/>
          <w:spacing w:val="-6"/>
          <w:w w:val="99"/>
        </w:rPr>
        <w:t> </w:t>
      </w:r>
      <w:r>
        <w:rPr/>
        <w:t>月</w:t>
      </w:r>
      <w:r>
        <w:rPr>
          <w:spacing w:val="-53"/>
        </w:rPr>
        <w:t> </w:t>
      </w:r>
      <w:r>
        <w:rPr>
          <w:rFonts w:ascii="Arial" w:hAnsi="Arial" w:cs="Arial" w:eastAsia="Arial" w:hint="default"/>
          <w:w w:val="99"/>
        </w:rPr>
        <w:t>31</w:t>
      </w:r>
      <w:r>
        <w:rPr>
          <w:rFonts w:ascii="Arial" w:hAnsi="Arial" w:cs="Arial" w:eastAsia="Arial" w:hint="default"/>
          <w:spacing w:val="-6"/>
          <w:w w:val="99"/>
        </w:rPr>
        <w:t> </w:t>
      </w:r>
      <w:r>
        <w:rPr/>
        <w:t>日深圳市齐普生信息科技有</w:t>
      </w:r>
    </w:p>
    <w:p>
      <w:pPr>
        <w:pStyle w:val="BodyText"/>
        <w:spacing w:line="240" w:lineRule="auto" w:before="16"/>
        <w:ind w:left="144" w:right="0"/>
        <w:jc w:val="left"/>
      </w:pPr>
      <w:r>
        <w:rPr/>
        <w:t>限公司在深圳市商业银行营业部已出票未到期的银行承兑汇票金额为</w:t>
      </w:r>
      <w:r>
        <w:rPr>
          <w:spacing w:val="-55"/>
        </w:rPr>
        <w:t> </w:t>
      </w:r>
      <w:r>
        <w:rPr>
          <w:rFonts w:ascii="Arial" w:hAnsi="Arial" w:cs="Arial" w:eastAsia="Arial" w:hint="default"/>
        </w:rPr>
        <w:t>4000</w:t>
      </w:r>
      <w:r>
        <w:rPr>
          <w:rFonts w:ascii="Arial" w:hAnsi="Arial" w:cs="Arial" w:eastAsia="Arial" w:hint="default"/>
          <w:spacing w:val="-8"/>
        </w:rPr>
        <w:t> </w:t>
      </w:r>
      <w:r>
        <w:rPr/>
        <w:t>万元。</w:t>
      </w:r>
    </w:p>
    <w:p>
      <w:pPr>
        <w:spacing w:line="240" w:lineRule="auto" w:before="9"/>
        <w:rPr>
          <w:rFonts w:ascii="宋体" w:hAnsi="宋体" w:cs="宋体" w:eastAsia="宋体" w:hint="default"/>
          <w:sz w:val="17"/>
          <w:szCs w:val="17"/>
        </w:rPr>
      </w:pPr>
    </w:p>
    <w:p>
      <w:pPr>
        <w:pStyle w:val="BodyText"/>
        <w:spacing w:line="240" w:lineRule="auto"/>
        <w:ind w:left="564" w:right="0"/>
        <w:jc w:val="left"/>
      </w:pPr>
      <w:r>
        <w:rPr/>
        <w:t>（</w:t>
      </w:r>
      <w:r>
        <w:rPr>
          <w:rFonts w:ascii="Arial" w:hAnsi="Arial" w:cs="Arial" w:eastAsia="Arial" w:hint="default"/>
        </w:rPr>
        <w:t>4</w:t>
      </w:r>
      <w:r>
        <w:rPr/>
        <w:t>）本公司于 </w:t>
      </w:r>
      <w:r>
        <w:rPr>
          <w:rFonts w:ascii="Arial" w:hAnsi="Arial" w:cs="Arial" w:eastAsia="Arial" w:hint="default"/>
        </w:rPr>
        <w:t>2007 </w:t>
      </w:r>
      <w:r>
        <w:rPr/>
        <w:t>年 </w:t>
      </w:r>
      <w:r>
        <w:rPr>
          <w:rFonts w:ascii="Arial" w:hAnsi="Arial" w:cs="Arial" w:eastAsia="Arial" w:hint="default"/>
        </w:rPr>
        <w:t>7 </w:t>
      </w:r>
      <w:r>
        <w:rPr/>
        <w:t>月 </w:t>
      </w:r>
      <w:r>
        <w:rPr>
          <w:rFonts w:ascii="Arial" w:hAnsi="Arial" w:cs="Arial" w:eastAsia="Arial" w:hint="default"/>
        </w:rPr>
        <w:t>27</w:t>
      </w:r>
      <w:r>
        <w:rPr>
          <w:rFonts w:ascii="Arial" w:hAnsi="Arial" w:cs="Arial" w:eastAsia="Arial" w:hint="default"/>
          <w:spacing w:val="42"/>
        </w:rPr>
        <w:t> </w:t>
      </w:r>
      <w:r>
        <w:rPr/>
        <w:t>日与兴业银行股份有限公司深圳中心区支行签订了兴银深中字</w:t>
      </w:r>
    </w:p>
    <w:p>
      <w:pPr>
        <w:pStyle w:val="BodyText"/>
        <w:spacing w:line="331" w:lineRule="auto" w:before="110"/>
        <w:ind w:left="144" w:right="110"/>
        <w:jc w:val="left"/>
      </w:pPr>
      <w:r>
        <w:rPr>
          <w:spacing w:val="-9"/>
          <w:w w:val="99"/>
        </w:rPr>
        <w:t>（</w:t>
      </w:r>
      <w:r>
        <w:rPr>
          <w:rFonts w:ascii="Arial" w:hAnsi="Arial" w:cs="Arial" w:eastAsia="Arial" w:hint="default"/>
          <w:spacing w:val="-9"/>
          <w:w w:val="99"/>
        </w:rPr>
        <w:t>2007</w:t>
      </w:r>
      <w:r>
        <w:rPr>
          <w:spacing w:val="-9"/>
          <w:w w:val="99"/>
        </w:rPr>
        <w:t>）第</w:t>
      </w:r>
      <w:r>
        <w:rPr>
          <w:spacing w:val="-51"/>
          <w:w w:val="99"/>
        </w:rPr>
        <w:t> </w:t>
      </w:r>
      <w:r>
        <w:rPr>
          <w:rFonts w:ascii="Arial" w:hAnsi="Arial" w:cs="Arial" w:eastAsia="Arial" w:hint="default"/>
          <w:spacing w:val="-1"/>
          <w:w w:val="99"/>
        </w:rPr>
        <w:t>009</w:t>
      </w:r>
      <w:r>
        <w:rPr>
          <w:rFonts w:ascii="Arial" w:hAnsi="Arial" w:cs="Arial" w:eastAsia="Arial" w:hint="default"/>
          <w:spacing w:val="-4"/>
          <w:w w:val="99"/>
        </w:rPr>
        <w:t> </w:t>
      </w:r>
      <w:r>
        <w:rPr>
          <w:spacing w:val="-7"/>
        </w:rPr>
        <w:t>号《保证合同》，为控股子公司</w:t>
      </w:r>
      <w:r>
        <w:rPr>
          <w:rFonts w:ascii="Arial" w:hAnsi="Arial" w:cs="Arial" w:eastAsia="Arial" w:hint="default"/>
          <w:spacing w:val="-7"/>
        </w:rPr>
        <w:t>—</w:t>
      </w:r>
      <w:r>
        <w:rPr>
          <w:spacing w:val="-7"/>
        </w:rPr>
        <w:t>深圳市金证卡尔电子有限公司短期借款</w:t>
      </w:r>
      <w:r>
        <w:rPr>
          <w:spacing w:val="-51"/>
        </w:rPr>
        <w:t> </w:t>
      </w:r>
      <w:r>
        <w:rPr>
          <w:rFonts w:ascii="Arial" w:hAnsi="Arial" w:cs="Arial" w:eastAsia="Arial" w:hint="default"/>
          <w:spacing w:val="-1"/>
          <w:w w:val="99"/>
        </w:rPr>
        <w:t>500</w:t>
      </w:r>
      <w:r>
        <w:rPr>
          <w:rFonts w:ascii="Arial" w:hAnsi="Arial" w:cs="Arial" w:eastAsia="Arial" w:hint="default"/>
          <w:spacing w:val="-4"/>
          <w:w w:val="99"/>
        </w:rPr>
        <w:t> </w:t>
      </w:r>
      <w:r>
        <w:rPr>
          <w:spacing w:val="-14"/>
        </w:rPr>
        <w:t>万元（借</w:t>
      </w:r>
      <w:r>
        <w:rPr/>
        <w:t> 款期限为</w:t>
      </w:r>
      <w:r>
        <w:rPr>
          <w:spacing w:val="-54"/>
        </w:rPr>
        <w:t> </w:t>
      </w:r>
      <w:r>
        <w:rPr>
          <w:rFonts w:ascii="Arial" w:hAnsi="Arial" w:cs="Arial" w:eastAsia="Arial" w:hint="default"/>
        </w:rPr>
        <w:t>2007</w:t>
      </w:r>
      <w:r>
        <w:rPr>
          <w:rFonts w:ascii="Arial" w:hAnsi="Arial" w:cs="Arial" w:eastAsia="Arial" w:hint="default"/>
          <w:spacing w:val="-7"/>
        </w:rPr>
        <w:t> </w:t>
      </w:r>
      <w:r>
        <w:rPr/>
        <w:t>年</w:t>
      </w:r>
      <w:r>
        <w:rPr>
          <w:spacing w:val="-54"/>
        </w:rPr>
        <w:t> </w:t>
      </w:r>
      <w:r>
        <w:rPr>
          <w:rFonts w:ascii="Arial" w:hAnsi="Arial" w:cs="Arial" w:eastAsia="Arial" w:hint="default"/>
        </w:rPr>
        <w:t>7</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日至</w:t>
      </w:r>
      <w:r>
        <w:rPr>
          <w:spacing w:val="-54"/>
        </w:rPr>
        <w:t> </w:t>
      </w:r>
      <w:r>
        <w:rPr>
          <w:rFonts w:ascii="Arial" w:hAnsi="Arial" w:cs="Arial" w:eastAsia="Arial" w:hint="default"/>
        </w:rPr>
        <w:t>2008</w:t>
      </w:r>
      <w:r>
        <w:rPr>
          <w:rFonts w:ascii="Arial" w:hAnsi="Arial" w:cs="Arial" w:eastAsia="Arial" w:hint="default"/>
          <w:spacing w:val="-6"/>
        </w:rPr>
        <w:t> </w:t>
      </w:r>
      <w:r>
        <w:rPr/>
        <w:t>年</w:t>
      </w:r>
      <w:r>
        <w:rPr>
          <w:spacing w:val="-54"/>
        </w:rPr>
        <w:t> </w:t>
      </w:r>
      <w:r>
        <w:rPr>
          <w:rFonts w:ascii="Arial" w:hAnsi="Arial" w:cs="Arial" w:eastAsia="Arial" w:hint="default"/>
        </w:rPr>
        <w:t>4</w:t>
      </w:r>
      <w:r>
        <w:rPr>
          <w:rFonts w:ascii="Arial" w:hAnsi="Arial" w:cs="Arial" w:eastAsia="Arial" w:hint="default"/>
          <w:spacing w:val="-7"/>
        </w:rPr>
        <w:t> </w:t>
      </w:r>
      <w:r>
        <w:rPr/>
        <w:t>月</w:t>
      </w:r>
      <w:r>
        <w:rPr>
          <w:spacing w:val="-54"/>
        </w:rPr>
        <w:t> </w:t>
      </w:r>
      <w:r>
        <w:rPr>
          <w:rFonts w:ascii="Arial" w:hAnsi="Arial" w:cs="Arial" w:eastAsia="Arial" w:hint="default"/>
        </w:rPr>
        <w:t>10</w:t>
      </w:r>
      <w:r>
        <w:rPr>
          <w:rFonts w:ascii="Arial" w:hAnsi="Arial" w:cs="Arial" w:eastAsia="Arial" w:hint="default"/>
          <w:spacing w:val="-7"/>
        </w:rPr>
        <w:t> </w:t>
      </w:r>
      <w:r>
        <w:rPr/>
        <w:t>日）提供担保。</w:t>
      </w:r>
    </w:p>
    <w:p>
      <w:pPr>
        <w:pStyle w:val="BodyText"/>
        <w:spacing w:line="441" w:lineRule="auto" w:before="142"/>
        <w:ind w:left="564" w:right="4864"/>
        <w:jc w:val="left"/>
      </w:pPr>
      <w:r>
        <w:rPr>
          <w:rFonts w:ascii="Arial" w:hAnsi="Arial" w:cs="Arial" w:eastAsia="Arial" w:hint="default"/>
        </w:rPr>
        <w:t>(</w:t>
      </w:r>
      <w:r>
        <w:rPr/>
        <w:t>八</w:t>
      </w:r>
      <w:r>
        <w:rPr>
          <w:rFonts w:ascii="Arial" w:hAnsi="Arial" w:cs="Arial" w:eastAsia="Arial" w:hint="default"/>
        </w:rPr>
        <w:t>)</w:t>
      </w:r>
      <w:r>
        <w:rPr/>
        <w:t>委托理财情况</w:t>
      </w:r>
      <w:r>
        <w:rPr>
          <w:w w:val="99"/>
        </w:rPr>
        <w:t> </w:t>
      </w:r>
      <w:r>
        <w:rPr/>
        <w:t>本年度公司无委托理财事项。</w:t>
      </w:r>
      <w:r>
        <w:rPr>
          <w:w w:val="99"/>
        </w:rPr>
        <w:t> </w:t>
      </w:r>
      <w:r>
        <w:rPr>
          <w:rFonts w:ascii="Arial" w:hAnsi="Arial" w:cs="Arial" w:eastAsia="Arial" w:hint="default"/>
        </w:rPr>
        <w:t>(</w:t>
      </w:r>
      <w:r>
        <w:rPr/>
        <w:t>九</w:t>
      </w:r>
      <w:r>
        <w:rPr>
          <w:rFonts w:ascii="Arial" w:hAnsi="Arial" w:cs="Arial" w:eastAsia="Arial" w:hint="default"/>
        </w:rPr>
        <w:t>)</w:t>
      </w:r>
      <w:r>
        <w:rPr/>
        <w:t>其他重大合同</w:t>
      </w:r>
      <w:r>
        <w:rPr>
          <w:w w:val="99"/>
        </w:rPr>
        <w:t> </w:t>
      </w:r>
      <w:r>
        <w:rPr/>
        <w:t>本年度公司无其他重大合同。</w:t>
      </w:r>
      <w:r>
        <w:rPr>
          <w:w w:val="99"/>
        </w:rPr>
        <w:t> </w:t>
      </w:r>
      <w:r>
        <w:rPr>
          <w:rFonts w:ascii="Arial" w:hAnsi="Arial" w:cs="Arial" w:eastAsia="Arial" w:hint="default"/>
        </w:rPr>
        <w:t>(</w:t>
      </w:r>
      <w:r>
        <w:rPr/>
        <w:t>十</w:t>
      </w:r>
      <w:r>
        <w:rPr>
          <w:rFonts w:ascii="Arial" w:hAnsi="Arial" w:cs="Arial" w:eastAsia="Arial" w:hint="default"/>
        </w:rPr>
        <w:t>)</w:t>
      </w:r>
      <w:r>
        <w:rPr/>
        <w:t>承诺事项履行情况</w:t>
      </w:r>
    </w:p>
    <w:p>
      <w:pPr>
        <w:pStyle w:val="BodyText"/>
        <w:spacing w:line="432" w:lineRule="auto" w:before="32"/>
        <w:ind w:left="563" w:right="2566"/>
        <w:jc w:val="left"/>
      </w:pPr>
      <w:r>
        <w:rPr>
          <w:rFonts w:ascii="Arial" w:hAnsi="Arial" w:cs="Arial" w:eastAsia="Arial" w:hint="default"/>
        </w:rPr>
        <w:t>1</w:t>
      </w:r>
      <w:r>
        <w:rPr/>
        <w:t>、公司或持股</w:t>
      </w:r>
      <w:r>
        <w:rPr>
          <w:spacing w:val="-55"/>
        </w:rPr>
        <w:t> </w:t>
      </w:r>
      <w:r>
        <w:rPr>
          <w:rFonts w:ascii="Arial" w:hAnsi="Arial" w:cs="Arial" w:eastAsia="Arial" w:hint="default"/>
        </w:rPr>
        <w:t>5%</w:t>
      </w:r>
      <w:r>
        <w:rPr/>
        <w:t>以上股东在报告期内或持续到报告期内的承诺事项 股改承诺及履行情况：</w:t>
      </w:r>
    </w:p>
    <w:p>
      <w:pPr>
        <w:pStyle w:val="BodyText"/>
        <w:spacing w:line="343" w:lineRule="auto" w:before="76"/>
        <w:ind w:left="143" w:right="111" w:firstLine="420"/>
        <w:jc w:val="both"/>
      </w:pPr>
      <w:r>
        <w:rPr/>
        <w:t>本公司股权分置改革方案中，公司非流通股股东做出的承诺是：根据中国证监会《上市公司股权 </w:t>
      </w:r>
      <w:r>
        <w:rPr>
          <w:spacing w:val="-3"/>
          <w:w w:val="99"/>
        </w:rPr>
        <w:t>分置改革管理办法》的相关规定：（一）持有公司股份总数百分之五以上的非流通股股东承诺：</w:t>
      </w:r>
      <w:r>
        <w:rPr>
          <w:rFonts w:ascii="Arial" w:hAnsi="Arial" w:cs="Arial" w:eastAsia="Arial" w:hint="default"/>
          <w:spacing w:val="-3"/>
          <w:w w:val="99"/>
        </w:rPr>
        <w:t>1</w:t>
      </w:r>
      <w:r>
        <w:rPr>
          <w:spacing w:val="-3"/>
          <w:w w:val="99"/>
        </w:rPr>
        <w:t>、自</w:t>
      </w:r>
      <w:r>
        <w:rPr>
          <w:spacing w:val="-93"/>
          <w:w w:val="99"/>
        </w:rPr>
        <w:t> </w:t>
      </w:r>
      <w:r>
        <w:rPr/>
        <w:t>改革方案实施之日起，在十二个月内不上市交易或者转让；</w:t>
      </w:r>
      <w:r>
        <w:rPr>
          <w:rFonts w:ascii="Arial" w:hAnsi="Arial" w:cs="Arial" w:eastAsia="Arial" w:hint="default"/>
        </w:rPr>
        <w:t>2</w:t>
      </w:r>
      <w:r>
        <w:rPr/>
        <w:t>、在前项承诺期满后，通过上海证券交</w:t>
      </w:r>
      <w:r>
        <w:rPr>
          <w:spacing w:val="-26"/>
        </w:rPr>
        <w:t> </w:t>
      </w:r>
      <w:r>
        <w:rPr>
          <w:spacing w:val="-26"/>
        </w:rPr>
      </w:r>
      <w:r>
        <w:rPr/>
        <w:t>易所挂牌交易出售原非流通股股份，出售数量占公司股份总数的比例在十二个月内不超过百分之五，</w:t>
      </w:r>
      <w:r>
        <w:rPr/>
        <w:t> 在二十四个月内不超过百分之十。非流通股股东一致承诺并保证将忠实履行上述承诺，且不因金证股 份的任何变更而变更；金证股份股权分置改革方案实施后，保证不变更、解除承诺；承诺和保证如果 不履行或者不完全履行承诺时，赔偿其他股东因此遭受的损失。</w:t>
      </w:r>
    </w:p>
    <w:p>
      <w:pPr>
        <w:pStyle w:val="BodyText"/>
        <w:spacing w:line="240" w:lineRule="auto" w:before="154"/>
        <w:ind w:left="564" w:right="0"/>
        <w:jc w:val="left"/>
      </w:pPr>
      <w:r>
        <w:rPr/>
        <w:t>非流通股股东严格履行了股权分置改革方案中所做出的各项承诺。</w:t>
      </w:r>
    </w:p>
    <w:p>
      <w:pPr>
        <w:spacing w:after="0" w:line="240" w:lineRule="auto"/>
        <w:jc w:val="left"/>
        <w:sectPr>
          <w:pgSz w:w="12240" w:h="15840"/>
          <w:pgMar w:header="747" w:footer="727" w:top="1040" w:bottom="920" w:left="1380" w:right="13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29" w:lineRule="auto"/>
        <w:ind w:left="564" w:right="196"/>
        <w:jc w:val="left"/>
      </w:pPr>
      <w:r>
        <w:rPr>
          <w:rFonts w:ascii="Arial" w:hAnsi="Arial" w:cs="Arial" w:eastAsia="Arial" w:hint="default"/>
        </w:rPr>
        <w:t>(</w:t>
      </w:r>
      <w:r>
        <w:rPr/>
        <w:t>十一</w:t>
      </w:r>
      <w:r>
        <w:rPr>
          <w:rFonts w:ascii="Arial" w:hAnsi="Arial" w:cs="Arial" w:eastAsia="Arial" w:hint="default"/>
        </w:rPr>
        <w:t>)</w:t>
      </w:r>
      <w:r>
        <w:rPr/>
        <w:t>聘任、解聘会计师事务所情况</w:t>
      </w:r>
      <w:r>
        <w:rPr>
          <w:w w:val="99"/>
        </w:rPr>
        <w:t> </w:t>
      </w:r>
      <w:r>
        <w:rPr/>
        <w:t>报告期内，公司未改聘会计师事务所，公司原聘任北京立信会计师事务所有限公司为公司的境内</w:t>
      </w:r>
    </w:p>
    <w:p>
      <w:pPr>
        <w:pStyle w:val="BodyText"/>
        <w:spacing w:line="250" w:lineRule="exact"/>
        <w:ind w:left="144" w:right="96"/>
        <w:jc w:val="left"/>
      </w:pPr>
      <w:r>
        <w:rPr/>
        <w:t>审计机构，支付其上一年度审计工作的酬金共约 </w:t>
      </w:r>
      <w:r>
        <w:rPr>
          <w:rFonts w:ascii="Arial" w:hAnsi="Arial" w:cs="Arial" w:eastAsia="Arial" w:hint="default"/>
        </w:rPr>
        <w:t>24</w:t>
      </w:r>
      <w:r>
        <w:rPr>
          <w:rFonts w:ascii="Arial" w:hAnsi="Arial" w:cs="Arial" w:eastAsia="Arial" w:hint="default"/>
          <w:spacing w:val="22"/>
        </w:rPr>
        <w:t> </w:t>
      </w:r>
      <w:r>
        <w:rPr/>
        <w:t>万元，截止上一报告期末，该会计师事务所已为</w:t>
      </w:r>
    </w:p>
    <w:p>
      <w:pPr>
        <w:pStyle w:val="BodyText"/>
        <w:spacing w:line="240" w:lineRule="auto" w:before="110"/>
        <w:ind w:left="144" w:right="96"/>
        <w:jc w:val="left"/>
      </w:pPr>
      <w:r>
        <w:rPr/>
        <w:t>本公司提供了</w:t>
      </w:r>
      <w:r>
        <w:rPr>
          <w:spacing w:val="-53"/>
        </w:rPr>
        <w:t> </w:t>
      </w:r>
      <w:r>
        <w:rPr>
          <w:rFonts w:ascii="Arial" w:hAnsi="Arial" w:cs="Arial" w:eastAsia="Arial" w:hint="default"/>
        </w:rPr>
        <w:t>3</w:t>
      </w:r>
      <w:r>
        <w:rPr>
          <w:rFonts w:ascii="Arial" w:hAnsi="Arial" w:cs="Arial" w:eastAsia="Arial" w:hint="default"/>
          <w:spacing w:val="-6"/>
        </w:rPr>
        <w:t> </w:t>
      </w:r>
      <w:r>
        <w:rPr/>
        <w:t>年审计服务。公司现聘任北京立信会计师事务所有限公司为公司的境内审计机构。</w:t>
      </w:r>
    </w:p>
    <w:p>
      <w:pPr>
        <w:spacing w:line="240" w:lineRule="auto" w:before="7"/>
        <w:rPr>
          <w:rFonts w:ascii="宋体" w:hAnsi="宋体" w:cs="宋体" w:eastAsia="宋体" w:hint="default"/>
          <w:sz w:val="17"/>
          <w:szCs w:val="17"/>
        </w:rPr>
      </w:pPr>
    </w:p>
    <w:p>
      <w:pPr>
        <w:pStyle w:val="BodyText"/>
        <w:spacing w:line="240" w:lineRule="auto"/>
        <w:ind w:left="564" w:right="96"/>
        <w:jc w:val="left"/>
      </w:pPr>
      <w:r>
        <w:rPr>
          <w:rFonts w:ascii="Arial" w:hAnsi="Arial" w:cs="Arial" w:eastAsia="Arial" w:hint="default"/>
        </w:rPr>
        <w:t>(</w:t>
      </w:r>
      <w:r>
        <w:rPr/>
        <w:t>十二</w:t>
      </w:r>
      <w:r>
        <w:rPr>
          <w:rFonts w:ascii="Arial" w:hAnsi="Arial" w:cs="Arial" w:eastAsia="Arial" w:hint="default"/>
        </w:rPr>
        <w:t>)</w:t>
      </w:r>
      <w:r>
        <w:rPr/>
        <w:t>上市公司及其董事、监事、高级管理人员、公司股东、实际控制人处罚及整改情况</w:t>
      </w:r>
    </w:p>
    <w:p>
      <w:pPr>
        <w:spacing w:line="240" w:lineRule="auto" w:before="9"/>
        <w:rPr>
          <w:rFonts w:ascii="宋体" w:hAnsi="宋体" w:cs="宋体" w:eastAsia="宋体" w:hint="default"/>
          <w:sz w:val="17"/>
          <w:szCs w:val="17"/>
        </w:rPr>
      </w:pPr>
    </w:p>
    <w:p>
      <w:pPr>
        <w:pStyle w:val="BodyText"/>
        <w:spacing w:line="240" w:lineRule="auto"/>
        <w:ind w:left="564" w:right="96"/>
        <w:jc w:val="left"/>
      </w:pPr>
      <w:r>
        <w:rPr>
          <w:rFonts w:ascii="Arial" w:hAnsi="Arial" w:cs="Arial" w:eastAsia="Arial" w:hint="default"/>
        </w:rPr>
        <w:t>1</w:t>
      </w:r>
      <w:r>
        <w:rPr/>
        <w:t>、</w:t>
      </w:r>
      <w:r>
        <w:rPr>
          <w:spacing w:val="-13"/>
        </w:rPr>
        <w:t> </w:t>
      </w:r>
      <w:r>
        <w:rPr/>
        <w:t>公司于</w:t>
      </w:r>
      <w:r>
        <w:rPr>
          <w:spacing w:val="-50"/>
        </w:rPr>
        <w:t> </w:t>
      </w:r>
      <w:r>
        <w:rPr>
          <w:rFonts w:ascii="Arial" w:hAnsi="Arial" w:cs="Arial" w:eastAsia="Arial" w:hint="default"/>
        </w:rPr>
        <w:t>2006</w:t>
      </w:r>
      <w:r>
        <w:rPr>
          <w:rFonts w:ascii="Arial" w:hAnsi="Arial" w:cs="Arial" w:eastAsia="Arial" w:hint="default"/>
          <w:spacing w:val="-3"/>
        </w:rPr>
        <w:t> </w:t>
      </w:r>
      <w:r>
        <w:rPr/>
        <w:t>年</w:t>
      </w:r>
      <w:r>
        <w:rPr>
          <w:spacing w:val="-50"/>
        </w:rPr>
        <w:t> </w:t>
      </w:r>
      <w:r>
        <w:rPr>
          <w:rFonts w:ascii="Arial" w:hAnsi="Arial" w:cs="Arial" w:eastAsia="Arial" w:hint="default"/>
        </w:rPr>
        <w:t>9</w:t>
      </w:r>
      <w:r>
        <w:rPr>
          <w:rFonts w:ascii="Arial" w:hAnsi="Arial" w:cs="Arial" w:eastAsia="Arial" w:hint="default"/>
          <w:spacing w:val="-4"/>
        </w:rPr>
        <w:t> </w:t>
      </w:r>
      <w:r>
        <w:rPr/>
        <w:t>月</w:t>
      </w:r>
      <w:r>
        <w:rPr>
          <w:spacing w:val="-50"/>
        </w:rPr>
        <w:t> </w:t>
      </w:r>
      <w:r>
        <w:rPr>
          <w:rFonts w:ascii="Arial" w:hAnsi="Arial" w:cs="Arial" w:eastAsia="Arial" w:hint="default"/>
        </w:rPr>
        <w:t>15</w:t>
      </w:r>
      <w:r>
        <w:rPr>
          <w:rFonts w:ascii="Arial" w:hAnsi="Arial" w:cs="Arial" w:eastAsia="Arial" w:hint="default"/>
          <w:spacing w:val="-4"/>
        </w:rPr>
        <w:t> </w:t>
      </w:r>
      <w:r>
        <w:rPr/>
        <w:t>日收到中国证券监督管理委员会立案调查通知书（</w:t>
      </w:r>
      <w:r>
        <w:rPr>
          <w:rFonts w:ascii="Arial" w:hAnsi="Arial" w:cs="Arial" w:eastAsia="Arial" w:hint="default"/>
        </w:rPr>
        <w:t>2006</w:t>
      </w:r>
      <w:r>
        <w:rPr>
          <w:rFonts w:ascii="Arial" w:hAnsi="Arial" w:cs="Arial" w:eastAsia="Arial" w:hint="default"/>
          <w:spacing w:val="-4"/>
        </w:rPr>
        <w:t> </w:t>
      </w:r>
      <w:r>
        <w:rPr/>
        <w:t>深稽立通字</w:t>
      </w:r>
    </w:p>
    <w:p>
      <w:pPr>
        <w:pStyle w:val="BodyText"/>
        <w:spacing w:line="240" w:lineRule="auto" w:before="110"/>
        <w:ind w:right="96"/>
        <w:jc w:val="left"/>
      </w:pPr>
      <w:r>
        <w:rPr>
          <w:rFonts w:ascii="Arial" w:hAnsi="Arial" w:cs="Arial" w:eastAsia="Arial" w:hint="default"/>
          <w:spacing w:val="-1"/>
          <w:w w:val="99"/>
        </w:rPr>
        <w:t>00</w:t>
      </w:r>
      <w:r>
        <w:rPr>
          <w:rFonts w:ascii="Arial" w:hAnsi="Arial" w:cs="Arial" w:eastAsia="Arial" w:hint="default"/>
          <w:w w:val="99"/>
        </w:rPr>
        <w:t>2</w:t>
      </w:r>
      <w:r>
        <w:rPr>
          <w:rFonts w:ascii="Arial" w:hAnsi="Arial" w:cs="Arial" w:eastAsia="Arial" w:hint="default"/>
          <w:spacing w:val="-6"/>
        </w:rPr>
        <w:t> </w:t>
      </w:r>
      <w:r>
        <w:rPr/>
        <w:t>号</w:t>
      </w:r>
      <w:r>
        <w:rPr>
          <w:spacing w:val="-105"/>
        </w:rPr>
        <w:t>）</w:t>
      </w:r>
      <w:r>
        <w:rPr/>
        <w:t>，因涉嫌虚假陈述，中国证券监督管理委员会深圳稽查局决定对公司立案调查。</w:t>
      </w:r>
    </w:p>
    <w:p>
      <w:pPr>
        <w:spacing w:line="240" w:lineRule="auto" w:before="7"/>
        <w:rPr>
          <w:rFonts w:ascii="宋体" w:hAnsi="宋体" w:cs="宋体" w:eastAsia="宋体" w:hint="default"/>
          <w:sz w:val="17"/>
          <w:szCs w:val="17"/>
        </w:rPr>
      </w:pPr>
    </w:p>
    <w:p>
      <w:pPr>
        <w:pStyle w:val="BodyText"/>
        <w:spacing w:line="240" w:lineRule="auto"/>
        <w:ind w:left="503" w:right="96"/>
        <w:jc w:val="left"/>
      </w:pPr>
      <w:r>
        <w:rPr>
          <w:rFonts w:ascii="Arial" w:hAnsi="Arial" w:cs="Arial" w:eastAsia="Arial" w:hint="default"/>
        </w:rPr>
        <w:t>2</w:t>
      </w:r>
      <w:r>
        <w:rPr/>
        <w:t>、中国证监会深圳监管局（以下简称为：深圳监管局）于</w:t>
      </w:r>
      <w:r>
        <w:rPr>
          <w:spacing w:val="-50"/>
        </w:rPr>
        <w:t> </w:t>
      </w:r>
      <w:r>
        <w:rPr>
          <w:rFonts w:ascii="Arial" w:hAnsi="Arial" w:cs="Arial" w:eastAsia="Arial" w:hint="default"/>
        </w:rPr>
        <w:t>9</w:t>
      </w:r>
      <w:r>
        <w:rPr>
          <w:rFonts w:ascii="Arial" w:hAnsi="Arial" w:cs="Arial" w:eastAsia="Arial" w:hint="default"/>
          <w:spacing w:val="-4"/>
        </w:rPr>
        <w:t> </w:t>
      </w:r>
      <w:r>
        <w:rPr/>
        <w:t>月</w:t>
      </w:r>
      <w:r>
        <w:rPr>
          <w:spacing w:val="-50"/>
        </w:rPr>
        <w:t> </w:t>
      </w:r>
      <w:r>
        <w:rPr>
          <w:rFonts w:ascii="Arial" w:hAnsi="Arial" w:cs="Arial" w:eastAsia="Arial" w:hint="default"/>
        </w:rPr>
        <w:t>18</w:t>
      </w:r>
      <w:r>
        <w:rPr>
          <w:rFonts w:ascii="Arial" w:hAnsi="Arial" w:cs="Arial" w:eastAsia="Arial" w:hint="default"/>
          <w:spacing w:val="-4"/>
        </w:rPr>
        <w:t> </w:t>
      </w:r>
      <w:r>
        <w:rPr/>
        <w:t>日对本公司的治理情况及治理</w:t>
      </w:r>
    </w:p>
    <w:p>
      <w:pPr>
        <w:pStyle w:val="BodyText"/>
        <w:spacing w:line="333" w:lineRule="auto" w:before="111"/>
        <w:ind w:left="144" w:right="96"/>
        <w:jc w:val="left"/>
        <w:rPr>
          <w:rFonts w:ascii="Arial" w:hAnsi="Arial" w:cs="Arial" w:eastAsia="Arial" w:hint="default"/>
        </w:rPr>
      </w:pPr>
      <w:r>
        <w:rPr/>
        <w:t>专项活动的开展情况进行了现场检查，并于</w:t>
      </w:r>
      <w:r>
        <w:rPr>
          <w:spacing w:val="-36"/>
        </w:rPr>
        <w:t> </w:t>
      </w:r>
      <w:r>
        <w:rPr>
          <w:rFonts w:ascii="Arial" w:hAnsi="Arial" w:cs="Arial" w:eastAsia="Arial" w:hint="default"/>
        </w:rPr>
        <w:t>9</w:t>
      </w:r>
      <w:r>
        <w:rPr>
          <w:rFonts w:ascii="Arial" w:hAnsi="Arial" w:cs="Arial" w:eastAsia="Arial" w:hint="default"/>
          <w:spacing w:val="12"/>
        </w:rPr>
        <w:t> </w:t>
      </w:r>
      <w:r>
        <w:rPr/>
        <w:t>月</w:t>
      </w:r>
      <w:r>
        <w:rPr>
          <w:spacing w:val="-36"/>
        </w:rPr>
        <w:t> </w:t>
      </w:r>
      <w:r>
        <w:rPr>
          <w:rFonts w:ascii="Arial" w:hAnsi="Arial" w:cs="Arial" w:eastAsia="Arial" w:hint="default"/>
        </w:rPr>
        <w:t>30</w:t>
      </w:r>
      <w:r>
        <w:rPr>
          <w:rFonts w:ascii="Arial" w:hAnsi="Arial" w:cs="Arial" w:eastAsia="Arial" w:hint="default"/>
          <w:spacing w:val="11"/>
        </w:rPr>
        <w:t> </w:t>
      </w:r>
      <w:r>
        <w:rPr/>
        <w:t>日下发了《关于对深圳市金证科技股份有限公司 </w:t>
      </w:r>
      <w:r>
        <w:rPr>
          <w:spacing w:val="-5"/>
        </w:rPr>
        <w:t>治理情况的监管意见》，公司高度重视监管部门下发的监管意见，及时组织公司董事、监事及高级管理</w:t>
      </w:r>
      <w:r>
        <w:rPr>
          <w:spacing w:val="-90"/>
        </w:rPr>
        <w:t> </w:t>
      </w:r>
      <w:r>
        <w:rPr>
          <w:spacing w:val="-90"/>
        </w:rPr>
      </w:r>
      <w:r>
        <w:rPr>
          <w:spacing w:val="-6"/>
        </w:rPr>
        <w:t>人员认真学习，对</w:t>
      </w:r>
      <w:r>
        <w:rPr>
          <w:rFonts w:ascii="Arial" w:hAnsi="Arial" w:cs="Arial" w:eastAsia="Arial" w:hint="default"/>
          <w:spacing w:val="-6"/>
        </w:rPr>
        <w:t>“</w:t>
      </w:r>
      <w:r>
        <w:rPr>
          <w:spacing w:val="-6"/>
        </w:rPr>
        <w:t>监管意见</w:t>
      </w:r>
      <w:r>
        <w:rPr>
          <w:rFonts w:ascii="Arial" w:hAnsi="Arial" w:cs="Arial" w:eastAsia="Arial" w:hint="default"/>
          <w:spacing w:val="-6"/>
        </w:rPr>
        <w:t>”</w:t>
      </w:r>
      <w:r>
        <w:rPr>
          <w:spacing w:val="-6"/>
        </w:rPr>
        <w:t>中所列公司当前存在的问题进行了深入研究，结合《上市公司治理准则》、</w:t>
      </w:r>
      <w:r>
        <w:rPr>
          <w:spacing w:val="-69"/>
        </w:rPr>
        <w:t> </w:t>
      </w:r>
      <w:r>
        <w:rPr>
          <w:spacing w:val="-69"/>
        </w:rPr>
      </w:r>
      <w:r>
        <w:rPr>
          <w:spacing w:val="-3"/>
          <w:w w:val="99"/>
        </w:rPr>
        <w:t>中国证监会《关于开展加强上市公司治理专项活动有关事项的通知》（证监公司字</w:t>
      </w:r>
      <w:r>
        <w:rPr>
          <w:rFonts w:ascii="Arial" w:hAnsi="Arial" w:cs="Arial" w:eastAsia="Arial" w:hint="default"/>
          <w:spacing w:val="-3"/>
          <w:w w:val="99"/>
        </w:rPr>
        <w:t>[2007]28</w:t>
      </w:r>
      <w:r>
        <w:rPr>
          <w:rFonts w:ascii="Arial" w:hAnsi="Arial" w:cs="Arial" w:eastAsia="Arial" w:hint="default"/>
          <w:w w:val="99"/>
        </w:rPr>
        <w:t> </w:t>
      </w:r>
      <w:r>
        <w:rPr>
          <w:spacing w:val="1"/>
        </w:rPr>
        <w:t>号）及深</w:t>
      </w:r>
      <w:r>
        <w:rPr>
          <w:spacing w:val="-82"/>
        </w:rPr>
        <w:t> </w:t>
      </w:r>
      <w:r>
        <w:rPr>
          <w:spacing w:val="-82"/>
        </w:rPr>
      </w:r>
      <w:r>
        <w:rPr>
          <w:spacing w:val="-3"/>
          <w:w w:val="99"/>
        </w:rPr>
        <w:t>圳监管局《关于做好深圳辖区上市公司治理专项活动有关工作的通知》（深证监公司字</w:t>
      </w:r>
      <w:r>
        <w:rPr>
          <w:rFonts w:ascii="Arial" w:hAnsi="Arial" w:cs="Arial" w:eastAsia="Arial" w:hint="default"/>
          <w:spacing w:val="-3"/>
          <w:w w:val="99"/>
        </w:rPr>
        <w:t>[2007]14</w:t>
      </w:r>
      <w:r>
        <w:rPr>
          <w:rFonts w:ascii="Arial" w:hAnsi="Arial" w:cs="Arial" w:eastAsia="Arial" w:hint="default"/>
          <w:w w:val="99"/>
        </w:rPr>
        <w:t> </w:t>
      </w:r>
      <w:r>
        <w:rPr>
          <w:spacing w:val="1"/>
        </w:rPr>
        <w:t>号）</w:t>
      </w:r>
      <w:r>
        <w:rPr>
          <w:spacing w:val="-74"/>
        </w:rPr>
        <w:t> </w:t>
      </w:r>
      <w:r>
        <w:rPr/>
        <w:t>的文件精神，及本公司章程的有关规定，针对监管意见中提出的问题制订了整改措施，公司于</w:t>
      </w:r>
      <w:r>
        <w:rPr>
          <w:spacing w:val="44"/>
        </w:rPr>
        <w:t> </w:t>
      </w:r>
      <w:r>
        <w:rPr>
          <w:rFonts w:ascii="Arial" w:hAnsi="Arial" w:cs="Arial" w:eastAsia="Arial" w:hint="default"/>
        </w:rPr>
        <w:t>2007</w:t>
      </w:r>
    </w:p>
    <w:p>
      <w:pPr>
        <w:pStyle w:val="BodyText"/>
        <w:spacing w:line="240" w:lineRule="auto" w:before="19"/>
        <w:ind w:left="144" w:right="96"/>
        <w:jc w:val="left"/>
      </w:pPr>
      <w:r>
        <w:rPr/>
        <w:t>年</w:t>
      </w:r>
      <w:r>
        <w:rPr>
          <w:spacing w:val="-60"/>
        </w:rPr>
        <w:t> </w:t>
      </w:r>
      <w:r>
        <w:rPr>
          <w:rFonts w:ascii="Arial" w:hAnsi="Arial" w:cs="Arial" w:eastAsia="Arial" w:hint="default"/>
        </w:rPr>
        <w:t>10</w:t>
      </w:r>
      <w:r>
        <w:rPr>
          <w:rFonts w:ascii="Arial" w:hAnsi="Arial" w:cs="Arial" w:eastAsia="Arial" w:hint="default"/>
          <w:spacing w:val="-13"/>
        </w:rPr>
        <w:t> </w:t>
      </w:r>
      <w:r>
        <w:rPr/>
        <w:t>月</w:t>
      </w:r>
      <w:r>
        <w:rPr>
          <w:spacing w:val="-13"/>
        </w:rPr>
        <w:t> </w:t>
      </w:r>
      <w:r>
        <w:rPr>
          <w:rFonts w:ascii="Arial" w:hAnsi="Arial" w:cs="Arial" w:eastAsia="Arial" w:hint="default"/>
        </w:rPr>
        <w:t>23</w:t>
      </w:r>
      <w:r>
        <w:rPr>
          <w:rFonts w:ascii="Arial" w:hAnsi="Arial" w:cs="Arial" w:eastAsia="Arial" w:hint="default"/>
          <w:spacing w:val="-13"/>
        </w:rPr>
        <w:t> </w:t>
      </w:r>
      <w:r>
        <w:rPr/>
        <w:t>日召开了第三届董事会</w:t>
      </w:r>
      <w:r>
        <w:rPr>
          <w:spacing w:val="-60"/>
        </w:rPr>
        <w:t> </w:t>
      </w:r>
      <w:r>
        <w:rPr>
          <w:rFonts w:ascii="Arial" w:hAnsi="Arial" w:cs="Arial" w:eastAsia="Arial" w:hint="default"/>
        </w:rPr>
        <w:t>2007</w:t>
      </w:r>
      <w:r>
        <w:rPr>
          <w:rFonts w:ascii="Arial" w:hAnsi="Arial" w:cs="Arial" w:eastAsia="Arial" w:hint="default"/>
          <w:spacing w:val="-13"/>
        </w:rPr>
        <w:t> </w:t>
      </w:r>
      <w:r>
        <w:rPr/>
        <w:t>第二次会议审议并通过了《深圳市金证科技股份有限公司公</w:t>
      </w:r>
    </w:p>
    <w:p>
      <w:pPr>
        <w:pStyle w:val="BodyText"/>
        <w:spacing w:line="331" w:lineRule="auto" w:before="110"/>
        <w:ind w:left="144" w:right="206"/>
        <w:jc w:val="left"/>
      </w:pPr>
      <w:r>
        <w:rPr>
          <w:spacing w:val="-10"/>
        </w:rPr>
        <w:t>司治理整改报告》，金证股份公司治理整改报告于</w:t>
      </w:r>
      <w:r>
        <w:rPr>
          <w:spacing w:val="-50"/>
        </w:rPr>
        <w:t> </w:t>
      </w:r>
      <w:r>
        <w:rPr>
          <w:rFonts w:ascii="Arial" w:hAnsi="Arial" w:cs="Arial" w:eastAsia="Arial" w:hint="default"/>
          <w:spacing w:val="-1"/>
          <w:w w:val="99"/>
        </w:rPr>
        <w:t>2007</w:t>
      </w:r>
      <w:r>
        <w:rPr>
          <w:rFonts w:ascii="Arial" w:hAnsi="Arial" w:cs="Arial" w:eastAsia="Arial" w:hint="default"/>
          <w:spacing w:val="-3"/>
          <w:w w:val="99"/>
        </w:rPr>
        <w:t> </w:t>
      </w:r>
      <w:r>
        <w:rPr/>
        <w:t>年</w:t>
      </w:r>
      <w:r>
        <w:rPr>
          <w:spacing w:val="-50"/>
        </w:rPr>
        <w:t> </w:t>
      </w:r>
      <w:r>
        <w:rPr>
          <w:rFonts w:ascii="Arial" w:hAnsi="Arial" w:cs="Arial" w:eastAsia="Arial" w:hint="default"/>
          <w:w w:val="99"/>
        </w:rPr>
        <w:t>10</w:t>
      </w:r>
      <w:r>
        <w:rPr>
          <w:rFonts w:ascii="Arial" w:hAnsi="Arial" w:cs="Arial" w:eastAsia="Arial" w:hint="default"/>
          <w:spacing w:val="-3"/>
          <w:w w:val="99"/>
        </w:rPr>
        <w:t> </w:t>
      </w:r>
      <w:r>
        <w:rPr/>
        <w:t>月</w:t>
      </w:r>
      <w:r>
        <w:rPr>
          <w:spacing w:val="-50"/>
        </w:rPr>
        <w:t> </w:t>
      </w:r>
      <w:r>
        <w:rPr>
          <w:rFonts w:ascii="Arial" w:hAnsi="Arial" w:cs="Arial" w:eastAsia="Arial" w:hint="default"/>
          <w:spacing w:val="-1"/>
          <w:w w:val="99"/>
        </w:rPr>
        <w:t>24</w:t>
      </w:r>
      <w:r>
        <w:rPr>
          <w:rFonts w:ascii="Arial" w:hAnsi="Arial" w:cs="Arial" w:eastAsia="Arial" w:hint="default"/>
          <w:spacing w:val="-3"/>
          <w:w w:val="99"/>
        </w:rPr>
        <w:t> </w:t>
      </w:r>
      <w:r>
        <w:rPr/>
        <w:t>日在上海证券交易所网站进行了披 露。</w:t>
      </w:r>
    </w:p>
    <w:p>
      <w:pPr>
        <w:pStyle w:val="BodyText"/>
        <w:spacing w:line="429" w:lineRule="auto" w:before="166"/>
        <w:ind w:left="564" w:right="4256"/>
        <w:jc w:val="left"/>
      </w:pPr>
      <w:r>
        <w:rPr/>
        <w:pict>
          <v:shape style="position:absolute;margin-left:75.480003pt;margin-top:56.482666pt;width:466.1pt;height:199.7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
                    <w:gridCol w:w="684"/>
                    <w:gridCol w:w="950"/>
                    <w:gridCol w:w="1243"/>
                    <w:gridCol w:w="1442"/>
                    <w:gridCol w:w="986"/>
                    <w:gridCol w:w="1442"/>
                    <w:gridCol w:w="846"/>
                    <w:gridCol w:w="1337"/>
                  </w:tblGrid>
                  <w:tr>
                    <w:trPr>
                      <w:trHeight w:val="1105"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42"/>
                          <w:jc w:val="left"/>
                          <w:rPr>
                            <w:rFonts w:ascii="宋体" w:hAnsi="宋体" w:cs="宋体" w:eastAsia="宋体" w:hint="default"/>
                            <w:sz w:val="21"/>
                            <w:szCs w:val="21"/>
                          </w:rPr>
                        </w:pPr>
                        <w:r>
                          <w:rPr>
                            <w:rFonts w:ascii="宋体" w:hAnsi="宋体" w:cs="宋体" w:eastAsia="宋体" w:hint="default"/>
                            <w:sz w:val="21"/>
                            <w:szCs w:val="21"/>
                          </w:rPr>
                          <w:t>序 号</w:t>
                        </w:r>
                      </w:p>
                    </w:tc>
                    <w:tc>
                      <w:tcPr>
                        <w:tcW w:w="6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3" w:right="123"/>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9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1" w:right="152"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2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93" w:right="187" w:hanging="106"/>
                          <w:jc w:val="left"/>
                          <w:rPr>
                            <w:rFonts w:ascii="宋体" w:hAnsi="宋体" w:cs="宋体" w:eastAsia="宋体" w:hint="default"/>
                            <w:sz w:val="21"/>
                            <w:szCs w:val="21"/>
                          </w:rPr>
                        </w:pPr>
                        <w:r>
                          <w:rPr>
                            <w:rFonts w:ascii="宋体" w:hAnsi="宋体" w:cs="宋体" w:eastAsia="宋体" w:hint="default"/>
                            <w:sz w:val="21"/>
                            <w:szCs w:val="21"/>
                          </w:rPr>
                          <w:t>初始投资金 额（元）</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0" w:right="169" w:hanging="210"/>
                          <w:jc w:val="left"/>
                          <w:rPr>
                            <w:rFonts w:ascii="宋体" w:hAnsi="宋体" w:cs="宋体" w:eastAsia="宋体" w:hint="default"/>
                            <w:sz w:val="21"/>
                            <w:szCs w:val="21"/>
                          </w:rPr>
                        </w:pPr>
                        <w:r>
                          <w:rPr>
                            <w:rFonts w:ascii="宋体" w:hAnsi="宋体" w:cs="宋体" w:eastAsia="宋体" w:hint="default"/>
                            <w:sz w:val="21"/>
                            <w:szCs w:val="21"/>
                          </w:rPr>
                          <w:t>持有数 量</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期末账面值</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报告期损益</w:t>
                        </w:r>
                      </w:p>
                    </w:tc>
                  </w:tr>
                  <w:tr>
                    <w:trPr>
                      <w:trHeight w:val="287"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1</w:t>
                        </w:r>
                        <w:r>
                          <w:rPr>
                            <w:rFonts w:ascii="Arial"/>
                            <w:sz w:val="21"/>
                          </w:rPr>
                        </w:r>
                      </w:p>
                    </w:tc>
                    <w:tc>
                      <w:tcPr>
                        <w:tcW w:w="6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000415</w:t>
                        </w:r>
                      </w:p>
                    </w:tc>
                    <w:tc>
                      <w:tcPr>
                        <w:tcW w:w="12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汇通集团</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4,787,962.49</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421,800</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4,201,077.38</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91.75</w:t>
                        </w:r>
                        <w:r>
                          <w:rPr>
                            <w:rFonts w:ascii="Arial"/>
                            <w:sz w:val="21"/>
                          </w:rPr>
                        </w:r>
                      </w:p>
                    </w:tc>
                    <w:tc>
                      <w:tcPr>
                        <w:tcW w:w="1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100"/>
                          <w:jc w:val="right"/>
                          <w:rPr>
                            <w:rFonts w:ascii="Arial" w:hAnsi="Arial" w:cs="Arial" w:eastAsia="Arial" w:hint="default"/>
                            <w:sz w:val="21"/>
                            <w:szCs w:val="21"/>
                          </w:rPr>
                        </w:pPr>
                        <w:r>
                          <w:rPr>
                            <w:rFonts w:ascii="Arial"/>
                            <w:spacing w:val="-3"/>
                            <w:sz w:val="21"/>
                          </w:rPr>
                          <w:t>-586,885.11</w:t>
                        </w:r>
                      </w:p>
                    </w:tc>
                  </w:tr>
                  <w:tr>
                    <w:trPr>
                      <w:trHeight w:val="288"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2</w:t>
                        </w:r>
                        <w:r>
                          <w:rPr>
                            <w:rFonts w:ascii="Arial"/>
                            <w:sz w:val="21"/>
                          </w:rPr>
                        </w:r>
                      </w:p>
                    </w:tc>
                    <w:tc>
                      <w:tcPr>
                        <w:tcW w:w="6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601857</w:t>
                        </w:r>
                      </w:p>
                    </w:tc>
                    <w:tc>
                      <w:tcPr>
                        <w:tcW w:w="12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中国石油</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3"/>
                            <w:sz w:val="21"/>
                          </w:rPr>
                          <w:t>116,900.00</w:t>
                        </w:r>
                        <w:r>
                          <w:rPr>
                            <w:rFonts w:ascii="Arial"/>
                            <w:sz w:val="21"/>
                          </w:rPr>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7,000</w:t>
                        </w:r>
                        <w:r>
                          <w:rPr>
                            <w:rFonts w:ascii="Arial"/>
                            <w:sz w:val="21"/>
                          </w:rPr>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215,670.00</w:t>
                        </w:r>
                        <w:r>
                          <w:rPr>
                            <w:rFonts w:ascii="Arial"/>
                            <w:sz w:val="21"/>
                          </w:rPr>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4.71</w:t>
                        </w:r>
                        <w:r>
                          <w:rPr>
                            <w:rFonts w:ascii="Arial"/>
                            <w:sz w:val="21"/>
                          </w:rPr>
                        </w:r>
                      </w:p>
                    </w:tc>
                    <w:tc>
                      <w:tcPr>
                        <w:tcW w:w="1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98,770.00</w:t>
                        </w:r>
                        <w:r>
                          <w:rPr>
                            <w:rFonts w:ascii="Arial"/>
                            <w:sz w:val="21"/>
                          </w:rPr>
                        </w:r>
                      </w:p>
                    </w:tc>
                  </w:tr>
                  <w:tr>
                    <w:trPr>
                      <w:trHeight w:val="287"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3</w:t>
                        </w:r>
                        <w:r>
                          <w:rPr>
                            <w:rFonts w:ascii="Arial"/>
                            <w:sz w:val="21"/>
                          </w:rPr>
                        </w:r>
                      </w:p>
                    </w:tc>
                    <w:tc>
                      <w:tcPr>
                        <w:tcW w:w="6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601390</w:t>
                        </w:r>
                      </w:p>
                    </w:tc>
                    <w:tc>
                      <w:tcPr>
                        <w:tcW w:w="12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中铁申购</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28,800.00</w:t>
                        </w:r>
                        <w:r>
                          <w:rPr>
                            <w:rFonts w:ascii="Arial"/>
                            <w:sz w:val="21"/>
                          </w:rPr>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6,000</w:t>
                        </w:r>
                        <w:r>
                          <w:rPr>
                            <w:rFonts w:ascii="Arial"/>
                            <w:sz w:val="21"/>
                          </w:rPr>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68,700.00</w:t>
                        </w:r>
                        <w:r>
                          <w:rPr>
                            <w:rFonts w:ascii="Arial"/>
                            <w:sz w:val="21"/>
                          </w:rPr>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1.50</w:t>
                        </w:r>
                        <w:r>
                          <w:rPr>
                            <w:rFonts w:ascii="Arial"/>
                            <w:sz w:val="21"/>
                          </w:rPr>
                        </w:r>
                      </w:p>
                    </w:tc>
                    <w:tc>
                      <w:tcPr>
                        <w:tcW w:w="1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39,900.00</w:t>
                        </w:r>
                        <w:r>
                          <w:rPr>
                            <w:rFonts w:ascii="Arial"/>
                            <w:sz w:val="21"/>
                          </w:rPr>
                        </w:r>
                      </w:p>
                    </w:tc>
                  </w:tr>
                  <w:tr>
                    <w:trPr>
                      <w:trHeight w:val="287"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4</w:t>
                        </w:r>
                        <w:r>
                          <w:rPr>
                            <w:rFonts w:ascii="Arial"/>
                            <w:sz w:val="21"/>
                          </w:rPr>
                        </w:r>
                      </w:p>
                    </w:tc>
                    <w:tc>
                      <w:tcPr>
                        <w:tcW w:w="6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601866</w:t>
                        </w:r>
                      </w:p>
                    </w:tc>
                    <w:tc>
                      <w:tcPr>
                        <w:tcW w:w="12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中海集运</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26,480.00</w:t>
                        </w:r>
                        <w:r>
                          <w:rPr>
                            <w:rFonts w:ascii="Arial"/>
                            <w:sz w:val="21"/>
                          </w:rPr>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4,000</w:t>
                        </w:r>
                        <w:r>
                          <w:rPr>
                            <w:rFonts w:ascii="Arial"/>
                            <w:sz w:val="21"/>
                          </w:rPr>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48,381.30</w:t>
                        </w:r>
                        <w:r>
                          <w:rPr>
                            <w:rFonts w:ascii="Arial"/>
                            <w:sz w:val="21"/>
                          </w:rPr>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1.06</w:t>
                        </w:r>
                        <w:r>
                          <w:rPr>
                            <w:rFonts w:ascii="Arial"/>
                            <w:sz w:val="21"/>
                          </w:rPr>
                        </w:r>
                      </w:p>
                    </w:tc>
                    <w:tc>
                      <w:tcPr>
                        <w:tcW w:w="1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21,901.30</w:t>
                        </w:r>
                        <w:r>
                          <w:rPr>
                            <w:rFonts w:ascii="Arial"/>
                            <w:sz w:val="21"/>
                          </w:rPr>
                        </w:r>
                      </w:p>
                    </w:tc>
                  </w:tr>
                  <w:tr>
                    <w:trPr>
                      <w:trHeight w:val="288"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5</w:t>
                        </w:r>
                        <w:r>
                          <w:rPr>
                            <w:rFonts w:ascii="Arial"/>
                            <w:sz w:val="21"/>
                          </w:rPr>
                        </w:r>
                      </w:p>
                    </w:tc>
                    <w:tc>
                      <w:tcPr>
                        <w:tcW w:w="6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002179</w:t>
                        </w:r>
                      </w:p>
                    </w:tc>
                    <w:tc>
                      <w:tcPr>
                        <w:tcW w:w="12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中航光电</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8,095.00</w:t>
                        </w:r>
                        <w:r>
                          <w:rPr>
                            <w:rFonts w:ascii="Arial"/>
                            <w:sz w:val="21"/>
                          </w:rPr>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500</w:t>
                        </w:r>
                        <w:r>
                          <w:rPr>
                            <w:rFonts w:ascii="Arial"/>
                            <w:sz w:val="21"/>
                          </w:rPr>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22,820.00</w:t>
                        </w:r>
                        <w:r>
                          <w:rPr>
                            <w:rFonts w:ascii="Arial"/>
                            <w:sz w:val="21"/>
                          </w:rPr>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0.50</w:t>
                        </w:r>
                        <w:r>
                          <w:rPr>
                            <w:rFonts w:ascii="Arial"/>
                            <w:sz w:val="21"/>
                          </w:rPr>
                        </w:r>
                      </w:p>
                    </w:tc>
                    <w:tc>
                      <w:tcPr>
                        <w:tcW w:w="1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14,725.00</w:t>
                        </w:r>
                        <w:r>
                          <w:rPr>
                            <w:rFonts w:ascii="Arial"/>
                            <w:sz w:val="21"/>
                          </w:rPr>
                        </w:r>
                      </w:p>
                    </w:tc>
                  </w:tr>
                  <w:tr>
                    <w:trPr>
                      <w:trHeight w:val="287"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6</w:t>
                        </w:r>
                        <w:r>
                          <w:rPr>
                            <w:rFonts w:ascii="Arial"/>
                            <w:sz w:val="21"/>
                          </w:rPr>
                        </w:r>
                      </w:p>
                    </w:tc>
                    <w:tc>
                      <w:tcPr>
                        <w:tcW w:w="6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002184</w:t>
                        </w:r>
                      </w:p>
                    </w:tc>
                    <w:tc>
                      <w:tcPr>
                        <w:tcW w:w="12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海得控制</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6,450.00</w:t>
                        </w:r>
                        <w:r>
                          <w:rPr>
                            <w:rFonts w:ascii="Arial"/>
                            <w:sz w:val="21"/>
                          </w:rPr>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500</w:t>
                        </w:r>
                        <w:r>
                          <w:rPr>
                            <w:rFonts w:ascii="Arial"/>
                            <w:sz w:val="21"/>
                          </w:rPr>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3"/>
                            <w:sz w:val="21"/>
                          </w:rPr>
                          <w:t>11,455.00</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0.25</w:t>
                        </w:r>
                        <w:r>
                          <w:rPr>
                            <w:rFonts w:ascii="Arial"/>
                            <w:sz w:val="21"/>
                          </w:rPr>
                        </w:r>
                      </w:p>
                    </w:tc>
                    <w:tc>
                      <w:tcPr>
                        <w:tcW w:w="1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5,005.00</w:t>
                        </w:r>
                        <w:r>
                          <w:rPr>
                            <w:rFonts w:ascii="Arial"/>
                            <w:sz w:val="21"/>
                          </w:rPr>
                        </w:r>
                      </w:p>
                    </w:tc>
                  </w:tr>
                  <w:tr>
                    <w:trPr>
                      <w:trHeight w:val="288" w:hRule="exact"/>
                    </w:trPr>
                    <w:tc>
                      <w:tcPr>
                        <w:tcW w:w="3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w w:val="99"/>
                            <w:sz w:val="21"/>
                          </w:rPr>
                          <w:t>7</w:t>
                        </w:r>
                        <w:r>
                          <w:rPr>
                            <w:rFonts w:ascii="Arial"/>
                            <w:sz w:val="21"/>
                          </w:rPr>
                        </w:r>
                      </w:p>
                    </w:tc>
                    <w:tc>
                      <w:tcPr>
                        <w:tcW w:w="6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9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002188</w:t>
                        </w:r>
                      </w:p>
                    </w:tc>
                    <w:tc>
                      <w:tcPr>
                        <w:tcW w:w="12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新嘉联</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5,035.00</w:t>
                        </w:r>
                        <w:r>
                          <w:rPr>
                            <w:rFonts w:ascii="Arial"/>
                            <w:sz w:val="21"/>
                          </w:rPr>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500</w:t>
                        </w:r>
                        <w:r>
                          <w:rPr>
                            <w:rFonts w:ascii="Arial"/>
                            <w:sz w:val="21"/>
                          </w:rPr>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10,686.31</w:t>
                        </w:r>
                        <w:r>
                          <w:rPr>
                            <w:rFonts w:ascii="Arial"/>
                            <w:sz w:val="21"/>
                          </w:rPr>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0.23</w:t>
                        </w:r>
                        <w:r>
                          <w:rPr>
                            <w:rFonts w:ascii="Arial"/>
                            <w:sz w:val="21"/>
                          </w:rPr>
                        </w:r>
                      </w:p>
                    </w:tc>
                    <w:tc>
                      <w:tcPr>
                        <w:tcW w:w="1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5,651.31</w:t>
                        </w:r>
                        <w:r>
                          <w:rPr>
                            <w:rFonts w:ascii="Arial"/>
                            <w:sz w:val="21"/>
                          </w:rPr>
                        </w:r>
                      </w:p>
                    </w:tc>
                  </w:tr>
                  <w:tr>
                    <w:trPr>
                      <w:trHeight w:val="287" w:hRule="exact"/>
                    </w:trPr>
                    <w:tc>
                      <w:tcPr>
                        <w:tcW w:w="32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442" w:type="dxa"/>
                        <w:tcBorders>
                          <w:top w:val="single" w:sz="6" w:space="0" w:color="101010"/>
                          <w:left w:val="single" w:sz="6" w:space="0" w:color="101010"/>
                          <w:bottom w:val="single" w:sz="6" w:space="0" w:color="101010"/>
                          <w:right w:val="single" w:sz="6" w:space="0" w:color="101010"/>
                        </w:tcBorders>
                      </w:tcPr>
                      <w:p>
                        <w:pP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w:t>
                        </w:r>
                        <w:r>
                          <w:rPr>
                            <w:rFonts w:ascii="Arial"/>
                            <w:sz w:val="21"/>
                          </w:rPr>
                        </w:r>
                      </w:p>
                    </w:tc>
                    <w:tc>
                      <w:tcPr>
                        <w:tcW w:w="1442" w:type="dxa"/>
                        <w:tcBorders>
                          <w:top w:val="single" w:sz="6" w:space="0" w:color="101010"/>
                          <w:left w:val="single" w:sz="6" w:space="0" w:color="101010"/>
                          <w:bottom w:val="single" w:sz="6" w:space="0" w:color="101010"/>
                          <w:right w:val="single" w:sz="6" w:space="0" w:color="101010"/>
                        </w:tcBorders>
                      </w:tcPr>
                      <w:p>
                        <w:pPr/>
                      </w:p>
                    </w:tc>
                    <w:tc>
                      <w:tcPr>
                        <w:tcW w:w="846" w:type="dxa"/>
                        <w:tcBorders>
                          <w:top w:val="single" w:sz="6" w:space="0" w:color="101010"/>
                          <w:left w:val="single" w:sz="6" w:space="0" w:color="101010"/>
                          <w:bottom w:val="single" w:sz="6" w:space="0" w:color="101010"/>
                          <w:right w:val="single" w:sz="6" w:space="0" w:color="101010"/>
                        </w:tcBorders>
                      </w:tcPr>
                      <w:p>
                        <w:pPr/>
                      </w:p>
                    </w:tc>
                    <w:tc>
                      <w:tcPr>
                        <w:tcW w:w="1337"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2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w:t>
                        </w:r>
                        <w:r>
                          <w:rPr>
                            <w:rFonts w:ascii="Arial"/>
                            <w:sz w:val="21"/>
                          </w:rPr>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w:t>
                        </w:r>
                        <w:r>
                          <w:rPr>
                            <w:rFonts w:ascii="Arial"/>
                            <w:sz w:val="21"/>
                          </w:rPr>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w:t>
                        </w:r>
                        <w:r>
                          <w:rPr>
                            <w:rFonts w:ascii="Arial"/>
                            <w:sz w:val="21"/>
                          </w:rPr>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w:t>
                        </w:r>
                        <w:r>
                          <w:rPr>
                            <w:rFonts w:ascii="Arial"/>
                            <w:sz w:val="21"/>
                          </w:rPr>
                        </w:r>
                      </w:p>
                    </w:tc>
                    <w:tc>
                      <w:tcPr>
                        <w:tcW w:w="1337"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24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4,979,722.49</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0"/>
                          <w:jc w:val="center"/>
                          <w:rPr>
                            <w:rFonts w:ascii="Arial" w:hAnsi="Arial" w:cs="Arial" w:eastAsia="Arial" w:hint="default"/>
                            <w:sz w:val="21"/>
                            <w:szCs w:val="21"/>
                          </w:rPr>
                        </w:pPr>
                        <w:r>
                          <w:rPr>
                            <w:rFonts w:ascii="Arial"/>
                            <w:w w:val="99"/>
                            <w:sz w:val="21"/>
                          </w:rPr>
                          <w:t>-</w:t>
                        </w:r>
                        <w:r>
                          <w:rPr>
                            <w:rFonts w:ascii="Arial"/>
                            <w:sz w:val="21"/>
                          </w:rPr>
                        </w:r>
                      </w:p>
                    </w:tc>
                    <w:tc>
                      <w:tcPr>
                        <w:tcW w:w="14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4,578,789.99</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145"/>
                          <w:jc w:val="right"/>
                          <w:rPr>
                            <w:rFonts w:ascii="Arial" w:hAnsi="Arial" w:cs="Arial" w:eastAsia="Arial" w:hint="default"/>
                            <w:sz w:val="21"/>
                            <w:szCs w:val="21"/>
                          </w:rPr>
                        </w:pPr>
                        <w:r>
                          <w:rPr>
                            <w:rFonts w:ascii="Arial"/>
                            <w:spacing w:val="-1"/>
                            <w:w w:val="95"/>
                            <w:sz w:val="21"/>
                          </w:rPr>
                          <w:t>100%</w:t>
                        </w:r>
                        <w:r>
                          <w:rPr>
                            <w:rFonts w:ascii="Arial"/>
                            <w:sz w:val="21"/>
                          </w:rPr>
                        </w:r>
                      </w:p>
                    </w:tc>
                    <w:tc>
                      <w:tcPr>
                        <w:tcW w:w="1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-400,932.50</w:t>
                        </w:r>
                        <w:r>
                          <w:rPr>
                            <w:rFonts w:ascii="Arial"/>
                            <w:sz w:val="21"/>
                          </w:rPr>
                        </w:r>
                      </w:p>
                    </w:tc>
                  </w:tr>
                </w:tbl>
                <w:p>
                  <w:pPr/>
                </w:p>
              </w:txbxContent>
            </v:textbox>
            <w10:wrap type="none"/>
          </v:shape>
        </w:pict>
      </w:r>
      <w:r>
        <w:rPr>
          <w:rFonts w:ascii="Arial" w:hAnsi="Arial" w:cs="Arial" w:eastAsia="Arial" w:hint="default"/>
        </w:rPr>
        <w:t>(</w:t>
      </w:r>
      <w:r>
        <w:rPr/>
        <w:t>十三</w:t>
      </w:r>
      <w:r>
        <w:rPr>
          <w:rFonts w:ascii="Arial" w:hAnsi="Arial" w:cs="Arial" w:eastAsia="Arial" w:hint="default"/>
        </w:rPr>
        <w:t>)</w:t>
      </w:r>
      <w:r>
        <w:rPr/>
        <w:t>其它重大事项及其影响和解决方案的分析说明</w:t>
      </w:r>
      <w:r>
        <w:rPr>
          <w:w w:val="99"/>
        </w:rPr>
        <w:t> </w:t>
      </w:r>
      <w:r>
        <w:rPr>
          <w:rFonts w:ascii="Arial" w:hAnsi="Arial" w:cs="Arial" w:eastAsia="Arial" w:hint="default"/>
        </w:rPr>
        <w:t>1</w:t>
      </w:r>
      <w:r>
        <w:rPr/>
        <w:t>、证券投资情况</w:t>
      </w:r>
    </w:p>
    <w:p>
      <w:pPr>
        <w:spacing w:after="0" w:line="429" w:lineRule="auto"/>
        <w:jc w:val="left"/>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240" w:lineRule="auto" w:before="35"/>
        <w:ind w:right="226"/>
        <w:jc w:val="left"/>
      </w:pPr>
      <w:r>
        <w:rPr/>
        <w:t>(十四)信息披露索引</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701"/>
        <w:gridCol w:w="1793"/>
        <w:gridCol w:w="1279"/>
        <w:gridCol w:w="2677"/>
      </w:tblGrid>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刊载的报刊名称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及版面</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刊载的互联网网站及检索</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路径</w:t>
            </w:r>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度业绩预告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32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深圳市金证科技股份有限公司第二届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年第一次会议决议公告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年度股东大会通知的公告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深圳市金证科技股份有限公司第二届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年第一次会议决议公告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深圳市金证科技股份有限公司关于财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务审计机构更名的公告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深圳市金证科技股份有限公司有限售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条件的流通股上市流通的公告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金证股份第二届董事会</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年第二次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89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金证股份股价异常波动公告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证券时报第</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62"/>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年第一次临时股东大会</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33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金证股份第二届董事会</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年第三次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金证股份第二届董事会</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年第四次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金证股份第二届监事会</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年第三次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年中期业绩预告公告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金证股份第二届董事会</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年第五次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16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年第二次临时股东大会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通知公告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16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年第二次临时股东大会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金证股份第二届董事会</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年第六次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年第三次临时股东大会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通知的公告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金证股份第二届监事会</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年第四次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金证股份第三次临时股东大会决议公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金证股份第三届董事会</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33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金证股份第三届监事会</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33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2240" w:h="15840"/>
          <w:pgMar w:header="747" w:footer="727" w:top="1040" w:bottom="920" w:left="1380" w:right="114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3701"/>
        <w:gridCol w:w="1793"/>
        <w:gridCol w:w="1279"/>
        <w:gridCol w:w="2677"/>
      </w:tblGrid>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年第四次临时股东大会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通知的公告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33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年第四次临时股东大会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 年</w:t>
            </w:r>
            <w:r>
              <w:rPr>
                <w:rFonts w:ascii="宋体" w:hAnsi="宋体" w:cs="宋体" w:eastAsia="宋体" w:hint="default"/>
                <w:spacing w:val="11"/>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年第三季度报告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 年</w:t>
            </w:r>
            <w:r>
              <w:rPr>
                <w:rFonts w:ascii="宋体" w:hAnsi="宋体" w:cs="宋体" w:eastAsia="宋体" w:hint="default"/>
                <w:spacing w:val="11"/>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37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公司治理整改报告</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1"/>
                <w:sz w:val="21"/>
                <w:szCs w:val="21"/>
              </w:rPr>
              <w:t>证券时报 </w:t>
            </w:r>
            <w:r>
              <w:rPr>
                <w:rFonts w:ascii="宋体" w:hAnsi="宋体" w:cs="宋体" w:eastAsia="宋体" w:hint="default"/>
                <w:sz w:val="21"/>
                <w:szCs w:val="21"/>
              </w:rPr>
              <w:t>第</w:t>
            </w:r>
            <w:r>
              <w:rPr>
                <w:rFonts w:ascii="宋体" w:hAnsi="宋体" w:cs="宋体" w:eastAsia="宋体" w:hint="default"/>
                <w:spacing w:val="-50"/>
                <w:sz w:val="21"/>
                <w:szCs w:val="21"/>
              </w:rPr>
              <w:t> </w:t>
            </w:r>
            <w:r>
              <w:rPr>
                <w:rFonts w:ascii="宋体" w:hAnsi="宋体" w:cs="宋体" w:eastAsia="宋体" w:hint="default"/>
                <w:sz w:val="21"/>
                <w:szCs w:val="21"/>
              </w:rPr>
              <w:t>44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r>
              <w:rPr>
                <w:rFonts w:ascii="宋体" w:hAnsi="宋体" w:cs="宋体" w:eastAsia="宋体" w:hint="default"/>
                <w:spacing w:val="-2"/>
                <w:sz w:val="21"/>
                <w:szCs w:val="21"/>
              </w:rPr>
              <w:t> </w:t>
            </w:r>
            <w:r>
              <w:rPr>
                <w:rFonts w:ascii="宋体" w:hAnsi="宋体" w:cs="宋体" w:eastAsia="宋体" w:hint="default"/>
                <w:sz w:val="21"/>
                <w:szCs w:val="21"/>
              </w:rPr>
              <w:t>上海证券报</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 年</w:t>
            </w:r>
            <w:r>
              <w:rPr>
                <w:rFonts w:ascii="宋体" w:hAnsi="宋体" w:cs="宋体" w:eastAsia="宋体" w:hint="default"/>
                <w:spacing w:val="11"/>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http://www.sse.com.cn</w:t>
              </w:r>
            </w:hyperlink>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1"/>
        <w:ind w:left="145" w:right="226" w:firstLine="0"/>
        <w:jc w:val="left"/>
        <w:rPr>
          <w:rFonts w:ascii="黑体" w:hAnsi="黑体" w:cs="黑体" w:eastAsia="黑体" w:hint="default"/>
          <w:sz w:val="32"/>
          <w:szCs w:val="32"/>
        </w:rPr>
      </w:pPr>
      <w:bookmarkStart w:name="_TOC_250001" w:id="10"/>
      <w:r>
        <w:rPr>
          <w:rFonts w:ascii="黑体" w:hAnsi="黑体" w:cs="黑体" w:eastAsia="黑体" w:hint="default"/>
          <w:b/>
          <w:bCs/>
          <w:sz w:val="32"/>
          <w:szCs w:val="32"/>
        </w:rPr>
        <w:t>十一、财务会计报告</w:t>
      </w:r>
      <w:bookmarkEnd w:id="10"/>
      <w:r>
        <w:rPr>
          <w:rFonts w:ascii="黑体" w:hAnsi="黑体" w:cs="黑体" w:eastAsia="黑体" w:hint="default"/>
          <w:sz w:val="32"/>
          <w:szCs w:val="32"/>
        </w:rPr>
      </w:r>
    </w:p>
    <w:p>
      <w:pPr>
        <w:spacing w:line="240" w:lineRule="auto" w:before="5"/>
        <w:rPr>
          <w:rFonts w:ascii="黑体" w:hAnsi="黑体" w:cs="黑体" w:eastAsia="黑体" w:hint="default"/>
          <w:b/>
          <w:bCs/>
          <w:sz w:val="46"/>
          <w:szCs w:val="46"/>
        </w:rPr>
      </w:pPr>
    </w:p>
    <w:p>
      <w:pPr>
        <w:pStyle w:val="BodyText"/>
        <w:spacing w:line="272" w:lineRule="exact"/>
        <w:ind w:right="332" w:firstLine="420"/>
        <w:jc w:val="both"/>
      </w:pPr>
      <w:r>
        <w:rPr/>
        <w:t>公司年度财务报告已经北京立信会计师事务所有限公司注册会计师审计，并出具了标准无保留意 见的审计报告。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565" w:right="226"/>
        <w:jc w:val="left"/>
      </w:pPr>
      <w:r>
        <w:rPr/>
        <w:t>(一)审计报告</w:t>
      </w:r>
    </w:p>
    <w:p>
      <w:pPr>
        <w:spacing w:line="240" w:lineRule="auto" w:before="5"/>
        <w:rPr>
          <w:rFonts w:ascii="宋体" w:hAnsi="宋体" w:cs="宋体" w:eastAsia="宋体" w:hint="default"/>
          <w:sz w:val="20"/>
          <w:szCs w:val="20"/>
        </w:rPr>
      </w:pPr>
    </w:p>
    <w:p>
      <w:pPr>
        <w:spacing w:before="0"/>
        <w:ind w:left="4184" w:right="4371"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12"/>
        <w:rPr>
          <w:rFonts w:ascii="宋体" w:hAnsi="宋体" w:cs="宋体" w:eastAsia="宋体" w:hint="default"/>
          <w:b/>
          <w:bCs/>
          <w:sz w:val="21"/>
          <w:szCs w:val="21"/>
        </w:rPr>
      </w:pPr>
    </w:p>
    <w:p>
      <w:pPr>
        <w:pStyle w:val="Heading3"/>
        <w:spacing w:line="240" w:lineRule="auto"/>
        <w:ind w:right="331"/>
        <w:jc w:val="right"/>
        <w:rPr>
          <w:b w:val="0"/>
          <w:bCs w:val="0"/>
        </w:rPr>
      </w:pPr>
      <w:r>
        <w:rPr>
          <w:w w:val="95"/>
        </w:rPr>
        <w:t>京信审字[2008]601号</w:t>
      </w:r>
      <w:r>
        <w:rPr>
          <w:b w:val="0"/>
          <w:bCs w:val="0"/>
        </w:rPr>
      </w:r>
    </w:p>
    <w:p>
      <w:pPr>
        <w:pStyle w:val="BodyText"/>
        <w:spacing w:line="520" w:lineRule="atLeast" w:before="135"/>
        <w:ind w:left="565" w:right="315" w:hanging="420"/>
        <w:jc w:val="left"/>
      </w:pPr>
      <w:r>
        <w:rPr/>
        <w:t>深圳市金证科技股份有限公司全体股东： 我们审计了后附的深圳市金证科技股份有限公司（以下简称金证股份）财务报表，包括2007年12</w:t>
      </w:r>
    </w:p>
    <w:p>
      <w:pPr>
        <w:spacing w:line="456" w:lineRule="auto" w:before="125"/>
        <w:ind w:left="985" w:right="226" w:hanging="840"/>
        <w:jc w:val="left"/>
        <w:rPr>
          <w:rFonts w:ascii="宋体" w:hAnsi="宋体" w:cs="宋体" w:eastAsia="宋体" w:hint="default"/>
          <w:sz w:val="21"/>
          <w:szCs w:val="21"/>
        </w:rPr>
      </w:pPr>
      <w:r>
        <w:rPr>
          <w:rFonts w:ascii="宋体" w:hAnsi="宋体" w:cs="宋体" w:eastAsia="宋体" w:hint="default"/>
          <w:spacing w:val="-1"/>
          <w:sz w:val="21"/>
          <w:szCs w:val="21"/>
        </w:rPr>
        <w:t>月31日的资产负债表，2007年度的利润表、股东权益变动表和现金流量表以及财务报表附注。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一、管理层对财务报表的责任</w:t>
      </w:r>
      <w:r>
        <w:rPr>
          <w:rFonts w:ascii="宋体" w:hAnsi="宋体" w:cs="宋体" w:eastAsia="宋体" w:hint="default"/>
          <w:sz w:val="21"/>
          <w:szCs w:val="21"/>
        </w:rPr>
      </w:r>
    </w:p>
    <w:p>
      <w:pPr>
        <w:pStyle w:val="BodyText"/>
        <w:spacing w:line="348" w:lineRule="auto" w:before="55"/>
        <w:ind w:right="331" w:firstLine="420"/>
        <w:jc w:val="both"/>
      </w:pPr>
      <w:r>
        <w:rPr>
          <w:spacing w:val="-4"/>
        </w:rPr>
        <w:t>按照企业会计准则的规定编制财务报表是金证股份管理层的责任。这种责任包括：（1）设计、实</w:t>
      </w:r>
      <w:r>
        <w:rPr/>
        <w:t> 施和维护与财务报表编制相关的内部控制，以使财务报表不存在由于舞弊或错误而导致的重大错报；</w:t>
      </w:r>
    </w:p>
    <w:p>
      <w:pPr>
        <w:spacing w:line="453" w:lineRule="auto" w:before="31"/>
        <w:ind w:left="985" w:right="3675" w:hanging="840"/>
        <w:jc w:val="left"/>
        <w:rPr>
          <w:rFonts w:ascii="宋体" w:hAnsi="宋体" w:cs="宋体" w:eastAsia="宋体" w:hint="default"/>
          <w:sz w:val="21"/>
          <w:szCs w:val="21"/>
        </w:rPr>
      </w:pPr>
      <w:r>
        <w:rPr>
          <w:rFonts w:ascii="宋体" w:hAnsi="宋体" w:cs="宋体" w:eastAsia="宋体" w:hint="default"/>
          <w:spacing w:val="-1"/>
          <w:sz w:val="21"/>
          <w:szCs w:val="21"/>
        </w:rPr>
        <w:t>（2）选择和运用恰当的会计政策；（3）作出合理的会计估计。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BodyText"/>
        <w:spacing w:line="350" w:lineRule="auto" w:before="58"/>
        <w:ind w:right="332" w:firstLine="420"/>
        <w:jc w:val="both"/>
      </w:pPr>
      <w:r>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BodyText"/>
        <w:spacing w:line="240" w:lineRule="auto" w:before="148"/>
        <w:ind w:left="565" w:right="226"/>
        <w:jc w:val="left"/>
      </w:pPr>
      <w:r>
        <w:rPr/>
        <w:t>审计工作涉及实施审计程序，以获取有关财务报表金额和披露的审计证据。选择的审计程序取决</w:t>
      </w:r>
    </w:p>
    <w:p>
      <w:pPr>
        <w:spacing w:after="0" w:line="240" w:lineRule="auto"/>
        <w:jc w:val="left"/>
        <w:sectPr>
          <w:pgSz w:w="12240" w:h="15840"/>
          <w:pgMar w:header="747" w:footer="727" w:top="1040" w:bottom="920" w:left="13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50" w:lineRule="auto"/>
        <w:ind w:right="112"/>
        <w:jc w:val="both"/>
      </w:pPr>
      <w:r>
        <w:rPr/>
        <w:t>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w:t>
      </w:r>
    </w:p>
    <w:p>
      <w:pPr>
        <w:pStyle w:val="BodyText"/>
        <w:spacing w:line="456" w:lineRule="auto" w:before="148"/>
        <w:ind w:left="985" w:right="1565" w:hanging="42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48" w:lineRule="auto" w:before="55"/>
        <w:ind w:right="95" w:firstLine="420"/>
        <w:jc w:val="left"/>
      </w:pPr>
      <w:r>
        <w:rPr/>
        <w:t>我们认为，金证股份财务报表已经按照企业会计准则的规定编制，在所有重大方面公允反映了金 证股份2007年12月31日的财务状况以及2007年度的经营成果和现金流量。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364" w:val="left" w:leader="none"/>
        </w:tabs>
        <w:spacing w:line="453" w:lineRule="auto" w:before="147"/>
        <w:ind w:left="355" w:right="2823" w:hanging="210"/>
        <w:jc w:val="left"/>
      </w:pPr>
      <w:r>
        <w:rPr/>
        <w:t>北京立信会计师事务所</w:t>
        <w:tab/>
        <w:t>中国注册会计师：周珊珊 有限公司</w:t>
        <w:tab/>
        <w:t>中国注册会计师:</w:t>
      </w:r>
      <w:r>
        <w:rPr>
          <w:spacing w:val="-2"/>
        </w:rPr>
        <w:t> </w:t>
      </w:r>
      <w:r>
        <w:rPr/>
        <w:t>夏如意</w:t>
      </w:r>
    </w:p>
    <w:p>
      <w:pPr>
        <w:pStyle w:val="BodyText"/>
        <w:tabs>
          <w:tab w:pos="4570" w:val="left" w:leader="none"/>
        </w:tabs>
        <w:spacing w:line="240" w:lineRule="auto" w:before="59"/>
        <w:ind w:left="565" w:right="0"/>
        <w:jc w:val="left"/>
      </w:pPr>
      <w:r>
        <w:rPr/>
        <w:t>中国 ●</w:t>
      </w:r>
      <w:r>
        <w:rPr>
          <w:spacing w:val="-2"/>
        </w:rPr>
        <w:t> </w:t>
      </w:r>
      <w:r>
        <w:rPr/>
        <w:t>北京</w:t>
        <w:tab/>
        <w:t>二○○八年四月十一日</w:t>
      </w:r>
    </w:p>
    <w:p>
      <w:pPr>
        <w:spacing w:after="0" w:line="240" w:lineRule="auto"/>
        <w:jc w:val="left"/>
        <w:sectPr>
          <w:pgSz w:w="12240" w:h="15840"/>
          <w:pgMar w:header="747" w:footer="727" w:top="1040" w:bottom="920" w:left="1380" w:right="13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right="2197"/>
        <w:jc w:val="left"/>
      </w:pPr>
      <w:r>
        <w:rPr/>
        <w:t>(二)财务报表</w:t>
      </w:r>
    </w:p>
    <w:p>
      <w:pPr>
        <w:spacing w:line="240" w:lineRule="auto" w:before="8"/>
        <w:rPr>
          <w:rFonts w:ascii="宋体" w:hAnsi="宋体" w:cs="宋体" w:eastAsia="宋体" w:hint="default"/>
          <w:sz w:val="18"/>
          <w:szCs w:val="18"/>
        </w:rPr>
      </w:pPr>
    </w:p>
    <w:p>
      <w:pPr>
        <w:spacing w:line="482" w:lineRule="auto" w:before="35"/>
        <w:ind w:left="3898" w:right="3926" w:firstLine="0"/>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spacing w:line="274" w:lineRule="exact" w:before="64"/>
        <w:ind w:right="2197"/>
        <w:jc w:val="left"/>
      </w:pPr>
      <w:r>
        <w:rPr/>
        <w:t>编制单位: 深圳市金证科技股份有限公司</w:t>
      </w:r>
    </w:p>
    <w:p>
      <w:pPr>
        <w:pStyle w:val="BodyText"/>
        <w:spacing w:line="274" w:lineRule="exact"/>
        <w:ind w:left="0" w:right="172"/>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02"/>
        <w:gridCol w:w="722"/>
        <w:gridCol w:w="2888"/>
        <w:gridCol w:w="2887"/>
      </w:tblGrid>
      <w:tr>
        <w:trPr>
          <w:trHeight w:val="43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6"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275,165,474.70</w:t>
            </w:r>
            <w:r>
              <w:rPr>
                <w:rFonts w:ascii="宋体"/>
                <w:sz w:val="21"/>
              </w:rPr>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202,103,920.75</w:t>
            </w:r>
            <w:r>
              <w:rPr>
                <w:rFonts w:ascii="宋体"/>
                <w:sz w:val="21"/>
              </w:rPr>
            </w:r>
          </w:p>
        </w:tc>
      </w:tr>
      <w:tr>
        <w:trPr>
          <w:trHeight w:val="28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4,578,789.99</w:t>
            </w: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2"/>
                <w:sz w:val="18"/>
              </w:rPr>
              <w:t>11,808,175.11</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18,732,333.00</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91,757,613.44</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121,681,279.52</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37,501,424.57</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24,564,325.02</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54,531,351.02</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42,086,706.33</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259,455,366.51</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159,118,677.68</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734,798,195.34</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568,287,242.30</w:t>
            </w: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1.00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1.00</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12,555,936.37</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9,903,442.59</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5,623,480.51</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3,216,646.27</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406"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6,465,253.46</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6,435,002.02</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1,592,955.29</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1,847,993.94</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3,586,135.63</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5,317,908.26</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29,823,762.26</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26,720,994.08</w:t>
            </w:r>
          </w:p>
        </w:tc>
      </w:tr>
      <w:tr>
        <w:trPr>
          <w:trHeight w:val="250"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764,621,957.60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595,008,236.38</w:t>
            </w:r>
          </w:p>
        </w:tc>
      </w:tr>
    </w:tbl>
    <w:p>
      <w:pPr>
        <w:spacing w:after="0" w:line="240" w:lineRule="auto"/>
        <w:jc w:val="right"/>
        <w:rPr>
          <w:rFonts w:ascii="Times New Roman" w:hAnsi="Times New Roman" w:cs="Times New Roman" w:eastAsia="Times New Roman" w:hint="default"/>
          <w:sz w:val="18"/>
          <w:szCs w:val="18"/>
        </w:rPr>
        <w:sectPr>
          <w:pgSz w:w="12240" w:h="15840"/>
          <w:pgMar w:header="747" w:footer="727" w:top="1040" w:bottom="920" w:left="1380" w:right="13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802"/>
        <w:gridCol w:w="722"/>
        <w:gridCol w:w="2888"/>
        <w:gridCol w:w="2887"/>
      </w:tblGrid>
      <w:tr>
        <w:trPr>
          <w:trHeight w:val="406"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25,350,000.00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27,495,865.4</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47,760,000.00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47,530,888.00</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95,868,984.09</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72,151,008.14</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156,260,928.84</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60,550,450.15</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18,904,095.87</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12,372,450.31</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-3,317,982.01</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362,045.62</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14,106,641.19</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5,668,052.89</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354,932,667.98</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226,130,760.51</w:t>
            </w:r>
          </w:p>
        </w:tc>
      </w:tr>
      <w:tr>
        <w:trPr>
          <w:trHeight w:val="406"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14,100,000.00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7,020,000.00</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14,100,000.00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7,020,000.00</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369,032,667.98</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233,150,760.51</w:t>
            </w: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所有</w:t>
            </w:r>
            <w:r>
              <w:rPr>
                <w:rFonts w:ascii="宋体" w:hAnsi="宋体" w:cs="宋体" w:eastAsia="宋体" w:hint="default"/>
                <w:b/>
                <w:bCs/>
                <w:spacing w:val="-1"/>
                <w:w w:val="99"/>
                <w:sz w:val="18"/>
                <w:szCs w:val="18"/>
              </w:rPr>
              <w:t>者</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1"/>
                <w:w w:val="99"/>
                <w:sz w:val="18"/>
                <w:szCs w:val="18"/>
              </w:rPr>
              <w:t>或股</w:t>
            </w:r>
            <w:r>
              <w:rPr>
                <w:rFonts w:ascii="宋体" w:hAnsi="宋体" w:cs="宋体" w:eastAsia="宋体" w:hint="default"/>
                <w:b/>
                <w:bCs/>
                <w:spacing w:val="-1"/>
                <w:w w:val="99"/>
                <w:sz w:val="18"/>
                <w:szCs w:val="18"/>
              </w:rPr>
              <w:t>东</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137,440,000.00</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133,851,865.01</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133,851,865.01</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26,504,783.80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21,707,746.73</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61,967,343.40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32,481,521.81</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c>
          <w:tcPr>
            <w:tcW w:w="2887"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359,763,992.21</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325,481,133.55</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35,825,297.41</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36,376,342.32</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395,589,289.62</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361,857,475.87</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764,621,957.60</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595,008,236.38</w:t>
            </w:r>
          </w:p>
        </w:tc>
      </w:tr>
    </w:tbl>
    <w:p>
      <w:pPr>
        <w:tabs>
          <w:tab w:pos="2652" w:val="left" w:leader="none"/>
          <w:tab w:pos="5776" w:val="left" w:leader="none"/>
        </w:tabs>
        <w:spacing w:line="255" w:lineRule="exact" w:before="0"/>
        <w:ind w:left="145" w:right="0"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杜宣</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周永洪</w:t>
        <w:tab/>
      </w: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t>:</w:t>
      </w:r>
      <w:r>
        <w:rPr>
          <w:rFonts w:ascii="宋体" w:hAnsi="宋体" w:cs="宋体" w:eastAsia="宋体" w:hint="default"/>
          <w:sz w:val="20"/>
          <w:szCs w:val="20"/>
        </w:rPr>
        <w:t>周永洪</w:t>
      </w:r>
    </w:p>
    <w:p>
      <w:pPr>
        <w:spacing w:after="0" w:line="255" w:lineRule="exact"/>
        <w:jc w:val="left"/>
        <w:rPr>
          <w:rFonts w:ascii="宋体" w:hAnsi="宋体" w:cs="宋体" w:eastAsia="宋体" w:hint="default"/>
          <w:sz w:val="20"/>
          <w:szCs w:val="20"/>
        </w:rPr>
        <w:sectPr>
          <w:pgSz w:w="12240" w:h="15840"/>
          <w:pgMar w:header="747" w:footer="727" w:top="1040" w:bottom="920" w:left="1380" w:right="1300"/>
        </w:sectPr>
      </w:pPr>
    </w:p>
    <w:p>
      <w:pPr>
        <w:spacing w:line="240" w:lineRule="auto" w:before="5"/>
        <w:rPr>
          <w:rFonts w:ascii="宋体" w:hAnsi="宋体" w:cs="宋体" w:eastAsia="宋体" w:hint="default"/>
          <w:sz w:val="24"/>
          <w:szCs w:val="24"/>
        </w:rPr>
      </w:pPr>
    </w:p>
    <w:p>
      <w:pPr>
        <w:spacing w:line="482" w:lineRule="auto" w:before="35"/>
        <w:ind w:left="3897" w:right="3926"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81" w:lineRule="exact" w:before="65"/>
        <w:ind w:left="145" w:right="219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0"/>
          <w:szCs w:val="20"/>
        </w:rPr>
        <w:t>深圳市金证科技股份有限公司</w:t>
      </w:r>
    </w:p>
    <w:p>
      <w:pPr>
        <w:pStyle w:val="BodyText"/>
        <w:spacing w:line="281" w:lineRule="exact"/>
        <w:ind w:left="0" w:right="171"/>
        <w:jc w:val="right"/>
      </w:pPr>
      <w:r>
        <w:rPr/>
        <w:t>单位</w:t>
      </w:r>
      <w:r>
        <w:rPr>
          <w:rFonts w:ascii="Times New Roman" w:hAnsi="Times New Roman" w:cs="Times New Roman" w:eastAsia="Times New Roman" w:hint="default"/>
        </w:rPr>
        <w:t>:  </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2825"/>
        <w:gridCol w:w="726"/>
        <w:gridCol w:w="2875"/>
        <w:gridCol w:w="2874"/>
      </w:tblGrid>
      <w:tr>
        <w:trPr>
          <w:trHeight w:val="43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178,855,963.75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158,244,153.00</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100,000.00</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29,987,454.53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27,102,999.05</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20,258,917.11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5,964,721.66</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5,728,901.20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6,682,171.00</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49,340,846.48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37,388,090.38</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93,722,080.93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46,713,219.23</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49,575,473.46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26,505,623.80</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427,469,637.46</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308,700,978.12</w:t>
            </w:r>
          </w:p>
        </w:tc>
      </w:tr>
      <w:tr>
        <w:trPr>
          <w:trHeight w:val="404"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62,885,001.00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62,885,001.00</w:t>
            </w:r>
          </w:p>
        </w:tc>
      </w:tr>
      <w:tr>
        <w:trPr>
          <w:trHeight w:val="25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5,241,100.24</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5,781,772.82</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5,623,480.51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3,216,646.27</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4,515,058.68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4,648,819.01</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1,459,466.72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1,630,026.68</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1,778,125.22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3,365,229.77</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81,502,232.37</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81,527,495.55</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508,971,869.83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390,228,473.67</w:t>
            </w:r>
          </w:p>
        </w:tc>
      </w:tr>
      <w:tr>
        <w:trPr>
          <w:trHeight w:val="404"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30,265,753.42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12,075,064.68</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102,967,606.62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42,726,959.25</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5,486,444.88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4,994,075.94</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-177,070.35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3,640,144.75</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1040" w:bottom="920" w:left="1380" w:right="13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825"/>
        <w:gridCol w:w="726"/>
        <w:gridCol w:w="2875"/>
        <w:gridCol w:w="2874"/>
      </w:tblGrid>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6,548,219.88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4,385,578.92</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145,090,954.45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67,821,823.54</w:t>
            </w:r>
          </w:p>
        </w:tc>
      </w:tr>
      <w:tr>
        <w:trPr>
          <w:trHeight w:val="406"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6,300,000.00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6,300,000.00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151,390,954.45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72,521,823.54</w:t>
            </w:r>
          </w:p>
        </w:tc>
      </w:tr>
      <w:tr>
        <w:trPr>
          <w:trHeight w:val="404"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所有</w:t>
            </w:r>
            <w:r>
              <w:rPr>
                <w:rFonts w:ascii="宋体" w:hAnsi="宋体" w:cs="宋体" w:eastAsia="宋体" w:hint="default"/>
                <w:b/>
                <w:bCs/>
                <w:spacing w:val="-1"/>
                <w:w w:val="99"/>
                <w:sz w:val="18"/>
                <w:szCs w:val="18"/>
              </w:rPr>
              <w:t>者</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1"/>
                <w:w w:val="99"/>
                <w:sz w:val="18"/>
                <w:szCs w:val="18"/>
              </w:rPr>
              <w:t>或股</w:t>
            </w:r>
            <w:r>
              <w:rPr>
                <w:rFonts w:ascii="宋体" w:hAnsi="宋体" w:cs="宋体" w:eastAsia="宋体" w:hint="default"/>
                <w:b/>
                <w:bCs/>
                <w:spacing w:val="-1"/>
                <w:w w:val="99"/>
                <w:sz w:val="18"/>
                <w:szCs w:val="18"/>
              </w:rPr>
              <w:t>东</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137,440,000.00</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133,851,865.01</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133,851,865.01</w:t>
            </w:r>
          </w:p>
        </w:tc>
      </w:tr>
      <w:tr>
        <w:trPr>
          <w:trHeight w:val="250"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
        </w:tc>
        <w:tc>
          <w:tcPr>
            <w:tcW w:w="2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21,800,404.05</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17,812,977.53</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64,488,646.32</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28,601,807.59</w:t>
            </w:r>
          </w:p>
        </w:tc>
      </w:tr>
      <w:tr>
        <w:trPr>
          <w:trHeight w:val="248"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357,580,915.38</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317,706,650.13</w:t>
            </w:r>
          </w:p>
        </w:tc>
      </w:tr>
      <w:tr>
        <w:trPr>
          <w:trHeight w:val="482" w:hRule="exact"/>
        </w:trPr>
        <w:tc>
          <w:tcPr>
            <w:tcW w:w="2825"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726" w:type="dxa"/>
            <w:tcBorders>
              <w:top w:val="single" w:sz="6" w:space="0" w:color="101010"/>
              <w:left w:val="single" w:sz="6" w:space="0" w:color="101010"/>
              <w:bottom w:val="single" w:sz="6" w:space="0" w:color="101010"/>
              <w:right w:val="single" w:sz="6" w:space="0" w:color="101010"/>
            </w:tcBorders>
          </w:tcPr>
          <w:p>
            <w:pPr/>
          </w:p>
        </w:tc>
        <w:tc>
          <w:tcPr>
            <w:tcW w:w="28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508,971,869.83</w:t>
            </w:r>
          </w:p>
        </w:tc>
        <w:tc>
          <w:tcPr>
            <w:tcW w:w="2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390,228,473.67</w:t>
            </w:r>
          </w:p>
        </w:tc>
      </w:tr>
    </w:tbl>
    <w:p>
      <w:pPr>
        <w:tabs>
          <w:tab w:pos="2652" w:val="left" w:leader="none"/>
          <w:tab w:pos="6092" w:val="left" w:leader="none"/>
        </w:tabs>
        <w:spacing w:line="255" w:lineRule="exact" w:before="0"/>
        <w:ind w:left="145" w:right="0"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杜宣</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周永洪</w:t>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周永洪</w:t>
      </w:r>
    </w:p>
    <w:p>
      <w:pPr>
        <w:spacing w:after="0" w:line="255" w:lineRule="exact"/>
        <w:jc w:val="left"/>
        <w:rPr>
          <w:rFonts w:ascii="宋体" w:hAnsi="宋体" w:cs="宋体" w:eastAsia="宋体" w:hint="default"/>
          <w:sz w:val="20"/>
          <w:szCs w:val="20"/>
        </w:rPr>
        <w:sectPr>
          <w:pgSz w:w="12240" w:h="15840"/>
          <w:pgMar w:header="747" w:footer="727" w:top="1040" w:bottom="920" w:left="1380" w:right="13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482" w:lineRule="auto" w:before="35"/>
        <w:ind w:left="4057" w:right="4083" w:hanging="2"/>
        <w:jc w:val="center"/>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BodyText"/>
        <w:spacing w:line="282" w:lineRule="exact" w:before="64"/>
        <w:ind w:left="0" w:right="171"/>
        <w:jc w:val="right"/>
      </w:pPr>
      <w:r>
        <w:rPr/>
        <w:t>单位</w:t>
      </w:r>
      <w:r>
        <w:rPr>
          <w:rFonts w:ascii="Times New Roman" w:hAnsi="Times New Roman" w:cs="Times New Roman" w:eastAsia="Times New Roman" w:hint="default"/>
        </w:rPr>
        <w:t>:  </w:t>
      </w:r>
      <w:r>
        <w:rPr/>
        <w:t>元</w:t>
      </w:r>
      <w:r>
        <w:rPr>
          <w:spacing w:val="-2"/>
        </w:rPr>
        <w:t> </w:t>
      </w:r>
      <w:r>
        <w:rPr/>
        <w:t>币种</w:t>
      </w:r>
      <w:r>
        <w:rPr>
          <w:rFonts w:ascii="Times New Roman" w:hAnsi="Times New Roman" w:cs="Times New Roman" w:eastAsia="Times New Roman" w:hint="default"/>
        </w:rPr>
        <w:t>:</w:t>
      </w:r>
      <w:r>
        <w:rPr/>
        <w:t>人民币</w:t>
      </w:r>
    </w:p>
    <w:p>
      <w:pPr>
        <w:spacing w:line="282" w:lineRule="exact" w:before="0"/>
        <w:ind w:left="145" w:right="219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0"/>
          <w:szCs w:val="20"/>
        </w:rPr>
        <w:t>深圳市金证科技股份有限公司</w:t>
      </w:r>
    </w:p>
    <w:tbl>
      <w:tblPr>
        <w:tblW w:w="0" w:type="auto"/>
        <w:jc w:val="left"/>
        <w:tblInd w:w="129" w:type="dxa"/>
        <w:tblLayout w:type="fixed"/>
        <w:tblCellMar>
          <w:top w:w="0" w:type="dxa"/>
          <w:left w:w="0" w:type="dxa"/>
          <w:bottom w:w="0" w:type="dxa"/>
          <w:right w:w="0" w:type="dxa"/>
        </w:tblCellMar>
        <w:tblLook w:val="01E0"/>
      </w:tblPr>
      <w:tblGrid>
        <w:gridCol w:w="5220"/>
        <w:gridCol w:w="816"/>
        <w:gridCol w:w="1632"/>
        <w:gridCol w:w="1632"/>
      </w:tblGrid>
      <w:tr>
        <w:trPr>
          <w:trHeight w:val="434"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9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958,335,785.26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932,495,918.35</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958,335,785.26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932,495,918.35</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913,264,071.22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867,710,581.87</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798,292,451.00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805,384,152.81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4,968,260.64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3,661,847.48</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42,779,634.84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32,269,454.39</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86,414,758.85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66,781,545.53</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-5,673,404.62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-8,387,676.50</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-13,517,629.49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-31,998,741.84</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5"/>
                <w:sz w:val="18"/>
              </w:rPr>
              <w:t>-400,932.50</w:t>
            </w:r>
            <w:r>
              <w:rPr>
                <w:rFonts w:ascii="Times New Roman"/>
                <w:sz w:val="18"/>
              </w:rPr>
            </w: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-1,740,526.64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6,169,340.89</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42,930,254.90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70,954,677.37</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3,248,240.24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905,430.30</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43,265.09</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217,603.03</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46,135,230.05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71,642,504.64</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5,789,321.25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8,587,978.38</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40,345,908.80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63,054,526.26</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34,282,858.66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55,786,104.70</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6,063,050.14</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7,268,421.56</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0.25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0.41</w:t>
            </w:r>
          </w:p>
        </w:tc>
      </w:tr>
      <w:tr>
        <w:trPr>
          <w:trHeight w:val="25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0.25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0.41</w:t>
            </w:r>
          </w:p>
        </w:tc>
      </w:tr>
    </w:tbl>
    <w:p>
      <w:pPr>
        <w:pStyle w:val="BodyText"/>
        <w:tabs>
          <w:tab w:pos="2757" w:val="left" w:leader="none"/>
          <w:tab w:pos="6512" w:val="left" w:leader="none"/>
        </w:tabs>
        <w:spacing w:line="272" w:lineRule="exact"/>
        <w:ind w:right="0"/>
        <w:jc w:val="left"/>
      </w:pPr>
      <w:r>
        <w:rPr/>
        <w:t>公司法定代表人</w:t>
      </w:r>
      <w:r>
        <w:rPr>
          <w:rFonts w:ascii="Times New Roman" w:hAnsi="Times New Roman" w:cs="Times New Roman" w:eastAsia="Times New Roman" w:hint="default"/>
        </w:rPr>
        <w:t>:</w:t>
      </w:r>
      <w:r>
        <w:rPr>
          <w:sz w:val="20"/>
          <w:szCs w:val="20"/>
        </w:rPr>
        <w:t>杜宣</w:t>
        <w:tab/>
      </w:r>
      <w:r>
        <w:rPr>
          <w:spacing w:val="-1"/>
        </w:rPr>
        <w:t>主管会计工作负责人</w:t>
      </w:r>
      <w:r>
        <w:rPr>
          <w:rFonts w:ascii="Times New Roman" w:hAnsi="Times New Roman" w:cs="Times New Roman" w:eastAsia="Times New Roman" w:hint="default"/>
          <w:spacing w:val="-1"/>
        </w:rPr>
        <w:t>:</w:t>
      </w:r>
      <w:r>
        <w:rPr>
          <w:spacing w:val="-1"/>
          <w:sz w:val="20"/>
          <w:szCs w:val="20"/>
        </w:rPr>
        <w:t>周永洪</w:t>
        <w:tab/>
      </w:r>
      <w:r>
        <w:rPr>
          <w:spacing w:val="-1"/>
        </w:rPr>
        <w:t>会计机构负责人</w:t>
      </w:r>
      <w:r>
        <w:rPr>
          <w:rFonts w:ascii="Times New Roman" w:hAnsi="Times New Roman" w:cs="Times New Roman" w:eastAsia="Times New Roman" w:hint="default"/>
          <w:spacing w:val="-1"/>
        </w:rPr>
        <w:t>:</w:t>
      </w:r>
      <w:r>
        <w:rPr>
          <w:spacing w:val="-1"/>
        </w:rPr>
        <w:t>周永洪</w:t>
      </w:r>
    </w:p>
    <w:p>
      <w:pPr>
        <w:spacing w:after="0" w:line="272" w:lineRule="exact"/>
        <w:jc w:val="left"/>
        <w:sectPr>
          <w:pgSz w:w="12240" w:h="15840"/>
          <w:pgMar w:header="747" w:footer="727" w:top="1040" w:bottom="920" w:left="1380" w:right="1300"/>
        </w:sectPr>
      </w:pPr>
    </w:p>
    <w:p>
      <w:pPr>
        <w:spacing w:line="240" w:lineRule="auto" w:before="3"/>
        <w:rPr>
          <w:rFonts w:ascii="宋体" w:hAnsi="宋体" w:cs="宋体" w:eastAsia="宋体" w:hint="default"/>
          <w:sz w:val="24"/>
          <w:szCs w:val="24"/>
        </w:rPr>
      </w:pPr>
    </w:p>
    <w:p>
      <w:pPr>
        <w:spacing w:before="35"/>
        <w:ind w:left="4057" w:right="4083" w:hanging="3"/>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82" w:lineRule="exact" w:before="35"/>
        <w:ind w:left="0" w:right="171"/>
        <w:jc w:val="right"/>
      </w:pPr>
      <w:r>
        <w:rPr/>
        <w:t>单位</w:t>
      </w:r>
      <w:r>
        <w:rPr>
          <w:rFonts w:ascii="Times New Roman" w:hAnsi="Times New Roman" w:cs="Times New Roman" w:eastAsia="Times New Roman" w:hint="default"/>
        </w:rPr>
        <w:t>:  </w:t>
      </w:r>
      <w:r>
        <w:rPr/>
        <w:t>元</w:t>
      </w:r>
      <w:r>
        <w:rPr>
          <w:spacing w:val="-2"/>
        </w:rPr>
        <w:t> </w:t>
      </w:r>
      <w:r>
        <w:rPr/>
        <w:t>币种</w:t>
      </w:r>
      <w:r>
        <w:rPr>
          <w:rFonts w:ascii="Times New Roman" w:hAnsi="Times New Roman" w:cs="Times New Roman" w:eastAsia="Times New Roman" w:hint="default"/>
        </w:rPr>
        <w:t>:</w:t>
      </w:r>
      <w:r>
        <w:rPr/>
        <w:t>人民币</w:t>
      </w:r>
    </w:p>
    <w:p>
      <w:pPr>
        <w:spacing w:line="282" w:lineRule="exact" w:before="0"/>
        <w:ind w:left="145" w:right="219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0"/>
          <w:szCs w:val="20"/>
        </w:rPr>
        <w:t>深圳市金证科技股份有限公司</w:t>
      </w:r>
    </w:p>
    <w:tbl>
      <w:tblPr>
        <w:tblW w:w="0" w:type="auto"/>
        <w:jc w:val="left"/>
        <w:tblInd w:w="129" w:type="dxa"/>
        <w:tblLayout w:type="fixed"/>
        <w:tblCellMar>
          <w:top w:w="0" w:type="dxa"/>
          <w:left w:w="0" w:type="dxa"/>
          <w:bottom w:w="0" w:type="dxa"/>
          <w:right w:w="0" w:type="dxa"/>
        </w:tblCellMar>
        <w:tblLook w:val="01E0"/>
      </w:tblPr>
      <w:tblGrid>
        <w:gridCol w:w="5220"/>
        <w:gridCol w:w="816"/>
        <w:gridCol w:w="1632"/>
        <w:gridCol w:w="1632"/>
      </w:tblGrid>
      <w:tr>
        <w:trPr>
          <w:trHeight w:val="43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9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201,942,107.18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144,042,694.08</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154,432,341.67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98,654,343.74</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1,481,738.66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1,262,492.53</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4,385,438.42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2,994,092.38</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20,121,804.86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22,128,834.79</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-1,867,229.60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-1,042,261.05</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-12,143,985.43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-32,923,381.77</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7,458,447.62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9,130,373.52</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42,990,446.22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62,098,946.98</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1,010,014.40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34,449.56</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7,520.00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212,479.43</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43,992,940.62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61,920,917.11</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4,118,675.37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7,829,663.81</w:t>
            </w:r>
          </w:p>
        </w:tc>
      </w:tr>
      <w:tr>
        <w:trPr>
          <w:trHeight w:val="250"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39,874,265.25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54,091,253.30</w:t>
            </w:r>
          </w:p>
        </w:tc>
      </w:tr>
    </w:tbl>
    <w:p>
      <w:pPr>
        <w:pStyle w:val="BodyText"/>
        <w:tabs>
          <w:tab w:pos="2652" w:val="left" w:leader="none"/>
          <w:tab w:pos="5988" w:val="left" w:leader="none"/>
        </w:tabs>
        <w:spacing w:line="272" w:lineRule="exact"/>
        <w:ind w:right="0"/>
        <w:jc w:val="left"/>
      </w:pPr>
      <w:r>
        <w:rPr/>
        <w:t>公司法定代表人</w:t>
      </w:r>
      <w:r>
        <w:rPr>
          <w:rFonts w:ascii="Times New Roman" w:hAnsi="Times New Roman" w:cs="Times New Roman" w:eastAsia="Times New Roman" w:hint="default"/>
        </w:rPr>
        <w:t>:</w:t>
      </w:r>
      <w:r>
        <w:rPr>
          <w:sz w:val="20"/>
          <w:szCs w:val="20"/>
        </w:rPr>
        <w:t>杜宣</w:t>
        <w:tab/>
      </w:r>
      <w:r>
        <w:rPr>
          <w:spacing w:val="-1"/>
        </w:rPr>
        <w:t>主管会计工作负责人</w:t>
      </w:r>
      <w:r>
        <w:rPr>
          <w:rFonts w:ascii="Times New Roman" w:hAnsi="Times New Roman" w:cs="Times New Roman" w:eastAsia="Times New Roman" w:hint="default"/>
          <w:spacing w:val="-1"/>
        </w:rPr>
        <w:t>:</w:t>
      </w:r>
      <w:r>
        <w:rPr>
          <w:spacing w:val="-1"/>
          <w:sz w:val="20"/>
          <w:szCs w:val="20"/>
        </w:rPr>
        <w:t>周永洪</w:t>
        <w:tab/>
      </w:r>
      <w:r>
        <w:rPr>
          <w:spacing w:val="-1"/>
        </w:rPr>
        <w:t>会计机构负责人</w:t>
      </w:r>
      <w:r>
        <w:rPr>
          <w:rFonts w:ascii="Times New Roman" w:hAnsi="Times New Roman" w:cs="Times New Roman" w:eastAsia="Times New Roman" w:hint="default"/>
          <w:spacing w:val="-1"/>
        </w:rPr>
        <w:t>:</w:t>
      </w:r>
      <w:r>
        <w:rPr>
          <w:spacing w:val="-1"/>
        </w:rPr>
        <w:t>周永洪</w:t>
      </w:r>
    </w:p>
    <w:p>
      <w:pPr>
        <w:spacing w:line="240" w:lineRule="auto" w:before="1"/>
        <w:rPr>
          <w:rFonts w:ascii="宋体" w:hAnsi="宋体" w:cs="宋体" w:eastAsia="宋体" w:hint="default"/>
          <w:sz w:val="20"/>
          <w:szCs w:val="20"/>
        </w:rPr>
      </w:pPr>
    </w:p>
    <w:p>
      <w:pPr>
        <w:spacing w:line="482" w:lineRule="auto" w:before="0"/>
        <w:ind w:left="3898" w:right="3925" w:firstLine="0"/>
        <w:jc w:val="center"/>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33"/>
          <w:w w:val="95"/>
          <w:sz w:val="21"/>
          <w:szCs w:val="21"/>
        </w:rPr>
        <w:t> </w:t>
      </w:r>
      <w:r>
        <w:rPr>
          <w:rFonts w:ascii="宋体" w:hAnsi="宋体" w:cs="宋体" w:eastAsia="宋体" w:hint="default"/>
          <w:b/>
          <w:bCs/>
          <w:spacing w:val="-33"/>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BodyText"/>
        <w:spacing w:line="281" w:lineRule="exact" w:before="65"/>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81" w:lineRule="exact" w:before="0"/>
        <w:ind w:left="145" w:right="219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0"/>
          <w:szCs w:val="20"/>
        </w:rPr>
        <w:t>深圳市金证科技股份有限公司</w:t>
      </w:r>
    </w:p>
    <w:tbl>
      <w:tblPr>
        <w:tblW w:w="0" w:type="auto"/>
        <w:jc w:val="left"/>
        <w:tblInd w:w="129" w:type="dxa"/>
        <w:tblLayout w:type="fixed"/>
        <w:tblCellMar>
          <w:top w:w="0" w:type="dxa"/>
          <w:left w:w="0" w:type="dxa"/>
          <w:bottom w:w="0" w:type="dxa"/>
          <w:right w:w="0" w:type="dxa"/>
        </w:tblCellMar>
        <w:tblLook w:val="01E0"/>
      </w:tblPr>
      <w:tblGrid>
        <w:gridCol w:w="3876"/>
        <w:gridCol w:w="774"/>
        <w:gridCol w:w="2326"/>
        <w:gridCol w:w="2324"/>
      </w:tblGrid>
      <w:tr>
        <w:trPr>
          <w:trHeight w:val="43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1,234,012,762.09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1,062,814,067.68</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61,947.53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23,423,995.52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13,439,387.14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1,257,436,757.61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1,076,315,402.35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1,027,998,694.28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964,421,975.46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1040" w:bottom="920" w:left="1380" w:right="13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3876"/>
        <w:gridCol w:w="774"/>
        <w:gridCol w:w="2326"/>
        <w:gridCol w:w="2324"/>
      </w:tblGrid>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62,509,827.59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43,997,431.66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23,408,326.40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14,144,713.46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59,421,186.47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57,632,785.49</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1,173,338,034.74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1,080,196,906.07</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84,098,722.87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-3,881,503.72</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38,901,694.33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67,164,595.01</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396,535.96</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32,350.00</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39,330,580.29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67,164,595.01</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购建固定资产、无形资产和其他长期资产支付</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8,702,629.88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4,672,779.58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45,581,459.52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8,277,786.32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54,284,089.40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12,950,565.90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-14,953,509.11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54,214,029.11</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100,700,000.00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117,495,865.40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100,700,000.00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117,495,865.40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95,350,000.00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9,419,988.35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1,755,168.74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6,614,095.05</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1,937,978.40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104,769,988.35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123,693,147.14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-4,069,988.35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-6,197,281.74</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65,075,225.41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44,135,243.65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190,118,274.74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145,983,031.09</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255,193,500.15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190,118,274.74</w:t>
            </w:r>
          </w:p>
        </w:tc>
      </w:tr>
    </w:tbl>
    <w:p>
      <w:pPr>
        <w:tabs>
          <w:tab w:pos="2862" w:val="left" w:leader="none"/>
          <w:tab w:pos="6302" w:val="left" w:leader="none"/>
        </w:tabs>
        <w:spacing w:line="255" w:lineRule="exact" w:before="0"/>
        <w:ind w:left="145" w:right="0"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杜宣</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周永洪</w:t>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周永洪</w:t>
      </w:r>
    </w:p>
    <w:p>
      <w:pPr>
        <w:spacing w:after="0" w:line="255" w:lineRule="exact"/>
        <w:jc w:val="left"/>
        <w:rPr>
          <w:rFonts w:ascii="宋体" w:hAnsi="宋体" w:cs="宋体" w:eastAsia="宋体" w:hint="default"/>
          <w:sz w:val="20"/>
          <w:szCs w:val="20"/>
        </w:rPr>
        <w:sectPr>
          <w:pgSz w:w="12240" w:h="15840"/>
          <w:pgMar w:header="747" w:footer="727" w:top="1040" w:bottom="920" w:left="1380" w:right="1300"/>
        </w:sectPr>
      </w:pPr>
    </w:p>
    <w:p>
      <w:pPr>
        <w:spacing w:line="240" w:lineRule="auto" w:before="3"/>
        <w:rPr>
          <w:rFonts w:ascii="宋体" w:hAnsi="宋体" w:cs="宋体" w:eastAsia="宋体" w:hint="default"/>
          <w:sz w:val="24"/>
          <w:szCs w:val="24"/>
        </w:rPr>
      </w:pPr>
    </w:p>
    <w:p>
      <w:pPr>
        <w:spacing w:before="35"/>
        <w:ind w:left="3898" w:right="3926" w:firstLine="0"/>
        <w:jc w:val="center"/>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22"/>
          <w:w w:val="95"/>
          <w:sz w:val="21"/>
          <w:szCs w:val="21"/>
        </w:rPr>
        <w:t> </w:t>
      </w:r>
      <w:r>
        <w:rPr>
          <w:rFonts w:ascii="宋体" w:hAnsi="宋体" w:cs="宋体" w:eastAsia="宋体" w:hint="default"/>
          <w:b/>
          <w:bCs/>
          <w:spacing w:val="-22"/>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82" w:lineRule="exact" w:before="35"/>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82" w:lineRule="exact" w:before="0"/>
        <w:ind w:left="144" w:right="2197"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0"/>
          <w:szCs w:val="20"/>
        </w:rPr>
        <w:t>深圳市金证科技股份有限公司</w:t>
      </w:r>
    </w:p>
    <w:tbl>
      <w:tblPr>
        <w:tblW w:w="0" w:type="auto"/>
        <w:jc w:val="left"/>
        <w:tblInd w:w="129" w:type="dxa"/>
        <w:tblLayout w:type="fixed"/>
        <w:tblCellMar>
          <w:top w:w="0" w:type="dxa"/>
          <w:left w:w="0" w:type="dxa"/>
          <w:bottom w:w="0" w:type="dxa"/>
          <w:right w:w="0" w:type="dxa"/>
        </w:tblCellMar>
        <w:tblLook w:val="01E0"/>
      </w:tblPr>
      <w:tblGrid>
        <w:gridCol w:w="3876"/>
        <w:gridCol w:w="774"/>
        <w:gridCol w:w="2326"/>
        <w:gridCol w:w="2324"/>
      </w:tblGrid>
      <w:tr>
        <w:trPr>
          <w:trHeight w:val="43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268,876,514.75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189,519,185.83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5,564,120.01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2,985,418.56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274,440,634.76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192,504,604.39</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235,216,362.04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158,074,310.19</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11,353,550.01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16,401,539.78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11,635,365.04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4,922,227.54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11,406,461.65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16,015,810.02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269,611,738.74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195,413,887.53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4,828,896.02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-2,909,283.14</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52,712,562.98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8,411,717.42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3,078,086.86</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8,411,717.42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55,790,649.84</w:t>
            </w:r>
          </w:p>
        </w:tc>
      </w:tr>
      <w:tr>
        <w:trPr>
          <w:trHeight w:val="481"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购建固定资产、无形资产和其他长期资产支付</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2,749,777.24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3,041,745.22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2,749,777.24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6,041,745.22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5,661,940.18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49,748,904.62</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1,937,978.40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11,937,978.40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-11,937,978.40</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10,490,836.20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34,901,643.08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158,244,153.00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123,342,509.92</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168,734,989.20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158,244,153.00</w:t>
            </w:r>
          </w:p>
        </w:tc>
      </w:tr>
    </w:tbl>
    <w:p>
      <w:pPr>
        <w:tabs>
          <w:tab w:pos="3282" w:val="left" w:leader="none"/>
          <w:tab w:pos="6512" w:val="left" w:leader="none"/>
        </w:tabs>
        <w:spacing w:line="272" w:lineRule="exact" w:before="0"/>
        <w:ind w:left="145" w:right="0"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Times New Roman" w:hAnsi="Times New Roman" w:cs="Times New Roman" w:eastAsia="Times New Roman" w:hint="default"/>
          <w:sz w:val="21"/>
          <w:szCs w:val="21"/>
        </w:rPr>
        <w:t>:</w:t>
      </w:r>
      <w:r>
        <w:rPr>
          <w:rFonts w:ascii="宋体" w:hAnsi="宋体" w:cs="宋体" w:eastAsia="宋体" w:hint="default"/>
          <w:sz w:val="20"/>
          <w:szCs w:val="20"/>
        </w:rPr>
        <w:t>杜宣</w:t>
        <w:tab/>
      </w:r>
      <w:r>
        <w:rPr>
          <w:rFonts w:ascii="宋体" w:hAnsi="宋体" w:cs="宋体" w:eastAsia="宋体" w:hint="default"/>
          <w:spacing w:val="-1"/>
          <w:sz w:val="21"/>
          <w:szCs w:val="21"/>
        </w:rPr>
        <w:t>主管会计工作负责人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周永洪</w:t>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0"/>
          <w:szCs w:val="20"/>
        </w:rPr>
        <w:t>周永洪</w:t>
      </w:r>
    </w:p>
    <w:p>
      <w:pPr>
        <w:spacing w:after="0" w:line="272" w:lineRule="exact"/>
        <w:jc w:val="left"/>
        <w:rPr>
          <w:rFonts w:ascii="宋体" w:hAnsi="宋体" w:cs="宋体" w:eastAsia="宋体" w:hint="default"/>
          <w:sz w:val="20"/>
          <w:szCs w:val="20"/>
        </w:rPr>
        <w:sectPr>
          <w:pgSz w:w="12240" w:h="15840"/>
          <w:pgMar w:header="747" w:footer="727" w:top="1040" w:bottom="920" w:left="13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5"/>
        <w:ind w:left="3744" w:right="4612"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82" w:lineRule="exact" w:before="35"/>
        <w:ind w:left="144" w:right="0"/>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深圳市金证科技股份有限公司</w:t>
      </w:r>
    </w:p>
    <w:p>
      <w:pPr>
        <w:pStyle w:val="BodyText"/>
        <w:spacing w:line="282" w:lineRule="exact"/>
        <w:ind w:left="0" w:right="101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992"/>
        <w:gridCol w:w="1342"/>
        <w:gridCol w:w="1340"/>
        <w:gridCol w:w="576"/>
        <w:gridCol w:w="1252"/>
        <w:gridCol w:w="396"/>
        <w:gridCol w:w="1250"/>
        <w:gridCol w:w="396"/>
        <w:gridCol w:w="1252"/>
        <w:gridCol w:w="1340"/>
      </w:tblGrid>
      <w:tr>
        <w:trPr>
          <w:trHeight w:val="434" w:hRule="exact"/>
        </w:trPr>
        <w:tc>
          <w:tcPr>
            <w:tcW w:w="99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144" w:type="dxa"/>
            <w:gridSpan w:val="9"/>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36" w:hRule="exact"/>
        </w:trPr>
        <w:tc>
          <w:tcPr>
            <w:tcW w:w="992" w:type="dxa"/>
            <w:vMerge/>
            <w:tcBorders>
              <w:left w:val="single" w:sz="6" w:space="0" w:color="101010"/>
              <w:right w:val="single" w:sz="6" w:space="0" w:color="101010"/>
            </w:tcBorders>
          </w:tcPr>
          <w:p>
            <w:pPr/>
          </w:p>
        </w:tc>
        <w:tc>
          <w:tcPr>
            <w:tcW w:w="6552"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27" w:right="16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4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73" w:right="12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415" w:hRule="exact"/>
        </w:trPr>
        <w:tc>
          <w:tcPr>
            <w:tcW w:w="992" w:type="dxa"/>
            <w:vMerge/>
            <w:tcBorders>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453" w:right="181" w:hanging="27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252" w:type="dxa"/>
            <w:vMerge/>
            <w:tcBorders>
              <w:left w:val="single" w:sz="6" w:space="0" w:color="101010"/>
              <w:bottom w:val="single" w:sz="6" w:space="0" w:color="101010"/>
              <w:right w:val="single" w:sz="6" w:space="0" w:color="101010"/>
            </w:tcBorders>
          </w:tcPr>
          <w:p>
            <w:pPr/>
          </w:p>
        </w:tc>
        <w:tc>
          <w:tcPr>
            <w:tcW w:w="1340" w:type="dxa"/>
            <w:vMerge/>
            <w:tcBorders>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一、上年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133,972,437.05</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21,935,336.49</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27,048,993.42</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36,142,800.65</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356,539,567.61</w:t>
            </w: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加：会计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w w:val="95"/>
                <w:sz w:val="18"/>
              </w:rPr>
              <w:t>-120,572.04</w:t>
            </w:r>
            <w:r>
              <w:rPr>
                <w:rFonts w:ascii="Times New Roman"/>
                <w:sz w:val="18"/>
              </w:rPr>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w w:val="95"/>
                <w:sz w:val="18"/>
              </w:rPr>
              <w:t>-227,589.76</w:t>
            </w:r>
            <w:r>
              <w:rPr>
                <w:rFonts w:ascii="Times New Roman"/>
                <w:sz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5,432,528.39</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233,541.67</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5,317,908.26</w:t>
            </w: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前期差错</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二、本年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133,851,865.01</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21,707,746.73</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32,481,521.81</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36,376,342.32</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361,857,475.87</w:t>
            </w:r>
          </w:p>
        </w:tc>
      </w:tr>
      <w:tr>
        <w:trPr>
          <w:trHeight w:val="14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三、本年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增减变动</w:t>
            </w:r>
            <w:r>
              <w:rPr>
                <w:rFonts w:ascii="宋体" w:hAnsi="宋体" w:cs="宋体" w:eastAsia="宋体" w:hint="default"/>
                <w:spacing w:val="-71"/>
                <w:sz w:val="18"/>
                <w:szCs w:val="18"/>
              </w:rPr>
              <w:t> </w:t>
            </w:r>
            <w:r>
              <w:rPr>
                <w:rFonts w:ascii="宋体" w:hAnsi="宋体" w:cs="宋体" w:eastAsia="宋体" w:hint="default"/>
                <w:spacing w:val="14"/>
                <w:sz w:val="18"/>
                <w:szCs w:val="18"/>
              </w:rPr>
              <w:t>金额（减</w:t>
            </w:r>
            <w:r>
              <w:rPr>
                <w:rFonts w:ascii="宋体" w:hAnsi="宋体" w:cs="宋体" w:eastAsia="宋体" w:hint="default"/>
                <w:spacing w:val="-71"/>
                <w:sz w:val="18"/>
                <w:szCs w:val="18"/>
              </w:rPr>
              <w:t> </w:t>
            </w:r>
            <w:r>
              <w:rPr>
                <w:rFonts w:ascii="宋体" w:hAnsi="宋体" w:cs="宋体" w:eastAsia="宋体" w:hint="default"/>
                <w:sz w:val="18"/>
                <w:szCs w:val="18"/>
              </w:rPr>
              <w:t>少   </w:t>
            </w:r>
            <w:r>
              <w:rPr>
                <w:rFonts w:ascii="宋体" w:hAnsi="宋体" w:cs="宋体" w:eastAsia="宋体" w:hint="default"/>
                <w:spacing w:val="56"/>
                <w:sz w:val="18"/>
                <w:szCs w:val="18"/>
              </w:rPr>
              <w:t> </w:t>
            </w:r>
            <w:r>
              <w:rPr>
                <w:rFonts w:ascii="宋体" w:hAnsi="宋体" w:cs="宋体" w:eastAsia="宋体" w:hint="default"/>
                <w:sz w:val="18"/>
                <w:szCs w:val="18"/>
              </w:rPr>
              <w:t>以</w:t>
            </w:r>
          </w:p>
          <w:p>
            <w:pPr>
              <w:pStyle w:val="TableParagraph"/>
              <w:spacing w:line="232" w:lineRule="exact" w:before="23"/>
              <w:ind w:left="100" w:right="78"/>
              <w:jc w:val="both"/>
              <w:rPr>
                <w:rFonts w:ascii="宋体" w:hAnsi="宋体" w:cs="宋体" w:eastAsia="宋体" w:hint="default"/>
                <w:sz w:val="18"/>
                <w:szCs w:val="18"/>
              </w:rPr>
            </w:pPr>
            <w:r>
              <w:rPr>
                <w:rFonts w:ascii="宋体" w:hAnsi="宋体" w:cs="宋体" w:eastAsia="宋体" w:hint="default"/>
                <w:spacing w:val="14"/>
                <w:sz w:val="18"/>
                <w:szCs w:val="18"/>
              </w:rPr>
              <w:t>“－”号</w:t>
            </w:r>
            <w:r>
              <w:rPr>
                <w:rFonts w:ascii="宋体" w:hAnsi="宋体" w:cs="宋体" w:eastAsia="宋体" w:hint="default"/>
                <w:spacing w:val="-71"/>
                <w:sz w:val="18"/>
                <w:szCs w:val="18"/>
              </w:rPr>
              <w:t> </w:t>
            </w:r>
            <w:r>
              <w:rPr>
                <w:rFonts w:ascii="宋体" w:hAnsi="宋体" w:cs="宋体" w:eastAsia="宋体" w:hint="default"/>
                <w:sz w:val="18"/>
                <w:szCs w:val="18"/>
              </w:rPr>
              <w:t>填列）</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4,797,037.07</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pacing w:val="-1"/>
                <w:sz w:val="18"/>
              </w:rPr>
              <w:t>29,485,821.59</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w w:val="95"/>
                <w:sz w:val="18"/>
              </w:rPr>
              <w:t>-551,044.91</w:t>
            </w:r>
            <w:r>
              <w:rPr>
                <w:rFonts w:ascii="Times New Roman"/>
                <w:sz w:val="18"/>
              </w:rPr>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pacing w:val="-1"/>
                <w:sz w:val="18"/>
              </w:rPr>
              <w:t>33,731,813.75</w:t>
            </w: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（一）净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34,282,858.66</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6,063,050.14</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40,345,908.80</w:t>
            </w: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（二）直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接计入所</w:t>
            </w:r>
            <w:r>
              <w:rPr>
                <w:rFonts w:ascii="宋体" w:hAnsi="宋体" w:cs="宋体" w:eastAsia="宋体" w:hint="default"/>
                <w:spacing w:val="-71"/>
                <w:sz w:val="18"/>
                <w:szCs w:val="18"/>
              </w:rPr>
              <w:t> </w:t>
            </w:r>
            <w:r>
              <w:rPr>
                <w:rFonts w:ascii="宋体" w:hAnsi="宋体" w:cs="宋体" w:eastAsia="宋体" w:hint="default"/>
                <w:spacing w:val="14"/>
                <w:sz w:val="18"/>
                <w:szCs w:val="18"/>
              </w:rPr>
              <w:t>有者权益</w:t>
            </w:r>
            <w:r>
              <w:rPr>
                <w:rFonts w:ascii="宋体" w:hAnsi="宋体" w:cs="宋体" w:eastAsia="宋体" w:hint="default"/>
                <w:spacing w:val="-71"/>
                <w:sz w:val="18"/>
                <w:szCs w:val="18"/>
              </w:rPr>
              <w:t> </w:t>
            </w:r>
            <w:r>
              <w:rPr>
                <w:rFonts w:ascii="宋体" w:hAnsi="宋体" w:cs="宋体" w:eastAsia="宋体" w:hint="default"/>
                <w:spacing w:val="14"/>
                <w:sz w:val="18"/>
                <w:szCs w:val="18"/>
              </w:rPr>
              <w:t>的利得和</w:t>
            </w:r>
            <w:r>
              <w:rPr>
                <w:rFonts w:ascii="宋体" w:hAnsi="宋体" w:cs="宋体" w:eastAsia="宋体" w:hint="default"/>
                <w:spacing w:val="-71"/>
                <w:sz w:val="18"/>
                <w:szCs w:val="18"/>
              </w:rPr>
              <w:t> </w:t>
            </w:r>
            <w:r>
              <w:rPr>
                <w:rFonts w:ascii="宋体" w:hAnsi="宋体" w:cs="宋体" w:eastAsia="宋体" w:hint="default"/>
                <w:sz w:val="18"/>
                <w:szCs w:val="18"/>
              </w:rPr>
              <w:t>损失</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．可供出</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售金融资</w:t>
            </w:r>
            <w:r>
              <w:rPr>
                <w:rFonts w:ascii="宋体" w:hAnsi="宋体" w:cs="宋体" w:eastAsia="宋体" w:hint="default"/>
                <w:spacing w:val="-71"/>
                <w:sz w:val="18"/>
                <w:szCs w:val="18"/>
              </w:rPr>
              <w:t> </w:t>
            </w:r>
            <w:r>
              <w:rPr>
                <w:rFonts w:ascii="宋体" w:hAnsi="宋体" w:cs="宋体" w:eastAsia="宋体" w:hint="default"/>
                <w:spacing w:val="14"/>
                <w:sz w:val="18"/>
                <w:szCs w:val="18"/>
              </w:rPr>
              <w:t>产公允价</w:t>
            </w:r>
            <w:r>
              <w:rPr>
                <w:rFonts w:ascii="宋体" w:hAnsi="宋体" w:cs="宋体" w:eastAsia="宋体" w:hint="default"/>
                <w:spacing w:val="-71"/>
                <w:sz w:val="18"/>
                <w:szCs w:val="18"/>
              </w:rPr>
              <w:t> </w:t>
            </w:r>
            <w:r>
              <w:rPr>
                <w:rFonts w:ascii="宋体" w:hAnsi="宋体" w:cs="宋体" w:eastAsia="宋体" w:hint="default"/>
                <w:spacing w:val="14"/>
                <w:sz w:val="18"/>
                <w:szCs w:val="18"/>
              </w:rPr>
              <w:t>值变动净</w:t>
            </w:r>
            <w:r>
              <w:rPr>
                <w:rFonts w:ascii="宋体" w:hAnsi="宋体" w:cs="宋体" w:eastAsia="宋体" w:hint="default"/>
                <w:spacing w:val="-71"/>
                <w:sz w:val="18"/>
                <w:szCs w:val="18"/>
              </w:rPr>
              <w:t> </w:t>
            </w:r>
            <w:r>
              <w:rPr>
                <w:rFonts w:ascii="宋体" w:hAnsi="宋体" w:cs="宋体" w:eastAsia="宋体" w:hint="default"/>
                <w:sz w:val="18"/>
                <w:szCs w:val="18"/>
              </w:rPr>
              <w:t>额</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1416"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．权益法</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下被投资</w:t>
            </w:r>
            <w:r>
              <w:rPr>
                <w:rFonts w:ascii="宋体" w:hAnsi="宋体" w:cs="宋体" w:eastAsia="宋体" w:hint="default"/>
                <w:spacing w:val="-71"/>
                <w:sz w:val="18"/>
                <w:szCs w:val="18"/>
              </w:rPr>
              <w:t> </w:t>
            </w:r>
            <w:r>
              <w:rPr>
                <w:rFonts w:ascii="宋体" w:hAnsi="宋体" w:cs="宋体" w:eastAsia="宋体" w:hint="default"/>
                <w:spacing w:val="14"/>
                <w:sz w:val="18"/>
                <w:szCs w:val="18"/>
              </w:rPr>
              <w:t>单位其他</w:t>
            </w:r>
            <w:r>
              <w:rPr>
                <w:rFonts w:ascii="宋体" w:hAnsi="宋体" w:cs="宋体" w:eastAsia="宋体" w:hint="default"/>
                <w:spacing w:val="-71"/>
                <w:sz w:val="18"/>
                <w:szCs w:val="18"/>
              </w:rPr>
              <w:t> </w:t>
            </w:r>
            <w:r>
              <w:rPr>
                <w:rFonts w:ascii="宋体" w:hAnsi="宋体" w:cs="宋体" w:eastAsia="宋体" w:hint="default"/>
                <w:spacing w:val="14"/>
                <w:sz w:val="18"/>
                <w:szCs w:val="18"/>
              </w:rPr>
              <w:t>所有者权</w:t>
            </w:r>
            <w:r>
              <w:rPr>
                <w:rFonts w:ascii="宋体" w:hAnsi="宋体" w:cs="宋体" w:eastAsia="宋体" w:hint="default"/>
                <w:spacing w:val="-71"/>
                <w:sz w:val="18"/>
                <w:szCs w:val="18"/>
              </w:rPr>
              <w:t> </w:t>
            </w:r>
            <w:r>
              <w:rPr>
                <w:rFonts w:ascii="宋体" w:hAnsi="宋体" w:cs="宋体" w:eastAsia="宋体" w:hint="default"/>
                <w:spacing w:val="14"/>
                <w:sz w:val="18"/>
                <w:szCs w:val="18"/>
              </w:rPr>
              <w:t>益变动的</w:t>
            </w:r>
            <w:r>
              <w:rPr>
                <w:rFonts w:ascii="宋体" w:hAnsi="宋体" w:cs="宋体" w:eastAsia="宋体" w:hint="default"/>
                <w:spacing w:val="-71"/>
                <w:sz w:val="18"/>
                <w:szCs w:val="18"/>
              </w:rPr>
              <w:t> </w:t>
            </w:r>
            <w:r>
              <w:rPr>
                <w:rFonts w:ascii="宋体" w:hAnsi="宋体" w:cs="宋体" w:eastAsia="宋体" w:hint="default"/>
                <w:sz w:val="18"/>
                <w:szCs w:val="18"/>
              </w:rPr>
              <w:t>影响</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．与计入</w:t>
            </w:r>
          </w:p>
          <w:p>
            <w:pPr>
              <w:pStyle w:val="TableParagraph"/>
              <w:spacing w:line="234" w:lineRule="exact" w:before="15"/>
              <w:ind w:left="100" w:right="78"/>
              <w:jc w:val="both"/>
              <w:rPr>
                <w:rFonts w:ascii="宋体" w:hAnsi="宋体" w:cs="宋体" w:eastAsia="宋体" w:hint="default"/>
                <w:sz w:val="18"/>
                <w:szCs w:val="18"/>
              </w:rPr>
            </w:pPr>
            <w:r>
              <w:rPr>
                <w:rFonts w:ascii="宋体" w:hAnsi="宋体" w:cs="宋体" w:eastAsia="宋体" w:hint="default"/>
                <w:spacing w:val="14"/>
                <w:sz w:val="18"/>
                <w:szCs w:val="18"/>
              </w:rPr>
              <w:t>所有者权</w:t>
            </w:r>
            <w:r>
              <w:rPr>
                <w:rFonts w:ascii="宋体" w:hAnsi="宋体" w:cs="宋体" w:eastAsia="宋体" w:hint="default"/>
                <w:spacing w:val="-71"/>
                <w:sz w:val="18"/>
                <w:szCs w:val="18"/>
              </w:rPr>
              <w:t> </w:t>
            </w:r>
            <w:r>
              <w:rPr>
                <w:rFonts w:ascii="宋体" w:hAnsi="宋体" w:cs="宋体" w:eastAsia="宋体" w:hint="default"/>
                <w:spacing w:val="14"/>
                <w:sz w:val="18"/>
                <w:szCs w:val="18"/>
              </w:rPr>
              <w:t>益项目相</w:t>
            </w:r>
            <w:r>
              <w:rPr>
                <w:rFonts w:ascii="宋体" w:hAnsi="宋体" w:cs="宋体" w:eastAsia="宋体" w:hint="default"/>
                <w:spacing w:val="-71"/>
                <w:sz w:val="18"/>
                <w:szCs w:val="18"/>
              </w:rPr>
              <w:t> </w:t>
            </w:r>
            <w:r>
              <w:rPr>
                <w:rFonts w:ascii="宋体" w:hAnsi="宋体" w:cs="宋体" w:eastAsia="宋体" w:hint="default"/>
                <w:spacing w:val="14"/>
                <w:sz w:val="18"/>
                <w:szCs w:val="18"/>
              </w:rPr>
              <w:t>关的所得</w:t>
            </w:r>
            <w:r>
              <w:rPr>
                <w:rFonts w:ascii="宋体" w:hAnsi="宋体" w:cs="宋体" w:eastAsia="宋体" w:hint="default"/>
                <w:spacing w:val="-71"/>
                <w:sz w:val="18"/>
                <w:szCs w:val="18"/>
              </w:rPr>
              <w:t> </w:t>
            </w:r>
            <w:r>
              <w:rPr>
                <w:rFonts w:ascii="宋体" w:hAnsi="宋体" w:cs="宋体" w:eastAsia="宋体" w:hint="default"/>
                <w:sz w:val="18"/>
                <w:szCs w:val="18"/>
              </w:rPr>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1040" w:bottom="920" w:left="13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29" w:type="dxa"/>
        <w:tblLayout w:type="fixed"/>
        <w:tblCellMar>
          <w:top w:w="0" w:type="dxa"/>
          <w:left w:w="0" w:type="dxa"/>
          <w:bottom w:w="0" w:type="dxa"/>
          <w:right w:w="0" w:type="dxa"/>
        </w:tblCellMar>
        <w:tblLook w:val="01E0"/>
      </w:tblPr>
      <w:tblGrid>
        <w:gridCol w:w="992"/>
        <w:gridCol w:w="1342"/>
        <w:gridCol w:w="1340"/>
        <w:gridCol w:w="576"/>
        <w:gridCol w:w="1252"/>
        <w:gridCol w:w="396"/>
        <w:gridCol w:w="1250"/>
        <w:gridCol w:w="396"/>
        <w:gridCol w:w="1252"/>
        <w:gridCol w:w="1340"/>
      </w:tblGrid>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税影响</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上述（一）</w:t>
            </w:r>
          </w:p>
          <w:p>
            <w:pPr>
              <w:pStyle w:val="TableParagraph"/>
              <w:spacing w:line="232" w:lineRule="exact" w:before="24"/>
              <w:ind w:left="100" w:right="78"/>
              <w:jc w:val="left"/>
              <w:rPr>
                <w:rFonts w:ascii="宋体" w:hAnsi="宋体" w:cs="宋体" w:eastAsia="宋体" w:hint="default"/>
                <w:sz w:val="18"/>
                <w:szCs w:val="18"/>
              </w:rPr>
            </w:pPr>
            <w:r>
              <w:rPr>
                <w:rFonts w:ascii="宋体" w:hAnsi="宋体" w:cs="宋体" w:eastAsia="宋体" w:hint="default"/>
                <w:spacing w:val="14"/>
                <w:sz w:val="18"/>
                <w:szCs w:val="18"/>
              </w:rPr>
              <w:t>和（二）</w:t>
            </w:r>
            <w:r>
              <w:rPr>
                <w:rFonts w:ascii="宋体" w:hAnsi="宋体" w:cs="宋体" w:eastAsia="宋体" w:hint="default"/>
                <w:spacing w:val="-71"/>
                <w:sz w:val="18"/>
                <w:szCs w:val="18"/>
              </w:rPr>
              <w:t> </w:t>
            </w:r>
            <w:r>
              <w:rPr>
                <w:rFonts w:ascii="宋体" w:hAnsi="宋体" w:cs="宋体" w:eastAsia="宋体" w:hint="default"/>
                <w:sz w:val="18"/>
                <w:szCs w:val="18"/>
              </w:rPr>
              <w:t>小计</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34,282,858.66</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6,063,050.14</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40,345,908.80</w:t>
            </w: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（三）所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before="1"/>
              <w:ind w:left="100" w:right="78"/>
              <w:jc w:val="both"/>
              <w:rPr>
                <w:rFonts w:ascii="宋体" w:hAnsi="宋体" w:cs="宋体" w:eastAsia="宋体" w:hint="default"/>
                <w:sz w:val="18"/>
                <w:szCs w:val="18"/>
              </w:rPr>
            </w:pPr>
            <w:r>
              <w:rPr>
                <w:rFonts w:ascii="宋体" w:hAnsi="宋体" w:cs="宋体" w:eastAsia="宋体" w:hint="default"/>
                <w:spacing w:val="14"/>
                <w:sz w:val="18"/>
                <w:szCs w:val="18"/>
              </w:rPr>
              <w:t>有者投入</w:t>
            </w:r>
            <w:r>
              <w:rPr>
                <w:rFonts w:ascii="宋体" w:hAnsi="宋体" w:cs="宋体" w:eastAsia="宋体" w:hint="default"/>
                <w:spacing w:val="-71"/>
                <w:sz w:val="18"/>
                <w:szCs w:val="18"/>
              </w:rPr>
              <w:t> </w:t>
            </w:r>
            <w:r>
              <w:rPr>
                <w:rFonts w:ascii="宋体" w:hAnsi="宋体" w:cs="宋体" w:eastAsia="宋体" w:hint="default"/>
                <w:spacing w:val="14"/>
                <w:sz w:val="18"/>
                <w:szCs w:val="18"/>
              </w:rPr>
              <w:t>和减少资</w:t>
            </w:r>
            <w:r>
              <w:rPr>
                <w:rFonts w:ascii="宋体" w:hAnsi="宋体" w:cs="宋体" w:eastAsia="宋体" w:hint="default"/>
                <w:spacing w:val="-71"/>
                <w:sz w:val="18"/>
                <w:szCs w:val="18"/>
              </w:rPr>
              <w:t> </w:t>
            </w:r>
            <w:r>
              <w:rPr>
                <w:rFonts w:ascii="宋体" w:hAnsi="宋体" w:cs="宋体" w:eastAsia="宋体" w:hint="default"/>
                <w:sz w:val="18"/>
                <w:szCs w:val="18"/>
              </w:rPr>
              <w:t>本</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．所有者</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．股份支</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付计入所</w:t>
            </w:r>
            <w:r>
              <w:rPr>
                <w:rFonts w:ascii="宋体" w:hAnsi="宋体" w:cs="宋体" w:eastAsia="宋体" w:hint="default"/>
                <w:spacing w:val="-71"/>
                <w:sz w:val="18"/>
                <w:szCs w:val="18"/>
              </w:rPr>
              <w:t> </w:t>
            </w:r>
            <w:r>
              <w:rPr>
                <w:rFonts w:ascii="宋体" w:hAnsi="宋体" w:cs="宋体" w:eastAsia="宋体" w:hint="default"/>
                <w:spacing w:val="14"/>
                <w:sz w:val="18"/>
                <w:szCs w:val="18"/>
              </w:rPr>
              <w:t>有者权益</w:t>
            </w:r>
            <w:r>
              <w:rPr>
                <w:rFonts w:ascii="宋体" w:hAnsi="宋体" w:cs="宋体" w:eastAsia="宋体" w:hint="default"/>
                <w:spacing w:val="-71"/>
                <w:sz w:val="18"/>
                <w:szCs w:val="18"/>
              </w:rPr>
              <w:t> </w:t>
            </w:r>
            <w:r>
              <w:rPr>
                <w:rFonts w:ascii="宋体" w:hAnsi="宋体" w:cs="宋体" w:eastAsia="宋体" w:hint="default"/>
                <w:sz w:val="18"/>
                <w:szCs w:val="18"/>
              </w:rPr>
              <w:t>的金额</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（四）利</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4,797,037.07</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30" w:right="0"/>
              <w:jc w:val="center"/>
              <w:rPr>
                <w:rFonts w:ascii="Times New Roman" w:hAnsi="Times New Roman" w:cs="Times New Roman" w:eastAsia="Times New Roman" w:hint="default"/>
                <w:sz w:val="18"/>
                <w:szCs w:val="18"/>
              </w:rPr>
            </w:pPr>
            <w:r>
              <w:rPr>
                <w:rFonts w:ascii="Times New Roman"/>
                <w:sz w:val="18"/>
              </w:rPr>
              <w:t>-4,797,037.07</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-6,614,095.05</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-6,614,095.05</w:t>
            </w: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．提取盈</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4,797,037.07</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30" w:right="0"/>
              <w:jc w:val="center"/>
              <w:rPr>
                <w:rFonts w:ascii="Times New Roman" w:hAnsi="Times New Roman" w:cs="Times New Roman" w:eastAsia="Times New Roman" w:hint="default"/>
                <w:sz w:val="18"/>
                <w:szCs w:val="18"/>
              </w:rPr>
            </w:pPr>
            <w:r>
              <w:rPr>
                <w:rFonts w:ascii="Times New Roman"/>
                <w:sz w:val="18"/>
              </w:rPr>
              <w:t>-4,797,037.07</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．提取一</w:t>
            </w:r>
          </w:p>
          <w:p>
            <w:pPr>
              <w:pStyle w:val="TableParagraph"/>
              <w:spacing w:line="232" w:lineRule="exact" w:before="17"/>
              <w:ind w:left="100" w:right="78"/>
              <w:jc w:val="left"/>
              <w:rPr>
                <w:rFonts w:ascii="宋体" w:hAnsi="宋体" w:cs="宋体" w:eastAsia="宋体" w:hint="default"/>
                <w:sz w:val="18"/>
                <w:szCs w:val="18"/>
              </w:rPr>
            </w:pPr>
            <w:r>
              <w:rPr>
                <w:rFonts w:ascii="宋体" w:hAnsi="宋体" w:cs="宋体" w:eastAsia="宋体" w:hint="default"/>
                <w:spacing w:val="14"/>
                <w:sz w:val="18"/>
                <w:szCs w:val="18"/>
              </w:rPr>
              <w:t>般风险准</w:t>
            </w:r>
            <w:r>
              <w:rPr>
                <w:rFonts w:ascii="宋体" w:hAnsi="宋体" w:cs="宋体" w:eastAsia="宋体" w:hint="default"/>
                <w:spacing w:val="-71"/>
                <w:sz w:val="18"/>
                <w:szCs w:val="18"/>
              </w:rPr>
              <w:t> </w:t>
            </w:r>
            <w:r>
              <w:rPr>
                <w:rFonts w:ascii="宋体" w:hAnsi="宋体" w:cs="宋体" w:eastAsia="宋体" w:hint="default"/>
                <w:sz w:val="18"/>
                <w:szCs w:val="18"/>
              </w:rPr>
              <w:t>备</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．对所有</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者（或股</w:t>
            </w:r>
            <w:r>
              <w:rPr>
                <w:rFonts w:ascii="宋体" w:hAnsi="宋体" w:cs="宋体" w:eastAsia="宋体" w:hint="default"/>
                <w:spacing w:val="-71"/>
                <w:sz w:val="18"/>
                <w:szCs w:val="18"/>
              </w:rPr>
              <w:t> </w:t>
            </w:r>
            <w:r>
              <w:rPr>
                <w:rFonts w:ascii="宋体" w:hAnsi="宋体" w:cs="宋体" w:eastAsia="宋体" w:hint="default"/>
                <w:spacing w:val="14"/>
                <w:sz w:val="18"/>
                <w:szCs w:val="18"/>
              </w:rPr>
              <w:t>东）的分</w:t>
            </w:r>
            <w:r>
              <w:rPr>
                <w:rFonts w:ascii="宋体" w:hAnsi="宋体" w:cs="宋体" w:eastAsia="宋体" w:hint="default"/>
                <w:spacing w:val="-71"/>
                <w:sz w:val="18"/>
                <w:szCs w:val="18"/>
              </w:rPr>
              <w:t> </w:t>
            </w:r>
            <w:r>
              <w:rPr>
                <w:rFonts w:ascii="宋体" w:hAnsi="宋体" w:cs="宋体" w:eastAsia="宋体" w:hint="default"/>
                <w:sz w:val="18"/>
                <w:szCs w:val="18"/>
              </w:rPr>
              <w:t>配</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-6,614,095.05</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-6,614,095.05</w:t>
            </w: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（五）所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0" w:right="78"/>
              <w:jc w:val="left"/>
              <w:rPr>
                <w:rFonts w:ascii="宋体" w:hAnsi="宋体" w:cs="宋体" w:eastAsia="宋体" w:hint="default"/>
                <w:sz w:val="18"/>
                <w:szCs w:val="18"/>
              </w:rPr>
            </w:pPr>
            <w:r>
              <w:rPr>
                <w:rFonts w:ascii="宋体" w:hAnsi="宋体" w:cs="宋体" w:eastAsia="宋体" w:hint="default"/>
                <w:spacing w:val="14"/>
                <w:sz w:val="18"/>
                <w:szCs w:val="18"/>
              </w:rPr>
              <w:t>有者权益</w:t>
            </w:r>
            <w:r>
              <w:rPr>
                <w:rFonts w:ascii="宋体" w:hAnsi="宋体" w:cs="宋体" w:eastAsia="宋体" w:hint="default"/>
                <w:spacing w:val="-71"/>
                <w:sz w:val="18"/>
                <w:szCs w:val="18"/>
              </w:rPr>
              <w:t> </w:t>
            </w:r>
            <w:r>
              <w:rPr>
                <w:rFonts w:ascii="宋体" w:hAnsi="宋体" w:cs="宋体" w:eastAsia="宋体" w:hint="default"/>
                <w:sz w:val="18"/>
                <w:szCs w:val="18"/>
              </w:rPr>
              <w:t>内部结转</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积转增资</w:t>
            </w:r>
            <w:r>
              <w:rPr>
                <w:rFonts w:ascii="宋体" w:hAnsi="宋体" w:cs="宋体" w:eastAsia="宋体" w:hint="default"/>
                <w:spacing w:val="-71"/>
                <w:sz w:val="18"/>
                <w:szCs w:val="18"/>
              </w:rPr>
              <w:t> </w:t>
            </w:r>
            <w:r>
              <w:rPr>
                <w:rFonts w:ascii="宋体" w:hAnsi="宋体" w:cs="宋体" w:eastAsia="宋体" w:hint="default"/>
                <w:spacing w:val="14"/>
                <w:sz w:val="18"/>
                <w:szCs w:val="18"/>
              </w:rPr>
              <w:t>本（或股</w:t>
            </w:r>
            <w:r>
              <w:rPr>
                <w:rFonts w:ascii="宋体" w:hAnsi="宋体" w:cs="宋体" w:eastAsia="宋体" w:hint="default"/>
                <w:spacing w:val="-71"/>
                <w:sz w:val="18"/>
                <w:szCs w:val="18"/>
              </w:rPr>
              <w:t> </w:t>
            </w:r>
            <w:r>
              <w:rPr>
                <w:rFonts w:ascii="宋体" w:hAnsi="宋体" w:cs="宋体" w:eastAsia="宋体" w:hint="default"/>
                <w:sz w:val="18"/>
                <w:szCs w:val="18"/>
              </w:rPr>
              <w:t>本）</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积转增资</w:t>
            </w:r>
            <w:r>
              <w:rPr>
                <w:rFonts w:ascii="宋体" w:hAnsi="宋体" w:cs="宋体" w:eastAsia="宋体" w:hint="default"/>
                <w:spacing w:val="-71"/>
                <w:sz w:val="18"/>
                <w:szCs w:val="18"/>
              </w:rPr>
              <w:t> </w:t>
            </w:r>
            <w:r>
              <w:rPr>
                <w:rFonts w:ascii="宋体" w:hAnsi="宋体" w:cs="宋体" w:eastAsia="宋体" w:hint="default"/>
                <w:spacing w:val="14"/>
                <w:sz w:val="18"/>
                <w:szCs w:val="18"/>
              </w:rPr>
              <w:t>本（或股</w:t>
            </w:r>
            <w:r>
              <w:rPr>
                <w:rFonts w:ascii="宋体" w:hAnsi="宋体" w:cs="宋体" w:eastAsia="宋体" w:hint="default"/>
                <w:spacing w:val="-71"/>
                <w:sz w:val="18"/>
                <w:szCs w:val="18"/>
              </w:rPr>
              <w:t> </w:t>
            </w:r>
            <w:r>
              <w:rPr>
                <w:rFonts w:ascii="宋体" w:hAnsi="宋体" w:cs="宋体" w:eastAsia="宋体" w:hint="default"/>
                <w:sz w:val="18"/>
                <w:szCs w:val="18"/>
              </w:rPr>
              <w:t>本）</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．盈余公</w:t>
            </w:r>
          </w:p>
          <w:p>
            <w:pPr>
              <w:pStyle w:val="TableParagraph"/>
              <w:spacing w:line="232" w:lineRule="exact" w:before="17"/>
              <w:ind w:left="100" w:right="78"/>
              <w:jc w:val="left"/>
              <w:rPr>
                <w:rFonts w:ascii="宋体" w:hAnsi="宋体" w:cs="宋体" w:eastAsia="宋体" w:hint="default"/>
                <w:sz w:val="18"/>
                <w:szCs w:val="18"/>
              </w:rPr>
            </w:pPr>
            <w:r>
              <w:rPr>
                <w:rFonts w:ascii="宋体" w:hAnsi="宋体" w:cs="宋体" w:eastAsia="宋体" w:hint="default"/>
                <w:spacing w:val="14"/>
                <w:sz w:val="18"/>
                <w:szCs w:val="18"/>
              </w:rPr>
              <w:t>积弥补亏</w:t>
            </w:r>
            <w:r>
              <w:rPr>
                <w:rFonts w:ascii="宋体" w:hAnsi="宋体" w:cs="宋体" w:eastAsia="宋体" w:hint="default"/>
                <w:spacing w:val="-71"/>
                <w:sz w:val="18"/>
                <w:szCs w:val="18"/>
              </w:rPr>
              <w:t> </w:t>
            </w:r>
            <w:r>
              <w:rPr>
                <w:rFonts w:ascii="宋体" w:hAnsi="宋体" w:cs="宋体" w:eastAsia="宋体" w:hint="default"/>
                <w:sz w:val="18"/>
                <w:szCs w:val="18"/>
              </w:rPr>
              <w:t>损</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四、本期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101" w:right="0"/>
              <w:jc w:val="left"/>
              <w:rPr>
                <w:rFonts w:ascii="Times New Roman" w:hAnsi="Times New Roman" w:cs="Times New Roman" w:eastAsia="Times New Roman" w:hint="default"/>
                <w:sz w:val="18"/>
                <w:szCs w:val="18"/>
              </w:rPr>
            </w:pPr>
            <w:r>
              <w:rPr>
                <w:rFonts w:ascii="Times New Roman"/>
                <w:sz w:val="18"/>
              </w:rPr>
              <w:t>137,440,000.00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101" w:right="0"/>
              <w:jc w:val="left"/>
              <w:rPr>
                <w:rFonts w:ascii="Times New Roman" w:hAnsi="Times New Roman" w:cs="Times New Roman" w:eastAsia="Times New Roman" w:hint="default"/>
                <w:sz w:val="18"/>
                <w:szCs w:val="18"/>
              </w:rPr>
            </w:pPr>
            <w:r>
              <w:rPr>
                <w:rFonts w:ascii="Times New Roman"/>
                <w:sz w:val="18"/>
              </w:rPr>
              <w:t>133,851,865.01</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26,504,783.80</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61,967,343.40</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35,825,297.41</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395,589,289.62</w:t>
            </w:r>
          </w:p>
        </w:tc>
      </w:tr>
    </w:tbl>
    <w:p>
      <w:pPr>
        <w:spacing w:after="0" w:line="240" w:lineRule="auto"/>
        <w:jc w:val="right"/>
        <w:rPr>
          <w:rFonts w:ascii="Times New Roman" w:hAnsi="Times New Roman" w:cs="Times New Roman" w:eastAsia="Times New Roman" w:hint="default"/>
          <w:sz w:val="18"/>
          <w:szCs w:val="18"/>
        </w:rPr>
        <w:sectPr>
          <w:pgSz w:w="12240" w:h="15840"/>
          <w:pgMar w:header="747" w:footer="727" w:top="1040" w:bottom="920" w:left="1380" w:right="460"/>
        </w:sectPr>
      </w:pPr>
    </w:p>
    <w:p>
      <w:pPr>
        <w:spacing w:line="240" w:lineRule="auto" w:before="7"/>
        <w:rPr>
          <w:rFonts w:ascii="Times New Roman" w:hAnsi="Times New Roman" w:cs="Times New Roman" w:eastAsia="Times New Roman" w:hint="default"/>
          <w:sz w:val="27"/>
          <w:szCs w:val="27"/>
        </w:rPr>
      </w:pPr>
    </w:p>
    <w:p>
      <w:pPr>
        <w:pStyle w:val="BodyText"/>
        <w:spacing w:line="240" w:lineRule="auto" w:before="35"/>
        <w:ind w:left="0" w:right="10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992"/>
        <w:gridCol w:w="1342"/>
        <w:gridCol w:w="1340"/>
        <w:gridCol w:w="576"/>
        <w:gridCol w:w="1252"/>
        <w:gridCol w:w="396"/>
        <w:gridCol w:w="1310"/>
        <w:gridCol w:w="396"/>
        <w:gridCol w:w="1252"/>
        <w:gridCol w:w="1340"/>
      </w:tblGrid>
      <w:tr>
        <w:trPr>
          <w:trHeight w:val="248" w:hRule="exact"/>
        </w:trPr>
        <w:tc>
          <w:tcPr>
            <w:tcW w:w="99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204" w:type="dxa"/>
            <w:gridSpan w:val="9"/>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48" w:hRule="exact"/>
        </w:trPr>
        <w:tc>
          <w:tcPr>
            <w:tcW w:w="992" w:type="dxa"/>
            <w:vMerge/>
            <w:tcBorders>
              <w:left w:val="single" w:sz="6" w:space="0" w:color="101010"/>
              <w:right w:val="single" w:sz="6" w:space="0" w:color="101010"/>
            </w:tcBorders>
          </w:tcPr>
          <w:p>
            <w:pPr/>
          </w:p>
        </w:tc>
        <w:tc>
          <w:tcPr>
            <w:tcW w:w="6612"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27" w:right="16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4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73" w:right="12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416" w:hRule="exact"/>
        </w:trPr>
        <w:tc>
          <w:tcPr>
            <w:tcW w:w="992" w:type="dxa"/>
            <w:vMerge/>
            <w:tcBorders>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453" w:right="181" w:hanging="27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252" w:type="dxa"/>
            <w:vMerge/>
            <w:tcBorders>
              <w:left w:val="single" w:sz="6" w:space="0" w:color="101010"/>
              <w:bottom w:val="single" w:sz="6" w:space="0" w:color="101010"/>
              <w:right w:val="single" w:sz="6" w:space="0" w:color="101010"/>
            </w:tcBorders>
          </w:tcPr>
          <w:p>
            <w:pPr/>
          </w:p>
        </w:tc>
        <w:tc>
          <w:tcPr>
            <w:tcW w:w="1340" w:type="dxa"/>
            <w:vMerge/>
            <w:tcBorders>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一、上年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204,509,843.41</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19,112,866.41</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3" w:right="0"/>
              <w:jc w:val="center"/>
              <w:rPr>
                <w:rFonts w:ascii="Times New Roman" w:hAnsi="Times New Roman" w:cs="Times New Roman" w:eastAsia="Times New Roman" w:hint="default"/>
                <w:sz w:val="18"/>
                <w:szCs w:val="18"/>
              </w:rPr>
            </w:pPr>
            <w:r>
              <w:rPr>
                <w:rFonts w:ascii="Times New Roman"/>
                <w:sz w:val="18"/>
              </w:rPr>
              <w:t>-29,969,716.72</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28,176,162.57</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290,549,155.67</w:t>
            </w: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加：会计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w w:val="95"/>
                <w:sz w:val="18"/>
              </w:rPr>
              <w:t>-46,673.38</w:t>
            </w:r>
            <w:r>
              <w:rPr>
                <w:rFonts w:ascii="Times New Roman"/>
                <w:sz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150" w:right="0"/>
              <w:jc w:val="center"/>
              <w:rPr>
                <w:rFonts w:ascii="Times New Roman" w:hAnsi="Times New Roman" w:cs="Times New Roman" w:eastAsia="Times New Roman" w:hint="default"/>
                <w:sz w:val="18"/>
                <w:szCs w:val="18"/>
              </w:rPr>
            </w:pPr>
            <w:r>
              <w:rPr>
                <w:rFonts w:ascii="Times New Roman"/>
                <w:sz w:val="18"/>
              </w:rPr>
              <w:t>9,306,687.53</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52,330.23</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9,312,344.38</w:t>
            </w: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前期差错</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二、本年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204,509,843.41</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19,066,193.03</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3" w:right="0"/>
              <w:jc w:val="center"/>
              <w:rPr>
                <w:rFonts w:ascii="Times New Roman" w:hAnsi="Times New Roman" w:cs="Times New Roman" w:eastAsia="Times New Roman" w:hint="default"/>
                <w:sz w:val="18"/>
                <w:szCs w:val="18"/>
              </w:rPr>
            </w:pPr>
            <w:r>
              <w:rPr>
                <w:rFonts w:ascii="Times New Roman"/>
                <w:sz w:val="18"/>
              </w:rPr>
              <w:t>-20,663,029.19</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28,228,492.80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299,861,500.05</w:t>
            </w:r>
          </w:p>
        </w:tc>
      </w:tr>
      <w:tr>
        <w:trPr>
          <w:trHeight w:val="1416"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三、本年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增减变动</w:t>
            </w:r>
            <w:r>
              <w:rPr>
                <w:rFonts w:ascii="宋体" w:hAnsi="宋体" w:cs="宋体" w:eastAsia="宋体" w:hint="default"/>
                <w:spacing w:val="-71"/>
                <w:sz w:val="18"/>
                <w:szCs w:val="18"/>
              </w:rPr>
              <w:t> </w:t>
            </w:r>
            <w:r>
              <w:rPr>
                <w:rFonts w:ascii="宋体" w:hAnsi="宋体" w:cs="宋体" w:eastAsia="宋体" w:hint="default"/>
                <w:spacing w:val="14"/>
                <w:sz w:val="18"/>
                <w:szCs w:val="18"/>
              </w:rPr>
              <w:t>金额（减</w:t>
            </w:r>
            <w:r>
              <w:rPr>
                <w:rFonts w:ascii="宋体" w:hAnsi="宋体" w:cs="宋体" w:eastAsia="宋体" w:hint="default"/>
                <w:spacing w:val="-71"/>
                <w:sz w:val="18"/>
                <w:szCs w:val="18"/>
              </w:rPr>
              <w:t> </w:t>
            </w:r>
            <w:r>
              <w:rPr>
                <w:rFonts w:ascii="宋体" w:hAnsi="宋体" w:cs="宋体" w:eastAsia="宋体" w:hint="default"/>
                <w:sz w:val="18"/>
                <w:szCs w:val="18"/>
              </w:rPr>
              <w:t>少   </w:t>
            </w:r>
            <w:r>
              <w:rPr>
                <w:rFonts w:ascii="宋体" w:hAnsi="宋体" w:cs="宋体" w:eastAsia="宋体" w:hint="default"/>
                <w:spacing w:val="56"/>
                <w:sz w:val="18"/>
                <w:szCs w:val="18"/>
              </w:rPr>
              <w:t> </w:t>
            </w:r>
            <w:r>
              <w:rPr>
                <w:rFonts w:ascii="宋体" w:hAnsi="宋体" w:cs="宋体" w:eastAsia="宋体" w:hint="default"/>
                <w:sz w:val="18"/>
                <w:szCs w:val="18"/>
              </w:rPr>
              <w:t>以</w:t>
            </w:r>
          </w:p>
          <w:p>
            <w:pPr>
              <w:pStyle w:val="TableParagraph"/>
              <w:spacing w:line="234" w:lineRule="exact" w:before="20"/>
              <w:ind w:left="100" w:right="78"/>
              <w:jc w:val="both"/>
              <w:rPr>
                <w:rFonts w:ascii="宋体" w:hAnsi="宋体" w:cs="宋体" w:eastAsia="宋体" w:hint="default"/>
                <w:sz w:val="18"/>
                <w:szCs w:val="18"/>
              </w:rPr>
            </w:pPr>
            <w:r>
              <w:rPr>
                <w:rFonts w:ascii="宋体" w:hAnsi="宋体" w:cs="宋体" w:eastAsia="宋体" w:hint="default"/>
                <w:spacing w:val="14"/>
                <w:sz w:val="18"/>
                <w:szCs w:val="18"/>
              </w:rPr>
              <w:t>“－”号</w:t>
            </w:r>
            <w:r>
              <w:rPr>
                <w:rFonts w:ascii="宋体" w:hAnsi="宋体" w:cs="宋体" w:eastAsia="宋体" w:hint="default"/>
                <w:spacing w:val="-71"/>
                <w:sz w:val="18"/>
                <w:szCs w:val="18"/>
              </w:rPr>
              <w:t> </w:t>
            </w:r>
            <w:r>
              <w:rPr>
                <w:rFonts w:ascii="宋体" w:hAnsi="宋体" w:cs="宋体" w:eastAsia="宋体" w:hint="default"/>
                <w:sz w:val="18"/>
                <w:szCs w:val="18"/>
              </w:rPr>
              <w:t>填列）</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-70,657,978.40</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2,641,553.70</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0" w:right="0"/>
              <w:jc w:val="center"/>
              <w:rPr>
                <w:rFonts w:ascii="Times New Roman" w:hAnsi="Times New Roman" w:cs="Times New Roman" w:eastAsia="Times New Roman" w:hint="default"/>
                <w:sz w:val="18"/>
                <w:szCs w:val="18"/>
              </w:rPr>
            </w:pPr>
            <w:r>
              <w:rPr>
                <w:rFonts w:ascii="Times New Roman"/>
                <w:sz w:val="18"/>
              </w:rPr>
              <w:t>53,144,551.00</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8,147,849.52</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pacing w:val="-1"/>
                <w:sz w:val="18"/>
              </w:rPr>
              <w:t>61,995,975.82</w:t>
            </w: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（一）净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60" w:right="0"/>
              <w:jc w:val="center"/>
              <w:rPr>
                <w:rFonts w:ascii="Times New Roman" w:hAnsi="Times New Roman" w:cs="Times New Roman" w:eastAsia="Times New Roman" w:hint="default"/>
                <w:sz w:val="18"/>
                <w:szCs w:val="18"/>
              </w:rPr>
            </w:pPr>
            <w:r>
              <w:rPr>
                <w:rFonts w:ascii="Times New Roman"/>
                <w:sz w:val="18"/>
              </w:rPr>
              <w:t>55,786,104.70</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7,268,421.56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63,054,526.26</w:t>
            </w: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（二）直</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before="1"/>
              <w:ind w:left="100" w:right="78"/>
              <w:jc w:val="both"/>
              <w:rPr>
                <w:rFonts w:ascii="宋体" w:hAnsi="宋体" w:cs="宋体" w:eastAsia="宋体" w:hint="default"/>
                <w:sz w:val="18"/>
                <w:szCs w:val="18"/>
              </w:rPr>
            </w:pPr>
            <w:r>
              <w:rPr>
                <w:rFonts w:ascii="宋体" w:hAnsi="宋体" w:cs="宋体" w:eastAsia="宋体" w:hint="default"/>
                <w:spacing w:val="14"/>
                <w:sz w:val="18"/>
                <w:szCs w:val="18"/>
              </w:rPr>
              <w:t>接计入所</w:t>
            </w:r>
            <w:r>
              <w:rPr>
                <w:rFonts w:ascii="宋体" w:hAnsi="宋体" w:cs="宋体" w:eastAsia="宋体" w:hint="default"/>
                <w:spacing w:val="-71"/>
                <w:sz w:val="18"/>
                <w:szCs w:val="18"/>
              </w:rPr>
              <w:t> </w:t>
            </w:r>
            <w:r>
              <w:rPr>
                <w:rFonts w:ascii="宋体" w:hAnsi="宋体" w:cs="宋体" w:eastAsia="宋体" w:hint="default"/>
                <w:spacing w:val="14"/>
                <w:sz w:val="18"/>
                <w:szCs w:val="18"/>
              </w:rPr>
              <w:t>有者权益</w:t>
            </w:r>
            <w:r>
              <w:rPr>
                <w:rFonts w:ascii="宋体" w:hAnsi="宋体" w:cs="宋体" w:eastAsia="宋体" w:hint="default"/>
                <w:spacing w:val="-71"/>
                <w:sz w:val="18"/>
                <w:szCs w:val="18"/>
              </w:rPr>
              <w:t> </w:t>
            </w:r>
            <w:r>
              <w:rPr>
                <w:rFonts w:ascii="宋体" w:hAnsi="宋体" w:cs="宋体" w:eastAsia="宋体" w:hint="default"/>
                <w:spacing w:val="14"/>
                <w:sz w:val="18"/>
                <w:szCs w:val="18"/>
              </w:rPr>
              <w:t>的利得和</w:t>
            </w:r>
            <w:r>
              <w:rPr>
                <w:rFonts w:ascii="宋体" w:hAnsi="宋体" w:cs="宋体" w:eastAsia="宋体" w:hint="default"/>
                <w:spacing w:val="-71"/>
                <w:sz w:val="18"/>
                <w:szCs w:val="18"/>
              </w:rPr>
              <w:t> </w:t>
            </w:r>
            <w:r>
              <w:rPr>
                <w:rFonts w:ascii="宋体" w:hAnsi="宋体" w:cs="宋体" w:eastAsia="宋体" w:hint="default"/>
                <w:sz w:val="18"/>
                <w:szCs w:val="18"/>
              </w:rPr>
              <w:t>损失</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1183"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．可供出</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售金融资</w:t>
            </w:r>
            <w:r>
              <w:rPr>
                <w:rFonts w:ascii="宋体" w:hAnsi="宋体" w:cs="宋体" w:eastAsia="宋体" w:hint="default"/>
                <w:spacing w:val="-71"/>
                <w:sz w:val="18"/>
                <w:szCs w:val="18"/>
              </w:rPr>
              <w:t> </w:t>
            </w:r>
            <w:r>
              <w:rPr>
                <w:rFonts w:ascii="宋体" w:hAnsi="宋体" w:cs="宋体" w:eastAsia="宋体" w:hint="default"/>
                <w:spacing w:val="14"/>
                <w:sz w:val="18"/>
                <w:szCs w:val="18"/>
              </w:rPr>
              <w:t>产公允价</w:t>
            </w:r>
            <w:r>
              <w:rPr>
                <w:rFonts w:ascii="宋体" w:hAnsi="宋体" w:cs="宋体" w:eastAsia="宋体" w:hint="default"/>
                <w:spacing w:val="-71"/>
                <w:sz w:val="18"/>
                <w:szCs w:val="18"/>
              </w:rPr>
              <w:t> </w:t>
            </w:r>
            <w:r>
              <w:rPr>
                <w:rFonts w:ascii="宋体" w:hAnsi="宋体" w:cs="宋体" w:eastAsia="宋体" w:hint="default"/>
                <w:spacing w:val="14"/>
                <w:sz w:val="18"/>
                <w:szCs w:val="18"/>
              </w:rPr>
              <w:t>值变动净</w:t>
            </w:r>
            <w:r>
              <w:rPr>
                <w:rFonts w:ascii="宋体" w:hAnsi="宋体" w:cs="宋体" w:eastAsia="宋体" w:hint="default"/>
                <w:spacing w:val="-71"/>
                <w:sz w:val="18"/>
                <w:szCs w:val="18"/>
              </w:rPr>
              <w:t> </w:t>
            </w:r>
            <w:r>
              <w:rPr>
                <w:rFonts w:ascii="宋体" w:hAnsi="宋体" w:cs="宋体" w:eastAsia="宋体" w:hint="default"/>
                <w:sz w:val="18"/>
                <w:szCs w:val="18"/>
              </w:rPr>
              <w:t>额</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14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．权益法</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下被投资</w:t>
            </w:r>
            <w:r>
              <w:rPr>
                <w:rFonts w:ascii="宋体" w:hAnsi="宋体" w:cs="宋体" w:eastAsia="宋体" w:hint="default"/>
                <w:spacing w:val="-71"/>
                <w:sz w:val="18"/>
                <w:szCs w:val="18"/>
              </w:rPr>
              <w:t> </w:t>
            </w:r>
            <w:r>
              <w:rPr>
                <w:rFonts w:ascii="宋体" w:hAnsi="宋体" w:cs="宋体" w:eastAsia="宋体" w:hint="default"/>
                <w:spacing w:val="14"/>
                <w:sz w:val="18"/>
                <w:szCs w:val="18"/>
              </w:rPr>
              <w:t>单位其他</w:t>
            </w:r>
            <w:r>
              <w:rPr>
                <w:rFonts w:ascii="宋体" w:hAnsi="宋体" w:cs="宋体" w:eastAsia="宋体" w:hint="default"/>
                <w:spacing w:val="-71"/>
                <w:sz w:val="18"/>
                <w:szCs w:val="18"/>
              </w:rPr>
              <w:t> </w:t>
            </w:r>
            <w:r>
              <w:rPr>
                <w:rFonts w:ascii="宋体" w:hAnsi="宋体" w:cs="宋体" w:eastAsia="宋体" w:hint="default"/>
                <w:spacing w:val="14"/>
                <w:sz w:val="18"/>
                <w:szCs w:val="18"/>
              </w:rPr>
              <w:t>所有者权</w:t>
            </w:r>
            <w:r>
              <w:rPr>
                <w:rFonts w:ascii="宋体" w:hAnsi="宋体" w:cs="宋体" w:eastAsia="宋体" w:hint="default"/>
                <w:spacing w:val="-71"/>
                <w:sz w:val="18"/>
                <w:szCs w:val="18"/>
              </w:rPr>
              <w:t> </w:t>
            </w:r>
            <w:r>
              <w:rPr>
                <w:rFonts w:ascii="宋体" w:hAnsi="宋体" w:cs="宋体" w:eastAsia="宋体" w:hint="default"/>
                <w:spacing w:val="14"/>
                <w:sz w:val="18"/>
                <w:szCs w:val="18"/>
              </w:rPr>
              <w:t>益变动的</w:t>
            </w:r>
            <w:r>
              <w:rPr>
                <w:rFonts w:ascii="宋体" w:hAnsi="宋体" w:cs="宋体" w:eastAsia="宋体" w:hint="default"/>
                <w:spacing w:val="-71"/>
                <w:sz w:val="18"/>
                <w:szCs w:val="18"/>
              </w:rPr>
              <w:t> </w:t>
            </w:r>
            <w:r>
              <w:rPr>
                <w:rFonts w:ascii="宋体" w:hAnsi="宋体" w:cs="宋体" w:eastAsia="宋体" w:hint="default"/>
                <w:sz w:val="18"/>
                <w:szCs w:val="18"/>
              </w:rPr>
              <w:t>影响</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．与计入</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所有者权</w:t>
            </w:r>
            <w:r>
              <w:rPr>
                <w:rFonts w:ascii="宋体" w:hAnsi="宋体" w:cs="宋体" w:eastAsia="宋体" w:hint="default"/>
                <w:spacing w:val="-71"/>
                <w:sz w:val="18"/>
                <w:szCs w:val="18"/>
              </w:rPr>
              <w:t> </w:t>
            </w:r>
            <w:r>
              <w:rPr>
                <w:rFonts w:ascii="宋体" w:hAnsi="宋体" w:cs="宋体" w:eastAsia="宋体" w:hint="default"/>
                <w:spacing w:val="14"/>
                <w:sz w:val="18"/>
                <w:szCs w:val="18"/>
              </w:rPr>
              <w:t>益项目相</w:t>
            </w:r>
            <w:r>
              <w:rPr>
                <w:rFonts w:ascii="宋体" w:hAnsi="宋体" w:cs="宋体" w:eastAsia="宋体" w:hint="default"/>
                <w:spacing w:val="-71"/>
                <w:sz w:val="18"/>
                <w:szCs w:val="18"/>
              </w:rPr>
              <w:t> </w:t>
            </w:r>
            <w:r>
              <w:rPr>
                <w:rFonts w:ascii="宋体" w:hAnsi="宋体" w:cs="宋体" w:eastAsia="宋体" w:hint="default"/>
                <w:spacing w:val="14"/>
                <w:sz w:val="18"/>
                <w:szCs w:val="18"/>
              </w:rPr>
              <w:t>关的所得</w:t>
            </w:r>
            <w:r>
              <w:rPr>
                <w:rFonts w:ascii="宋体" w:hAnsi="宋体" w:cs="宋体" w:eastAsia="宋体" w:hint="default"/>
                <w:spacing w:val="-71"/>
                <w:sz w:val="18"/>
                <w:szCs w:val="18"/>
              </w:rPr>
              <w:t> </w:t>
            </w:r>
            <w:r>
              <w:rPr>
                <w:rFonts w:ascii="宋体" w:hAnsi="宋体" w:cs="宋体" w:eastAsia="宋体" w:hint="default"/>
                <w:sz w:val="18"/>
                <w:szCs w:val="18"/>
              </w:rPr>
              <w:t>税影响</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上述（一）</w:t>
            </w:r>
          </w:p>
          <w:p>
            <w:pPr>
              <w:pStyle w:val="TableParagraph"/>
              <w:spacing w:line="232" w:lineRule="exact" w:before="24"/>
              <w:ind w:left="100" w:right="78"/>
              <w:jc w:val="left"/>
              <w:rPr>
                <w:rFonts w:ascii="宋体" w:hAnsi="宋体" w:cs="宋体" w:eastAsia="宋体" w:hint="default"/>
                <w:sz w:val="18"/>
                <w:szCs w:val="18"/>
              </w:rPr>
            </w:pPr>
            <w:r>
              <w:rPr>
                <w:rFonts w:ascii="宋体" w:hAnsi="宋体" w:cs="宋体" w:eastAsia="宋体" w:hint="default"/>
                <w:spacing w:val="14"/>
                <w:sz w:val="18"/>
                <w:szCs w:val="18"/>
              </w:rPr>
              <w:t>和（二）</w:t>
            </w:r>
            <w:r>
              <w:rPr>
                <w:rFonts w:ascii="宋体" w:hAnsi="宋体" w:cs="宋体" w:eastAsia="宋体" w:hint="default"/>
                <w:spacing w:val="-71"/>
                <w:sz w:val="18"/>
                <w:szCs w:val="18"/>
              </w:rPr>
              <w:t> </w:t>
            </w:r>
            <w:r>
              <w:rPr>
                <w:rFonts w:ascii="宋体" w:hAnsi="宋体" w:cs="宋体" w:eastAsia="宋体" w:hint="default"/>
                <w:sz w:val="18"/>
                <w:szCs w:val="18"/>
              </w:rPr>
              <w:t>小计</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55,786,104.70</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7,268,421.56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63,054,526.26</w:t>
            </w: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（三）所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before="1"/>
              <w:ind w:left="100" w:right="78"/>
              <w:jc w:val="both"/>
              <w:rPr>
                <w:rFonts w:ascii="宋体" w:hAnsi="宋体" w:cs="宋体" w:eastAsia="宋体" w:hint="default"/>
                <w:sz w:val="18"/>
                <w:szCs w:val="18"/>
              </w:rPr>
            </w:pPr>
            <w:r>
              <w:rPr>
                <w:rFonts w:ascii="宋体" w:hAnsi="宋体" w:cs="宋体" w:eastAsia="宋体" w:hint="default"/>
                <w:spacing w:val="14"/>
                <w:sz w:val="18"/>
                <w:szCs w:val="18"/>
              </w:rPr>
              <w:t>有者投入</w:t>
            </w:r>
            <w:r>
              <w:rPr>
                <w:rFonts w:ascii="宋体" w:hAnsi="宋体" w:cs="宋体" w:eastAsia="宋体" w:hint="default"/>
                <w:spacing w:val="-71"/>
                <w:sz w:val="18"/>
                <w:szCs w:val="18"/>
              </w:rPr>
              <w:t> </w:t>
            </w:r>
            <w:r>
              <w:rPr>
                <w:rFonts w:ascii="宋体" w:hAnsi="宋体" w:cs="宋体" w:eastAsia="宋体" w:hint="default"/>
                <w:spacing w:val="14"/>
                <w:sz w:val="18"/>
                <w:szCs w:val="18"/>
              </w:rPr>
              <w:t>和减少资</w:t>
            </w:r>
            <w:r>
              <w:rPr>
                <w:rFonts w:ascii="宋体" w:hAnsi="宋体" w:cs="宋体" w:eastAsia="宋体" w:hint="default"/>
                <w:spacing w:val="-71"/>
                <w:sz w:val="18"/>
                <w:szCs w:val="18"/>
              </w:rPr>
              <w:t> </w:t>
            </w:r>
            <w:r>
              <w:rPr>
                <w:rFonts w:ascii="宋体" w:hAnsi="宋体" w:cs="宋体" w:eastAsia="宋体" w:hint="default"/>
                <w:sz w:val="18"/>
                <w:szCs w:val="18"/>
              </w:rPr>
              <w:t>本</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-1,937,978.40</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879,427.96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-1,058,550.44</w:t>
            </w:r>
          </w:p>
        </w:tc>
      </w:tr>
      <w:tr>
        <w:trPr>
          <w:trHeight w:val="250"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．所有者</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879,427.96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879,427.96</w:t>
            </w:r>
          </w:p>
        </w:tc>
      </w:tr>
    </w:tbl>
    <w:p>
      <w:pPr>
        <w:spacing w:after="0" w:line="240" w:lineRule="auto"/>
        <w:jc w:val="right"/>
        <w:rPr>
          <w:rFonts w:ascii="Times New Roman" w:hAnsi="Times New Roman" w:cs="Times New Roman" w:eastAsia="Times New Roman" w:hint="default"/>
          <w:sz w:val="18"/>
          <w:szCs w:val="18"/>
        </w:rPr>
        <w:sectPr>
          <w:pgSz w:w="12240" w:h="15840"/>
          <w:pgMar w:header="747" w:footer="727" w:top="1040" w:bottom="920" w:left="1380" w:right="4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992"/>
        <w:gridCol w:w="1342"/>
        <w:gridCol w:w="1340"/>
        <w:gridCol w:w="576"/>
        <w:gridCol w:w="1252"/>
        <w:gridCol w:w="396"/>
        <w:gridCol w:w="1310"/>
        <w:gridCol w:w="396"/>
        <w:gridCol w:w="1252"/>
        <w:gridCol w:w="1340"/>
      </w:tblGrid>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．股份支</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付计入所</w:t>
            </w:r>
            <w:r>
              <w:rPr>
                <w:rFonts w:ascii="宋体" w:hAnsi="宋体" w:cs="宋体" w:eastAsia="宋体" w:hint="default"/>
                <w:spacing w:val="-71"/>
                <w:sz w:val="18"/>
                <w:szCs w:val="18"/>
              </w:rPr>
              <w:t> </w:t>
            </w:r>
            <w:r>
              <w:rPr>
                <w:rFonts w:ascii="宋体" w:hAnsi="宋体" w:cs="宋体" w:eastAsia="宋体" w:hint="default"/>
                <w:spacing w:val="14"/>
                <w:sz w:val="18"/>
                <w:szCs w:val="18"/>
              </w:rPr>
              <w:t>有者权益</w:t>
            </w:r>
            <w:r>
              <w:rPr>
                <w:rFonts w:ascii="宋体" w:hAnsi="宋体" w:cs="宋体" w:eastAsia="宋体" w:hint="default"/>
                <w:spacing w:val="-71"/>
                <w:sz w:val="18"/>
                <w:szCs w:val="18"/>
              </w:rPr>
              <w:t> </w:t>
            </w:r>
            <w:r>
              <w:rPr>
                <w:rFonts w:ascii="宋体" w:hAnsi="宋体" w:cs="宋体" w:eastAsia="宋体" w:hint="default"/>
                <w:sz w:val="18"/>
                <w:szCs w:val="18"/>
              </w:rPr>
              <w:t>的金额</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-1,937,978.40</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20" w:right="0"/>
              <w:jc w:val="center"/>
              <w:rPr>
                <w:rFonts w:ascii="Times New Roman" w:hAnsi="Times New Roman" w:cs="Times New Roman" w:eastAsia="Times New Roman" w:hint="default"/>
                <w:sz w:val="18"/>
                <w:szCs w:val="18"/>
              </w:rPr>
            </w:pPr>
            <w:r>
              <w:rPr>
                <w:rFonts w:ascii="Times New Roman"/>
                <w:sz w:val="18"/>
              </w:rPr>
              <w:t>-1,937,978.40</w:t>
            </w: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（四）利</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2,641,553.70</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-2,641,553.70</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．提取盈</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2,641,553.70</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-2,641,553.70</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．提取一</w:t>
            </w:r>
          </w:p>
          <w:p>
            <w:pPr>
              <w:pStyle w:val="TableParagraph"/>
              <w:spacing w:line="234" w:lineRule="exact" w:before="15"/>
              <w:ind w:left="100" w:right="78"/>
              <w:jc w:val="left"/>
              <w:rPr>
                <w:rFonts w:ascii="宋体" w:hAnsi="宋体" w:cs="宋体" w:eastAsia="宋体" w:hint="default"/>
                <w:sz w:val="18"/>
                <w:szCs w:val="18"/>
              </w:rPr>
            </w:pPr>
            <w:r>
              <w:rPr>
                <w:rFonts w:ascii="宋体" w:hAnsi="宋体" w:cs="宋体" w:eastAsia="宋体" w:hint="default"/>
                <w:spacing w:val="14"/>
                <w:sz w:val="18"/>
                <w:szCs w:val="18"/>
              </w:rPr>
              <w:t>般风险准</w:t>
            </w:r>
            <w:r>
              <w:rPr>
                <w:rFonts w:ascii="宋体" w:hAnsi="宋体" w:cs="宋体" w:eastAsia="宋体" w:hint="default"/>
                <w:spacing w:val="-71"/>
                <w:sz w:val="18"/>
                <w:szCs w:val="18"/>
              </w:rPr>
              <w:t> </w:t>
            </w:r>
            <w:r>
              <w:rPr>
                <w:rFonts w:ascii="宋体" w:hAnsi="宋体" w:cs="宋体" w:eastAsia="宋体" w:hint="default"/>
                <w:sz w:val="18"/>
                <w:szCs w:val="18"/>
              </w:rPr>
              <w:t>备</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．对所有</w:t>
            </w:r>
          </w:p>
          <w:p>
            <w:pPr>
              <w:pStyle w:val="TableParagraph"/>
              <w:spacing w:line="234" w:lineRule="exact" w:before="15"/>
              <w:ind w:left="100" w:right="78"/>
              <w:jc w:val="both"/>
              <w:rPr>
                <w:rFonts w:ascii="宋体" w:hAnsi="宋体" w:cs="宋体" w:eastAsia="宋体" w:hint="default"/>
                <w:sz w:val="18"/>
                <w:szCs w:val="18"/>
              </w:rPr>
            </w:pPr>
            <w:r>
              <w:rPr>
                <w:rFonts w:ascii="宋体" w:hAnsi="宋体" w:cs="宋体" w:eastAsia="宋体" w:hint="default"/>
                <w:spacing w:val="14"/>
                <w:sz w:val="18"/>
                <w:szCs w:val="18"/>
              </w:rPr>
              <w:t>者（或股</w:t>
            </w:r>
            <w:r>
              <w:rPr>
                <w:rFonts w:ascii="宋体" w:hAnsi="宋体" w:cs="宋体" w:eastAsia="宋体" w:hint="default"/>
                <w:spacing w:val="-71"/>
                <w:sz w:val="18"/>
                <w:szCs w:val="18"/>
              </w:rPr>
              <w:t> </w:t>
            </w:r>
            <w:r>
              <w:rPr>
                <w:rFonts w:ascii="宋体" w:hAnsi="宋体" w:cs="宋体" w:eastAsia="宋体" w:hint="default"/>
                <w:spacing w:val="14"/>
                <w:sz w:val="18"/>
                <w:szCs w:val="18"/>
              </w:rPr>
              <w:t>东）的分</w:t>
            </w:r>
            <w:r>
              <w:rPr>
                <w:rFonts w:ascii="宋体" w:hAnsi="宋体" w:cs="宋体" w:eastAsia="宋体" w:hint="default"/>
                <w:spacing w:val="-71"/>
                <w:sz w:val="18"/>
                <w:szCs w:val="18"/>
              </w:rPr>
              <w:t> </w:t>
            </w:r>
            <w:r>
              <w:rPr>
                <w:rFonts w:ascii="宋体" w:hAnsi="宋体" w:cs="宋体" w:eastAsia="宋体" w:hint="default"/>
                <w:sz w:val="18"/>
                <w:szCs w:val="18"/>
              </w:rPr>
              <w:t>配</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（五）所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0" w:right="78"/>
              <w:jc w:val="left"/>
              <w:rPr>
                <w:rFonts w:ascii="宋体" w:hAnsi="宋体" w:cs="宋体" w:eastAsia="宋体" w:hint="default"/>
                <w:sz w:val="18"/>
                <w:szCs w:val="18"/>
              </w:rPr>
            </w:pPr>
            <w:r>
              <w:rPr>
                <w:rFonts w:ascii="宋体" w:hAnsi="宋体" w:cs="宋体" w:eastAsia="宋体" w:hint="default"/>
                <w:spacing w:val="14"/>
                <w:sz w:val="18"/>
                <w:szCs w:val="18"/>
              </w:rPr>
              <w:t>有者权益</w:t>
            </w:r>
            <w:r>
              <w:rPr>
                <w:rFonts w:ascii="宋体" w:hAnsi="宋体" w:cs="宋体" w:eastAsia="宋体" w:hint="default"/>
                <w:spacing w:val="-71"/>
                <w:sz w:val="18"/>
                <w:szCs w:val="18"/>
              </w:rPr>
              <w:t> </w:t>
            </w:r>
            <w:r>
              <w:rPr>
                <w:rFonts w:ascii="宋体" w:hAnsi="宋体" w:cs="宋体" w:eastAsia="宋体" w:hint="default"/>
                <w:sz w:val="18"/>
                <w:szCs w:val="18"/>
              </w:rPr>
              <w:t>内部结转</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-68,720,000.00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积转增资</w:t>
            </w:r>
            <w:r>
              <w:rPr>
                <w:rFonts w:ascii="宋体" w:hAnsi="宋体" w:cs="宋体" w:eastAsia="宋体" w:hint="default"/>
                <w:spacing w:val="-71"/>
                <w:sz w:val="18"/>
                <w:szCs w:val="18"/>
              </w:rPr>
              <w:t> </w:t>
            </w:r>
            <w:r>
              <w:rPr>
                <w:rFonts w:ascii="宋体" w:hAnsi="宋体" w:cs="宋体" w:eastAsia="宋体" w:hint="default"/>
                <w:spacing w:val="14"/>
                <w:sz w:val="18"/>
                <w:szCs w:val="18"/>
              </w:rPr>
              <w:t>本（或股</w:t>
            </w:r>
            <w:r>
              <w:rPr>
                <w:rFonts w:ascii="宋体" w:hAnsi="宋体" w:cs="宋体" w:eastAsia="宋体" w:hint="default"/>
                <w:spacing w:val="-71"/>
                <w:sz w:val="18"/>
                <w:szCs w:val="18"/>
              </w:rPr>
              <w:t> </w:t>
            </w:r>
            <w:r>
              <w:rPr>
                <w:rFonts w:ascii="宋体" w:hAnsi="宋体" w:cs="宋体" w:eastAsia="宋体" w:hint="default"/>
                <w:sz w:val="18"/>
                <w:szCs w:val="18"/>
              </w:rPr>
              <w:t>本）</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-68,720,000.00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w:t>
            </w:r>
          </w:p>
          <w:p>
            <w:pPr>
              <w:pStyle w:val="TableParagraph"/>
              <w:spacing w:line="237" w:lineRule="auto"/>
              <w:ind w:left="100" w:right="78"/>
              <w:jc w:val="both"/>
              <w:rPr>
                <w:rFonts w:ascii="宋体" w:hAnsi="宋体" w:cs="宋体" w:eastAsia="宋体" w:hint="default"/>
                <w:sz w:val="18"/>
                <w:szCs w:val="18"/>
              </w:rPr>
            </w:pPr>
            <w:r>
              <w:rPr>
                <w:rFonts w:ascii="宋体" w:hAnsi="宋体" w:cs="宋体" w:eastAsia="宋体" w:hint="default"/>
                <w:spacing w:val="14"/>
                <w:sz w:val="18"/>
                <w:szCs w:val="18"/>
              </w:rPr>
              <w:t>积转增资</w:t>
            </w:r>
            <w:r>
              <w:rPr>
                <w:rFonts w:ascii="宋体" w:hAnsi="宋体" w:cs="宋体" w:eastAsia="宋体" w:hint="default"/>
                <w:spacing w:val="-71"/>
                <w:sz w:val="18"/>
                <w:szCs w:val="18"/>
              </w:rPr>
              <w:t> </w:t>
            </w:r>
            <w:r>
              <w:rPr>
                <w:rFonts w:ascii="宋体" w:hAnsi="宋体" w:cs="宋体" w:eastAsia="宋体" w:hint="default"/>
                <w:spacing w:val="14"/>
                <w:sz w:val="18"/>
                <w:szCs w:val="18"/>
              </w:rPr>
              <w:t>本（或股</w:t>
            </w:r>
            <w:r>
              <w:rPr>
                <w:rFonts w:ascii="宋体" w:hAnsi="宋体" w:cs="宋体" w:eastAsia="宋体" w:hint="default"/>
                <w:spacing w:val="-71"/>
                <w:sz w:val="18"/>
                <w:szCs w:val="18"/>
              </w:rPr>
              <w:t> </w:t>
            </w:r>
            <w:r>
              <w:rPr>
                <w:rFonts w:ascii="宋体" w:hAnsi="宋体" w:cs="宋体" w:eastAsia="宋体" w:hint="default"/>
                <w:sz w:val="18"/>
                <w:szCs w:val="18"/>
              </w:rPr>
              <w:t>本）</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．盈余公</w:t>
            </w:r>
          </w:p>
          <w:p>
            <w:pPr>
              <w:pStyle w:val="TableParagraph"/>
              <w:spacing w:line="234" w:lineRule="exact" w:before="15"/>
              <w:ind w:left="100" w:right="78"/>
              <w:jc w:val="left"/>
              <w:rPr>
                <w:rFonts w:ascii="宋体" w:hAnsi="宋体" w:cs="宋体" w:eastAsia="宋体" w:hint="default"/>
                <w:sz w:val="18"/>
                <w:szCs w:val="18"/>
              </w:rPr>
            </w:pPr>
            <w:r>
              <w:rPr>
                <w:rFonts w:ascii="宋体" w:hAnsi="宋体" w:cs="宋体" w:eastAsia="宋体" w:hint="default"/>
                <w:spacing w:val="14"/>
                <w:sz w:val="18"/>
                <w:szCs w:val="18"/>
              </w:rPr>
              <w:t>积弥补亏</w:t>
            </w:r>
            <w:r>
              <w:rPr>
                <w:rFonts w:ascii="宋体" w:hAnsi="宋体" w:cs="宋体" w:eastAsia="宋体" w:hint="default"/>
                <w:spacing w:val="-71"/>
                <w:sz w:val="18"/>
                <w:szCs w:val="18"/>
              </w:rPr>
              <w:t> </w:t>
            </w:r>
            <w:r>
              <w:rPr>
                <w:rFonts w:ascii="宋体" w:hAnsi="宋体" w:cs="宋体" w:eastAsia="宋体" w:hint="default"/>
                <w:sz w:val="18"/>
                <w:szCs w:val="18"/>
              </w:rPr>
              <w:t>损</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四、本期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133,851,865.01</w:t>
            </w:r>
          </w:p>
        </w:tc>
        <w:tc>
          <w:tcPr>
            <w:tcW w:w="57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21,707,746.73</w:t>
            </w:r>
          </w:p>
        </w:tc>
        <w:tc>
          <w:tcPr>
            <w:tcW w:w="396" w:type="dxa"/>
            <w:tcBorders>
              <w:top w:val="single" w:sz="6" w:space="0" w:color="101010"/>
              <w:left w:val="single" w:sz="6" w:space="0" w:color="101010"/>
              <w:bottom w:val="single" w:sz="6" w:space="0" w:color="101010"/>
              <w:right w:val="single" w:sz="6" w:space="0" w:color="101010"/>
            </w:tcBorders>
          </w:tcPr>
          <w:p>
            <w:pPr/>
          </w:p>
        </w:tc>
        <w:tc>
          <w:tcPr>
            <w:tcW w:w="1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32,481,521.81</w:t>
            </w:r>
          </w:p>
        </w:tc>
        <w:tc>
          <w:tcPr>
            <w:tcW w:w="396"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100" w:right="0"/>
              <w:jc w:val="left"/>
              <w:rPr>
                <w:rFonts w:ascii="Times New Roman" w:hAnsi="Times New Roman" w:cs="Times New Roman" w:eastAsia="Times New Roman" w:hint="default"/>
                <w:sz w:val="18"/>
                <w:szCs w:val="18"/>
              </w:rPr>
            </w:pPr>
            <w:r>
              <w:rPr>
                <w:rFonts w:ascii="Times New Roman"/>
                <w:sz w:val="18"/>
              </w:rPr>
              <w:t>36,376,342.32</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3" w:right="0"/>
              <w:jc w:val="center"/>
              <w:rPr>
                <w:rFonts w:ascii="Times New Roman" w:hAnsi="Times New Roman" w:cs="Times New Roman" w:eastAsia="Times New Roman" w:hint="default"/>
                <w:sz w:val="18"/>
                <w:szCs w:val="18"/>
              </w:rPr>
            </w:pPr>
            <w:r>
              <w:rPr>
                <w:rFonts w:ascii="Times New Roman"/>
                <w:sz w:val="18"/>
              </w:rPr>
              <w:t>361,857,475.87</w:t>
            </w:r>
          </w:p>
        </w:tc>
      </w:tr>
    </w:tbl>
    <w:p>
      <w:pPr>
        <w:pStyle w:val="BodyText"/>
        <w:tabs>
          <w:tab w:pos="2776" w:val="left" w:leader="none"/>
          <w:tab w:pos="6351" w:val="left" w:leader="none"/>
        </w:tabs>
        <w:spacing w:line="255" w:lineRule="exact"/>
        <w:ind w:right="0"/>
        <w:jc w:val="left"/>
        <w:rPr>
          <w:sz w:val="20"/>
          <w:szCs w:val="20"/>
        </w:rPr>
      </w:pPr>
      <w:r>
        <w:rPr/>
        <w:t>公司法定代表人</w:t>
      </w:r>
      <w:r>
        <w:rPr>
          <w:rFonts w:ascii="Times New Roman" w:hAnsi="Times New Roman" w:cs="Times New Roman" w:eastAsia="Times New Roman" w:hint="default"/>
        </w:rPr>
        <w:t>:</w:t>
      </w:r>
      <w:r>
        <w:rPr/>
        <w:t>杜宣</w:t>
        <w:tab/>
      </w:r>
      <w:r>
        <w:rPr>
          <w:spacing w:val="-1"/>
        </w:rPr>
        <w:t>主管会计工作负责人</w:t>
      </w:r>
      <w:r>
        <w:rPr>
          <w:rFonts w:ascii="Times New Roman" w:hAnsi="Times New Roman" w:cs="Times New Roman" w:eastAsia="Times New Roman" w:hint="default"/>
          <w:spacing w:val="-1"/>
        </w:rPr>
        <w:t>:</w:t>
      </w:r>
      <w:r>
        <w:rPr>
          <w:spacing w:val="-1"/>
        </w:rPr>
        <w:t>周永洪</w:t>
        <w:tab/>
        <w:t>会计机构负责人</w:t>
      </w:r>
      <w:r>
        <w:rPr>
          <w:rFonts w:ascii="Times New Roman" w:hAnsi="Times New Roman" w:cs="Times New Roman" w:eastAsia="Times New Roman" w:hint="default"/>
          <w:spacing w:val="-1"/>
        </w:rPr>
        <w:t>:</w:t>
      </w:r>
      <w:r>
        <w:rPr>
          <w:spacing w:val="-1"/>
          <w:sz w:val="20"/>
          <w:szCs w:val="20"/>
        </w:rPr>
        <w:t>周永洪</w:t>
      </w:r>
    </w:p>
    <w:p>
      <w:pPr>
        <w:spacing w:after="0" w:line="255" w:lineRule="exact"/>
        <w:jc w:val="left"/>
        <w:rPr>
          <w:sz w:val="20"/>
          <w:szCs w:val="20"/>
        </w:rPr>
        <w:sectPr>
          <w:pgSz w:w="12240" w:h="15840"/>
          <w:pgMar w:header="747" w:footer="727" w:top="1040" w:bottom="920" w:left="1380" w:right="4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272" w:lineRule="exact" w:before="63"/>
        <w:ind w:left="3643" w:right="3672"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82" w:lineRule="exact" w:before="35"/>
        <w:ind w:right="2197"/>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深圳市金证科技股份有限公司</w:t>
      </w:r>
    </w:p>
    <w:p>
      <w:pPr>
        <w:pStyle w:val="BodyText"/>
        <w:spacing w:line="282" w:lineRule="exact"/>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1897"/>
        <w:gridCol w:w="1424"/>
        <w:gridCol w:w="1340"/>
        <w:gridCol w:w="751"/>
        <w:gridCol w:w="1252"/>
        <w:gridCol w:w="1250"/>
        <w:gridCol w:w="1385"/>
      </w:tblGrid>
      <w:tr>
        <w:trPr>
          <w:trHeight w:val="436" w:hRule="exact"/>
        </w:trPr>
        <w:tc>
          <w:tcPr>
            <w:tcW w:w="1897" w:type="dxa"/>
            <w:vMerge w:val="restart"/>
            <w:tcBorders>
              <w:top w:val="single" w:sz="6" w:space="0" w:color="101010"/>
              <w:left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403"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82" w:hRule="exact"/>
        </w:trPr>
        <w:tc>
          <w:tcPr>
            <w:tcW w:w="1897" w:type="dxa"/>
            <w:vMerge/>
            <w:tcBorders>
              <w:left w:val="single" w:sz="6" w:space="0" w:color="101010"/>
              <w:bottom w:val="single" w:sz="6" w:space="0" w:color="101010"/>
              <w:right w:val="single" w:sz="6" w:space="0" w:color="101010"/>
            </w:tcBorders>
          </w:tcPr>
          <w:p>
            <w:pP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w:t>
            </w:r>
          </w:p>
          <w:p>
            <w:pPr>
              <w:pStyle w:val="TableParagraph"/>
              <w:spacing w:line="24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w:t>
            </w:r>
            <w:r>
              <w:rPr>
                <w:rFonts w:ascii="Times New Roman" w:hAnsi="Times New Roman" w:cs="Times New Roman" w:eastAsia="Times New Roman" w:hint="default"/>
                <w:sz w:val="18"/>
                <w:szCs w:val="18"/>
              </w:rPr>
              <w:t>)</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8" w:right="0" w:hanging="88"/>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25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所有者权益合</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133,972,437.05</w:t>
            </w: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18,069,932.01</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30,914,397.90</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320,396,766.96</w:t>
            </w: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w w:val="95"/>
                <w:sz w:val="18"/>
              </w:rPr>
              <w:t>-120,572.04</w:t>
            </w:r>
            <w:r>
              <w:rPr>
                <w:rFonts w:ascii="Times New Roman"/>
                <w:sz w:val="18"/>
              </w:rPr>
            </w: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5"/>
                <w:sz w:val="18"/>
              </w:rPr>
              <w:t>-256,954.48</w:t>
            </w:r>
            <w:r>
              <w:rPr>
                <w:rFonts w:ascii="Times New Roman"/>
                <w:sz w:val="18"/>
              </w:rPr>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30" w:right="0"/>
              <w:jc w:val="left"/>
              <w:rPr>
                <w:rFonts w:ascii="Times New Roman" w:hAnsi="Times New Roman" w:cs="Times New Roman" w:eastAsia="Times New Roman" w:hint="default"/>
                <w:sz w:val="18"/>
                <w:szCs w:val="18"/>
              </w:rPr>
            </w:pPr>
            <w:r>
              <w:rPr>
                <w:rFonts w:ascii="Times New Roman"/>
                <w:sz w:val="18"/>
              </w:rPr>
              <w:t>-2,312,590.31</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-2,690,116.83</w:t>
            </w: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133,851,865.01</w:t>
            </w: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17,812,977.53</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28,601,807.59</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317,706,650.13</w:t>
            </w:r>
          </w:p>
        </w:tc>
      </w:tr>
      <w:tr>
        <w:trPr>
          <w:trHeight w:val="715"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三、本年增减变动金</w:t>
            </w:r>
            <w:r>
              <w:rPr>
                <w:rFonts w:ascii="宋体" w:hAnsi="宋体" w:cs="宋体" w:eastAsia="宋体" w:hint="default"/>
                <w:sz w:val="18"/>
                <w:szCs w:val="18"/>
              </w:rPr>
            </w:r>
          </w:p>
          <w:p>
            <w:pPr>
              <w:pStyle w:val="TableParagraph"/>
              <w:spacing w:line="240" w:lineRule="auto"/>
              <w:ind w:left="100" w:right="92"/>
              <w:jc w:val="left"/>
              <w:rPr>
                <w:rFonts w:ascii="宋体" w:hAnsi="宋体" w:cs="宋体" w:eastAsia="宋体" w:hint="default"/>
                <w:sz w:val="18"/>
                <w:szCs w:val="18"/>
              </w:rPr>
            </w:pPr>
            <w:r>
              <w:rPr>
                <w:rFonts w:ascii="宋体" w:hAnsi="宋体" w:cs="宋体" w:eastAsia="宋体" w:hint="default"/>
                <w:spacing w:val="7"/>
                <w:sz w:val="18"/>
                <w:szCs w:val="18"/>
              </w:rPr>
              <w:t>额（减少以“－”号 </w:t>
            </w:r>
            <w:r>
              <w:rPr>
                <w:rFonts w:ascii="宋体" w:hAnsi="宋体" w:cs="宋体" w:eastAsia="宋体" w:hint="default"/>
                <w:sz w:val="18"/>
                <w:szCs w:val="18"/>
              </w:rPr>
              <w:t>填列）</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3,987,426.52</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35,886,838.73</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39,874,265.25</w:t>
            </w: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39,874,265.25</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39,874,265.25</w:t>
            </w:r>
          </w:p>
        </w:tc>
      </w:tr>
      <w:tr>
        <w:trPr>
          <w:trHeight w:val="481"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（二）直接计入所有</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者权益的利得和损失</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．可供出售金融资产</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公允价值变动净额</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．权益法下被投资单</w:t>
            </w:r>
          </w:p>
          <w:p>
            <w:pPr>
              <w:pStyle w:val="TableParagraph"/>
              <w:spacing w:line="234" w:lineRule="exact" w:before="15"/>
              <w:ind w:left="100" w:right="92"/>
              <w:jc w:val="left"/>
              <w:rPr>
                <w:rFonts w:ascii="宋体" w:hAnsi="宋体" w:cs="宋体" w:eastAsia="宋体" w:hint="default"/>
                <w:sz w:val="18"/>
                <w:szCs w:val="18"/>
              </w:rPr>
            </w:pPr>
            <w:r>
              <w:rPr>
                <w:rFonts w:ascii="宋体" w:hAnsi="宋体" w:cs="宋体" w:eastAsia="宋体" w:hint="default"/>
                <w:spacing w:val="7"/>
                <w:sz w:val="18"/>
                <w:szCs w:val="18"/>
              </w:rPr>
              <w:t>位其他所有者权益变 </w:t>
            </w:r>
            <w:r>
              <w:rPr>
                <w:rFonts w:ascii="宋体" w:hAnsi="宋体" w:cs="宋体" w:eastAsia="宋体" w:hint="default"/>
                <w:sz w:val="18"/>
                <w:szCs w:val="18"/>
              </w:rPr>
              <w:t>动的影响</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．与计入所有者权益</w:t>
            </w:r>
          </w:p>
          <w:p>
            <w:pPr>
              <w:pStyle w:val="TableParagraph"/>
              <w:spacing w:line="232" w:lineRule="exact" w:before="17"/>
              <w:ind w:left="100" w:right="92"/>
              <w:jc w:val="left"/>
              <w:rPr>
                <w:rFonts w:ascii="宋体" w:hAnsi="宋体" w:cs="宋体" w:eastAsia="宋体" w:hint="default"/>
                <w:sz w:val="18"/>
                <w:szCs w:val="18"/>
              </w:rPr>
            </w:pPr>
            <w:r>
              <w:rPr>
                <w:rFonts w:ascii="宋体" w:hAnsi="宋体" w:cs="宋体" w:eastAsia="宋体" w:hint="default"/>
                <w:spacing w:val="7"/>
                <w:sz w:val="18"/>
                <w:szCs w:val="18"/>
              </w:rPr>
              <w:t>项目相关的所得税影 </w:t>
            </w:r>
            <w:r>
              <w:rPr>
                <w:rFonts w:ascii="宋体" w:hAnsi="宋体" w:cs="宋体" w:eastAsia="宋体" w:hint="default"/>
                <w:sz w:val="18"/>
                <w:szCs w:val="18"/>
              </w:rPr>
              <w:t>响</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上述（一）和（二）</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100" w:right="0"/>
              <w:jc w:val="left"/>
              <w:rPr>
                <w:rFonts w:ascii="Times New Roman" w:hAnsi="Times New Roman" w:cs="Times New Roman" w:eastAsia="Times New Roman" w:hint="default"/>
                <w:sz w:val="18"/>
                <w:szCs w:val="18"/>
              </w:rPr>
            </w:pPr>
            <w:r>
              <w:rPr>
                <w:rFonts w:ascii="Times New Roman"/>
                <w:sz w:val="18"/>
              </w:rPr>
              <w:t>39,874,265.25</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39,874,265.25</w:t>
            </w:r>
          </w:p>
        </w:tc>
      </w:tr>
      <w:tr>
        <w:trPr>
          <w:trHeight w:val="481"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（三）所有者投入和</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3,987,426.52</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30" w:right="0"/>
              <w:jc w:val="left"/>
              <w:rPr>
                <w:rFonts w:ascii="Times New Roman" w:hAnsi="Times New Roman" w:cs="Times New Roman" w:eastAsia="Times New Roman" w:hint="default"/>
                <w:sz w:val="18"/>
                <w:szCs w:val="18"/>
              </w:rPr>
            </w:pPr>
            <w:r>
              <w:rPr>
                <w:rFonts w:ascii="Times New Roman"/>
                <w:sz w:val="18"/>
              </w:rPr>
              <w:t>-3,987,426.52</w:t>
            </w: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3,987,426.52</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30" w:right="0"/>
              <w:jc w:val="left"/>
              <w:rPr>
                <w:rFonts w:ascii="Times New Roman" w:hAnsi="Times New Roman" w:cs="Times New Roman" w:eastAsia="Times New Roman" w:hint="default"/>
                <w:sz w:val="18"/>
                <w:szCs w:val="18"/>
              </w:rPr>
            </w:pPr>
            <w:r>
              <w:rPr>
                <w:rFonts w:ascii="Times New Roman"/>
                <w:sz w:val="18"/>
              </w:rPr>
              <w:t>-3,987,426.52</w:t>
            </w: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．对所有者（或股东）</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（五）所有者权益内</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．盈余公积弥补亏损</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4"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133,851,865.01</w:t>
            </w:r>
          </w:p>
        </w:tc>
        <w:tc>
          <w:tcPr>
            <w:tcW w:w="751"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21,800,404.05</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Times New Roman"/>
                <w:sz w:val="18"/>
              </w:rPr>
              <w:t>64,488,646.32</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357,580,915.38</w:t>
            </w:r>
          </w:p>
        </w:tc>
      </w:tr>
    </w:tbl>
    <w:p>
      <w:pPr>
        <w:spacing w:after="0" w:line="240" w:lineRule="auto"/>
        <w:jc w:val="right"/>
        <w:rPr>
          <w:rFonts w:ascii="Times New Roman" w:hAnsi="Times New Roman" w:cs="Times New Roman" w:eastAsia="Times New Roman" w:hint="default"/>
          <w:sz w:val="18"/>
          <w:szCs w:val="18"/>
        </w:rPr>
        <w:sectPr>
          <w:pgSz w:w="12240" w:h="15840"/>
          <w:pgMar w:header="747" w:footer="727" w:top="1040" w:bottom="920" w:left="1380" w:right="1300"/>
        </w:sectPr>
      </w:pPr>
    </w:p>
    <w:p>
      <w:pPr>
        <w:spacing w:line="240" w:lineRule="auto" w:before="3"/>
        <w:rPr>
          <w:rFonts w:ascii="宋体" w:hAnsi="宋体" w:cs="宋体" w:eastAsia="宋体" w:hint="default"/>
          <w:sz w:val="24"/>
          <w:szCs w:val="24"/>
        </w:rPr>
      </w:pPr>
    </w:p>
    <w:p>
      <w:pPr>
        <w:pStyle w:val="BodyText"/>
        <w:spacing w:line="240" w:lineRule="auto" w:before="35"/>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1850"/>
        <w:gridCol w:w="1420"/>
        <w:gridCol w:w="1342"/>
        <w:gridCol w:w="744"/>
        <w:gridCol w:w="1250"/>
        <w:gridCol w:w="1312"/>
        <w:gridCol w:w="1382"/>
      </w:tblGrid>
      <w:tr>
        <w:trPr>
          <w:trHeight w:val="248" w:hRule="exact"/>
        </w:trPr>
        <w:tc>
          <w:tcPr>
            <w:tcW w:w="1850"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50" w:type="dxa"/>
            <w:gridSpan w:val="6"/>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482" w:hRule="exact"/>
        </w:trPr>
        <w:tc>
          <w:tcPr>
            <w:tcW w:w="1850" w:type="dxa"/>
            <w:vMerge/>
            <w:tcBorders>
              <w:left w:val="single" w:sz="6" w:space="0" w:color="101010"/>
              <w:bottom w:val="single" w:sz="6" w:space="0" w:color="101010"/>
              <w:right w:val="single" w:sz="6" w:space="0" w:color="101010"/>
            </w:tcBorders>
          </w:tcPr>
          <w:p>
            <w:pP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w:t>
            </w:r>
          </w:p>
          <w:p>
            <w:pPr>
              <w:pStyle w:val="TableParagraph"/>
              <w:spacing w:line="24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w:t>
            </w:r>
            <w:r>
              <w:rPr>
                <w:rFonts w:ascii="Times New Roman" w:hAnsi="Times New Roman" w:cs="Times New Roman" w:eastAsia="Times New Roman" w:hint="default"/>
                <w:sz w:val="18"/>
                <w:szCs w:val="18"/>
              </w:rPr>
              <w:t>)</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4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4" w:right="0" w:hanging="85"/>
              <w:jc w:val="left"/>
              <w:rPr>
                <w:rFonts w:ascii="宋体" w:hAnsi="宋体" w:cs="宋体" w:eastAsia="宋体" w:hint="default"/>
                <w:sz w:val="18"/>
                <w:szCs w:val="18"/>
              </w:rPr>
            </w:pPr>
            <w:r>
              <w:rPr>
                <w:rFonts w:ascii="宋体" w:hAnsi="宋体" w:cs="宋体" w:eastAsia="宋体" w:hint="default"/>
                <w:spacing w:val="-5"/>
                <w:sz w:val="18"/>
                <w:szCs w:val="18"/>
              </w:rPr>
              <w:t>减：库</w:t>
            </w:r>
          </w:p>
          <w:p>
            <w:pPr>
              <w:pStyle w:val="TableParagraph"/>
              <w:spacing w:line="235" w:lineRule="exact"/>
              <w:ind w:left="184"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25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所有者权益合</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204,509,843.41</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16,154,447.79</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8" w:right="0"/>
              <w:jc w:val="center"/>
              <w:rPr>
                <w:rFonts w:ascii="Times New Roman" w:hAnsi="Times New Roman" w:cs="Times New Roman" w:eastAsia="Times New Roman" w:hint="default"/>
                <w:sz w:val="18"/>
                <w:szCs w:val="18"/>
              </w:rPr>
            </w:pPr>
            <w:r>
              <w:rPr>
                <w:rFonts w:ascii="Times New Roman"/>
                <w:sz w:val="18"/>
              </w:rPr>
              <w:t>-27,011,298.10</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262,372,993.10</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50" w:right="0"/>
              <w:jc w:val="center"/>
              <w:rPr>
                <w:rFonts w:ascii="Times New Roman" w:hAnsi="Times New Roman" w:cs="Times New Roman" w:eastAsia="Times New Roman" w:hint="default"/>
                <w:sz w:val="18"/>
                <w:szCs w:val="18"/>
              </w:rPr>
            </w:pPr>
            <w:r>
              <w:rPr>
                <w:rFonts w:ascii="Times New Roman"/>
                <w:sz w:val="18"/>
              </w:rPr>
              <w:t>3,180,382.13</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3,180,382.13</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204,509,843.41</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16,154,447.79</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-23,830,915.97</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265,553,375.23</w:t>
            </w:r>
          </w:p>
        </w:tc>
      </w:tr>
      <w:tr>
        <w:trPr>
          <w:trHeight w:val="715"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额（减少以“－”号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填列）</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-70,657,978.40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1,658,529.74</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52,432,723.56</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52,153,274.90</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60" w:right="0"/>
              <w:jc w:val="center"/>
              <w:rPr>
                <w:rFonts w:ascii="Times New Roman" w:hAnsi="Times New Roman" w:cs="Times New Roman" w:eastAsia="Times New Roman" w:hint="default"/>
                <w:sz w:val="18"/>
                <w:szCs w:val="18"/>
              </w:rPr>
            </w:pPr>
            <w:r>
              <w:rPr>
                <w:rFonts w:ascii="Times New Roman"/>
                <w:sz w:val="18"/>
              </w:rPr>
              <w:t>54,091,253.30</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54,091,253.30</w:t>
            </w:r>
          </w:p>
        </w:tc>
      </w:tr>
      <w:tr>
        <w:trPr>
          <w:trHeight w:val="481"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（二）直接计入所有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者权益的利得和损失</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6"/>
                <w:sz w:val="18"/>
                <w:szCs w:val="18"/>
              </w:rPr>
              <w:t>．</w:t>
            </w:r>
            <w:r>
              <w:rPr>
                <w:rFonts w:ascii="宋体" w:hAnsi="宋体" w:cs="宋体" w:eastAsia="宋体" w:hint="default"/>
                <w:sz w:val="18"/>
                <w:szCs w:val="18"/>
              </w:rPr>
              <w:t>可供出售金融资产</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公允价值变动净额</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6"/>
                <w:sz w:val="18"/>
                <w:szCs w:val="18"/>
              </w:rPr>
              <w:t>．</w:t>
            </w:r>
            <w:r>
              <w:rPr>
                <w:rFonts w:ascii="宋体" w:hAnsi="宋体" w:cs="宋体" w:eastAsia="宋体" w:hint="default"/>
                <w:sz w:val="18"/>
                <w:szCs w:val="18"/>
              </w:rPr>
              <w:t>权益法下被投资单</w:t>
            </w:r>
          </w:p>
          <w:p>
            <w:pPr>
              <w:pStyle w:val="TableParagraph"/>
              <w:spacing w:line="234" w:lineRule="exact" w:before="15"/>
              <w:ind w:left="100" w:right="98"/>
              <w:jc w:val="left"/>
              <w:rPr>
                <w:rFonts w:ascii="宋体" w:hAnsi="宋体" w:cs="宋体" w:eastAsia="宋体" w:hint="default"/>
                <w:sz w:val="18"/>
                <w:szCs w:val="18"/>
              </w:rPr>
            </w:pPr>
            <w:r>
              <w:rPr>
                <w:rFonts w:ascii="宋体" w:hAnsi="宋体" w:cs="宋体" w:eastAsia="宋体" w:hint="default"/>
                <w:sz w:val="18"/>
                <w:szCs w:val="18"/>
              </w:rPr>
              <w:t>位其他所有者权益变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动的影响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76"/>
                <w:sz w:val="18"/>
                <w:szCs w:val="18"/>
              </w:rPr>
              <w:t>．</w:t>
            </w:r>
            <w:r>
              <w:rPr>
                <w:rFonts w:ascii="宋体" w:hAnsi="宋体" w:cs="宋体" w:eastAsia="宋体" w:hint="default"/>
                <w:sz w:val="18"/>
                <w:szCs w:val="18"/>
              </w:rPr>
              <w:t>与计入所有者权益</w:t>
            </w:r>
          </w:p>
          <w:p>
            <w:pPr>
              <w:pStyle w:val="TableParagraph"/>
              <w:spacing w:line="232" w:lineRule="exact" w:before="17"/>
              <w:ind w:left="100" w:right="98"/>
              <w:jc w:val="left"/>
              <w:rPr>
                <w:rFonts w:ascii="宋体" w:hAnsi="宋体" w:cs="宋体" w:eastAsia="宋体" w:hint="default"/>
                <w:sz w:val="18"/>
                <w:szCs w:val="18"/>
              </w:rPr>
            </w:pPr>
            <w:r>
              <w:rPr>
                <w:rFonts w:ascii="宋体" w:hAnsi="宋体" w:cs="宋体" w:eastAsia="宋体" w:hint="default"/>
                <w:sz w:val="18"/>
                <w:szCs w:val="18"/>
              </w:rPr>
              <w:t>项目相关的所得税影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60" w:right="0"/>
              <w:jc w:val="center"/>
              <w:rPr>
                <w:rFonts w:ascii="Times New Roman" w:hAnsi="Times New Roman" w:cs="Times New Roman" w:eastAsia="Times New Roman" w:hint="default"/>
                <w:sz w:val="18"/>
                <w:szCs w:val="18"/>
              </w:rPr>
            </w:pPr>
            <w:r>
              <w:rPr>
                <w:rFonts w:ascii="Times New Roman"/>
                <w:sz w:val="18"/>
              </w:rPr>
              <w:t>54,091,253.30</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54,091,253.30</w:t>
            </w:r>
          </w:p>
        </w:tc>
      </w:tr>
      <w:tr>
        <w:trPr>
          <w:trHeight w:val="481"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-1,937,978.40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-1,937,978.40</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6"/>
                <w:sz w:val="18"/>
                <w:szCs w:val="18"/>
              </w:rPr>
              <w:t>．</w:t>
            </w:r>
            <w:r>
              <w:rPr>
                <w:rFonts w:ascii="宋体" w:hAnsi="宋体" w:cs="宋体" w:eastAsia="宋体" w:hint="default"/>
                <w:sz w:val="18"/>
                <w:szCs w:val="18"/>
              </w:rPr>
              <w:t>股份支付计入所有</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-1,937,978.40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-1,937,978.40</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1,658,529.74</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90" w:right="0"/>
              <w:jc w:val="center"/>
              <w:rPr>
                <w:rFonts w:ascii="Times New Roman" w:hAnsi="Times New Roman" w:cs="Times New Roman" w:eastAsia="Times New Roman" w:hint="default"/>
                <w:sz w:val="18"/>
                <w:szCs w:val="18"/>
              </w:rPr>
            </w:pPr>
            <w:r>
              <w:rPr>
                <w:rFonts w:ascii="Times New Roman"/>
                <w:sz w:val="18"/>
              </w:rPr>
              <w:t>-1,658,529.74</w:t>
            </w: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1,658,529.74</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90" w:right="0"/>
              <w:jc w:val="center"/>
              <w:rPr>
                <w:rFonts w:ascii="Times New Roman" w:hAnsi="Times New Roman" w:cs="Times New Roman" w:eastAsia="Times New Roman" w:hint="default"/>
                <w:sz w:val="18"/>
                <w:szCs w:val="18"/>
              </w:rPr>
            </w:pPr>
            <w:r>
              <w:rPr>
                <w:rFonts w:ascii="Times New Roman"/>
                <w:sz w:val="18"/>
              </w:rPr>
              <w:t>-1,658,529.74</w:t>
            </w: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对所有</w:t>
            </w:r>
            <w:r>
              <w:rPr>
                <w:rFonts w:ascii="宋体" w:hAnsi="宋体" w:cs="宋体" w:eastAsia="宋体" w:hint="default"/>
                <w:spacing w:val="-83"/>
                <w:sz w:val="18"/>
                <w:szCs w:val="18"/>
              </w:rPr>
              <w:t>者</w:t>
            </w:r>
            <w:r>
              <w:rPr>
                <w:rFonts w:ascii="宋体" w:hAnsi="宋体" w:cs="宋体" w:eastAsia="宋体" w:hint="default"/>
                <w:sz w:val="18"/>
                <w:szCs w:val="18"/>
              </w:rPr>
              <w:t>（或股东）</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-68,720,000.00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6"/>
                <w:sz w:val="18"/>
                <w:szCs w:val="18"/>
              </w:rPr>
              <w:t>．</w:t>
            </w:r>
            <w:r>
              <w:rPr>
                <w:rFonts w:ascii="宋体" w:hAnsi="宋体" w:cs="宋体" w:eastAsia="宋体" w:hint="default"/>
                <w:sz w:val="18"/>
                <w:szCs w:val="18"/>
              </w:rPr>
              <w:t>资本公积转增资本</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68,720,000.00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-68,720,000.00</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6"/>
                <w:sz w:val="18"/>
                <w:szCs w:val="18"/>
              </w:rPr>
              <w:t>．</w:t>
            </w:r>
            <w:r>
              <w:rPr>
                <w:rFonts w:ascii="宋体" w:hAnsi="宋体" w:cs="宋体" w:eastAsia="宋体" w:hint="default"/>
                <w:sz w:val="18"/>
                <w:szCs w:val="18"/>
              </w:rPr>
              <w:t>盈余公积转增资本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76"/>
                <w:sz w:val="18"/>
                <w:szCs w:val="18"/>
              </w:rPr>
              <w:t>．</w:t>
            </w:r>
            <w:r>
              <w:rPr>
                <w:rFonts w:ascii="宋体" w:hAnsi="宋体" w:cs="宋体" w:eastAsia="宋体" w:hint="default"/>
                <w:sz w:val="18"/>
                <w:szCs w:val="18"/>
              </w:rPr>
              <w:t>盈余公积弥补亏损</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0" w:type="dxa"/>
            <w:tcBorders>
              <w:top w:val="single" w:sz="6" w:space="0" w:color="101010"/>
              <w:left w:val="single" w:sz="6" w:space="0" w:color="101010"/>
              <w:bottom w:val="single" w:sz="6" w:space="0" w:color="101010"/>
              <w:right w:val="single" w:sz="6" w:space="0" w:color="101010"/>
            </w:tcBorders>
          </w:tcPr>
          <w:p>
            <w:pPr/>
          </w:p>
        </w:tc>
        <w:tc>
          <w:tcPr>
            <w:tcW w:w="1342" w:type="dxa"/>
            <w:tcBorders>
              <w:top w:val="single" w:sz="6" w:space="0" w:color="101010"/>
              <w:left w:val="single" w:sz="6" w:space="0" w:color="101010"/>
              <w:bottom w:val="single" w:sz="6" w:space="0" w:color="101010"/>
              <w:right w:val="single" w:sz="6" w:space="0" w:color="101010"/>
            </w:tcBorders>
          </w:tcPr>
          <w:p>
            <w:pP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1312" w:type="dxa"/>
            <w:tcBorders>
              <w:top w:val="single" w:sz="6" w:space="0" w:color="101010"/>
              <w:left w:val="single" w:sz="6" w:space="0" w:color="101010"/>
              <w:bottom w:val="single" w:sz="6" w:space="0" w:color="101010"/>
              <w:right w:val="single" w:sz="6" w:space="0" w:color="101010"/>
            </w:tcBorders>
          </w:tcPr>
          <w:p>
            <w:pPr/>
          </w:p>
        </w:tc>
        <w:tc>
          <w:tcPr>
            <w:tcW w:w="1382"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137,440,000.00</w:t>
            </w:r>
          </w:p>
        </w:tc>
        <w:tc>
          <w:tcPr>
            <w:tcW w:w="13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133,851,865.01</w:t>
            </w:r>
          </w:p>
        </w:tc>
        <w:tc>
          <w:tcPr>
            <w:tcW w:w="744"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17,812,977.53</w:t>
            </w:r>
          </w:p>
        </w:tc>
        <w:tc>
          <w:tcPr>
            <w:tcW w:w="13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59" w:right="0"/>
              <w:jc w:val="center"/>
              <w:rPr>
                <w:rFonts w:ascii="Times New Roman" w:hAnsi="Times New Roman" w:cs="Times New Roman" w:eastAsia="Times New Roman" w:hint="default"/>
                <w:sz w:val="18"/>
                <w:szCs w:val="18"/>
              </w:rPr>
            </w:pPr>
            <w:r>
              <w:rPr>
                <w:rFonts w:ascii="Times New Roman"/>
                <w:sz w:val="18"/>
              </w:rPr>
              <w:t>28,601,807.59</w:t>
            </w:r>
          </w:p>
        </w:tc>
        <w:tc>
          <w:tcPr>
            <w:tcW w:w="1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317,706,650.13</w:t>
            </w:r>
          </w:p>
        </w:tc>
      </w:tr>
    </w:tbl>
    <w:p>
      <w:pPr>
        <w:pStyle w:val="BodyText"/>
        <w:tabs>
          <w:tab w:pos="2355" w:val="left" w:leader="none"/>
          <w:tab w:pos="5198" w:val="left" w:leader="none"/>
        </w:tabs>
        <w:spacing w:line="272" w:lineRule="exact"/>
        <w:ind w:right="0"/>
        <w:jc w:val="left"/>
        <w:rPr>
          <w:sz w:val="20"/>
          <w:szCs w:val="20"/>
        </w:rPr>
      </w:pPr>
      <w:r>
        <w:rPr/>
        <w:t>公司法定代表人</w:t>
      </w:r>
      <w:r>
        <w:rPr>
          <w:rFonts w:ascii="Times New Roman" w:hAnsi="Times New Roman" w:cs="Times New Roman" w:eastAsia="Times New Roman" w:hint="default"/>
        </w:rPr>
        <w:t>:</w:t>
      </w:r>
      <w:r>
        <w:rPr/>
        <w:t>杜宣</w:t>
        <w:tab/>
        <w:t>主管会计工作负责人</w:t>
      </w:r>
      <w:r>
        <w:rPr>
          <w:rFonts w:ascii="Times New Roman" w:hAnsi="Times New Roman" w:cs="Times New Roman" w:eastAsia="Times New Roman" w:hint="default"/>
        </w:rPr>
        <w:t>:</w:t>
      </w:r>
      <w:r>
        <w:rPr/>
        <w:t>周永洪</w:t>
        <w:tab/>
        <w:t>会计机构负责人</w:t>
      </w:r>
      <w:r>
        <w:rPr>
          <w:rFonts w:ascii="Times New Roman" w:hAnsi="Times New Roman" w:cs="Times New Roman" w:eastAsia="Times New Roman" w:hint="default"/>
        </w:rPr>
        <w:t>:</w:t>
      </w:r>
      <w:r>
        <w:rPr>
          <w:sz w:val="20"/>
          <w:szCs w:val="20"/>
        </w:rPr>
        <w:t>周永洪</w:t>
      </w:r>
    </w:p>
    <w:p>
      <w:pPr>
        <w:spacing w:after="0" w:line="272" w:lineRule="exact"/>
        <w:jc w:val="left"/>
        <w:rPr>
          <w:sz w:val="20"/>
          <w:szCs w:val="20"/>
        </w:rPr>
        <w:sectPr>
          <w:pgSz w:w="12240" w:h="15840"/>
          <w:pgMar w:header="747" w:footer="727" w:top="1040" w:bottom="920" w:left="1380" w:right="1300"/>
        </w:sectPr>
      </w:pPr>
    </w:p>
    <w:p>
      <w:pPr>
        <w:spacing w:line="240" w:lineRule="auto" w:before="3"/>
        <w:rPr>
          <w:rFonts w:ascii="宋体" w:hAnsi="宋体" w:cs="宋体" w:eastAsia="宋体" w:hint="default"/>
          <w:sz w:val="24"/>
          <w:szCs w:val="24"/>
        </w:rPr>
      </w:pPr>
    </w:p>
    <w:p>
      <w:pPr>
        <w:pStyle w:val="BodyText"/>
        <w:spacing w:line="240" w:lineRule="auto" w:before="35"/>
        <w:ind w:left="685" w:right="96"/>
        <w:jc w:val="left"/>
      </w:pPr>
      <w:r>
        <w:rPr/>
        <w:t>公司基本情况</w:t>
      </w:r>
    </w:p>
    <w:p>
      <w:pPr>
        <w:pStyle w:val="BodyText"/>
        <w:spacing w:line="272" w:lineRule="exact" w:before="145"/>
        <w:ind w:left="144" w:right="210" w:firstLine="540"/>
        <w:jc w:val="both"/>
      </w:pPr>
      <w:r>
        <w:rPr/>
        <w:t>深圳市金证科技股份有限公司（以下简称“本公司”或“公司”）前身为深圳市金证高科技有</w:t>
      </w:r>
      <w:r>
        <w:rPr>
          <w:spacing w:val="2"/>
        </w:rPr>
        <w:t> </w:t>
      </w:r>
      <w:r>
        <w:rPr>
          <w:spacing w:val="-3"/>
        </w:rPr>
        <w:t>限公司，成立于</w:t>
      </w:r>
      <w:r>
        <w:rPr>
          <w:spacing w:val="-54"/>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日经深圳市人民政府文件深府函</w:t>
      </w:r>
      <w:r>
        <w:rPr>
          <w:rFonts w:ascii="Times New Roman" w:hAnsi="Times New Roman" w:cs="Times New Roman" w:eastAsia="Times New Roman" w:hint="default"/>
        </w:rPr>
        <w:t>[2000]70</w:t>
      </w:r>
      <w:r>
        <w:rPr>
          <w:rFonts w:ascii="Times New Roman" w:hAnsi="Times New Roman" w:cs="Times New Roman" w:eastAsia="Times New Roman" w:hint="default"/>
          <w:spacing w:val="-2"/>
        </w:rPr>
        <w:t> </w:t>
      </w:r>
      <w:r>
        <w:rPr/>
        <w:t>号“关 于同意以发起方式设立深圳市金证科技股份有限公司的批复”的批准，依法整体变更发起设立深圳市 </w:t>
      </w:r>
      <w:r>
        <w:rPr>
          <w:spacing w:val="-9"/>
        </w:rPr>
        <w:t>金证科技股份有限公司。于</w:t>
      </w:r>
      <w:r>
        <w:rPr>
          <w:spacing w:val="-63"/>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spacing w:val="-1"/>
        </w:rPr>
        <w:t>日经中国证券监督管理委员会证监发行字</w:t>
      </w:r>
      <w:r>
        <w:rPr>
          <w:rFonts w:ascii="Times New Roman" w:hAnsi="Times New Roman" w:cs="Times New Roman" w:eastAsia="Times New Roman" w:hint="default"/>
          <w:spacing w:val="-1"/>
        </w:rPr>
        <w:t>[2003]142</w:t>
      </w:r>
      <w:r>
        <w:rPr>
          <w:rFonts w:ascii="Times New Roman" w:hAnsi="Times New Roman" w:cs="Times New Roman" w:eastAsia="Times New Roman" w:hint="default"/>
          <w:spacing w:val="-10"/>
        </w:rPr>
        <w:t> </w:t>
      </w:r>
      <w:r>
        <w:rPr>
          <w:spacing w:val="-1"/>
        </w:rPr>
        <w:t>号“关</w:t>
      </w:r>
      <w:r>
        <w:rPr/>
        <w:t> 于核准深圳市金证科技股份有限公司公开发行股票的通知”核准：向社会公开发行人民币普通股股票 </w:t>
      </w:r>
      <w:r>
        <w:rPr>
          <w:rFonts w:ascii="Times New Roman" w:hAnsi="Times New Roman" w:cs="Times New Roman" w:eastAsia="Times New Roman" w:hint="default"/>
        </w:rPr>
        <w:t>1800</w:t>
      </w:r>
      <w:r>
        <w:rPr>
          <w:rFonts w:ascii="Times New Roman" w:hAnsi="Times New Roman" w:cs="Times New Roman" w:eastAsia="Times New Roman" w:hint="default"/>
          <w:spacing w:val="-20"/>
        </w:rPr>
        <w:t> </w:t>
      </w:r>
      <w:r>
        <w:rPr/>
        <w:t>万股。股票代码：</w:t>
      </w:r>
      <w:r>
        <w:rPr>
          <w:rFonts w:ascii="Times New Roman" w:hAnsi="Times New Roman" w:cs="Times New Roman" w:eastAsia="Times New Roman" w:hint="default"/>
        </w:rPr>
        <w:t>600446</w:t>
      </w:r>
      <w:r>
        <w:rPr/>
        <w:t>。经深圳市工商行政管理局批准，领取</w:t>
      </w:r>
      <w:r>
        <w:rPr>
          <w:spacing w:val="-73"/>
        </w:rPr>
        <w:t> </w:t>
      </w:r>
      <w:r>
        <w:rPr>
          <w:rFonts w:ascii="Times New Roman" w:hAnsi="Times New Roman" w:cs="Times New Roman" w:eastAsia="Times New Roman" w:hint="default"/>
        </w:rPr>
        <w:t>4403012005330</w:t>
      </w:r>
      <w:r>
        <w:rPr>
          <w:rFonts w:ascii="Times New Roman" w:hAnsi="Times New Roman" w:cs="Times New Roman" w:eastAsia="Times New Roman" w:hint="default"/>
          <w:spacing w:val="-21"/>
        </w:rPr>
        <w:t> </w:t>
      </w:r>
      <w:r>
        <w:rPr/>
        <w:t>号企业法人营业 执照。法人代表：杜宣。</w:t>
      </w:r>
    </w:p>
    <w:p>
      <w:pPr>
        <w:pStyle w:val="BodyText"/>
        <w:spacing w:line="282" w:lineRule="exact" w:before="93"/>
        <w:ind w:left="685" w:right="96"/>
        <w:jc w:val="left"/>
      </w:pPr>
      <w:r>
        <w:rPr/>
        <w:t>本公司原注册资本人民币</w:t>
      </w:r>
      <w:r>
        <w:rPr>
          <w:spacing w:val="-45"/>
        </w:rPr>
        <w:t> </w:t>
      </w:r>
      <w:r>
        <w:rPr>
          <w:rFonts w:ascii="Times New Roman" w:hAnsi="Times New Roman" w:cs="Times New Roman" w:eastAsia="Times New Roman" w:hint="default"/>
        </w:rPr>
        <w:t>6872</w:t>
      </w:r>
      <w:r>
        <w:rPr>
          <w:rFonts w:ascii="Times New Roman" w:hAnsi="Times New Roman" w:cs="Times New Roman" w:eastAsia="Times New Roman" w:hint="default"/>
          <w:spacing w:val="8"/>
        </w:rPr>
        <w:t> </w:t>
      </w:r>
      <w:r>
        <w:rPr/>
        <w:t>万元，根据公司</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日</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年第三次临时股东大会</w:t>
      </w:r>
    </w:p>
    <w:p>
      <w:pPr>
        <w:pStyle w:val="BodyText"/>
        <w:spacing w:line="272" w:lineRule="exact"/>
        <w:ind w:right="96"/>
        <w:jc w:val="left"/>
        <w:rPr>
          <w:rFonts w:ascii="Times New Roman" w:hAnsi="Times New Roman" w:cs="Times New Roman" w:eastAsia="Times New Roman" w:hint="default"/>
        </w:rPr>
      </w:pPr>
      <w:r>
        <w:rPr/>
        <w:t>决议和修改后章程的规定，本公司于</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日由资本公积转增注册资本人民币</w:t>
      </w:r>
      <w:r>
        <w:rPr>
          <w:spacing w:val="-55"/>
        </w:rPr>
        <w:t> </w:t>
      </w:r>
      <w:r>
        <w:rPr>
          <w:rFonts w:ascii="Times New Roman" w:hAnsi="Times New Roman" w:cs="Times New Roman" w:eastAsia="Times New Roman" w:hint="default"/>
        </w:rPr>
        <w:t>68,720,000.00</w:t>
      </w:r>
    </w:p>
    <w:p>
      <w:pPr>
        <w:pStyle w:val="BodyText"/>
        <w:spacing w:line="282" w:lineRule="exact"/>
        <w:ind w:right="96"/>
        <w:jc w:val="left"/>
      </w:pPr>
      <w:r>
        <w:rPr/>
        <w:t>元，变更后的注册资本为人民币</w:t>
      </w:r>
      <w:r>
        <w:rPr>
          <w:spacing w:val="-56"/>
        </w:rPr>
        <w:t> </w:t>
      </w:r>
      <w:r>
        <w:rPr>
          <w:rFonts w:ascii="Times New Roman" w:hAnsi="Times New Roman" w:cs="Times New Roman" w:eastAsia="Times New Roman" w:hint="default"/>
        </w:rPr>
        <w:t>137,440,000.00</w:t>
      </w:r>
      <w:r>
        <w:rPr>
          <w:rFonts w:ascii="Times New Roman" w:hAnsi="Times New Roman" w:cs="Times New Roman" w:eastAsia="Times New Roman" w:hint="default"/>
          <w:spacing w:val="-4"/>
        </w:rPr>
        <w:t> </w:t>
      </w:r>
      <w:r>
        <w:rPr/>
        <w:t>元。</w:t>
      </w:r>
    </w:p>
    <w:p>
      <w:pPr>
        <w:pStyle w:val="BodyText"/>
        <w:spacing w:line="282" w:lineRule="exact" w:before="100"/>
        <w:ind w:left="684" w:right="96"/>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68"/>
        </w:rPr>
        <w:t>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日公司股权分置改革相关股东大会决议通过：公司非流通股股东为使其持有的本</w:t>
      </w:r>
    </w:p>
    <w:p>
      <w:pPr>
        <w:pStyle w:val="BodyText"/>
        <w:spacing w:line="272" w:lineRule="exact" w:before="18"/>
        <w:ind w:right="96" w:hanging="1"/>
        <w:jc w:val="left"/>
      </w:pPr>
      <w:r>
        <w:rPr>
          <w:spacing w:val="-3"/>
        </w:rPr>
        <w:t>公司非流通股获得流通权而向本公司流通股股东支付的对价为：流通股股东每持有</w:t>
      </w:r>
      <w:r>
        <w:rPr>
          <w:spacing w:val="-7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股将获得</w:t>
      </w:r>
      <w:r>
        <w:rPr>
          <w:spacing w:val="-79"/>
        </w:rPr>
        <w:t> </w:t>
      </w:r>
      <w:r>
        <w:rPr>
          <w:rFonts w:ascii="Times New Roman" w:hAnsi="Times New Roman" w:cs="Times New Roman" w:eastAsia="Times New Roman" w:hint="default"/>
          <w:spacing w:val="-1"/>
        </w:rPr>
        <w:t>3.2</w:t>
      </w:r>
      <w:r>
        <w:rPr>
          <w:rFonts w:ascii="Times New Roman" w:hAnsi="Times New Roman" w:cs="Times New Roman" w:eastAsia="Times New Roman" w:hint="default"/>
          <w:spacing w:val="1"/>
        </w:rPr>
        <w:t> </w:t>
      </w:r>
      <w:r>
        <w:rPr/>
        <w:t>股 的股份对价。实施上述送股对价后，公司股份总数不变，股份结构发生相应变化。</w:t>
      </w:r>
    </w:p>
    <w:p>
      <w:pPr>
        <w:pStyle w:val="BodyText"/>
        <w:spacing w:line="282" w:lineRule="exact" w:before="93"/>
        <w:ind w:left="684" w:right="96"/>
        <w:jc w:val="left"/>
        <w:rPr>
          <w:rFonts w:ascii="Times New Roman" w:hAnsi="Times New Roman" w:cs="Times New Roman" w:eastAsia="Times New Roman" w:hint="default"/>
        </w:rPr>
      </w:pPr>
      <w:r>
        <w:rPr/>
        <w:t>截止到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日，股本总数为 </w:t>
      </w:r>
      <w:r>
        <w:rPr>
          <w:rFonts w:ascii="Times New Roman" w:hAnsi="Times New Roman" w:cs="Times New Roman" w:eastAsia="Times New Roman" w:hint="default"/>
        </w:rPr>
        <w:t>137440000 </w:t>
      </w:r>
      <w:r>
        <w:rPr/>
        <w:t>股，其中：有限售条件股份为</w:t>
      </w:r>
      <w:r>
        <w:rPr>
          <w:spacing w:val="73"/>
        </w:rPr>
        <w:t> </w:t>
      </w:r>
      <w:r>
        <w:rPr>
          <w:rFonts w:ascii="Times New Roman" w:hAnsi="Times New Roman" w:cs="Times New Roman" w:eastAsia="Times New Roman" w:hint="default"/>
        </w:rPr>
        <w:t>40261612</w:t>
      </w:r>
    </w:p>
    <w:p>
      <w:pPr>
        <w:pStyle w:val="BodyText"/>
        <w:spacing w:line="282" w:lineRule="exact"/>
        <w:ind w:left="144" w:right="96"/>
        <w:jc w:val="left"/>
        <w:rPr>
          <w:rFonts w:ascii="Times New Roman" w:hAnsi="Times New Roman" w:cs="Times New Roman" w:eastAsia="Times New Roman" w:hint="default"/>
        </w:rPr>
      </w:pPr>
      <w:r>
        <w:rPr/>
        <w:t>股，占股份总数的 </w:t>
      </w:r>
      <w:r>
        <w:rPr>
          <w:rFonts w:ascii="Times New Roman" w:hAnsi="Times New Roman" w:cs="Times New Roman" w:eastAsia="Times New Roman" w:hint="default"/>
        </w:rPr>
        <w:t>29.29 %</w:t>
      </w:r>
      <w:r>
        <w:rPr/>
        <w:t>，无限售条件股份为 </w:t>
      </w:r>
      <w:r>
        <w:rPr>
          <w:rFonts w:ascii="Times New Roman" w:hAnsi="Times New Roman" w:cs="Times New Roman" w:eastAsia="Times New Roman" w:hint="default"/>
        </w:rPr>
        <w:t>97178388 </w:t>
      </w:r>
      <w:r>
        <w:rPr/>
        <w:t>股，占股份总数的 </w:t>
      </w:r>
      <w:r>
        <w:rPr>
          <w:rFonts w:ascii="Times New Roman" w:hAnsi="Times New Roman" w:cs="Times New Roman" w:eastAsia="Times New Roman" w:hint="default"/>
        </w:rPr>
        <w:t>70.71</w:t>
      </w:r>
      <w:r>
        <w:rPr>
          <w:rFonts w:ascii="Times New Roman" w:hAnsi="Times New Roman" w:cs="Times New Roman" w:eastAsia="Times New Roman" w:hint="default"/>
          <w:spacing w:val="-14"/>
        </w:rPr>
        <w:t> </w:t>
      </w:r>
      <w:r>
        <w:rPr>
          <w:rFonts w:ascii="Times New Roman" w:hAnsi="Times New Roman" w:cs="Times New Roman" w:eastAsia="Times New Roman" w:hint="default"/>
        </w:rPr>
        <w:t>%</w:t>
      </w:r>
    </w:p>
    <w:p>
      <w:pPr>
        <w:pStyle w:val="BodyText"/>
        <w:spacing w:line="324" w:lineRule="auto" w:before="101"/>
        <w:ind w:left="684" w:right="96"/>
        <w:jc w:val="left"/>
      </w:pPr>
      <w:r>
        <w:rPr/>
        <w:t>行业性质：</w:t>
      </w:r>
      <w:r>
        <w:rPr>
          <w:rFonts w:ascii="Times New Roman" w:hAnsi="Times New Roman" w:cs="Times New Roman" w:eastAsia="Times New Roman" w:hint="default"/>
        </w:rPr>
        <w:t>IT </w:t>
      </w:r>
      <w:r>
        <w:rPr/>
        <w:t>行业。 公司经营范围：计算机应用系统及配套设备的技术开发、生产、销售；电子产品、通讯器材、</w:t>
      </w:r>
    </w:p>
    <w:p>
      <w:pPr>
        <w:pStyle w:val="BodyText"/>
        <w:spacing w:line="198" w:lineRule="exact"/>
        <w:ind w:left="144" w:right="96"/>
        <w:jc w:val="left"/>
      </w:pPr>
      <w:r>
        <w:rPr/>
        <w:t>机械设备的购销及国内商业</w:t>
      </w:r>
      <w:r>
        <w:rPr>
          <w:spacing w:val="-17"/>
        </w:rPr>
        <w:t>，</w:t>
      </w:r>
      <w:r>
        <w:rPr/>
        <w:t>物资供销</w:t>
      </w:r>
      <w:r>
        <w:rPr>
          <w:spacing w:val="-17"/>
        </w:rPr>
        <w:t>业</w:t>
      </w:r>
      <w:r>
        <w:rPr/>
        <w:t>（不含专营</w:t>
      </w:r>
      <w:r>
        <w:rPr>
          <w:spacing w:val="-17"/>
        </w:rPr>
        <w:t>、</w:t>
      </w:r>
      <w:r>
        <w:rPr/>
        <w:t>专控</w:t>
      </w:r>
      <w:r>
        <w:rPr>
          <w:spacing w:val="-17"/>
        </w:rPr>
        <w:t>、</w:t>
      </w:r>
      <w:r>
        <w:rPr/>
        <w:t>专卖商品及限制项目</w:t>
      </w:r>
      <w:r>
        <w:rPr>
          <w:spacing w:val="-105"/>
        </w:rPr>
        <w:t>）</w:t>
      </w:r>
      <w:r>
        <w:rPr>
          <w:spacing w:val="-17"/>
        </w:rPr>
        <w:t>，</w:t>
      </w:r>
      <w:r>
        <w:rPr/>
        <w:t>进出</w:t>
      </w:r>
      <w:r>
        <w:rPr>
          <w:spacing w:val="-2"/>
        </w:rPr>
        <w:t>口</w:t>
      </w:r>
      <w:r>
        <w:rPr/>
        <w:t>业</w:t>
      </w:r>
      <w:r>
        <w:rPr>
          <w:spacing w:val="-17"/>
        </w:rPr>
        <w:t>务</w:t>
      </w:r>
      <w:r>
        <w:rPr>
          <w:spacing w:val="-2"/>
        </w:rPr>
        <w:t>（</w:t>
      </w:r>
      <w:r>
        <w:rPr/>
        <w:t>具</w:t>
      </w:r>
    </w:p>
    <w:p>
      <w:pPr>
        <w:pStyle w:val="BodyText"/>
        <w:spacing w:line="272" w:lineRule="exact" w:before="26"/>
        <w:ind w:right="100" w:hanging="1"/>
        <w:jc w:val="left"/>
      </w:pPr>
      <w:r>
        <w:rPr/>
        <w:t>体按深贸管准证字第</w:t>
      </w:r>
      <w:r>
        <w:rPr>
          <w:spacing w:val="-49"/>
        </w:rPr>
        <w:t> </w:t>
      </w:r>
      <w:r>
        <w:rPr>
          <w:rFonts w:ascii="Times New Roman" w:hAnsi="Times New Roman" w:cs="Times New Roman" w:eastAsia="Times New Roman" w:hint="default"/>
          <w:spacing w:val="-1"/>
        </w:rPr>
        <w:t>2003-2435</w:t>
      </w:r>
      <w:r>
        <w:rPr>
          <w:rFonts w:ascii="Times New Roman" w:hAnsi="Times New Roman" w:cs="Times New Roman" w:eastAsia="Times New Roman" w:hint="default"/>
          <w:spacing w:val="4"/>
        </w:rPr>
        <w:t> </w:t>
      </w:r>
      <w:r>
        <w:rPr>
          <w:spacing w:val="-9"/>
        </w:rPr>
        <w:t>号文执行）。建筑智能化工程专业（凭《建筑业企业资质证书》经营）；</w:t>
      </w:r>
      <w:r>
        <w:rPr/>
        <w:t> 专业音响、灯光、多媒体显示、会议公共广播设备、闭路监控设备的购销与安装。</w:t>
      </w:r>
    </w:p>
    <w:p>
      <w:pPr>
        <w:pStyle w:val="BodyText"/>
        <w:spacing w:line="331" w:lineRule="auto" w:before="93"/>
        <w:ind w:left="684" w:right="4696"/>
        <w:jc w:val="left"/>
      </w:pPr>
      <w:r>
        <w:rPr/>
        <w:t>主要产品：金融证券软件、系统集成及服务。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公司主要会计政策、会计估计和会计差错 </w:t>
      </w:r>
      <w:r>
        <w:rPr>
          <w:rFonts w:ascii="Times New Roman" w:hAnsi="Times New Roman" w:cs="Times New Roman" w:eastAsia="Times New Roman" w:hint="default"/>
        </w:rPr>
        <w:t>1</w:t>
      </w:r>
      <w:r>
        <w:rPr/>
        <w:t>、会计准则和会计制度： 遵循企业会计准则的声明。</w:t>
      </w:r>
    </w:p>
    <w:p>
      <w:pPr>
        <w:pStyle w:val="BodyText"/>
        <w:spacing w:line="272" w:lineRule="exact" w:before="65"/>
        <w:ind w:left="144" w:right="211" w:firstLine="539"/>
        <w:jc w:val="both"/>
      </w:pPr>
      <w:r>
        <w:rPr/>
        <w:t>公司所编制的财务报表符合企业会计准则的要求，真实、完整地反映了公司的财务状况、经营</w:t>
      </w:r>
      <w:r>
        <w:rPr>
          <w:spacing w:val="2"/>
        </w:rPr>
        <w:t> </w:t>
      </w:r>
      <w:r>
        <w:rPr/>
        <w:t>成果、股东权益变动和现金流量等有关信息。</w:t>
      </w:r>
    </w:p>
    <w:p>
      <w:pPr>
        <w:pStyle w:val="BodyText"/>
        <w:spacing w:line="324" w:lineRule="auto" w:before="93"/>
        <w:ind w:left="684" w:right="96"/>
        <w:jc w:val="left"/>
      </w:pPr>
      <w:r>
        <w:rPr>
          <w:rFonts w:ascii="Times New Roman" w:hAnsi="Times New Roman" w:cs="Times New Roman" w:eastAsia="Times New Roman" w:hint="default"/>
        </w:rPr>
        <w:t>2</w:t>
      </w:r>
      <w:r>
        <w:rPr/>
        <w:t>、财务报表的编制基础： 公司以持续经营为基础，根据实际发生的交易和事项，按照《企业会计准则—基本准则》和其</w:t>
      </w:r>
    </w:p>
    <w:p>
      <w:pPr>
        <w:pStyle w:val="BodyText"/>
        <w:spacing w:line="199" w:lineRule="exact"/>
        <w:ind w:left="144" w:right="96"/>
        <w:jc w:val="left"/>
      </w:pPr>
      <w:r>
        <w:rPr/>
        <w:t>他各项会计准则的规定进行确认和计量，在此基础上编制财务报表。</w:t>
      </w:r>
    </w:p>
    <w:p>
      <w:pPr>
        <w:pStyle w:val="BodyText"/>
        <w:spacing w:line="272" w:lineRule="exact" w:before="145"/>
        <w:ind w:left="144" w:right="210" w:firstLine="540"/>
        <w:jc w:val="both"/>
      </w:pPr>
      <w:r>
        <w:rPr/>
        <w:t>资产负债表年初数和可比期间的利润表，系按照证监发</w:t>
      </w:r>
      <w:r>
        <w:rPr>
          <w:rFonts w:ascii="Times New Roman" w:hAnsi="Times New Roman" w:cs="Times New Roman" w:eastAsia="Times New Roman" w:hint="default"/>
        </w:rPr>
        <w:t>[2006]136 </w:t>
      </w:r>
      <w:r>
        <w:rPr/>
        <w:t>号文和证监会计字</w:t>
      </w:r>
      <w:r>
        <w:rPr>
          <w:rFonts w:ascii="Times New Roman" w:hAnsi="Times New Roman" w:cs="Times New Roman" w:eastAsia="Times New Roman" w:hint="default"/>
        </w:rPr>
        <w:t>[2007]10</w:t>
      </w:r>
      <w:r>
        <w:rPr>
          <w:rFonts w:ascii="Times New Roman" w:hAnsi="Times New Roman" w:cs="Times New Roman" w:eastAsia="Times New Roman" w:hint="default"/>
          <w:spacing w:val="14"/>
        </w:rPr>
        <w:t> </w:t>
      </w:r>
      <w:r>
        <w:rPr/>
        <w:t>号 </w:t>
      </w:r>
      <w:r>
        <w:rPr>
          <w:spacing w:val="-5"/>
        </w:rPr>
        <w:t>文的规定，对《企业会计准则第</w:t>
      </w:r>
      <w:r>
        <w:rPr>
          <w:spacing w:val="-71"/>
        </w:rPr>
        <w:t> </w:t>
      </w:r>
      <w:r>
        <w:rPr>
          <w:rFonts w:ascii="Times New Roman" w:hAnsi="Times New Roman" w:cs="Times New Roman" w:eastAsia="Times New Roman" w:hint="default"/>
        </w:rPr>
        <w:t>38</w:t>
      </w:r>
      <w:r>
        <w:rPr>
          <w:rFonts w:ascii="Times New Roman" w:hAnsi="Times New Roman" w:cs="Times New Roman" w:eastAsia="Times New Roman" w:hint="default"/>
          <w:spacing w:val="-18"/>
        </w:rPr>
        <w:t> </w:t>
      </w:r>
      <w:r>
        <w:rPr/>
        <w:t>号—首次执行企业会计准则》第五条至第十九条规定需要追溯调整 的事项，按照追溯调整的原则进行调整后而编制的。</w:t>
      </w:r>
    </w:p>
    <w:p>
      <w:pPr>
        <w:pStyle w:val="BodyText"/>
        <w:spacing w:line="240" w:lineRule="auto" w:before="91"/>
        <w:ind w:left="684" w:right="96"/>
        <w:jc w:val="left"/>
      </w:pPr>
      <w:r>
        <w:rPr>
          <w:rFonts w:ascii="Times New Roman" w:hAnsi="Times New Roman" w:cs="Times New Roman" w:eastAsia="Times New Roman" w:hint="default"/>
        </w:rPr>
        <w:t>3</w:t>
      </w:r>
      <w:r>
        <w:rPr/>
        <w:t>、会计年度：</w:t>
      </w:r>
    </w:p>
    <w:p>
      <w:pPr>
        <w:pStyle w:val="BodyText"/>
        <w:spacing w:line="240" w:lineRule="auto" w:before="101"/>
        <w:ind w:left="684" w:right="96"/>
        <w:jc w:val="left"/>
      </w:pPr>
      <w:r>
        <w:rPr/>
        <w:t>本公司会计年度自公历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pStyle w:val="BodyText"/>
        <w:spacing w:line="324" w:lineRule="auto" w:before="101"/>
        <w:ind w:left="684" w:right="5956"/>
        <w:jc w:val="left"/>
      </w:pPr>
      <w:r>
        <w:rPr>
          <w:rFonts w:ascii="Times New Roman" w:hAnsi="Times New Roman" w:cs="Times New Roman" w:eastAsia="Times New Roman" w:hint="default"/>
        </w:rPr>
        <w:t>4</w:t>
      </w:r>
      <w:r>
        <w:rPr/>
        <w:t>、记账本位币： 本公司的记账本位币为人民币。</w:t>
      </w:r>
    </w:p>
    <w:p>
      <w:pPr>
        <w:pStyle w:val="BodyText"/>
        <w:spacing w:line="324" w:lineRule="auto" w:before="44"/>
        <w:ind w:left="684" w:right="96"/>
        <w:jc w:val="left"/>
      </w:pPr>
      <w:r>
        <w:rPr>
          <w:rFonts w:ascii="Times New Roman" w:hAnsi="Times New Roman" w:cs="Times New Roman" w:eastAsia="Times New Roman" w:hint="default"/>
        </w:rPr>
        <w:t>5</w:t>
      </w:r>
      <w:r>
        <w:rPr/>
        <w:t>、计量属性在本期发生变化的报表项目及其本期采用的计量属性： 本公司在对会计报表项目进行计量时，一般采用历史成本，如所确定的会计要素金额能够取得</w:t>
      </w:r>
    </w:p>
    <w:p>
      <w:pPr>
        <w:pStyle w:val="BodyText"/>
        <w:spacing w:line="199" w:lineRule="exact"/>
        <w:ind w:left="144" w:right="96"/>
        <w:jc w:val="left"/>
      </w:pPr>
      <w:r>
        <w:rPr/>
        <w:t>并可靠计量则对个别会计要素采用重置成本、可变现净值、现值、公允价值计量。</w:t>
      </w:r>
    </w:p>
    <w:p>
      <w:pPr>
        <w:spacing w:after="0" w:line="199" w:lineRule="exact"/>
        <w:jc w:val="left"/>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324" w:lineRule="auto" w:before="35"/>
        <w:ind w:left="685" w:right="96"/>
        <w:jc w:val="left"/>
      </w:pPr>
      <w:r>
        <w:rPr>
          <w:rFonts w:ascii="Times New Roman" w:hAnsi="Times New Roman" w:cs="Times New Roman" w:eastAsia="Times New Roman" w:hint="default"/>
        </w:rPr>
        <w:t>1</w:t>
      </w:r>
      <w:r>
        <w:rPr/>
        <w:t>）公允价值计量属性 在公允价值计量下，资产和负债按照在公平交易中，熟悉情况的交易双方自愿进行资产交换或</w:t>
      </w:r>
    </w:p>
    <w:p>
      <w:pPr>
        <w:pStyle w:val="BodyText"/>
        <w:spacing w:line="199" w:lineRule="exact"/>
        <w:ind w:right="0"/>
        <w:jc w:val="both"/>
      </w:pPr>
      <w:r>
        <w:rPr/>
        <w:t>者债务清偿的金额计量。</w:t>
      </w:r>
    </w:p>
    <w:p>
      <w:pPr>
        <w:pStyle w:val="BodyText"/>
        <w:spacing w:line="272" w:lineRule="exact" w:before="145"/>
        <w:ind w:right="195" w:firstLine="539"/>
        <w:jc w:val="left"/>
      </w:pPr>
      <w:r>
        <w:rPr/>
        <w:t>本年公司报表项目中采用公允价值计量的项目包括：交易性金融资产 本公司从证券交易所公布的股票或基金价格扣除已宣告但未发放的现金股利和相关交易税费之和确定 相关资产的公允价值。</w:t>
      </w:r>
    </w:p>
    <w:p>
      <w:pPr>
        <w:pStyle w:val="BodyText"/>
        <w:spacing w:line="240" w:lineRule="auto" w:before="93"/>
        <w:ind w:left="685" w:right="96"/>
        <w:jc w:val="left"/>
      </w:pPr>
      <w:r>
        <w:rPr>
          <w:rFonts w:ascii="Times New Roman" w:hAnsi="Times New Roman" w:cs="Times New Roman" w:eastAsia="Times New Roman" w:hint="default"/>
        </w:rPr>
        <w:t>2</w:t>
      </w:r>
      <w:r>
        <w:rPr/>
        <w:t>）计量属性在本年发生变化的报表项目：交易性金融资产</w:t>
      </w:r>
    </w:p>
    <w:p>
      <w:pPr>
        <w:pStyle w:val="BodyText"/>
        <w:spacing w:line="240" w:lineRule="auto" w:before="101"/>
        <w:ind w:left="685" w:right="96"/>
        <w:jc w:val="left"/>
      </w:pPr>
      <w:r>
        <w:rPr>
          <w:rFonts w:ascii="Times New Roman" w:hAnsi="Times New Roman" w:cs="Times New Roman" w:eastAsia="Times New Roman" w:hint="default"/>
        </w:rPr>
        <w:t>3</w:t>
      </w:r>
      <w:r>
        <w:rPr/>
        <w:t>）计量属性本年发生变化的报表项目采用的计量属性：公允价值。</w:t>
      </w:r>
    </w:p>
    <w:p>
      <w:pPr>
        <w:pStyle w:val="BodyText"/>
        <w:spacing w:line="324" w:lineRule="auto" w:before="101"/>
        <w:ind w:left="685" w:right="201"/>
        <w:jc w:val="left"/>
      </w:pPr>
      <w:r>
        <w:rPr>
          <w:rFonts w:ascii="Times New Roman" w:hAnsi="Times New Roman" w:cs="Times New Roman" w:eastAsia="Times New Roman" w:hint="default"/>
        </w:rPr>
        <w:t>6</w:t>
      </w:r>
      <w:r>
        <w:rPr/>
        <w:t>、现金等价物的确定标准： </w:t>
      </w:r>
      <w:r>
        <w:rPr>
          <w:spacing w:val="-3"/>
        </w:rPr>
        <w:t>在编制现金流量表时，将同时具备期限短（从购买日起三个月内到期）、流动性强、易于转换为</w:t>
      </w:r>
    </w:p>
    <w:p>
      <w:pPr>
        <w:pStyle w:val="BodyText"/>
        <w:spacing w:line="199" w:lineRule="exact"/>
        <w:ind w:right="0"/>
        <w:jc w:val="both"/>
      </w:pPr>
      <w:r>
        <w:rPr/>
        <w:t>已知现金、价值变动风险很小四个条件的投资，确定为现金等价物。</w:t>
      </w:r>
    </w:p>
    <w:p>
      <w:pPr>
        <w:pStyle w:val="BodyText"/>
        <w:spacing w:line="324" w:lineRule="auto" w:before="116"/>
        <w:ind w:left="685" w:right="96"/>
        <w:jc w:val="left"/>
      </w:pPr>
      <w:r>
        <w:rPr>
          <w:rFonts w:ascii="Times New Roman" w:hAnsi="Times New Roman" w:cs="Times New Roman" w:eastAsia="Times New Roman" w:hint="default"/>
        </w:rPr>
        <w:t>7</w:t>
      </w:r>
      <w:r>
        <w:rPr/>
        <w:t>、外币业务核算方法： 外币交易应当在初始确认时，采用交易发生日的即期汇率作为折算汇率，折合成人民币记账。</w:t>
      </w:r>
    </w:p>
    <w:p>
      <w:pPr>
        <w:pStyle w:val="BodyText"/>
        <w:spacing w:line="198" w:lineRule="exact"/>
        <w:ind w:right="0"/>
        <w:jc w:val="both"/>
      </w:pPr>
      <w:r>
        <w:rPr/>
        <w:t>在资产负债表日，外币货币性项目，采用资产负债表日即期汇率折算。因资产负债表日即期汇率与初</w:t>
      </w:r>
    </w:p>
    <w:p>
      <w:pPr>
        <w:pStyle w:val="BodyText"/>
        <w:spacing w:line="272" w:lineRule="exact" w:before="26"/>
        <w:ind w:right="195"/>
        <w:jc w:val="left"/>
      </w:pPr>
      <w:r>
        <w:rPr/>
        <w:t>始确认时或者前一资产负债表日即期汇率不同而产生的汇兑差额，计入当期损益。以历史成本计量的 外币非货币性项目，仍采用交易发生日的即期汇率折算，不改变其记账本位币金额。</w:t>
      </w:r>
    </w:p>
    <w:p>
      <w:pPr>
        <w:pStyle w:val="BodyText"/>
        <w:spacing w:line="272" w:lineRule="exact" w:before="120"/>
        <w:ind w:right="96" w:firstLine="539"/>
        <w:jc w:val="left"/>
      </w:pPr>
      <w:r>
        <w:rPr/>
        <w:t>外币专门借款发生的汇兑差额，可直接归属于符合资本化条件资产的购建或者生产的，按规定</w:t>
      </w:r>
      <w:r>
        <w:rPr>
          <w:spacing w:val="2"/>
        </w:rPr>
        <w:t> </w:t>
      </w:r>
      <w:r>
        <w:rPr/>
        <w:t>予以资本化，计入相关资产成本；其他的汇兑差额在发生时根据其发生额计入当期损益。</w:t>
      </w:r>
    </w:p>
    <w:p>
      <w:pPr>
        <w:pStyle w:val="BodyText"/>
        <w:spacing w:line="240" w:lineRule="auto" w:before="93"/>
        <w:ind w:left="685" w:right="96"/>
        <w:jc w:val="left"/>
      </w:pPr>
      <w:r>
        <w:rPr>
          <w:rFonts w:ascii="Times New Roman" w:hAnsi="Times New Roman" w:cs="Times New Roman" w:eastAsia="Times New Roman" w:hint="default"/>
        </w:rPr>
        <w:t>8</w:t>
      </w:r>
      <w:r>
        <w:rPr/>
        <w:t>、金融资产和金融负债的核算方法：</w:t>
      </w:r>
    </w:p>
    <w:p>
      <w:pPr>
        <w:pStyle w:val="BodyText"/>
        <w:spacing w:line="324" w:lineRule="auto" w:before="101"/>
        <w:ind w:left="685" w:right="96"/>
        <w:jc w:val="left"/>
      </w:pPr>
      <w:r>
        <w:rPr>
          <w:rFonts w:ascii="Times New Roman" w:hAnsi="Times New Roman" w:cs="Times New Roman" w:eastAsia="Times New Roman" w:hint="default"/>
        </w:rPr>
        <w:t>1</w:t>
      </w:r>
      <w:r>
        <w:rPr/>
        <w:t>）金融资产和金融负债的分类 管理层按照取得或承担金融资产和金融负债的目的、基于风险管理、战略投资需要等所作的指</w:t>
      </w:r>
    </w:p>
    <w:p>
      <w:pPr>
        <w:pStyle w:val="BodyText"/>
        <w:spacing w:line="198" w:lineRule="exact"/>
        <w:ind w:right="0"/>
        <w:jc w:val="both"/>
      </w:pPr>
      <w:r>
        <w:rPr/>
        <w:t>定以及金融资产、金融负债的特征，将金融资产和金融负债划分为：以公允价值计量且其变动计入当</w:t>
      </w:r>
    </w:p>
    <w:p>
      <w:pPr>
        <w:pStyle w:val="BodyText"/>
        <w:spacing w:line="272" w:lineRule="exact" w:before="26"/>
        <w:ind w:right="212"/>
        <w:jc w:val="both"/>
      </w:pPr>
      <w:r>
        <w:rPr/>
        <w:t>期损益的金融资产或金融负债，包括交易性金融资产或金融负债和直接指定为以公允价值计量且其变 动计入当期损益的金融资产或金融负债；持有至到期投资；贷款和应收款项；可供出售金融资产；其 他金融负债等。</w:t>
      </w:r>
    </w:p>
    <w:p>
      <w:pPr>
        <w:pStyle w:val="BodyText"/>
        <w:spacing w:line="240" w:lineRule="auto" w:before="93"/>
        <w:ind w:left="685" w:right="96"/>
        <w:jc w:val="left"/>
      </w:pPr>
      <w:r>
        <w:rPr>
          <w:rFonts w:ascii="Times New Roman" w:hAnsi="Times New Roman" w:cs="Times New Roman" w:eastAsia="Times New Roman" w:hint="default"/>
        </w:rPr>
        <w:t>2</w:t>
      </w:r>
      <w:r>
        <w:rPr/>
        <w:t>）金融资产和金融负债的确认和计量</w:t>
      </w:r>
    </w:p>
    <w:p>
      <w:pPr>
        <w:pStyle w:val="BodyText"/>
        <w:spacing w:line="272" w:lineRule="exact" w:before="129"/>
        <w:ind w:right="195" w:firstLine="540"/>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 始确认金额。</w:t>
      </w:r>
    </w:p>
    <w:p>
      <w:pPr>
        <w:pStyle w:val="BodyText"/>
        <w:spacing w:line="343" w:lineRule="auto" w:before="93"/>
        <w:ind w:left="684" w:right="96"/>
        <w:jc w:val="left"/>
      </w:pPr>
      <w:r>
        <w:rPr/>
        <w:t>持有期间将取得的利息或现金股利确认为投资收益，期末将公允价值变动计入当期损益。 </w:t>
      </w:r>
      <w:r>
        <w:rPr>
          <w:spacing w:val="-1"/>
        </w:rPr>
        <w:t>处置时，其公允价值与初始入账金额之间的差额确认为投资收益，同时调整公允价值变动损益。</w:t>
      </w:r>
    </w:p>
    <w:p>
      <w:pPr>
        <w:pStyle w:val="BodyText"/>
        <w:spacing w:line="324" w:lineRule="auto" w:before="27"/>
        <w:ind w:left="684" w:right="96"/>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w:t>
      </w:r>
    </w:p>
    <w:p>
      <w:pPr>
        <w:pStyle w:val="BodyText"/>
        <w:spacing w:line="196" w:lineRule="exact"/>
        <w:ind w:right="0"/>
        <w:jc w:val="both"/>
      </w:pPr>
      <w:r>
        <w:rPr/>
        <w:t>认金额。持有期间按照摊余成本和实际利率（如实际利率与票面利率差别较小的，按票面利率）计算</w:t>
      </w:r>
    </w:p>
    <w:p>
      <w:pPr>
        <w:pStyle w:val="BodyText"/>
        <w:spacing w:line="272" w:lineRule="exact" w:before="26"/>
        <w:ind w:right="195"/>
        <w:jc w:val="left"/>
      </w:pPr>
      <w:r>
        <w:rPr/>
        <w:t>确认利息收入，计入投资收益。实际利率在取得时确定，在该预期存续期间或适用的更短期间内保持 不变。</w:t>
      </w:r>
    </w:p>
    <w:p>
      <w:pPr>
        <w:pStyle w:val="BodyText"/>
        <w:spacing w:line="392" w:lineRule="exact" w:before="24"/>
        <w:ind w:left="684" w:right="96"/>
        <w:jc w:val="left"/>
      </w:pPr>
      <w:r>
        <w:rPr/>
        <w:t>处置时，将所取得价款与该投资账面价值之间的差额计入投资收益。 如果公司于到期日前出售或重分类了较大金额的持有至到期类投资（较大金额是指相对该类投</w:t>
      </w:r>
    </w:p>
    <w:p>
      <w:pPr>
        <w:pStyle w:val="BodyText"/>
        <w:spacing w:line="222" w:lineRule="exact"/>
        <w:ind w:right="0"/>
        <w:jc w:val="both"/>
      </w:pPr>
      <w:r>
        <w:rPr/>
        <w:t>资出售或重分类前的总额总金额而言</w:t>
      </w:r>
      <w:r>
        <w:rPr>
          <w:spacing w:val="-105"/>
        </w:rPr>
        <w:t>）</w:t>
      </w:r>
      <w:r>
        <w:rPr>
          <w:spacing w:val="-52"/>
        </w:rPr>
        <w:t>，</w:t>
      </w:r>
      <w:r>
        <w:rPr/>
        <w:t>则公</w:t>
      </w:r>
      <w:r>
        <w:rPr>
          <w:spacing w:val="-2"/>
        </w:rPr>
        <w:t>司</w:t>
      </w:r>
      <w:r>
        <w:rPr/>
        <w:t>将该类投资的剩余部分重分类为可供出售金融资产</w:t>
      </w:r>
      <w:r>
        <w:rPr>
          <w:spacing w:val="-52"/>
        </w:rPr>
        <w:t>，</w:t>
      </w:r>
      <w:r>
        <w:rPr/>
        <w:t>且</w:t>
      </w:r>
    </w:p>
    <w:p>
      <w:pPr>
        <w:pStyle w:val="BodyText"/>
        <w:spacing w:line="274" w:lineRule="exact"/>
        <w:ind w:right="0"/>
        <w:jc w:val="both"/>
      </w:pPr>
      <w:r>
        <w:rPr/>
        <w:t>在本会计期间及以后两个会计年度不再将任何金融资产分类为持有至到期。但下列情况除外：出售日</w:t>
      </w:r>
    </w:p>
    <w:p>
      <w:pPr>
        <w:spacing w:after="0" w:line="274" w:lineRule="exact"/>
        <w:jc w:val="both"/>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272" w:lineRule="exact" w:before="63"/>
        <w:ind w:right="211"/>
        <w:jc w:val="both"/>
      </w:pPr>
      <w:r>
        <w:rPr>
          <w:spacing w:val="-5"/>
        </w:rPr>
        <w:t>或重分类日距离该项投资到期日或赎回日较近（如到期前三个月内），市场利率变化对该项投资的公允</w:t>
      </w:r>
      <w:r>
        <w:rPr>
          <w:spacing w:val="-91"/>
        </w:rPr>
        <w:t> </w:t>
      </w:r>
      <w:r>
        <w:rPr>
          <w:spacing w:val="-91"/>
        </w:rPr>
      </w:r>
      <w:r>
        <w:rPr/>
        <w:t>价值没有显著影响；根据合同约定的定期偿付或提前还款方式收回该投资几乎所有初始本金后，将剩 余部分予以出售或重分类；出售或重分类是由于企业无法控制、预期不会重复发生且难以合理预计的 独立事项所引起。</w:t>
      </w:r>
    </w:p>
    <w:p>
      <w:pPr>
        <w:pStyle w:val="BodyText"/>
        <w:spacing w:line="324" w:lineRule="auto" w:before="93"/>
        <w:ind w:left="685" w:right="96"/>
        <w:jc w:val="left"/>
      </w:pPr>
      <w:r>
        <w:rPr/>
        <w:t>（</w:t>
      </w:r>
      <w:r>
        <w:rPr>
          <w:rFonts w:ascii="Times New Roman" w:hAnsi="Times New Roman" w:cs="Times New Roman" w:eastAsia="Times New Roman" w:hint="default"/>
        </w:rPr>
        <w:t>3</w:t>
      </w:r>
      <w:r>
        <w:rPr/>
        <w:t>）应收款项 公司对外销售商品或提供劳务形成的应收债权，通常应按从购货方应收的合同或协议价款作为</w:t>
      </w:r>
    </w:p>
    <w:p>
      <w:pPr>
        <w:pStyle w:val="BodyText"/>
        <w:spacing w:line="199" w:lineRule="exact"/>
        <w:ind w:right="0"/>
        <w:jc w:val="both"/>
      </w:pPr>
      <w:r>
        <w:rPr/>
        <w:t>初始确认金额。</w:t>
      </w:r>
    </w:p>
    <w:p>
      <w:pPr>
        <w:pStyle w:val="BodyText"/>
        <w:spacing w:line="240" w:lineRule="auto" w:before="117"/>
        <w:ind w:left="685" w:right="96"/>
        <w:jc w:val="left"/>
      </w:pPr>
      <w:r>
        <w:rPr/>
        <w:t>收回或处置时，将取得的价款与该应收款项账面价值之间的差额计入当期损益。</w:t>
      </w:r>
    </w:p>
    <w:p>
      <w:pPr>
        <w:pStyle w:val="BodyText"/>
        <w:spacing w:line="324" w:lineRule="auto" w:before="117"/>
        <w:ind w:left="685" w:right="96"/>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w:t>
      </w:r>
    </w:p>
    <w:p>
      <w:pPr>
        <w:pStyle w:val="BodyText"/>
        <w:spacing w:line="199" w:lineRule="exact"/>
        <w:ind w:right="0"/>
        <w:jc w:val="both"/>
      </w:pPr>
      <w:r>
        <w:rPr/>
        <w:t>和相关交易费用之和作为初始确认金额。</w:t>
      </w:r>
    </w:p>
    <w:p>
      <w:pPr>
        <w:pStyle w:val="BodyText"/>
        <w:spacing w:line="272" w:lineRule="exact" w:before="144"/>
        <w:ind w:right="96" w:firstLine="539"/>
        <w:jc w:val="left"/>
      </w:pPr>
      <w:r>
        <w:rPr/>
        <w:t>持有期间将取得的利息或现金股利确认为投资收益。期末可供出售金融资产公允价值变动形成</w:t>
      </w:r>
      <w:r>
        <w:rPr>
          <w:spacing w:val="2"/>
        </w:rPr>
        <w:t> </w:t>
      </w:r>
      <w:r>
        <w:rPr/>
        <w:t>的利得或损失，除减值损失和外币货币性金融资产形成的汇兑差额外，应当直接计入所有者权益。</w:t>
      </w:r>
    </w:p>
    <w:p>
      <w:pPr>
        <w:pStyle w:val="BodyText"/>
        <w:spacing w:line="272" w:lineRule="exact" w:before="120"/>
        <w:ind w:right="96" w:firstLine="539"/>
        <w:jc w:val="left"/>
      </w:pPr>
      <w:r>
        <w:rPr/>
        <w:t>处置时，将取得的价款与该金融资产账面价值之间的差额，计入投资损益；同时，将原直接计</w:t>
      </w:r>
      <w:r>
        <w:rPr>
          <w:spacing w:val="2"/>
        </w:rPr>
        <w:t> </w:t>
      </w:r>
      <w:r>
        <w:rPr/>
        <w:t>入所有者权益的公允价值变动累计额对应处置部分的金额转出，计入投资损益。</w:t>
      </w:r>
    </w:p>
    <w:p>
      <w:pPr>
        <w:pStyle w:val="BodyText"/>
        <w:spacing w:line="336" w:lineRule="auto" w:before="93"/>
        <w:ind w:left="685" w:right="3855"/>
        <w:jc w:val="left"/>
      </w:pPr>
      <w:r>
        <w:rPr/>
        <w:t>（</w:t>
      </w:r>
      <w:r>
        <w:rPr>
          <w:rFonts w:ascii="Times New Roman" w:hAnsi="Times New Roman" w:cs="Times New Roman" w:eastAsia="Times New Roman" w:hint="default"/>
        </w:rPr>
        <w:t>5</w:t>
      </w:r>
      <w:r>
        <w:rPr/>
        <w:t>）其他金融负债 按其公允价值和相关交易费用之和作为初始确认金额。 通常采用摊余成本进行后续计量。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272" w:lineRule="exact" w:before="36"/>
        <w:ind w:right="211" w:firstLine="539"/>
        <w:jc w:val="both"/>
      </w:pPr>
      <w:r>
        <w:rPr/>
        <w:t>公司发生金融资产转移时，如已将金融资产所有权上几乎所有的风险和报酬转移给转入方，则</w:t>
      </w:r>
      <w:r>
        <w:rPr>
          <w:spacing w:val="2"/>
        </w:rPr>
        <w:t> </w:t>
      </w:r>
      <w:r>
        <w:rPr/>
        <w:t>终止确认该金融资产；如保留了金融资产所有权上几乎所有的风险和报酬的，则不终止确认该金融资</w:t>
      </w:r>
      <w:r>
        <w:rPr/>
        <w:t> 产。在判断金融资产转移是否满足会计准则规定的金融资产终止确认条件时，采用实质重于形式的原 则。公司将金融资产转移区分为金融资产整体转移和部分转移。</w:t>
      </w:r>
    </w:p>
    <w:p>
      <w:pPr>
        <w:pStyle w:val="BodyText"/>
        <w:spacing w:line="240" w:lineRule="auto" w:before="93"/>
        <w:ind w:left="685" w:right="96"/>
        <w:jc w:val="left"/>
      </w:pPr>
      <w:r>
        <w:rPr/>
        <w:t>金融资产整体转移满足终止确认条件的，将下列两项金额的差额计入当期损益：</w:t>
      </w:r>
    </w:p>
    <w:p>
      <w:pPr>
        <w:pStyle w:val="BodyText"/>
        <w:spacing w:line="240" w:lineRule="auto" w:before="117"/>
        <w:ind w:left="685" w:right="96"/>
        <w:jc w:val="left"/>
      </w:pPr>
      <w:r>
        <w:rPr/>
        <w:t>（</w:t>
      </w:r>
      <w:r>
        <w:rPr>
          <w:rFonts w:ascii="Times New Roman" w:hAnsi="Times New Roman" w:cs="Times New Roman" w:eastAsia="Times New Roman" w:hint="default"/>
        </w:rPr>
        <w:t>1</w:t>
      </w:r>
      <w:r>
        <w:rPr/>
        <w:t>）所转移金融资产的账面价值；</w:t>
      </w:r>
    </w:p>
    <w:p>
      <w:pPr>
        <w:pStyle w:val="BodyText"/>
        <w:spacing w:line="272" w:lineRule="exact" w:before="129"/>
        <w:ind w:right="96" w:firstLine="539"/>
        <w:jc w:val="left"/>
      </w:pPr>
      <w:r>
        <w:rPr>
          <w:spacing w:val="-1"/>
        </w:rPr>
        <w:t>（</w:t>
      </w:r>
      <w:r>
        <w:rPr>
          <w:rFonts w:ascii="Times New Roman" w:hAnsi="Times New Roman" w:cs="Times New Roman" w:eastAsia="Times New Roman" w:hint="default"/>
          <w:spacing w:val="-1"/>
        </w:rPr>
        <w:t>2</w:t>
      </w:r>
      <w:r>
        <w:rPr>
          <w:spacing w:val="-1"/>
        </w:rPr>
        <w:t>）因转移而收到的对价，与原直接计入所有者权益的公允价值变动累计额（涉及转移的金融</w:t>
      </w:r>
      <w:r>
        <w:rPr/>
        <w:t> 资产为可供出售金融资产的情形）之和。</w:t>
      </w:r>
    </w:p>
    <w:p>
      <w:pPr>
        <w:pStyle w:val="BodyText"/>
        <w:spacing w:line="272" w:lineRule="exact" w:before="120"/>
        <w:ind w:right="96" w:firstLine="539"/>
        <w:jc w:val="left"/>
      </w:pPr>
      <w:r>
        <w:rPr/>
        <w:t>金融资产部分转移满足终止确认条件的，将所转移金融资产整体的账面价值，在终止确认部分</w:t>
      </w:r>
      <w:r>
        <w:rPr>
          <w:spacing w:val="2"/>
        </w:rPr>
        <w:t> </w:t>
      </w:r>
      <w:r>
        <w:rPr>
          <w:spacing w:val="-3"/>
        </w:rPr>
        <w:t>和未终止确认部分（在此种情况下，所保留的服务资产应当视同未终止确认金融资产的一部分）之间，</w:t>
      </w:r>
      <w:r>
        <w:rPr>
          <w:spacing w:val="-75"/>
        </w:rPr>
        <w:t> </w:t>
      </w:r>
      <w:r>
        <w:rPr>
          <w:spacing w:val="-75"/>
        </w:rPr>
      </w:r>
      <w:r>
        <w:rPr/>
        <w:t>按照各自的相对公允价值进行分摊，并将下列两项金额的差额计入当期损益：</w:t>
      </w:r>
    </w:p>
    <w:p>
      <w:pPr>
        <w:pStyle w:val="BodyText"/>
        <w:spacing w:line="240" w:lineRule="auto" w:before="93"/>
        <w:ind w:left="685" w:right="96"/>
        <w:jc w:val="left"/>
      </w:pPr>
      <w:r>
        <w:rPr/>
        <w:t>（</w:t>
      </w:r>
      <w:r>
        <w:rPr>
          <w:rFonts w:ascii="Times New Roman" w:hAnsi="Times New Roman" w:cs="Times New Roman" w:eastAsia="Times New Roman" w:hint="default"/>
        </w:rPr>
        <w:t>1</w:t>
      </w:r>
      <w:r>
        <w:rPr/>
        <w:t>）终止确认部分的账面价值；</w:t>
      </w:r>
    </w:p>
    <w:p>
      <w:pPr>
        <w:pStyle w:val="BodyText"/>
        <w:spacing w:line="272" w:lineRule="exact" w:before="129"/>
        <w:ind w:right="96" w:firstLine="539"/>
        <w:jc w:val="left"/>
      </w:pPr>
      <w:r>
        <w:rPr>
          <w:spacing w:val="-1"/>
        </w:rPr>
        <w:t>（</w:t>
      </w:r>
      <w:r>
        <w:rPr>
          <w:rFonts w:ascii="Times New Roman" w:hAnsi="Times New Roman" w:cs="Times New Roman" w:eastAsia="Times New Roman" w:hint="default"/>
          <w:spacing w:val="-1"/>
        </w:rPr>
        <w:t>2</w:t>
      </w:r>
      <w:r>
        <w:rPr>
          <w:spacing w:val="-1"/>
        </w:rPr>
        <w:t>）终止确认部分的对价，与原直接计入所有者权益的公允价值变动累计额中对应终止确认部</w:t>
      </w:r>
      <w:r>
        <w:rPr/>
        <w:t> 分的金额（涉及转移的金融资产为可供出售金融资产的情形）之和。</w:t>
      </w:r>
    </w:p>
    <w:p>
      <w:pPr>
        <w:pStyle w:val="BodyText"/>
        <w:spacing w:line="240" w:lineRule="auto" w:before="91"/>
        <w:ind w:left="685" w:right="96"/>
        <w:jc w:val="left"/>
      </w:pPr>
      <w:r>
        <w:rPr/>
        <w:t>金融资产转移不满足终止确认条件的，继续确认该金融资产，所收到的对价确认为一项金融负</w:t>
      </w:r>
    </w:p>
    <w:p>
      <w:pPr>
        <w:pStyle w:val="BodyText"/>
        <w:spacing w:line="272" w:lineRule="exact"/>
        <w:ind w:right="96"/>
        <w:jc w:val="left"/>
      </w:pPr>
      <w:r>
        <w:rPr/>
        <w:t>债。</w:t>
      </w:r>
    </w:p>
    <w:p>
      <w:pPr>
        <w:pStyle w:val="BodyText"/>
        <w:spacing w:line="333" w:lineRule="auto" w:before="117"/>
        <w:ind w:left="685" w:right="915"/>
        <w:jc w:val="left"/>
      </w:pPr>
      <w:r>
        <w:rPr>
          <w:rFonts w:ascii="Times New Roman" w:hAnsi="Times New Roman" w:cs="Times New Roman" w:eastAsia="Times New Roman" w:hint="default"/>
        </w:rPr>
        <w:t>4</w:t>
      </w:r>
      <w:r>
        <w:rPr/>
        <w:t>）金融资产和金融负债公允价值的确定方法 本公司采用公允价值计量的金融资产和金融负债全部直接参考期末活跃市场中的报价。 </w:t>
      </w:r>
      <w:r>
        <w:rPr>
          <w:rFonts w:ascii="Times New Roman" w:hAnsi="Times New Roman" w:cs="Times New Roman" w:eastAsia="Times New Roman" w:hint="default"/>
        </w:rPr>
        <w:t>5</w:t>
      </w:r>
      <w:r>
        <w:rPr/>
        <w:t>）金融资产的减值准备</w:t>
      </w:r>
    </w:p>
    <w:p>
      <w:pPr>
        <w:spacing w:after="0" w:line="333" w:lineRule="auto"/>
        <w:jc w:val="left"/>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324" w:lineRule="auto" w:before="35"/>
        <w:ind w:left="685" w:right="0"/>
        <w:jc w:val="left"/>
      </w:pPr>
      <w:r>
        <w:rPr/>
        <w:t>（</w:t>
      </w:r>
      <w:r>
        <w:rPr>
          <w:rFonts w:ascii="Times New Roman" w:hAnsi="Times New Roman" w:cs="Times New Roman" w:eastAsia="Times New Roman" w:hint="default"/>
        </w:rPr>
        <w:t>1</w:t>
      </w:r>
      <w:r>
        <w:rPr/>
        <w:t>）可供出售金融资产的减值准备： 年末如果可供出售金融资产的公允价值发生较大幅度下降，或在综合考虑各种相关因素后，预</w:t>
      </w:r>
    </w:p>
    <w:p>
      <w:pPr>
        <w:pStyle w:val="BodyText"/>
        <w:spacing w:line="198" w:lineRule="exact"/>
        <w:ind w:right="0"/>
        <w:jc w:val="left"/>
      </w:pPr>
      <w:r>
        <w:rPr/>
        <w:t>期这种下降趋势属于非暂时性的，就认定其已发生减值，将原直接计入所有者权益的公允价值下降形</w:t>
      </w:r>
    </w:p>
    <w:p>
      <w:pPr>
        <w:pStyle w:val="BodyText"/>
        <w:spacing w:line="274" w:lineRule="exact"/>
        <w:ind w:right="2197"/>
        <w:jc w:val="left"/>
      </w:pPr>
      <w:r>
        <w:rPr/>
        <w:t>成的累计损失一并转出，确认减值损失。</w:t>
      </w:r>
    </w:p>
    <w:p>
      <w:pPr>
        <w:pStyle w:val="BodyText"/>
        <w:spacing w:line="333" w:lineRule="auto" w:before="117"/>
        <w:ind w:left="685" w:right="2345"/>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 </w:t>
      </w:r>
      <w:r>
        <w:rPr>
          <w:rFonts w:ascii="Times New Roman" w:hAnsi="Times New Roman" w:cs="Times New Roman" w:eastAsia="Times New Roman" w:hint="default"/>
        </w:rPr>
        <w:t>9</w:t>
      </w:r>
      <w:r>
        <w:rPr/>
        <w:t>、应收款项坏账准备的确认标准、计提方法</w:t>
      </w:r>
    </w:p>
    <w:p>
      <w:pPr>
        <w:pStyle w:val="BodyText"/>
        <w:spacing w:line="324" w:lineRule="auto" w:before="11"/>
        <w:ind w:left="68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单项金额重大的应收款项坏账准备的确认标准、计提方法：</w:t>
      </w:r>
      <w:r>
        <w:rPr>
          <w:w w:val="99"/>
        </w:rPr>
        <w:t> </w:t>
      </w:r>
      <w:r>
        <w:rPr/>
        <w:t>年末对于单项金额重大的应收款项（包括应收账款、其他应收款、长期应收款等）单独进行减</w:t>
      </w:r>
    </w:p>
    <w:p>
      <w:pPr>
        <w:pStyle w:val="BodyText"/>
        <w:spacing w:line="199" w:lineRule="exact"/>
        <w:ind w:right="2197"/>
        <w:jc w:val="left"/>
      </w:pPr>
      <w:r>
        <w:rPr/>
        <w:t>值测试。如有客观证据表明其发生了减值的，确认减值损失。</w:t>
      </w:r>
    </w:p>
    <w:p>
      <w:pPr>
        <w:pStyle w:val="BodyText"/>
        <w:spacing w:line="240" w:lineRule="auto" w:before="117"/>
        <w:ind w:left="685" w:right="2197"/>
        <w:jc w:val="left"/>
      </w:pPr>
      <w:r>
        <w:rPr/>
        <w:t>根据其未来现金流量现值低于其账面价值的差额，计提坏账准备。</w:t>
      </w:r>
    </w:p>
    <w:p>
      <w:pPr>
        <w:pStyle w:val="BodyText"/>
        <w:spacing w:line="272" w:lineRule="exact" w:before="144"/>
        <w:ind w:right="169" w:firstLine="53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spacing w:val="3"/>
        </w:rPr>
        <w:t>单项金额不重大但按信用风险特征组合后该组合的风险较大的应收款项坏账准备的确定依</w:t>
      </w:r>
      <w:r>
        <w:rPr>
          <w:spacing w:val="3"/>
          <w:w w:val="99"/>
        </w:rPr>
        <w:t> </w:t>
      </w:r>
      <w:r>
        <w:rPr/>
        <w:t>据、计提方法：</w:t>
      </w:r>
    </w:p>
    <w:p>
      <w:pPr>
        <w:pStyle w:val="BodyText"/>
        <w:spacing w:line="272" w:lineRule="exact" w:before="120"/>
        <w:ind w:right="170" w:firstLine="539"/>
        <w:jc w:val="both"/>
      </w:pPr>
      <w:r>
        <w:rPr/>
        <w:t>信用风险特征组合的确定依据：对于年末单项金额非重大的应收款项，采用与经单独测试后未</w:t>
      </w:r>
      <w:r>
        <w:rPr>
          <w:spacing w:val="2"/>
        </w:rPr>
        <w:t> </w:t>
      </w:r>
      <w:r>
        <w:rPr/>
        <w:t>减值的应收款项一起按账龄作为类似信用风险特征划分为若干组合，再按这些应收款项组合在年末余</w:t>
      </w:r>
      <w:r>
        <w:rPr/>
        <w:t> 额的一定比例（可以单独进行减值测试）计算确定减值损失，计提坏账准备。</w:t>
      </w:r>
    </w:p>
    <w:p>
      <w:pPr>
        <w:pStyle w:val="BodyText"/>
        <w:spacing w:line="272" w:lineRule="exact" w:before="120"/>
        <w:ind w:right="170" w:firstLine="539"/>
        <w:jc w:val="both"/>
      </w:pPr>
      <w:r>
        <w:rPr/>
        <w:t>坏账的核算方法：公司的坏账核算采用备抵法，期末公司对应收款项（包括应收账款和其他应</w:t>
      </w:r>
      <w:r>
        <w:rPr>
          <w:spacing w:val="2"/>
        </w:rPr>
        <w:t> </w:t>
      </w:r>
      <w:r>
        <w:rPr/>
        <w:t>收款）按账龄分析法计提坏账准备，</w:t>
      </w:r>
    </w:p>
    <w:p>
      <w:pPr>
        <w:spacing w:line="240" w:lineRule="auto" w:before="10"/>
        <w:rPr>
          <w:rFonts w:ascii="宋体" w:hAnsi="宋体" w:cs="宋体" w:eastAsia="宋体" w:hint="default"/>
          <w:sz w:val="9"/>
          <w:szCs w:val="9"/>
        </w:rPr>
      </w:pPr>
    </w:p>
    <w:tbl>
      <w:tblPr>
        <w:tblW w:w="0" w:type="auto"/>
        <w:jc w:val="left"/>
        <w:tblInd w:w="129" w:type="dxa"/>
        <w:tblLayout w:type="fixed"/>
        <w:tblCellMar>
          <w:top w:w="0" w:type="dxa"/>
          <w:left w:w="0" w:type="dxa"/>
          <w:bottom w:w="0" w:type="dxa"/>
          <w:right w:w="0" w:type="dxa"/>
        </w:tblCellMar>
        <w:tblLook w:val="01E0"/>
      </w:tblPr>
      <w:tblGrid>
        <w:gridCol w:w="2870"/>
        <w:gridCol w:w="3569"/>
        <w:gridCol w:w="2861"/>
      </w:tblGrid>
      <w:tr>
        <w:trPr>
          <w:trHeight w:val="436" w:hRule="exact"/>
        </w:trPr>
        <w:tc>
          <w:tcPr>
            <w:tcW w:w="93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7"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7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3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8"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w:t>
            </w:r>
          </w:p>
        </w:tc>
      </w:tr>
      <w:tr>
        <w:trPr>
          <w:trHeight w:val="287"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w:t>
            </w:r>
          </w:p>
        </w:tc>
      </w:tr>
      <w:tr>
        <w:trPr>
          <w:trHeight w:val="288"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w:t>
            </w:r>
          </w:p>
        </w:tc>
      </w:tr>
    </w:tbl>
    <w:p>
      <w:pPr>
        <w:spacing w:line="240" w:lineRule="auto" w:before="4"/>
        <w:rPr>
          <w:rFonts w:ascii="宋体" w:hAnsi="宋体" w:cs="宋体" w:eastAsia="宋体" w:hint="default"/>
          <w:sz w:val="22"/>
          <w:szCs w:val="22"/>
        </w:rPr>
      </w:pPr>
    </w:p>
    <w:p>
      <w:pPr>
        <w:pStyle w:val="BodyText"/>
        <w:spacing w:line="240" w:lineRule="auto" w:before="35"/>
        <w:ind w:left="504" w:right="2197"/>
        <w:jc w:val="left"/>
      </w:pPr>
      <w:r>
        <w:rPr>
          <w:rFonts w:ascii="Times New Roman" w:hAnsi="Times New Roman" w:cs="Times New Roman" w:eastAsia="Times New Roman" w:hint="default"/>
        </w:rPr>
        <w:t>10</w:t>
      </w:r>
      <w:r>
        <w:rPr/>
        <w:t>、存货核算方法：</w:t>
      </w:r>
    </w:p>
    <w:p>
      <w:pPr>
        <w:pStyle w:val="BodyText"/>
        <w:spacing w:line="324" w:lineRule="auto" w:before="101"/>
        <w:ind w:left="504" w:right="0"/>
        <w:jc w:val="left"/>
      </w:pPr>
      <w:r>
        <w:rPr>
          <w:rFonts w:ascii="Times New Roman" w:hAnsi="Times New Roman" w:cs="Times New Roman" w:eastAsia="Times New Roman" w:hint="default"/>
        </w:rPr>
        <w:t>1</w:t>
      </w:r>
      <w:r>
        <w:rPr/>
        <w:t>）存货的分类 本公司存货分类为：原材料、低值易耗品、在产品等，在产品包括系统集成、定制软件的项目成</w:t>
      </w:r>
    </w:p>
    <w:p>
      <w:pPr>
        <w:pStyle w:val="BodyText"/>
        <w:spacing w:line="199" w:lineRule="exact"/>
        <w:ind w:right="2197"/>
        <w:jc w:val="left"/>
      </w:pPr>
      <w:r>
        <w:rPr/>
        <w:t>本和建筑安装工程的在建合同成本。</w:t>
      </w:r>
    </w:p>
    <w:p>
      <w:pPr>
        <w:pStyle w:val="BodyText"/>
        <w:spacing w:line="333" w:lineRule="auto" w:before="116"/>
        <w:ind w:left="504" w:right="0"/>
        <w:jc w:val="left"/>
      </w:pPr>
      <w:r>
        <w:rPr>
          <w:rFonts w:ascii="Times New Roman" w:hAnsi="Times New Roman" w:cs="Times New Roman" w:eastAsia="Times New Roman" w:hint="default"/>
        </w:rPr>
        <w:t>2</w:t>
      </w:r>
      <w:r>
        <w:rPr/>
        <w:t>）取得和发出的计价方法 日常核算取得时按实际成本计价；原材料在领用和发出时采用加权平均法。 项目成本即系统集成、定制软件项目在执行过程中所占用的设备及材料成本，包括外购的计算机</w:t>
      </w:r>
    </w:p>
    <w:p>
      <w:pPr>
        <w:pStyle w:val="BodyText"/>
        <w:spacing w:line="189" w:lineRule="exact"/>
        <w:ind w:right="0"/>
        <w:jc w:val="left"/>
      </w:pPr>
      <w:r>
        <w:rPr/>
        <w:t>设备及配件、网络设备及配件、电器设备、数据传输管线等，以及为安装上述设备外包的项目费用，</w:t>
      </w:r>
    </w:p>
    <w:p>
      <w:pPr>
        <w:pStyle w:val="BodyText"/>
        <w:spacing w:line="272" w:lineRule="exact" w:before="26"/>
        <w:ind w:right="155"/>
        <w:jc w:val="left"/>
      </w:pPr>
      <w:r>
        <w:rPr/>
        <w:t>项目成本按项目对直接材料、直接人工、直接费用进行归集，期末按确认营业收入的项目结转相应营 业成本。</w:t>
      </w:r>
    </w:p>
    <w:p>
      <w:pPr>
        <w:pStyle w:val="BodyText"/>
        <w:spacing w:line="272" w:lineRule="exact" w:before="120"/>
        <w:ind w:right="172" w:firstLine="358"/>
        <w:jc w:val="both"/>
      </w:pPr>
      <w:r>
        <w:rPr/>
        <w:t>在建合同成本按累计已发生建安工程的工程施工成本和累计已确认的毛利（亏损）减去已办理结 算的价款金额列账。个别建造合同工程累计已发生的成本和累计已确认的毛利（亏损）超过已办理结 算价款的列为流动资产，若个别建造合同工程已办理结算的价款超过累计已发生的成本和累计已确认 的毛利（亏损）的金额列为流动负债。</w:t>
      </w:r>
    </w:p>
    <w:p>
      <w:pPr>
        <w:spacing w:after="0" w:line="272" w:lineRule="exact"/>
        <w:jc w:val="both"/>
        <w:sectPr>
          <w:pgSz w:w="12240" w:h="15840"/>
          <w:pgMar w:header="747" w:footer="727" w:top="1040" w:bottom="920" w:left="1380" w:right="1300"/>
        </w:sectPr>
      </w:pPr>
    </w:p>
    <w:p>
      <w:pPr>
        <w:spacing w:line="240" w:lineRule="auto" w:before="3"/>
        <w:rPr>
          <w:rFonts w:ascii="宋体" w:hAnsi="宋体" w:cs="宋体" w:eastAsia="宋体" w:hint="default"/>
          <w:sz w:val="24"/>
          <w:szCs w:val="24"/>
        </w:rPr>
      </w:pPr>
    </w:p>
    <w:p>
      <w:pPr>
        <w:pStyle w:val="BodyText"/>
        <w:spacing w:line="240" w:lineRule="auto" w:before="35"/>
        <w:ind w:left="504" w:right="96"/>
        <w:jc w:val="left"/>
      </w:pPr>
      <w:r>
        <w:rPr/>
        <w:t>债务重组取得债务人用以抵债的存货，以该存货的公允价值为基础确定其入账价值。</w:t>
      </w:r>
    </w:p>
    <w:p>
      <w:pPr>
        <w:pStyle w:val="BodyText"/>
        <w:spacing w:line="272" w:lineRule="exact" w:before="145"/>
        <w:ind w:right="212" w:firstLine="358"/>
        <w:jc w:val="both"/>
      </w:pPr>
      <w:r>
        <w:rPr/>
        <w:t>在非货币性资产交换具备商业实质和换入资产或换出资产的公允价值能够可靠计量的前提下，非 货币性资产交换换入的存货通常以换出资产的公允价值为基础确定其入账价值，除非有确凿证据表明 换入资产的公允价值更加可靠；不满足上述前提的非货币性资产交换，以换出资产的账面价值和应支 付的相关税费作为换入存货的成本。</w:t>
      </w:r>
    </w:p>
    <w:p>
      <w:pPr>
        <w:pStyle w:val="BodyText"/>
        <w:spacing w:line="272" w:lineRule="exact" w:before="120"/>
        <w:ind w:right="212" w:firstLine="358"/>
        <w:jc w:val="both"/>
      </w:pPr>
      <w:r>
        <w:rPr/>
        <w:t>以同一控制下的企业吸收合并方式取得的存货按被合并方的账面价值确定其入账价值；以非同一 控制下的企业吸收合并方式取得的存货按公允价值确定其入账价值。</w:t>
      </w:r>
    </w:p>
    <w:p>
      <w:pPr>
        <w:pStyle w:val="BodyText"/>
        <w:spacing w:line="333" w:lineRule="auto" w:before="93"/>
        <w:ind w:left="503" w:right="4037" w:firstLine="1"/>
        <w:jc w:val="left"/>
      </w:pPr>
      <w:r>
        <w:rPr>
          <w:rFonts w:ascii="Times New Roman" w:hAnsi="Times New Roman" w:cs="Times New Roman" w:eastAsia="Times New Roman" w:hint="default"/>
        </w:rPr>
        <w:t>3</w:t>
      </w:r>
      <w:r>
        <w:rPr/>
        <w:t>）</w:t>
      </w:r>
      <w:r>
        <w:rPr>
          <w:spacing w:val="59"/>
        </w:rPr>
        <w:t> </w:t>
      </w:r>
      <w:r>
        <w:rPr/>
        <w:t>周转材料的摊销方法</w:t>
      </w:r>
      <w:r>
        <w:rPr/>
        <w:t> 低值易耗品采用一次摊销法；包装物采用一次摊销法。 </w:t>
      </w:r>
      <w:r>
        <w:rPr>
          <w:rFonts w:ascii="Times New Roman" w:hAnsi="Times New Roman" w:cs="Times New Roman" w:eastAsia="Times New Roman" w:hint="default"/>
        </w:rPr>
        <w:t>4</w:t>
      </w:r>
      <w:r>
        <w:rPr/>
        <w:t>）存货的盘存制度</w:t>
      </w:r>
    </w:p>
    <w:p>
      <w:pPr>
        <w:pStyle w:val="BodyText"/>
        <w:spacing w:line="240" w:lineRule="auto" w:before="11"/>
        <w:ind w:left="503" w:right="96"/>
        <w:jc w:val="left"/>
      </w:pPr>
      <w:r>
        <w:rPr/>
        <w:t>采用永续盘存制。</w:t>
      </w:r>
    </w:p>
    <w:p>
      <w:pPr>
        <w:pStyle w:val="BodyText"/>
        <w:spacing w:line="333" w:lineRule="auto" w:before="116"/>
        <w:ind w:left="504" w:right="96" w:firstLine="1"/>
        <w:jc w:val="left"/>
      </w:pPr>
      <w:r>
        <w:rPr>
          <w:rFonts w:ascii="Times New Roman" w:hAnsi="Times New Roman" w:cs="Times New Roman" w:eastAsia="Times New Roman" w:hint="default"/>
        </w:rPr>
        <w:t>5</w:t>
      </w:r>
      <w:r>
        <w:rPr/>
        <w:t>）</w:t>
      </w:r>
      <w:r>
        <w:rPr>
          <w:spacing w:val="59"/>
        </w:rPr>
        <w:t> </w:t>
      </w:r>
      <w:r>
        <w:rPr/>
        <w:t>存货跌价准备的计提方法</w:t>
      </w:r>
      <w:r>
        <w:rPr/>
        <w:t> 年末对存货进行全面清查后，按存货的成本与可变现净值孰低提取或调整存货跌价准备。 产成品、商品和用于出售的材料等直接用于出售的商品存货，在正常生产经营过程中，以该存货</w:t>
      </w:r>
    </w:p>
    <w:p>
      <w:pPr>
        <w:pStyle w:val="BodyText"/>
        <w:spacing w:line="189" w:lineRule="exact"/>
        <w:ind w:right="0"/>
        <w:jc w:val="both"/>
      </w:pPr>
      <w:r>
        <w:rPr>
          <w:spacing w:val="-3"/>
        </w:rPr>
        <w:t>的估计售价减去估计的销售费用和相关税费后的金额，确定其可变现净值；需要经过加工的材料存货，</w:t>
      </w:r>
    </w:p>
    <w:p>
      <w:pPr>
        <w:pStyle w:val="BodyText"/>
        <w:spacing w:line="272" w:lineRule="exact" w:before="26"/>
        <w:ind w:right="212"/>
        <w:jc w:val="both"/>
      </w:pPr>
      <w:r>
        <w:rPr/>
        <w:t>在正常生产经营过程中，以所生产的产成品的估计售价减去至完工时估计将要发生的成本、估计的销 售费用和相关税费后的金额，确定其可变现净值；为执行销售合同或者劳务合同而持有的存货，其可 变现净值以合同价格为基础计算，若持有存货的数量多于销售合同订购数量的，超出部分的存货的可 变现净值以一般销售价格为基础计算。</w:t>
      </w:r>
    </w:p>
    <w:p>
      <w:pPr>
        <w:pStyle w:val="BodyText"/>
        <w:spacing w:line="272" w:lineRule="exact" w:before="120"/>
        <w:ind w:right="212" w:firstLine="358"/>
        <w:jc w:val="both"/>
      </w:pPr>
      <w:r>
        <w:rPr/>
        <w:t>年末按照单个存货项目计提存货跌价准备；但对于数量繁多、单价较低的存货，按照存货类别计 提存货跌价准备；与在同一地区生产和销售的产品系列相关、具有相同或类似最终用途或目的，且难 以与其他项目分开计量的存货，则合并计提存货跌价准备。</w:t>
      </w:r>
    </w:p>
    <w:p>
      <w:pPr>
        <w:pStyle w:val="BodyText"/>
        <w:spacing w:line="272" w:lineRule="exact" w:before="120"/>
        <w:ind w:right="212" w:firstLine="358"/>
        <w:jc w:val="both"/>
      </w:pPr>
      <w:r>
        <w:rPr/>
        <w:t>以前减记存货价值的影响因素已经消失的，减记的金额予以恢复，并在原已计提的存货跌价准备 金额内转回，转回的金额计入当期损益</w:t>
      </w:r>
    </w:p>
    <w:p>
      <w:pPr>
        <w:pStyle w:val="BodyText"/>
        <w:spacing w:line="324" w:lineRule="auto" w:before="93"/>
        <w:ind w:left="504" w:right="96"/>
        <w:jc w:val="left"/>
      </w:pPr>
      <w:r>
        <w:rPr>
          <w:rFonts w:ascii="Times New Roman" w:hAnsi="Times New Roman" w:cs="Times New Roman" w:eastAsia="Times New Roman" w:hint="default"/>
        </w:rPr>
        <w:t>11</w:t>
      </w:r>
      <w:r>
        <w:rPr/>
        <w:t>、投资性房地产的种类和计量模式： 投资性房地产是指为赚取租金或资本增值，或两者兼有而持有的房地产，包括已出租的土地使用</w:t>
      </w:r>
    </w:p>
    <w:p>
      <w:pPr>
        <w:pStyle w:val="BodyText"/>
        <w:spacing w:line="199" w:lineRule="exact"/>
        <w:ind w:right="0"/>
        <w:jc w:val="both"/>
      </w:pPr>
      <w:r>
        <w:rPr/>
        <w:t>权、持有并准备增值后转让的土地使用权、已出租的建筑物。</w:t>
      </w:r>
    </w:p>
    <w:p>
      <w:pPr>
        <w:pStyle w:val="BodyText"/>
        <w:spacing w:line="272" w:lineRule="exact" w:before="145"/>
        <w:ind w:right="212" w:firstLine="358"/>
        <w:jc w:val="both"/>
      </w:pPr>
      <w:r>
        <w:rPr/>
        <w:t>公司对现有投资性房地产采用成本模式计量。对按照成本模式计量的投资性房地产－出租用资产 采用与本公司固定资产相同的折旧政策，出租用土地使用权按与无形资产相同的摊销政策；对存在减 值迹象的，估计其可收回金额，可收回金额低于其账面价值的，确认相应的减值损失。</w:t>
      </w:r>
    </w:p>
    <w:p>
      <w:pPr>
        <w:pStyle w:val="BodyText"/>
        <w:spacing w:line="324" w:lineRule="auto" w:before="93"/>
        <w:ind w:left="504" w:right="5086"/>
        <w:jc w:val="left"/>
      </w:pPr>
      <w:r>
        <w:rPr>
          <w:rFonts w:ascii="Times New Roman" w:hAnsi="Times New Roman" w:cs="Times New Roman" w:eastAsia="Times New Roman" w:hint="default"/>
        </w:rPr>
        <w:t>12</w:t>
      </w:r>
      <w:r>
        <w:rPr/>
        <w:t>、固定资产计价和折旧方法的计提方法：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固定资产计价和折旧方法：</w:t>
      </w:r>
    </w:p>
    <w:p>
      <w:pPr>
        <w:pStyle w:val="BodyText"/>
        <w:spacing w:line="272" w:lineRule="exact" w:before="48"/>
        <w:ind w:right="212" w:firstLine="358"/>
        <w:jc w:val="both"/>
      </w:pPr>
      <w:r>
        <w:rPr/>
        <w:t>固定资产是指为生产商品、提供劳务、出租或经营管理而持有的，使用年限超过一年，单位价值 较高的有形资产。</w:t>
      </w:r>
    </w:p>
    <w:p>
      <w:pPr>
        <w:pStyle w:val="BodyText"/>
        <w:spacing w:line="272" w:lineRule="exact" w:before="120"/>
        <w:ind w:right="211" w:firstLine="358"/>
        <w:jc w:val="both"/>
      </w:pPr>
      <w:r>
        <w:rPr>
          <w:spacing w:val="-1"/>
        </w:rPr>
        <w:t>固定资产以取得时的实际成本入帐，并从其达到预定可使用状态的次月起，采用直线法</w:t>
      </w:r>
      <w:r>
        <w:rPr>
          <w:rFonts w:ascii="Times New Roman" w:hAnsi="Times New Roman" w:cs="Times New Roman" w:eastAsia="Times New Roman" w:hint="default"/>
          <w:spacing w:val="-1"/>
        </w:rPr>
        <w:t>(</w:t>
      </w:r>
      <w:r>
        <w:rPr>
          <w:spacing w:val="-1"/>
        </w:rPr>
        <w:t>年数平均</w:t>
      </w:r>
      <w:r>
        <w:rPr/>
        <w:t> 法</w:t>
      </w:r>
      <w:r>
        <w:rPr>
          <w:rFonts w:ascii="Times New Roman" w:hAnsi="Times New Roman" w:cs="Times New Roman" w:eastAsia="Times New Roman" w:hint="default"/>
        </w:rPr>
        <w:t>)</w:t>
      </w:r>
      <w:r>
        <w:rPr/>
        <w:t>提取折旧。</w:t>
      </w:r>
    </w:p>
    <w:p>
      <w:pPr>
        <w:pStyle w:val="BodyText"/>
        <w:spacing w:line="240" w:lineRule="auto" w:before="93"/>
        <w:ind w:left="504" w:right="96"/>
        <w:jc w:val="left"/>
      </w:pPr>
      <w:r>
        <w:rPr/>
        <w:t>各类固定资产的估计残值率、折旧年限和年折旧率如下：</w:t>
      </w:r>
    </w:p>
    <w:p>
      <w:pPr>
        <w:spacing w:line="240" w:lineRule="auto" w:before="8"/>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2196"/>
        <w:gridCol w:w="2507"/>
        <w:gridCol w:w="2143"/>
        <w:gridCol w:w="2454"/>
      </w:tblGrid>
      <w:tr>
        <w:trPr>
          <w:trHeight w:val="436" w:hRule="exact"/>
        </w:trPr>
        <w:tc>
          <w:tcPr>
            <w:tcW w:w="21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right="827"/>
              <w:jc w:val="right"/>
              <w:rPr>
                <w:rFonts w:ascii="宋体" w:hAnsi="宋体" w:cs="宋体" w:eastAsia="宋体" w:hint="default"/>
                <w:sz w:val="21"/>
                <w:szCs w:val="21"/>
              </w:rPr>
            </w:pPr>
            <w:r>
              <w:rPr>
                <w:rFonts w:ascii="宋体" w:hAnsi="宋体" w:cs="宋体" w:eastAsia="宋体" w:hint="default"/>
                <w:sz w:val="21"/>
                <w:szCs w:val="21"/>
              </w:rPr>
              <w:t>类 别</w:t>
            </w:r>
          </w:p>
        </w:tc>
        <w:tc>
          <w:tcPr>
            <w:tcW w:w="25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511"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1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451"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502"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2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818"/>
              <w:jc w:val="right"/>
              <w:rPr>
                <w:rFonts w:ascii="宋体" w:hAnsi="宋体" w:cs="宋体" w:eastAsia="宋体" w:hint="default"/>
                <w:sz w:val="21"/>
                <w:szCs w:val="21"/>
              </w:rPr>
            </w:pPr>
            <w:r>
              <w:rPr>
                <w:rFonts w:ascii="宋体" w:hAnsi="宋体" w:cs="宋体" w:eastAsia="宋体" w:hint="default"/>
                <w:sz w:val="21"/>
                <w:szCs w:val="21"/>
              </w:rPr>
              <w:t>房屋及建筑物</w:t>
            </w:r>
          </w:p>
        </w:tc>
        <w:tc>
          <w:tcPr>
            <w:tcW w:w="25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20</w:t>
            </w:r>
          </w:p>
        </w:tc>
        <w:tc>
          <w:tcPr>
            <w:tcW w:w="21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4.75</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27" w:top="1040" w:bottom="920" w:left="1380" w:right="126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196"/>
        <w:gridCol w:w="2507"/>
        <w:gridCol w:w="2143"/>
        <w:gridCol w:w="2454"/>
      </w:tblGrid>
      <w:tr>
        <w:trPr>
          <w:trHeight w:val="287" w:hRule="exact"/>
        </w:trPr>
        <w:tc>
          <w:tcPr>
            <w:tcW w:w="2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1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19</w:t>
            </w:r>
          </w:p>
        </w:tc>
      </w:tr>
      <w:tr>
        <w:trPr>
          <w:trHeight w:val="288" w:hRule="exact"/>
        </w:trPr>
        <w:tc>
          <w:tcPr>
            <w:tcW w:w="2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c>
          <w:tcPr>
            <w:tcW w:w="21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31.67</w:t>
            </w:r>
          </w:p>
        </w:tc>
      </w:tr>
      <w:tr>
        <w:trPr>
          <w:trHeight w:val="287" w:hRule="exact"/>
        </w:trPr>
        <w:tc>
          <w:tcPr>
            <w:tcW w:w="2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1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19</w:t>
            </w:r>
          </w:p>
        </w:tc>
      </w:tr>
      <w:tr>
        <w:trPr>
          <w:trHeight w:val="288" w:hRule="exact"/>
        </w:trPr>
        <w:tc>
          <w:tcPr>
            <w:tcW w:w="21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1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w:t>
            </w:r>
          </w:p>
        </w:tc>
        <w:tc>
          <w:tcPr>
            <w:tcW w:w="24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19</w:t>
            </w:r>
          </w:p>
        </w:tc>
      </w:tr>
    </w:tbl>
    <w:p>
      <w:pPr>
        <w:spacing w:line="240" w:lineRule="auto" w:before="4"/>
        <w:rPr>
          <w:rFonts w:ascii="宋体" w:hAnsi="宋体" w:cs="宋体" w:eastAsia="宋体" w:hint="default"/>
          <w:sz w:val="22"/>
          <w:szCs w:val="22"/>
        </w:rPr>
      </w:pPr>
    </w:p>
    <w:p>
      <w:pPr>
        <w:pStyle w:val="BodyText"/>
        <w:spacing w:line="324" w:lineRule="auto" w:before="35"/>
        <w:ind w:left="683" w:right="0" w:firstLine="1"/>
        <w:jc w:val="left"/>
      </w:pPr>
      <w:r>
        <w:rPr>
          <w:rFonts w:ascii="Times New Roman" w:hAnsi="Times New Roman" w:cs="Times New Roman" w:eastAsia="Times New Roman" w:hint="default"/>
        </w:rPr>
        <w:t>1</w:t>
      </w:r>
      <w:r>
        <w:rPr/>
        <w:t>）</w:t>
      </w:r>
      <w:r>
        <w:rPr>
          <w:spacing w:val="-61"/>
        </w:rPr>
        <w:t> </w:t>
      </w:r>
      <w:r>
        <w:rPr/>
        <w:t>固定资产确认条件</w:t>
      </w:r>
      <w:r>
        <w:rPr/>
        <w:t> 固定资产指为生产商品、提供劳务、出租或经营管理而持有，并且使用年限超过一年的有形资</w:t>
      </w:r>
    </w:p>
    <w:p>
      <w:pPr>
        <w:pStyle w:val="BodyText"/>
        <w:spacing w:line="199" w:lineRule="exact"/>
        <w:ind w:left="144" w:right="2197"/>
        <w:jc w:val="left"/>
      </w:pPr>
      <w:r>
        <w:rPr/>
        <w:t>产。固定资产在同时满足下列条件时予以确认：</w:t>
      </w:r>
    </w:p>
    <w:p>
      <w:pPr>
        <w:pStyle w:val="BodyText"/>
        <w:spacing w:line="240" w:lineRule="auto" w:before="117"/>
        <w:ind w:left="683" w:right="2197"/>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1"/>
        <w:ind w:left="683" w:right="2197"/>
        <w:jc w:val="left"/>
      </w:pPr>
      <w:r>
        <w:rPr/>
        <w:t>（</w:t>
      </w:r>
      <w:r>
        <w:rPr>
          <w:rFonts w:ascii="Times New Roman" w:hAnsi="Times New Roman" w:cs="Times New Roman" w:eastAsia="Times New Roman" w:hint="default"/>
        </w:rPr>
        <w:t>2</w:t>
      </w:r>
      <w:r>
        <w:rPr/>
        <w:t>）该固定资产的成本能够可靠地计量。</w:t>
      </w:r>
    </w:p>
    <w:p>
      <w:pPr>
        <w:pStyle w:val="BodyText"/>
        <w:spacing w:line="333" w:lineRule="auto" w:before="101"/>
        <w:ind w:left="683" w:right="667"/>
        <w:jc w:val="left"/>
      </w:pPr>
      <w:r>
        <w:rPr>
          <w:rFonts w:ascii="Times New Roman" w:hAnsi="Times New Roman" w:cs="Times New Roman" w:eastAsia="Times New Roman" w:hint="default"/>
        </w:rPr>
        <w:t>2</w:t>
      </w:r>
      <w:r>
        <w:rPr/>
        <w:t>）固定资产的分类 本公司固定资产分类为：房屋及建筑物、机器设备、运输设备、电子设备、其他设备等。 </w:t>
      </w:r>
      <w:r>
        <w:rPr>
          <w:rFonts w:ascii="Times New Roman" w:hAnsi="Times New Roman" w:cs="Times New Roman" w:eastAsia="Times New Roman" w:hint="default"/>
        </w:rPr>
        <w:t>3</w:t>
      </w:r>
      <w:r>
        <w:rPr/>
        <w:t>）固定资产的初始计量</w:t>
      </w:r>
    </w:p>
    <w:p>
      <w:pPr>
        <w:pStyle w:val="BodyText"/>
        <w:spacing w:line="240" w:lineRule="auto" w:before="11"/>
        <w:ind w:left="683" w:right="2197"/>
        <w:jc w:val="left"/>
      </w:pPr>
      <w:r>
        <w:rPr/>
        <w:t>固定资产取得时按照实际成本进行初始计量。</w:t>
      </w:r>
    </w:p>
    <w:p>
      <w:pPr>
        <w:pStyle w:val="BodyText"/>
        <w:spacing w:line="272" w:lineRule="exact" w:before="145"/>
        <w:ind w:left="144" w:right="0" w:firstLine="538"/>
        <w:jc w:val="left"/>
      </w:pPr>
      <w:r>
        <w:rPr/>
        <w:t>外购固定资产的成本，以购买价款、相关税费、使固定资产达到预定可使用状态前所发生的可 归属于该项资产的运输费、装卸费、安装费和专业人员服务费等确定。</w:t>
      </w:r>
    </w:p>
    <w:p>
      <w:pPr>
        <w:pStyle w:val="BodyText"/>
        <w:spacing w:line="272" w:lineRule="exact" w:before="120"/>
        <w:ind w:left="144" w:right="0" w:firstLine="538"/>
        <w:jc w:val="left"/>
      </w:pPr>
      <w:r>
        <w:rPr/>
        <w:t>购买固定资产的价款超过正常信用条件延期支付，实质上具有融资性质的，固定资产的成本以 购买价款的现值为基础确定。</w:t>
      </w:r>
    </w:p>
    <w:p>
      <w:pPr>
        <w:pStyle w:val="BodyText"/>
        <w:spacing w:line="272" w:lineRule="exact" w:before="120"/>
        <w:ind w:left="144" w:right="156" w:firstLine="538"/>
        <w:jc w:val="left"/>
      </w:pPr>
      <w:r>
        <w:rPr/>
        <w:t>自行建造固定资产的成本，由建造该项资产达到预定可使用状态前所发生的必要支出构成。 债务重组取得债务人用以抵债的固定资产，以该固定资产的公允价值为基础确定其入账价值，并将重 组债务的账面价值与该用以抵债的固定资产公允价值之间的差额，计入当期损益；</w:t>
      </w:r>
    </w:p>
    <w:p>
      <w:pPr>
        <w:pStyle w:val="BodyText"/>
        <w:spacing w:line="272" w:lineRule="exact" w:before="120"/>
        <w:ind w:left="144" w:right="170" w:firstLine="538"/>
        <w:jc w:val="both"/>
      </w:pPr>
      <w:r>
        <w:rPr/>
        <w:t>在非货币性资产交换具备商业实质和换入资产或换出资产的公允价值能够可靠计量的前提下， 换入的固定资产以换出资产的公允价值为基础确定其入账价值，除非有确凿证据表明换入资产的公允 价值更加可靠；不满足上述前提的非货币性资产交换，以换出资产的账面价值和应支付的相关税费作 为换入固定资产的成本，不确认损益。</w:t>
      </w:r>
    </w:p>
    <w:p>
      <w:pPr>
        <w:pStyle w:val="BodyText"/>
        <w:spacing w:line="272" w:lineRule="exact" w:before="120"/>
        <w:ind w:left="144" w:right="0" w:firstLine="538"/>
        <w:jc w:val="left"/>
      </w:pPr>
      <w:r>
        <w:rPr/>
        <w:t>以同一控制下的企业吸收合并方式取得的固定资产按被合并方的账面价值确定其入账价值；以 非同一控制下的企业吸收合并方式取得的固定资产按公允价值确定其入账价值。</w:t>
      </w:r>
    </w:p>
    <w:p>
      <w:pPr>
        <w:pStyle w:val="BodyText"/>
        <w:spacing w:line="272" w:lineRule="exact" w:before="120"/>
        <w:ind w:left="144" w:right="0" w:firstLine="538"/>
        <w:jc w:val="left"/>
      </w:pPr>
      <w:r>
        <w:rPr/>
        <w:t>融资租入的固定资产，按租赁开始日租赁资产公允价值与最低租赁付款额现值两者中较低者作 为入账价值。</w:t>
      </w:r>
    </w:p>
    <w:p>
      <w:pPr>
        <w:pStyle w:val="BodyText"/>
        <w:spacing w:line="324" w:lineRule="auto" w:before="93"/>
        <w:ind w:left="685" w:right="0" w:hanging="3"/>
        <w:jc w:val="left"/>
      </w:pPr>
      <w:r>
        <w:rPr>
          <w:rFonts w:ascii="Times New Roman" w:hAnsi="Times New Roman" w:cs="Times New Roman" w:eastAsia="Times New Roman" w:hint="default"/>
        </w:rPr>
        <w:t>5</w:t>
      </w:r>
      <w:r>
        <w:rPr/>
        <w:t>）</w:t>
      </w:r>
      <w:r>
        <w:rPr>
          <w:spacing w:val="-59"/>
        </w:rPr>
        <w:t> </w:t>
      </w:r>
      <w:r>
        <w:rPr/>
        <w:t>固定资产折旧计提方法</w:t>
      </w:r>
      <w:r>
        <w:rPr/>
        <w:t> 固定资产折旧采用年限平均法分类计提，根据固定资产类别、预计使用年限和预计净残值率确</w:t>
      </w:r>
    </w:p>
    <w:p>
      <w:pPr>
        <w:pStyle w:val="BodyText"/>
        <w:spacing w:line="199" w:lineRule="exact"/>
        <w:ind w:right="2197"/>
        <w:jc w:val="left"/>
      </w:pPr>
      <w:r>
        <w:rPr/>
        <w:t>定折旧率。</w:t>
      </w:r>
    </w:p>
    <w:p>
      <w:pPr>
        <w:pStyle w:val="BodyText"/>
        <w:spacing w:line="272" w:lineRule="exact" w:before="145"/>
        <w:ind w:right="0" w:firstLine="539"/>
        <w:jc w:val="left"/>
      </w:pPr>
      <w:r>
        <w:rPr/>
        <w:t>符合资本化条件的固定资产装修费用，在两次装修期间与固定资产尚可使用年限两者中较短的</w:t>
      </w:r>
      <w:r>
        <w:rPr>
          <w:spacing w:val="2"/>
        </w:rPr>
        <w:t> </w:t>
      </w:r>
      <w:r>
        <w:rPr/>
        <w:t>期间内，采用年限平均法单独计提折旧。</w:t>
      </w:r>
    </w:p>
    <w:p>
      <w:pPr>
        <w:pStyle w:val="BodyText"/>
        <w:spacing w:line="272" w:lineRule="exact" w:before="120"/>
        <w:ind w:right="171" w:firstLine="539"/>
        <w:jc w:val="both"/>
      </w:pPr>
      <w:r>
        <w:rPr/>
        <w:t>融资租赁方式租入的固定资产，能合理确定租赁期届满时将会取得租赁资产所有权的，在租赁</w:t>
      </w:r>
      <w:r>
        <w:rPr>
          <w:spacing w:val="2"/>
        </w:rPr>
        <w:t> </w:t>
      </w:r>
      <w:r>
        <w:rPr/>
        <w:t>资产尚可使用年限内计提折旧；无法合理确定租赁期届满时能够取得租赁资产所有权的，在租赁期与</w:t>
      </w:r>
      <w:r>
        <w:rPr/>
        <w:t> 租赁资产尚可使用年限两者中较短的期间内计提折旧。</w:t>
      </w:r>
    </w:p>
    <w:p>
      <w:pPr>
        <w:pStyle w:val="BodyText"/>
        <w:spacing w:line="240" w:lineRule="auto" w:before="93"/>
        <w:ind w:left="684" w:right="2197"/>
        <w:jc w:val="left"/>
      </w:pPr>
      <w:r>
        <w:rPr>
          <w:rFonts w:ascii="Times New Roman" w:hAnsi="Times New Roman" w:cs="Times New Roman" w:eastAsia="Times New Roman" w:hint="default"/>
        </w:rPr>
        <w:t>13</w:t>
      </w:r>
      <w:r>
        <w:rPr/>
        <w:t>、在建工程核算方法：</w:t>
      </w:r>
    </w:p>
    <w:p>
      <w:pPr>
        <w:pStyle w:val="BodyText"/>
        <w:spacing w:line="240" w:lineRule="auto" w:before="101"/>
        <w:ind w:left="684" w:right="2197"/>
        <w:jc w:val="left"/>
      </w:pPr>
      <w:r>
        <w:rPr>
          <w:rFonts w:ascii="Times New Roman" w:hAnsi="Times New Roman" w:cs="Times New Roman" w:eastAsia="Times New Roman" w:hint="default"/>
        </w:rPr>
        <w:t>1</w:t>
      </w:r>
      <w:r>
        <w:rPr/>
        <w:t>）在建工程类别</w:t>
      </w:r>
    </w:p>
    <w:p>
      <w:pPr>
        <w:spacing w:after="0" w:line="240" w:lineRule="auto"/>
        <w:jc w:val="left"/>
        <w:sectPr>
          <w:pgSz w:w="12240" w:h="15840"/>
          <w:pgMar w:header="747" w:footer="727" w:top="1040" w:bottom="920" w:left="1380" w:right="1300"/>
        </w:sectPr>
      </w:pPr>
    </w:p>
    <w:p>
      <w:pPr>
        <w:spacing w:line="240" w:lineRule="auto" w:before="3"/>
        <w:rPr>
          <w:rFonts w:ascii="宋体" w:hAnsi="宋体" w:cs="宋体" w:eastAsia="宋体" w:hint="default"/>
          <w:sz w:val="24"/>
          <w:szCs w:val="24"/>
        </w:rPr>
      </w:pPr>
    </w:p>
    <w:p>
      <w:pPr>
        <w:pStyle w:val="BodyText"/>
        <w:spacing w:line="240" w:lineRule="auto" w:before="35"/>
        <w:ind w:left="684" w:right="0"/>
        <w:jc w:val="left"/>
      </w:pPr>
      <w:r>
        <w:rPr/>
        <w:t>在建工程以立项项目分类核算。</w:t>
      </w:r>
    </w:p>
    <w:p>
      <w:pPr>
        <w:pStyle w:val="BodyText"/>
        <w:spacing w:line="324" w:lineRule="auto" w:before="117"/>
        <w:ind w:left="683" w:right="0"/>
        <w:jc w:val="left"/>
      </w:pPr>
      <w:r>
        <w:rPr>
          <w:rFonts w:ascii="Times New Roman" w:hAnsi="Times New Roman" w:cs="Times New Roman" w:eastAsia="Times New Roman" w:hint="default"/>
        </w:rPr>
        <w:t>2</w:t>
      </w:r>
      <w:r>
        <w:rPr/>
        <w:t>）在建工程结转为固定资产的时点 在建工程项目按建造该项资产达到预定可使用状态前所发生的全部支出，作为固定资产的入账</w:t>
      </w:r>
    </w:p>
    <w:p>
      <w:pPr>
        <w:pStyle w:val="BodyText"/>
        <w:spacing w:line="198" w:lineRule="exact"/>
        <w:ind w:right="0"/>
        <w:jc w:val="left"/>
      </w:pPr>
      <w:r>
        <w:rPr/>
        <w:t>价值。所建造的固定资产在建工程已达到预定可使用状态，但尚未办理竣工决算的，自达到预定可使</w:t>
      </w:r>
    </w:p>
    <w:p>
      <w:pPr>
        <w:pStyle w:val="BodyText"/>
        <w:spacing w:line="272" w:lineRule="exact" w:before="26"/>
        <w:ind w:right="112"/>
        <w:jc w:val="both"/>
      </w:pPr>
      <w:r>
        <w:rPr/>
        <w:t>用状态之日起，根据工程预算、造价或者工程实际成本等，按估计的价值转入固定资产，并按本公司 固定资产折旧政策计提固定资产的折旧，待办理竣工决算后，再按实际成本调整原来的暂估价值，但 不调整原已计提的折旧额。</w:t>
      </w:r>
    </w:p>
    <w:p>
      <w:pPr>
        <w:pStyle w:val="BodyText"/>
        <w:spacing w:line="240" w:lineRule="auto" w:before="93"/>
        <w:ind w:left="684" w:right="0"/>
        <w:jc w:val="left"/>
      </w:pPr>
      <w:r>
        <w:rPr>
          <w:rFonts w:ascii="Times New Roman" w:hAnsi="Times New Roman" w:cs="Times New Roman" w:eastAsia="Times New Roman" w:hint="default"/>
        </w:rPr>
        <w:t>14</w:t>
      </w:r>
      <w:r>
        <w:rPr/>
        <w:t>、无形资产计价方法：</w:t>
      </w:r>
    </w:p>
    <w:p>
      <w:pPr>
        <w:pStyle w:val="BodyText"/>
        <w:spacing w:line="324" w:lineRule="auto" w:before="101"/>
        <w:ind w:left="683" w:right="6277"/>
        <w:jc w:val="left"/>
      </w:pPr>
      <w:r>
        <w:rPr>
          <w:rFonts w:ascii="Times New Roman" w:hAnsi="Times New Roman" w:cs="Times New Roman" w:eastAsia="Times New Roman" w:hint="default"/>
        </w:rPr>
        <w:t>1</w:t>
      </w:r>
      <w:r>
        <w:rPr/>
        <w:t>）无形资产的计价方法 按取得时的实际成本入账；</w:t>
      </w:r>
    </w:p>
    <w:p>
      <w:pPr>
        <w:pStyle w:val="BodyText"/>
        <w:spacing w:line="237" w:lineRule="auto" w:before="46"/>
        <w:ind w:right="110" w:firstLine="538"/>
        <w:jc w:val="both"/>
      </w:pPr>
      <w:r>
        <w:rPr/>
        <w:t>外购无形资产的成本，包括购买价款、相关税费以及直接归属于使该项资产达到预定用途所发 生的其他支出。购买无形资产的价款超过正常信用条件延期支付，实质上具有融资性质的，无形资产 的成本以购买价款的现值为基础确定。</w:t>
      </w:r>
    </w:p>
    <w:p>
      <w:pPr>
        <w:pStyle w:val="BodyText"/>
        <w:spacing w:line="272" w:lineRule="exact" w:before="145"/>
        <w:ind w:right="95" w:firstLine="538"/>
        <w:jc w:val="left"/>
      </w:pPr>
      <w:r>
        <w:rPr/>
        <w:t>债务重组取得债务人用以抵债的无形资产，以该无形资产的公允价值为基础确定其入账价值， 并将重组债务的账面价值与该用以抵债的无形资产公允价值之间的差额，计入当期损益； 在非货币性资产交换具备商业实质和换入资产或换出资产的公允价值能够可靠计量的前提下，非货币 性资产交换换入的无形资产以换出资产的公允价值为基础确定其入账价值，除非有确凿证据表明换入 资产的公允价值更加可靠；不满足上述前提的非货币性资产交换，以换出资产的账面价值和应支付的 相关税费作为换入无形资产的成本，不确认损益。</w:t>
      </w:r>
    </w:p>
    <w:p>
      <w:pPr>
        <w:pStyle w:val="BodyText"/>
        <w:spacing w:line="272" w:lineRule="exact" w:before="120"/>
        <w:ind w:right="0" w:firstLine="538"/>
        <w:jc w:val="left"/>
      </w:pPr>
      <w:r>
        <w:rPr/>
        <w:t>以同一控制下的企业吸收合并方式取得的无形资产按被合并方的账面价值确定其入账价值；以 非同一控制下的企业吸收合并方式取得的无形资产按公允价值确定其入账价值。</w:t>
      </w:r>
    </w:p>
    <w:p>
      <w:pPr>
        <w:pStyle w:val="BodyText"/>
        <w:spacing w:line="240" w:lineRule="auto" w:before="93"/>
        <w:ind w:left="684" w:right="0"/>
        <w:jc w:val="left"/>
      </w:pPr>
      <w:r>
        <w:rPr>
          <w:rFonts w:ascii="Times New Roman" w:hAnsi="Times New Roman" w:cs="Times New Roman" w:eastAsia="Times New Roman" w:hint="default"/>
        </w:rPr>
        <w:t>2</w:t>
      </w:r>
      <w:r>
        <w:rPr/>
        <w:t>）无形资产使用寿命及摊销</w:t>
      </w:r>
    </w:p>
    <w:p>
      <w:pPr>
        <w:pStyle w:val="BodyText"/>
        <w:spacing w:line="324" w:lineRule="auto" w:before="101"/>
        <w:ind w:left="684" w:right="0"/>
        <w:jc w:val="left"/>
      </w:pPr>
      <w:r>
        <w:rPr/>
        <w:t>（</w:t>
      </w:r>
      <w:r>
        <w:rPr>
          <w:rFonts w:ascii="Times New Roman" w:hAnsi="Times New Roman" w:cs="Times New Roman" w:eastAsia="Times New Roman" w:hint="default"/>
        </w:rPr>
        <w:t>1</w:t>
      </w:r>
      <w:r>
        <w:rPr/>
        <w:t>）使用寿命有限的无形资产的使用寿命估计情况： 公司于取得无形资产时分析判断其使用寿命。无形资产的使用寿命为有限的，估计该使用寿命</w:t>
      </w:r>
    </w:p>
    <w:p>
      <w:pPr>
        <w:pStyle w:val="BodyText"/>
        <w:spacing w:line="198" w:lineRule="exact"/>
        <w:ind w:right="0"/>
        <w:jc w:val="left"/>
      </w:pPr>
      <w:r>
        <w:rPr/>
        <w:t>的年限或者构成使用寿命的产量等类似计量单位数量。本公司报告期内使用寿命有限的无形资产包括</w:t>
      </w:r>
    </w:p>
    <w:p>
      <w:pPr>
        <w:pStyle w:val="BodyText"/>
        <w:spacing w:line="343" w:lineRule="auto"/>
        <w:ind w:left="684" w:right="2286" w:hanging="539"/>
        <w:jc w:val="left"/>
      </w:pPr>
      <w:r>
        <w:rPr/>
        <w:t>财务及其他软件、网站系统、土地使用权等。 每年末，对使用寿命有限的无形资产的使用寿命及摊销方法进行复核。 经复核，本年末无形资产的使用寿命及摊销方法与以前估计未有不同。</w:t>
      </w:r>
    </w:p>
    <w:p>
      <w:pPr>
        <w:pStyle w:val="BodyText"/>
        <w:spacing w:line="324" w:lineRule="auto" w:before="27"/>
        <w:ind w:left="684" w:right="0"/>
        <w:jc w:val="left"/>
      </w:pPr>
      <w:r>
        <w:rPr/>
        <w:t>（</w:t>
      </w:r>
      <w:r>
        <w:rPr>
          <w:rFonts w:ascii="Times New Roman" w:hAnsi="Times New Roman" w:cs="Times New Roman" w:eastAsia="Times New Roman" w:hint="default"/>
        </w:rPr>
        <w:t>2</w:t>
      </w:r>
      <w:r>
        <w:rPr/>
        <w:t>）使用寿命不确定的无形资产的判断依据： 无法预见无形资产为企业带来经济利益期限的，视为使用寿命不确定的无形资产，本公司无使</w:t>
      </w:r>
    </w:p>
    <w:p>
      <w:pPr>
        <w:pStyle w:val="BodyText"/>
        <w:spacing w:line="199" w:lineRule="exact"/>
        <w:ind w:right="0"/>
        <w:jc w:val="left"/>
      </w:pPr>
      <w:r>
        <w:rPr/>
        <w:t>用寿命不确定的无形资产。</w:t>
      </w:r>
    </w:p>
    <w:p>
      <w:pPr>
        <w:pStyle w:val="BodyText"/>
        <w:spacing w:line="324" w:lineRule="auto" w:before="117"/>
        <w:ind w:left="684" w:right="0"/>
        <w:jc w:val="left"/>
      </w:pPr>
      <w:r>
        <w:rPr/>
        <w:t>（</w:t>
      </w:r>
      <w:r>
        <w:rPr>
          <w:rFonts w:ascii="Times New Roman" w:hAnsi="Times New Roman" w:cs="Times New Roman" w:eastAsia="Times New Roman" w:hint="default"/>
        </w:rPr>
        <w:t>3</w:t>
      </w:r>
      <w:r>
        <w:rPr/>
        <w:t>）无形资产的摊销： 对于使用寿命有限的无形资产，在为企业带来经济利益的期限内按直线法摊销；无法预见无形</w:t>
      </w:r>
    </w:p>
    <w:p>
      <w:pPr>
        <w:pStyle w:val="BodyText"/>
        <w:spacing w:line="198" w:lineRule="exact"/>
        <w:ind w:right="0"/>
        <w:jc w:val="left"/>
      </w:pPr>
      <w:r>
        <w:rPr/>
        <w:t>资产为企业带来经济利益期限的，视为使用寿命不确定的无形资产，不予摊销。</w:t>
      </w:r>
    </w:p>
    <w:p>
      <w:pPr>
        <w:pStyle w:val="BodyText"/>
        <w:spacing w:line="324" w:lineRule="auto" w:before="117"/>
        <w:ind w:left="684" w:right="0"/>
        <w:jc w:val="left"/>
      </w:pPr>
      <w:r>
        <w:rPr>
          <w:rFonts w:ascii="Times New Roman" w:hAnsi="Times New Roman" w:cs="Times New Roman" w:eastAsia="Times New Roman" w:hint="default"/>
        </w:rPr>
        <w:t>3</w:t>
      </w:r>
      <w:r>
        <w:rPr/>
        <w:t>）内部开发活动形成的无形资产、研究开发项目研究阶段支出与开发阶段支出的划分标准： 内部开发活动形成的无形资产，其成本包括：开发该无形资产时耗用的材料、劳务成本、注册</w:t>
      </w:r>
    </w:p>
    <w:p>
      <w:pPr>
        <w:pStyle w:val="BodyText"/>
        <w:spacing w:line="198" w:lineRule="exact"/>
        <w:ind w:right="0"/>
        <w:jc w:val="left"/>
      </w:pPr>
      <w:r>
        <w:rPr/>
        <w:t>费、在开发过程中使用的其他专利权和特许权的摊销以及满足资本化条件的利息费用，以及为使该无</w:t>
      </w:r>
    </w:p>
    <w:p>
      <w:pPr>
        <w:pStyle w:val="BodyText"/>
        <w:spacing w:line="274" w:lineRule="exact"/>
        <w:ind w:right="0"/>
        <w:jc w:val="left"/>
      </w:pPr>
      <w:r>
        <w:rPr/>
        <w:t>形资产达到预定用途前所发生的其他直接费用。</w:t>
      </w:r>
    </w:p>
    <w:p>
      <w:pPr>
        <w:pStyle w:val="BodyText"/>
        <w:spacing w:line="272" w:lineRule="exact" w:before="145"/>
        <w:ind w:right="0" w:firstLine="538"/>
        <w:jc w:val="left"/>
      </w:pPr>
      <w:r>
        <w:rPr/>
        <w:t>内部研究开发费用，于发生时先在“研发支出”项目中归集，年末费用化支出金额转入“管理 费用”，达到预定用途形成无形资产的，转入“无形资产”项目中。</w:t>
      </w:r>
    </w:p>
    <w:p>
      <w:pPr>
        <w:spacing w:after="0" w:line="272" w:lineRule="exact"/>
        <w:jc w:val="left"/>
        <w:sectPr>
          <w:pgSz w:w="12240" w:h="15840"/>
          <w:pgMar w:header="747" w:footer="727" w:top="1040" w:bottom="920" w:left="1380" w:right="1360"/>
        </w:sectPr>
      </w:pPr>
    </w:p>
    <w:p>
      <w:pPr>
        <w:spacing w:line="240" w:lineRule="auto" w:before="3"/>
        <w:rPr>
          <w:rFonts w:ascii="宋体" w:hAnsi="宋体" w:cs="宋体" w:eastAsia="宋体" w:hint="default"/>
          <w:sz w:val="24"/>
          <w:szCs w:val="24"/>
        </w:rPr>
      </w:pPr>
    </w:p>
    <w:p>
      <w:pPr>
        <w:pStyle w:val="BodyText"/>
        <w:spacing w:line="240" w:lineRule="auto" w:before="35"/>
        <w:ind w:left="684" w:right="96"/>
        <w:jc w:val="left"/>
      </w:pPr>
      <w:r>
        <w:rPr/>
        <w:t>内部研究开发项目开发阶段的支出，同时满足下列条件的，才能确认为无形资产：</w:t>
      </w:r>
    </w:p>
    <w:p>
      <w:pPr>
        <w:pStyle w:val="BodyText"/>
        <w:spacing w:line="240" w:lineRule="auto" w:before="117"/>
        <w:ind w:left="683" w:right="9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1"/>
        <w:ind w:left="683" w:right="9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72" w:lineRule="exact" w:before="129"/>
        <w:ind w:right="96" w:firstLine="538"/>
        <w:jc w:val="left"/>
      </w:pPr>
      <w:r>
        <w:rPr>
          <w:spacing w:val="-1"/>
        </w:rPr>
        <w:t>（</w:t>
      </w:r>
      <w:r>
        <w:rPr>
          <w:rFonts w:ascii="Times New Roman" w:hAnsi="Times New Roman" w:cs="Times New Roman" w:eastAsia="Times New Roman" w:hint="default"/>
          <w:spacing w:val="-1"/>
        </w:rPr>
        <w:t>3</w:t>
      </w:r>
      <w:r>
        <w:rPr>
          <w:spacing w:val="-1"/>
        </w:rPr>
        <w:t>）无形资产产生经济利益的方式，能够证明运用该无形资产生产的产品存在市场或无形资产</w:t>
      </w:r>
      <w:r>
        <w:rPr/>
        <w:t> 自身存在市场，无形资产将在内部使用的，应当证明其有用性；</w:t>
      </w:r>
    </w:p>
    <w:p>
      <w:pPr>
        <w:pStyle w:val="BodyText"/>
        <w:spacing w:line="272" w:lineRule="exact" w:before="120"/>
        <w:ind w:right="96" w:firstLine="538"/>
        <w:jc w:val="left"/>
      </w:pPr>
      <w:r>
        <w:rPr>
          <w:spacing w:val="-1"/>
        </w:rPr>
        <w:t>（</w:t>
      </w:r>
      <w:r>
        <w:rPr>
          <w:rFonts w:ascii="Times New Roman" w:hAnsi="Times New Roman" w:cs="Times New Roman" w:eastAsia="Times New Roman" w:hint="default"/>
          <w:spacing w:val="-1"/>
        </w:rPr>
        <w:t>4</w:t>
      </w:r>
      <w:r>
        <w:rPr>
          <w:spacing w:val="-1"/>
        </w:rPr>
        <w:t>）有足够的技术、财务资源和其他资源支持，以完成该无形资产的开发，并有能力使用或出</w:t>
      </w:r>
      <w:r>
        <w:rPr/>
        <w:t> 售该无形资产；</w:t>
      </w:r>
    </w:p>
    <w:p>
      <w:pPr>
        <w:pStyle w:val="BodyText"/>
        <w:spacing w:line="331" w:lineRule="auto" w:before="93"/>
        <w:ind w:left="683" w:right="2492"/>
        <w:jc w:val="left"/>
      </w:pPr>
      <w:r>
        <w:rPr/>
        <w:t>（</w:t>
      </w:r>
      <w:r>
        <w:rPr>
          <w:rFonts w:ascii="Times New Roman" w:hAnsi="Times New Roman" w:cs="Times New Roman" w:eastAsia="Times New Roman" w:hint="default"/>
        </w:rPr>
        <w:t>5</w:t>
      </w:r>
      <w:r>
        <w:rPr/>
        <w:t>）归属于该无形资产开发阶段的支出能够可靠地计量。 </w:t>
      </w:r>
      <w:r>
        <w:rPr>
          <w:rFonts w:ascii="Times New Roman" w:hAnsi="Times New Roman" w:cs="Times New Roman" w:eastAsia="Times New Roman" w:hint="default"/>
        </w:rPr>
        <w:t>15</w:t>
      </w:r>
      <w:r>
        <w:rPr/>
        <w:t>、长期待摊费用的摊销方法及摊销年限： 长期待摊费用在受益期内平均摊销，其中： </w:t>
      </w:r>
      <w:r>
        <w:rPr>
          <w:rFonts w:ascii="Times New Roman" w:hAnsi="Times New Roman" w:cs="Times New Roman" w:eastAsia="Times New Roman" w:hint="default"/>
        </w:rPr>
        <w:t>1</w:t>
      </w:r>
      <w:r>
        <w:rPr/>
        <w:t>）预付经营租入固定资产的租金，按租赁合同规定的期限平均摊销。</w:t>
      </w:r>
    </w:p>
    <w:p>
      <w:pPr>
        <w:pStyle w:val="BodyText"/>
        <w:spacing w:line="272" w:lineRule="exact" w:before="40"/>
        <w:ind w:right="96" w:firstLine="538"/>
        <w:jc w:val="left"/>
      </w:pPr>
      <w:r>
        <w:rPr>
          <w:rFonts w:ascii="Times New Roman" w:hAnsi="Times New Roman" w:cs="Times New Roman" w:eastAsia="Times New Roman" w:hint="default"/>
          <w:spacing w:val="-1"/>
        </w:rPr>
        <w:t>2</w:t>
      </w:r>
      <w:r>
        <w:rPr>
          <w:spacing w:val="-1"/>
        </w:rPr>
        <w:t>）经营租赁方式租入的固定资产改良支出，按剩余租赁期与租赁资产尚可使用年限两者中较短</w:t>
      </w:r>
      <w:r>
        <w:rPr/>
        <w:t> 的期限平均摊销。</w:t>
      </w:r>
    </w:p>
    <w:p>
      <w:pPr>
        <w:pStyle w:val="BodyText"/>
        <w:spacing w:line="240" w:lineRule="auto" w:before="93"/>
        <w:ind w:left="683" w:right="96"/>
        <w:jc w:val="left"/>
      </w:pPr>
      <w:r>
        <w:rPr>
          <w:rFonts w:ascii="Times New Roman" w:hAnsi="Times New Roman" w:cs="Times New Roman" w:eastAsia="Times New Roman" w:hint="default"/>
        </w:rPr>
        <w:t>16</w:t>
      </w:r>
      <w:r>
        <w:rPr/>
        <w:t>、除存货、投资性房地产及金融资产外，其他主要类别资产的资产减值准备确定方法：</w:t>
      </w:r>
    </w:p>
    <w:p>
      <w:pPr>
        <w:pStyle w:val="BodyText"/>
        <w:spacing w:line="324" w:lineRule="auto" w:before="101"/>
        <w:ind w:left="683" w:right="96"/>
        <w:jc w:val="left"/>
      </w:pPr>
      <w:r>
        <w:rPr>
          <w:rFonts w:ascii="Times New Roman" w:hAnsi="Times New Roman" w:cs="Times New Roman" w:eastAsia="Times New Roman" w:hint="default"/>
        </w:rPr>
        <w:t>1</w:t>
      </w:r>
      <w:r>
        <w:rPr/>
        <w:t>）长期股权投资 成本法核算的、在活跃市场中没有报价、公允价值不能可靠计量的长期股权投资，其减值损失</w:t>
      </w:r>
    </w:p>
    <w:p>
      <w:pPr>
        <w:pStyle w:val="BodyText"/>
        <w:spacing w:line="198" w:lineRule="exact"/>
        <w:ind w:right="96"/>
        <w:jc w:val="left"/>
      </w:pPr>
      <w:r>
        <w:rPr/>
        <w:t>是根据其账面价值与按类似金融资产当时市场收益率对未来现金流量折现确定的现值之间的差额进行</w:t>
      </w:r>
    </w:p>
    <w:p>
      <w:pPr>
        <w:pStyle w:val="BodyText"/>
        <w:spacing w:line="274" w:lineRule="exact"/>
        <w:ind w:right="96"/>
        <w:jc w:val="left"/>
      </w:pPr>
      <w:r>
        <w:rPr/>
        <w:t>确定。</w:t>
      </w:r>
    </w:p>
    <w:p>
      <w:pPr>
        <w:pStyle w:val="BodyText"/>
        <w:spacing w:line="272" w:lineRule="exact" w:before="145"/>
        <w:ind w:right="96" w:firstLine="538"/>
        <w:jc w:val="left"/>
      </w:pPr>
      <w:r>
        <w:rPr/>
        <w:t>其他长期股权投资，如果可收回金额的计量结果表明，该长期股权投资的可收回金额低于其账 面价值的，将差额确认为减值损失。</w:t>
      </w:r>
    </w:p>
    <w:p>
      <w:pPr>
        <w:pStyle w:val="BodyText"/>
        <w:spacing w:line="333" w:lineRule="auto" w:before="93"/>
        <w:ind w:left="683" w:right="96"/>
        <w:jc w:val="left"/>
      </w:pPr>
      <w:r>
        <w:rPr/>
        <w:t>长期股权投资减值损失一经确认，不再转回。 </w:t>
      </w:r>
      <w:r>
        <w:rPr>
          <w:rFonts w:ascii="Times New Roman" w:hAnsi="Times New Roman" w:cs="Times New Roman" w:eastAsia="Times New Roman" w:hint="default"/>
        </w:rPr>
        <w:t>2</w:t>
      </w:r>
      <w:r>
        <w:rPr/>
        <w:t>）固定资产、在建工程、无形资产、商誉等长期非金融资产 对于固定资产、在建工程、无形资产等长期非金融资产，公司在每年末判断相关资产是否存在</w:t>
      </w:r>
    </w:p>
    <w:p>
      <w:pPr>
        <w:pStyle w:val="BodyText"/>
        <w:spacing w:line="190" w:lineRule="exact"/>
        <w:ind w:right="96"/>
        <w:jc w:val="left"/>
      </w:pPr>
      <w:r>
        <w:rPr/>
        <w:t>可能发生减值的迹象。</w:t>
      </w:r>
    </w:p>
    <w:p>
      <w:pPr>
        <w:pStyle w:val="BodyText"/>
        <w:spacing w:line="272" w:lineRule="exact" w:before="145"/>
        <w:ind w:right="96" w:firstLine="538"/>
        <w:jc w:val="left"/>
      </w:pPr>
      <w:r>
        <w:rPr/>
        <w:t>因企业合并所形成的商誉和使用寿命不确定的无形资产，无论是否存在减值迹象，每年都进行 减值测试。</w:t>
      </w:r>
    </w:p>
    <w:p>
      <w:pPr>
        <w:pStyle w:val="BodyText"/>
        <w:spacing w:line="272" w:lineRule="exact" w:before="120"/>
        <w:ind w:right="96" w:firstLine="538"/>
        <w:jc w:val="left"/>
      </w:pPr>
      <w:r>
        <w:rPr/>
        <w:t>资产存在减值迹象的，估计其可收回金额。可收回金额根据资产的公允价值减去处置费用后的 净额与资产预计未来现金流量的现值两者之间较高者确定。</w:t>
      </w:r>
    </w:p>
    <w:p>
      <w:pPr>
        <w:pStyle w:val="BodyText"/>
        <w:spacing w:line="272" w:lineRule="exact" w:before="120"/>
        <w:ind w:right="96" w:firstLine="538"/>
        <w:jc w:val="left"/>
      </w:pPr>
      <w:r>
        <w:rPr/>
        <w:t>当资产的可收回金额低于其账面价值的，将资产的账面价值减记至可收回金额，减记的金额确 认为资产减值损失，计入当期损益，同时计提相应的资产减值准备。</w:t>
      </w:r>
    </w:p>
    <w:p>
      <w:pPr>
        <w:pStyle w:val="BodyText"/>
        <w:spacing w:line="272" w:lineRule="exact" w:before="120"/>
        <w:ind w:right="96" w:firstLine="538"/>
        <w:jc w:val="left"/>
      </w:pPr>
      <w:r>
        <w:rPr/>
        <w:t>资产减值损失确认后，减值资产的折旧或者摊销费用在未来期间作相应调整，以使该资产在剩 </w:t>
      </w:r>
      <w:r>
        <w:rPr>
          <w:spacing w:val="-4"/>
        </w:rPr>
        <w:t>余使用寿命内，系统地分摊调整后的资产账面价值（扣除预计净残值）。</w:t>
      </w:r>
    </w:p>
    <w:p>
      <w:pPr>
        <w:pStyle w:val="BodyText"/>
        <w:spacing w:line="272" w:lineRule="exact" w:before="120"/>
        <w:ind w:right="96" w:firstLine="538"/>
        <w:jc w:val="left"/>
      </w:pPr>
      <w:r>
        <w:rPr/>
        <w:t>固定资产、在建工程、无形资产等长期非金融资产资产减值损失一经确认，在以后会计期间不 再转回。</w:t>
      </w:r>
    </w:p>
    <w:p>
      <w:pPr>
        <w:pStyle w:val="BodyText"/>
        <w:spacing w:line="272" w:lineRule="exact" w:before="120"/>
        <w:ind w:right="96" w:firstLine="538"/>
        <w:jc w:val="left"/>
      </w:pPr>
      <w:r>
        <w:rPr/>
        <w:t>有迹象表明一项资产可能发生减值的，企业以单项资产为基础估计其可收回金额。企业难以对 单项资产的可收回金额进行估计的，以该资产所属的资产组为基础确定资产组的可收回金额。</w:t>
      </w:r>
    </w:p>
    <w:p>
      <w:pPr>
        <w:pStyle w:val="BodyText"/>
        <w:spacing w:line="240" w:lineRule="auto" w:before="93"/>
        <w:ind w:left="683" w:right="0"/>
        <w:jc w:val="left"/>
      </w:pPr>
      <w:r>
        <w:rPr>
          <w:rFonts w:ascii="Times New Roman" w:hAnsi="Times New Roman" w:cs="Times New Roman" w:eastAsia="Times New Roman" w:hint="default"/>
        </w:rPr>
        <w:t>17</w:t>
      </w:r>
      <w:r>
        <w:rPr/>
        <w:t>、资产组产生的主要现金流入独立于其他资产或资产组的现金流入的依据及资产减值的依据：</w:t>
      </w:r>
    </w:p>
    <w:p>
      <w:pPr>
        <w:spacing w:after="0" w:line="240" w:lineRule="auto"/>
        <w:jc w:val="left"/>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272" w:lineRule="exact" w:before="63"/>
        <w:ind w:right="210" w:firstLine="538"/>
        <w:jc w:val="both"/>
      </w:pPr>
      <w:r>
        <w:rPr/>
        <w:t>资产组的认定，以资产组产生的主要现金流入是否独立于其他资产或者资产组的现金流入为依 据。同时，在认定资产组时，考虑公司管理层管理生产经营活动的方式和对资产的持续使用或者处置 的决策方式等。</w:t>
      </w:r>
    </w:p>
    <w:p>
      <w:pPr>
        <w:pStyle w:val="BodyText"/>
        <w:spacing w:line="392" w:lineRule="exact" w:before="24"/>
        <w:ind w:left="683" w:right="96"/>
        <w:jc w:val="left"/>
      </w:pPr>
      <w:r>
        <w:rPr/>
        <w:t>资产组的可收回金额低于其账面价值的，确认相应的减值损失。 资产组的可收回金额按该资产组的公允价值减去处置费用后的净额与其预计未来现金流量的现</w:t>
      </w:r>
    </w:p>
    <w:p>
      <w:pPr>
        <w:pStyle w:val="BodyText"/>
        <w:spacing w:line="222" w:lineRule="exact"/>
        <w:ind w:right="96"/>
        <w:jc w:val="left"/>
      </w:pPr>
      <w:r>
        <w:rPr/>
        <w:t>值两者之间较高者确定。在合并财务报表中反映的商誉，不包括子公司归属于少数股东权益的商誉。</w:t>
      </w:r>
    </w:p>
    <w:p>
      <w:pPr>
        <w:pStyle w:val="BodyText"/>
        <w:spacing w:line="272" w:lineRule="exact" w:before="26"/>
        <w:ind w:right="96"/>
        <w:jc w:val="left"/>
      </w:pPr>
      <w:r>
        <w:rPr>
          <w:spacing w:val="-3"/>
        </w:rPr>
        <w:t>但对相关的资产组进行减值测试时，将归属于少数股东权益的商誉包括在内，调整资产组的账面价值，</w:t>
      </w:r>
      <w:r>
        <w:rPr>
          <w:spacing w:val="-74"/>
        </w:rPr>
        <w:t> </w:t>
      </w:r>
      <w:r>
        <w:rPr>
          <w:spacing w:val="-74"/>
        </w:rPr>
      </w:r>
      <w:r>
        <w:rPr/>
        <w:t>然后根据调整后的资产组账面价值与其可收回金额进行比较。如上述资产组发生减值的，该损失按比 </w:t>
      </w:r>
      <w:r>
        <w:rPr>
          <w:spacing w:val="-4"/>
        </w:rPr>
        <w:t>例扣除少数股东权益份额后，确认归属于母公司的商誉减值损失。）</w:t>
      </w:r>
    </w:p>
    <w:p>
      <w:pPr>
        <w:pStyle w:val="BodyText"/>
        <w:spacing w:line="240" w:lineRule="auto" w:before="93"/>
        <w:ind w:left="683" w:right="96"/>
        <w:jc w:val="left"/>
      </w:pPr>
      <w:r>
        <w:rPr/>
        <w:t>资产组一经认定，通常不进行调整，有确凿证据表明资产组确要调整的除外。</w:t>
      </w:r>
    </w:p>
    <w:p>
      <w:pPr>
        <w:pStyle w:val="BodyText"/>
        <w:spacing w:line="240" w:lineRule="auto" w:before="117"/>
        <w:ind w:left="683" w:right="96"/>
        <w:jc w:val="left"/>
      </w:pPr>
      <w:r>
        <w:rPr>
          <w:rFonts w:ascii="Times New Roman" w:hAnsi="Times New Roman" w:cs="Times New Roman" w:eastAsia="Times New Roman" w:hint="default"/>
        </w:rPr>
        <w:t>18</w:t>
      </w:r>
      <w:r>
        <w:rPr/>
        <w:t>、长期股权投资的核算方法：</w:t>
      </w:r>
    </w:p>
    <w:p>
      <w:pPr>
        <w:pStyle w:val="BodyText"/>
        <w:spacing w:line="240" w:lineRule="auto" w:before="100"/>
        <w:ind w:left="683" w:right="96"/>
        <w:jc w:val="left"/>
      </w:pPr>
      <w:r>
        <w:rPr>
          <w:rFonts w:ascii="Times New Roman" w:hAnsi="Times New Roman" w:cs="Times New Roman" w:eastAsia="Times New Roman" w:hint="default"/>
        </w:rPr>
        <w:t>1</w:t>
      </w:r>
      <w:r>
        <w:rPr/>
        <w:t>）初始计量</w:t>
      </w:r>
    </w:p>
    <w:p>
      <w:pPr>
        <w:pStyle w:val="BodyText"/>
        <w:spacing w:line="324" w:lineRule="auto" w:before="101"/>
        <w:ind w:left="685" w:right="96"/>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w:t>
      </w:r>
    </w:p>
    <w:p>
      <w:pPr>
        <w:pStyle w:val="BodyText"/>
        <w:spacing w:line="198" w:lineRule="exact"/>
        <w:ind w:right="96"/>
        <w:jc w:val="left"/>
      </w:pPr>
      <w:r>
        <w:rPr/>
        <w:t>证券作为合并对价的，在合并日按照取得被合并方所有者权益账面价值的份额作为长期股权投资的初</w:t>
      </w:r>
    </w:p>
    <w:p>
      <w:pPr>
        <w:pStyle w:val="BodyText"/>
        <w:spacing w:line="272" w:lineRule="exact" w:before="26"/>
        <w:ind w:right="212"/>
        <w:jc w:val="both"/>
      </w:pPr>
      <w:r>
        <w:rPr/>
        <w:t>始投资成本。长期股权投资初始投资成本与支付合并对价之间的差额，调整资本公积；资本公积不足 冲减的，调整留存收益。合并发生的各项直接相关费用，包括为进行合并而支付的审计费用、评估费 用、法律服务费用等，于发生时计入当期损益。</w:t>
      </w:r>
    </w:p>
    <w:p>
      <w:pPr>
        <w:pStyle w:val="BodyText"/>
        <w:spacing w:line="272" w:lineRule="exact" w:before="120"/>
        <w:ind w:right="212" w:firstLine="540"/>
        <w:jc w:val="both"/>
      </w:pPr>
      <w:r>
        <w:rPr/>
        <w:t>非同一控制下的企业合并：公司在购买日按照《企业会计准则第</w:t>
      </w:r>
      <w:r>
        <w:rPr>
          <w:spacing w:val="-62"/>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号——企业合并》确定的合 并成本作为长期股权投资的初始投资成本。</w:t>
      </w:r>
    </w:p>
    <w:p>
      <w:pPr>
        <w:pStyle w:val="BodyText"/>
        <w:spacing w:line="333" w:lineRule="auto" w:before="93"/>
        <w:ind w:left="685" w:right="285"/>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189" w:lineRule="exact"/>
        <w:ind w:right="96"/>
        <w:jc w:val="left"/>
      </w:pPr>
      <w:r>
        <w:rPr/>
        <w:t>投资者投入的长期股权投资，按照投资合同或协议约定的价值（扣除已宣告但尚未发放的现金股利或</w:t>
      </w:r>
    </w:p>
    <w:p>
      <w:pPr>
        <w:pStyle w:val="BodyText"/>
        <w:spacing w:line="274" w:lineRule="exact"/>
        <w:ind w:right="96"/>
        <w:jc w:val="left"/>
      </w:pPr>
      <w:r>
        <w:rPr/>
        <w:t>利润）作为初始投资成本，但合同或协议约定价值不公允的除外。</w:t>
      </w:r>
    </w:p>
    <w:p>
      <w:pPr>
        <w:pStyle w:val="BodyText"/>
        <w:spacing w:line="272" w:lineRule="exact" w:before="145"/>
        <w:ind w:right="211" w:firstLine="539"/>
        <w:jc w:val="both"/>
      </w:pPr>
      <w:r>
        <w:rPr/>
        <w:t>在非货币性资产交换具备商业实质和换入资产或换出资产的公允价值能够可靠计量的前提下，</w:t>
      </w:r>
      <w:r>
        <w:rPr>
          <w:spacing w:val="2"/>
        </w:rPr>
        <w:t> </w:t>
      </w:r>
      <w:r>
        <w:rPr/>
        <w:t>非货币性资产交换换入的长期股权投资以换出资产的公允价值为基础确定其初始投资成本，除非有确</w:t>
      </w:r>
      <w:r>
        <w:rPr/>
        <w:t> 凿证据表明换入资产的公允价值更加可靠；不满足上述前提的非货币性资产交换，以换出资产的账面 价值和应支付的相关税费作为换入长期股权投资的初始投资成本。</w:t>
      </w:r>
    </w:p>
    <w:p>
      <w:pPr>
        <w:pStyle w:val="BodyText"/>
        <w:spacing w:line="333" w:lineRule="auto" w:before="93"/>
        <w:ind w:left="685" w:right="96"/>
        <w:jc w:val="left"/>
      </w:pPr>
      <w:r>
        <w:rPr/>
        <w:t>通过债务重组取得的长期股权投资，其初始投资成本按照公允价值为基础确定。 </w:t>
      </w:r>
      <w:r>
        <w:rPr>
          <w:rFonts w:ascii="Times New Roman" w:hAnsi="Times New Roman" w:cs="Times New Roman" w:eastAsia="Times New Roman" w:hint="default"/>
        </w:rPr>
        <w:t>2</w:t>
      </w:r>
      <w:r>
        <w:rPr/>
        <w:t>）被投资单位具有共同控制、重大影响的依据 按照合同约定对某项经济活动所共有的控制，仅在与该项经济活动相关的重要财务和经营决策</w:t>
      </w:r>
    </w:p>
    <w:p>
      <w:pPr>
        <w:pStyle w:val="BodyText"/>
        <w:spacing w:line="189" w:lineRule="exact"/>
        <w:ind w:right="96"/>
        <w:jc w:val="left"/>
      </w:pPr>
      <w:r>
        <w:rPr/>
        <w:t>需要分享控制权的投资方一致同意时存在，则视为与其他方对被投资单位实施共同控制；对一个企业</w:t>
      </w:r>
    </w:p>
    <w:p>
      <w:pPr>
        <w:pStyle w:val="BodyText"/>
        <w:spacing w:line="272" w:lineRule="exact" w:before="26"/>
        <w:ind w:right="195"/>
        <w:jc w:val="left"/>
      </w:pPr>
      <w:r>
        <w:rPr/>
        <w:t>的财务和经营决策有参与决策的权力，但并不能够控制或者与其他方一起共同控制这些政策的制定， 则视为投资企业能够对被投资单位施加重大影响。</w:t>
      </w:r>
    </w:p>
    <w:p>
      <w:pPr>
        <w:pStyle w:val="BodyText"/>
        <w:spacing w:line="324" w:lineRule="auto" w:before="93"/>
        <w:ind w:left="685" w:right="96"/>
        <w:jc w:val="left"/>
      </w:pPr>
      <w:r>
        <w:rPr>
          <w:rFonts w:ascii="Times New Roman" w:hAnsi="Times New Roman" w:cs="Times New Roman" w:eastAsia="Times New Roman" w:hint="default"/>
        </w:rPr>
        <w:t>3</w:t>
      </w:r>
      <w:r>
        <w:rPr/>
        <w:t>）后续计量及收益确认 公司能够对被投资单位施加重大影响或共同控制的，初始投资成本大于投资时应享有被投资单</w:t>
      </w:r>
    </w:p>
    <w:p>
      <w:pPr>
        <w:pStyle w:val="BodyText"/>
        <w:spacing w:line="198" w:lineRule="exact"/>
        <w:ind w:right="96"/>
        <w:jc w:val="left"/>
      </w:pPr>
      <w:r>
        <w:rPr/>
        <w:t>位可辨认净资产公允价值份额的差额，不调整长期股权投资的初始投资成本；初始投资成本小于投资</w:t>
      </w:r>
    </w:p>
    <w:p>
      <w:pPr>
        <w:pStyle w:val="BodyText"/>
        <w:spacing w:line="343" w:lineRule="auto"/>
        <w:ind w:left="685" w:right="285" w:hanging="540"/>
        <w:jc w:val="left"/>
      </w:pPr>
      <w:r>
        <w:rPr/>
        <w:t>时应享有被投资单位可辨认净资产公允价值份额的差额，计入当期损益。 公司对子公司的长期股权投资，采用成本法核算，编制合并财务报表时按照权益法进行调整。</w:t>
      </w:r>
    </w:p>
    <w:p>
      <w:pPr>
        <w:spacing w:after="0" w:line="343" w:lineRule="auto"/>
        <w:jc w:val="left"/>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240" w:lineRule="auto" w:before="35"/>
        <w:ind w:left="685" w:right="0"/>
        <w:jc w:val="left"/>
      </w:pPr>
      <w:r>
        <w:rPr/>
        <w:t>对合营企业的投资不采用比例合并法，对其投资采用权益法核算。</w:t>
      </w:r>
    </w:p>
    <w:p>
      <w:pPr>
        <w:pStyle w:val="BodyText"/>
        <w:spacing w:line="272" w:lineRule="exact" w:before="145"/>
        <w:ind w:right="110" w:firstLine="539"/>
        <w:jc w:val="both"/>
      </w:pPr>
      <w:r>
        <w:rPr/>
        <w:t>对被投资单位不具有共同控制或重大影响，并且在活跃市场中没有报价、公允价值不能可靠计</w:t>
      </w:r>
      <w:r>
        <w:rPr>
          <w:spacing w:val="2"/>
        </w:rPr>
        <w:t> </w:t>
      </w:r>
      <w:r>
        <w:rPr/>
        <w:t>量的长期股权投资，采用成本法核算。</w:t>
      </w:r>
    </w:p>
    <w:p>
      <w:pPr>
        <w:pStyle w:val="BodyText"/>
        <w:spacing w:line="392" w:lineRule="exact" w:before="24"/>
        <w:ind w:left="685" w:right="0"/>
        <w:jc w:val="left"/>
      </w:pPr>
      <w:r>
        <w:rPr/>
        <w:t>对被投资单位具有共同控制或重大影响的长期股权投资，采用权益法核算。 成本法下公司确认投资收益，仅限于被投资单位接受投资后产生的累积净利润的分配额，所获</w:t>
      </w:r>
    </w:p>
    <w:p>
      <w:pPr>
        <w:pStyle w:val="BodyText"/>
        <w:spacing w:line="224" w:lineRule="exact"/>
        <w:ind w:right="0"/>
        <w:jc w:val="left"/>
      </w:pPr>
      <w:r>
        <w:rPr/>
        <w:t>得的利润或现金股利超过上述数额的部分作为初始投资成本的收回。</w:t>
      </w:r>
    </w:p>
    <w:p>
      <w:pPr>
        <w:pStyle w:val="BodyText"/>
        <w:spacing w:line="272" w:lineRule="exact" w:before="145"/>
        <w:ind w:right="110" w:firstLine="539"/>
        <w:jc w:val="both"/>
      </w:pPr>
      <w:r>
        <w:rPr/>
        <w:t>权益法下在公司确认应分担被投资单位发生的亏损时，按照以下顺序进行处理：首先，冲减长</w:t>
      </w:r>
      <w:r>
        <w:rPr>
          <w:spacing w:val="2"/>
        </w:rPr>
        <w:t> </w:t>
      </w:r>
      <w:r>
        <w:rPr/>
        <w:t>期股权投资的账面价值。其次，长期股权投资的账面价值不足以冲减的，以其他实质上构成对被投资</w:t>
      </w:r>
      <w:r>
        <w:rPr/>
        <w:t> 单位净投资的长期权益账面价值为限继续确认投资损失，冲减长期应收项目等的账面价值。最后，经 过上述处理，按照投资合同或协议约定企业仍承担额外义务的，按预计承担的义务确认预计负债，计 入当期投资损失。</w:t>
      </w:r>
    </w:p>
    <w:p>
      <w:pPr>
        <w:pStyle w:val="BodyText"/>
        <w:spacing w:line="272" w:lineRule="exact" w:before="119"/>
        <w:ind w:right="110" w:firstLine="539"/>
        <w:jc w:val="both"/>
      </w:pPr>
      <w:r>
        <w:rPr/>
        <w:t>被投资单位以后期间实现盈利的，公司在扣除未确认的亏损分担额后，按与上述相反的顺序处</w:t>
      </w:r>
      <w:r>
        <w:rPr>
          <w:spacing w:val="2"/>
        </w:rPr>
        <w:t> </w:t>
      </w:r>
      <w:r>
        <w:rPr/>
        <w:t>理，减记已确认预计负债的账面余额、恢复其他实质上构成对被投资单位净投资的长期权益及长期股</w:t>
      </w:r>
      <w:r>
        <w:rPr/>
        <w:t> 权投资的账面价值，同时确认投资收益。</w:t>
      </w:r>
    </w:p>
    <w:p>
      <w:pPr>
        <w:pStyle w:val="BodyText"/>
        <w:spacing w:line="272" w:lineRule="exact" w:before="120"/>
        <w:ind w:right="110" w:firstLine="539"/>
        <w:jc w:val="both"/>
      </w:pPr>
      <w:r>
        <w:rPr/>
        <w:t>被投资单位除净损益以外所有者权益其他变动的处理：对于被投资单位除净损益以外所有者权</w:t>
      </w:r>
      <w:r>
        <w:rPr>
          <w:spacing w:val="2"/>
        </w:rPr>
        <w:t> </w:t>
      </w:r>
      <w:r>
        <w:rPr/>
        <w:t>益的其他变动，在持股比例不变的情况下，公司按照持股比例计算应享有或承担的部分，调整长期股</w:t>
      </w:r>
      <w:r>
        <w:rPr/>
        <w:t> 权投资的账面价值，同时增加或减少资本公积（其他资本公积）</w:t>
      </w:r>
    </w:p>
    <w:p>
      <w:pPr>
        <w:pStyle w:val="BodyText"/>
        <w:spacing w:line="240" w:lineRule="auto" w:before="93"/>
        <w:ind w:left="685" w:right="0"/>
        <w:jc w:val="left"/>
      </w:pPr>
      <w:r>
        <w:rPr>
          <w:rFonts w:ascii="Times New Roman" w:hAnsi="Times New Roman" w:cs="Times New Roman" w:eastAsia="Times New Roman" w:hint="default"/>
        </w:rPr>
        <w:t>19</w:t>
      </w:r>
      <w:r>
        <w:rPr/>
        <w:t>、借款费用资本化的核算方法：</w:t>
      </w:r>
    </w:p>
    <w:p>
      <w:pPr>
        <w:pStyle w:val="BodyText"/>
        <w:spacing w:line="324" w:lineRule="auto" w:before="101"/>
        <w:ind w:left="685" w:right="0"/>
        <w:jc w:val="left"/>
      </w:pPr>
      <w:r>
        <w:rPr>
          <w:rFonts w:ascii="Times New Roman" w:hAnsi="Times New Roman" w:cs="Times New Roman" w:eastAsia="Times New Roman" w:hint="default"/>
        </w:rPr>
        <w:t>1</w:t>
      </w:r>
      <w:r>
        <w:rPr/>
        <w:t>）借款费用资本化的确认原则 公司发生的借款费用，可直接归属于符合资本化条件的资产的购建或者生产的，予以资本化，</w:t>
      </w:r>
    </w:p>
    <w:p>
      <w:pPr>
        <w:pStyle w:val="BodyText"/>
        <w:spacing w:line="199" w:lineRule="exact"/>
        <w:ind w:right="0"/>
        <w:jc w:val="left"/>
      </w:pPr>
      <w:r>
        <w:rPr/>
        <w:t>计入相关资产成本；其他借款费用，在发生时根据其发生额确认为费用，计入当期损益。</w:t>
      </w:r>
    </w:p>
    <w:p>
      <w:pPr>
        <w:pStyle w:val="BodyText"/>
        <w:spacing w:line="272" w:lineRule="exact" w:before="145"/>
        <w:ind w:right="110" w:firstLine="539"/>
        <w:jc w:val="both"/>
      </w:pPr>
      <w:r>
        <w:rPr/>
        <w:t>符合资本化条件的资产，是指需要经过相当长时间的购建或者生产活动才能达到预定可使用或</w:t>
      </w:r>
      <w:r>
        <w:rPr>
          <w:spacing w:val="2"/>
        </w:rPr>
        <w:t> </w:t>
      </w:r>
      <w:r>
        <w:rPr/>
        <w:t>者可销售状态的固定资产、投资性房地产和存货等资产。</w:t>
      </w:r>
    </w:p>
    <w:p>
      <w:pPr>
        <w:pStyle w:val="BodyText"/>
        <w:spacing w:line="240" w:lineRule="auto" w:before="93"/>
        <w:ind w:left="685" w:right="0"/>
        <w:jc w:val="left"/>
      </w:pPr>
      <w:r>
        <w:rPr/>
        <w:t>借款费用同时满足下列条件时开始资本化：</w:t>
      </w:r>
    </w:p>
    <w:p>
      <w:pPr>
        <w:pStyle w:val="BodyText"/>
        <w:spacing w:line="272" w:lineRule="exact" w:before="145"/>
        <w:ind w:right="98" w:firstLine="539"/>
        <w:jc w:val="both"/>
      </w:pPr>
      <w:r>
        <w:rPr/>
        <w:t>（</w:t>
      </w:r>
      <w:r>
        <w:rPr>
          <w:rFonts w:ascii="Times New Roman" w:hAnsi="Times New Roman" w:cs="Times New Roman" w:eastAsia="Times New Roman" w:hint="default"/>
        </w:rPr>
        <w:t>1</w:t>
      </w:r>
      <w:r>
        <w:rPr/>
        <w:t>）资产支出已经发生，资产支出包括为购建或者生产符合资本化条件的资产而以支付现金、 转移非现金资产或者承担带息债务形式发生的支出；</w:t>
      </w:r>
    </w:p>
    <w:p>
      <w:pPr>
        <w:pStyle w:val="BodyText"/>
        <w:spacing w:line="240" w:lineRule="auto" w:before="93"/>
        <w:ind w:left="685" w:right="0"/>
        <w:jc w:val="left"/>
      </w:pPr>
      <w:r>
        <w:rPr/>
        <w:t>（</w:t>
      </w:r>
      <w:r>
        <w:rPr>
          <w:rFonts w:ascii="Times New Roman" w:hAnsi="Times New Roman" w:cs="Times New Roman" w:eastAsia="Times New Roman" w:hint="default"/>
        </w:rPr>
        <w:t>2</w:t>
      </w:r>
      <w:r>
        <w:rPr/>
        <w:t>）借款费用已经发生；</w:t>
      </w:r>
    </w:p>
    <w:p>
      <w:pPr>
        <w:pStyle w:val="BodyText"/>
        <w:spacing w:line="272" w:lineRule="exact" w:before="129"/>
        <w:ind w:right="95" w:firstLine="540"/>
        <w:jc w:val="left"/>
      </w:pPr>
      <w:r>
        <w:rPr/>
        <w:t>（</w:t>
      </w:r>
      <w:r>
        <w:rPr>
          <w:rFonts w:ascii="Times New Roman" w:hAnsi="Times New Roman" w:cs="Times New Roman" w:eastAsia="Times New Roman" w:hint="default"/>
        </w:rPr>
        <w:t>3</w:t>
      </w:r>
      <w:r>
        <w:rPr/>
        <w:t>）为使资产达到预定可使用或者可销售状态所必要的购建或者生产活动已经开始。 当符合资本化条件的资产在购建或者生产过程中发生非正常中断、且中断时间连续超过</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spacing w:val="-6"/>
        </w:rPr>
        <w:t>个月的，借</w:t>
      </w:r>
      <w:r>
        <w:rPr/>
        <w:t> 款费用暂停资本化。</w:t>
      </w:r>
    </w:p>
    <w:p>
      <w:pPr>
        <w:pStyle w:val="BodyText"/>
        <w:spacing w:line="240" w:lineRule="auto" w:before="93"/>
        <w:ind w:left="684" w:right="0"/>
        <w:jc w:val="left"/>
      </w:pPr>
      <w:r>
        <w:rPr/>
        <w:t>当购建或者生产符合资本化条件的资产达到预定可使用或者可销售状态时，借款费用停止资本</w:t>
      </w:r>
    </w:p>
    <w:p>
      <w:pPr>
        <w:pStyle w:val="BodyText"/>
        <w:spacing w:line="272" w:lineRule="exact"/>
        <w:ind w:right="0"/>
        <w:jc w:val="left"/>
      </w:pPr>
      <w:r>
        <w:rPr/>
        <w:t>化。</w:t>
      </w:r>
    </w:p>
    <w:p>
      <w:pPr>
        <w:pStyle w:val="BodyText"/>
        <w:spacing w:line="240" w:lineRule="auto" w:before="117"/>
        <w:ind w:left="684" w:right="0"/>
        <w:jc w:val="left"/>
      </w:pPr>
      <w:r>
        <w:rPr/>
        <w:t>当购建或者生产符合资本化条件的资产中部分项目分别完工且可单独使用时，该部分资产借款</w:t>
      </w:r>
    </w:p>
    <w:p>
      <w:pPr>
        <w:pStyle w:val="BodyText"/>
        <w:spacing w:line="271" w:lineRule="exact"/>
        <w:ind w:right="0"/>
        <w:jc w:val="left"/>
      </w:pPr>
      <w:r>
        <w:rPr/>
        <w:t>费用停止资本化。</w:t>
      </w:r>
    </w:p>
    <w:p>
      <w:pPr>
        <w:pStyle w:val="BodyText"/>
        <w:spacing w:line="324" w:lineRule="auto" w:before="117"/>
        <w:ind w:left="684" w:right="0"/>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w:t>
      </w:r>
    </w:p>
    <w:p>
      <w:pPr>
        <w:pStyle w:val="BodyText"/>
        <w:spacing w:line="199" w:lineRule="exact"/>
        <w:ind w:right="0"/>
        <w:jc w:val="left"/>
      </w:pPr>
      <w:r>
        <w:rPr/>
        <w:t>期间不包括在内。</w:t>
      </w:r>
    </w:p>
    <w:p>
      <w:pPr>
        <w:pStyle w:val="BodyText"/>
        <w:spacing w:line="240" w:lineRule="auto" w:before="117"/>
        <w:ind w:left="684" w:right="0"/>
        <w:jc w:val="left"/>
      </w:pPr>
      <w:r>
        <w:rPr>
          <w:rFonts w:ascii="Times New Roman" w:hAnsi="Times New Roman" w:cs="Times New Roman" w:eastAsia="Times New Roman" w:hint="default"/>
        </w:rPr>
        <w:t>3</w:t>
      </w:r>
      <w:r>
        <w:rPr/>
        <w:t>）借款费用资本化金额的计算方法</w:t>
      </w:r>
    </w:p>
    <w:p>
      <w:pPr>
        <w:spacing w:after="0" w:line="240" w:lineRule="auto"/>
        <w:jc w:val="left"/>
        <w:sectPr>
          <w:pgSz w:w="12240" w:h="15840"/>
          <w:pgMar w:header="747" w:footer="727" w:top="1040" w:bottom="920" w:left="1380" w:right="1360"/>
        </w:sectPr>
      </w:pPr>
    </w:p>
    <w:p>
      <w:pPr>
        <w:spacing w:line="240" w:lineRule="auto" w:before="3"/>
        <w:rPr>
          <w:rFonts w:ascii="宋体" w:hAnsi="宋体" w:cs="宋体" w:eastAsia="宋体" w:hint="default"/>
          <w:sz w:val="24"/>
          <w:szCs w:val="24"/>
        </w:rPr>
      </w:pPr>
    </w:p>
    <w:p>
      <w:pPr>
        <w:pStyle w:val="BodyText"/>
        <w:spacing w:line="272" w:lineRule="exact" w:before="63"/>
        <w:ind w:right="210" w:firstLine="539"/>
        <w:jc w:val="both"/>
      </w:pPr>
      <w:r>
        <w:rPr/>
        <w:t>专门借款的利息费用（扣除尚未动用的借款资金存入银行取得的利息收入或者进行暂时性投资</w:t>
      </w:r>
      <w:r>
        <w:rPr>
          <w:spacing w:val="2"/>
        </w:rPr>
        <w:t> </w:t>
      </w:r>
      <w:r>
        <w:rPr/>
        <w:t>取得的投资收益）及其辅助费用在所购建或者生产的符合资本化条件的资产达到预定可使用或者可销</w:t>
      </w:r>
      <w:r>
        <w:rPr/>
        <w:t> 售状态前，予以资本化。</w:t>
      </w:r>
    </w:p>
    <w:p>
      <w:pPr>
        <w:pStyle w:val="BodyText"/>
        <w:spacing w:line="272" w:lineRule="exact" w:before="120"/>
        <w:ind w:right="210" w:firstLine="539"/>
        <w:jc w:val="both"/>
      </w:pPr>
      <w:r>
        <w:rPr/>
        <w:t>根据累计资产支出超过专门借款部分的资产支出加权平均数（按每月月末平均）乘以所占用一</w:t>
      </w:r>
      <w:r>
        <w:rPr>
          <w:spacing w:val="2"/>
        </w:rPr>
        <w:t> </w:t>
      </w:r>
      <w:r>
        <w:rPr/>
        <w:t>般借款的资本化率，计算确定一般借款应予资本化的利息金额。资本化率根据一般借款加权平均利率</w:t>
      </w:r>
      <w:r>
        <w:rPr/>
        <w:t> 计算确定。</w:t>
      </w:r>
    </w:p>
    <w:p>
      <w:pPr>
        <w:pStyle w:val="BodyText"/>
        <w:spacing w:line="272" w:lineRule="exact" w:before="120"/>
        <w:ind w:right="210" w:firstLine="539"/>
        <w:jc w:val="both"/>
      </w:pPr>
      <w:r>
        <w:rPr/>
        <w:t>借款存在折价或者溢价的，按照实际利率法确定每一会计期间应摊销的折价或者溢价金额，调</w:t>
      </w:r>
      <w:r>
        <w:rPr>
          <w:spacing w:val="2"/>
        </w:rPr>
        <w:t> </w:t>
      </w:r>
      <w:r>
        <w:rPr/>
        <w:t>整每期利息金额。</w:t>
      </w:r>
    </w:p>
    <w:p>
      <w:pPr>
        <w:pStyle w:val="BodyText"/>
        <w:spacing w:line="240" w:lineRule="auto" w:before="93"/>
        <w:ind w:left="685" w:right="96"/>
        <w:jc w:val="left"/>
      </w:pPr>
      <w:r>
        <w:rPr>
          <w:rFonts w:ascii="Times New Roman" w:hAnsi="Times New Roman" w:cs="Times New Roman" w:eastAsia="Times New Roman" w:hint="default"/>
        </w:rPr>
        <w:t>20</w:t>
      </w:r>
      <w:r>
        <w:rPr/>
        <w:t>、股份支付及权益工具的处理方法：</w:t>
      </w:r>
    </w:p>
    <w:p>
      <w:pPr>
        <w:pStyle w:val="BodyText"/>
        <w:spacing w:line="324" w:lineRule="auto" w:before="101"/>
        <w:ind w:left="685" w:right="96"/>
        <w:jc w:val="left"/>
      </w:pPr>
      <w:r>
        <w:rPr>
          <w:rFonts w:ascii="Times New Roman" w:hAnsi="Times New Roman" w:cs="Times New Roman" w:eastAsia="Times New Roman" w:hint="default"/>
        </w:rPr>
        <w:t>1</w:t>
      </w:r>
      <w:r>
        <w:rPr/>
        <w:t>）股份支付的种类 对于以权益结算的涉及职工的股份支付，按照授予日权益工具的公允价值计入成本费用和资本</w:t>
      </w:r>
    </w:p>
    <w:p>
      <w:pPr>
        <w:pStyle w:val="BodyText"/>
        <w:spacing w:line="196" w:lineRule="exact"/>
        <w:ind w:right="96"/>
        <w:jc w:val="left"/>
      </w:pPr>
      <w:r>
        <w:rPr/>
        <w:t>公</w:t>
      </w:r>
      <w:r>
        <w:rPr>
          <w:spacing w:val="-35"/>
        </w:rPr>
        <w:t>积</w:t>
      </w:r>
      <w:r>
        <w:rPr/>
        <w:t>（其他资本公积</w:t>
      </w:r>
      <w:r>
        <w:rPr>
          <w:spacing w:val="-105"/>
        </w:rPr>
        <w:t>）</w:t>
      </w:r>
      <w:r>
        <w:rPr>
          <w:spacing w:val="-35"/>
        </w:rPr>
        <w:t>，</w:t>
      </w:r>
      <w:r>
        <w:rPr/>
        <w:t>不确认其后续公允价值变动</w:t>
      </w:r>
      <w:r>
        <w:rPr>
          <w:spacing w:val="-35"/>
        </w:rPr>
        <w:t>；</w:t>
      </w:r>
      <w:r>
        <w:rPr/>
        <w:t>在可行权之后不再对已确认的成本费用和所有者</w:t>
      </w:r>
    </w:p>
    <w:p>
      <w:pPr>
        <w:pStyle w:val="BodyText"/>
        <w:spacing w:line="272" w:lineRule="exact" w:before="26"/>
        <w:ind w:right="211"/>
        <w:jc w:val="both"/>
      </w:pPr>
      <w:r>
        <w:rPr/>
        <w:t>权益总额进行调整。按照行权情况，确认股本和股本溢价，同时结转等待期内确认的资本公积（其他 </w:t>
      </w:r>
      <w:r>
        <w:rPr>
          <w:spacing w:val="-5"/>
        </w:rPr>
        <w:t>资本公积）。其中：对于换取职工服务的股份支付，在等待期内的每个资产负债表日，以对可行权权益</w:t>
      </w:r>
      <w:r>
        <w:rPr>
          <w:spacing w:val="-93"/>
        </w:rPr>
        <w:t> </w:t>
      </w:r>
      <w:r>
        <w:rPr>
          <w:spacing w:val="-93"/>
        </w:rPr>
      </w:r>
      <w:r>
        <w:rPr/>
        <w:t>工具数量的最佳估计为基础，按照权益工具在授予日的公允价值，计入相关资产成本或当期费用，同 </w:t>
      </w:r>
      <w:r>
        <w:rPr>
          <w:spacing w:val="-5"/>
        </w:rPr>
        <w:t>时计入资本公积（其他资本公积）；对于换取其他方服务的股份支付，以所换取其他方服务的公允价值</w:t>
      </w:r>
      <w:r>
        <w:rPr>
          <w:spacing w:val="-90"/>
        </w:rPr>
        <w:t> </w:t>
      </w:r>
      <w:r>
        <w:rPr>
          <w:spacing w:val="-90"/>
        </w:rPr>
      </w:r>
      <w:r>
        <w:rPr/>
        <w:t>计量。如果该公允价值不能可靠计量的，但权益工具的公允价值能够可靠计量的，则按权益工具在服 务取得日的公允价值计量，计入相关资产成本或费用，同时计入资本公积中其他资本公积。</w:t>
      </w:r>
    </w:p>
    <w:p>
      <w:pPr>
        <w:pStyle w:val="BodyText"/>
        <w:spacing w:line="272" w:lineRule="exact" w:before="120"/>
        <w:ind w:right="96" w:firstLine="539"/>
        <w:jc w:val="left"/>
      </w:pPr>
      <w:r>
        <w:rPr>
          <w:spacing w:val="-1"/>
        </w:rPr>
        <w:t>对于以现金结算的涉及职工的股份支付，按照每个资产负债表日权益工具的公允价值重新计量，</w:t>
      </w:r>
      <w:r>
        <w:rPr/>
        <w:t> 确定成本费用和应付职工薪酬。在等待期内的每个资产负债表日，以对可行权权益工具数量的最佳估 计为基础，按照承担的以股份或其他权益工具为基础计算确定的负债的公允价值计量，计入相关资产 成本或费用，同时计入应付职工薪酬。在可行权之后不再确认成本费用，对应付职工薪酬的公允价值 重新计量，将其变动计入公允价值变动损益。</w:t>
      </w:r>
    </w:p>
    <w:p>
      <w:pPr>
        <w:pStyle w:val="BodyText"/>
        <w:spacing w:line="324" w:lineRule="auto" w:before="93"/>
        <w:ind w:left="685" w:right="96"/>
        <w:jc w:val="left"/>
      </w:pPr>
      <w:r>
        <w:rPr>
          <w:rFonts w:ascii="Times New Roman" w:hAnsi="Times New Roman" w:cs="Times New Roman" w:eastAsia="Times New Roman" w:hint="default"/>
        </w:rPr>
        <w:t>2</w:t>
      </w:r>
      <w:r>
        <w:rPr/>
        <w:t>）公允价值的确定方法 对于授予的期权等权益工具存在活跃市场的，按照活跃市场中的报价确定其公允价值。对于授</w:t>
      </w:r>
    </w:p>
    <w:p>
      <w:pPr>
        <w:pStyle w:val="BodyText"/>
        <w:spacing w:line="206" w:lineRule="exact"/>
        <w:ind w:right="96"/>
        <w:jc w:val="left"/>
      </w:pPr>
      <w:r>
        <w:rPr/>
        <w:t>予的期权等权益工具不存在活跃市场的，采用</w:t>
      </w:r>
      <w:r>
        <w:rPr>
          <w:spacing w:val="-84"/>
        </w:rPr>
        <w:t> </w:t>
      </w:r>
      <w:r>
        <w:rPr>
          <w:rFonts w:ascii="Times New Roman" w:hAnsi="Times New Roman" w:cs="Times New Roman" w:eastAsia="Times New Roman" w:hint="default"/>
        </w:rPr>
        <w:t>Black-Scholes</w:t>
      </w:r>
      <w:r>
        <w:rPr>
          <w:rFonts w:ascii="Times New Roman" w:hAnsi="Times New Roman" w:cs="Times New Roman" w:eastAsia="Times New Roman" w:hint="default"/>
          <w:spacing w:val="-32"/>
        </w:rPr>
        <w:t> </w:t>
      </w:r>
      <w:r>
        <w:rPr/>
        <w:t>期权定价模型等确定其公允价值，选用的</w:t>
      </w:r>
    </w:p>
    <w:p>
      <w:pPr>
        <w:pStyle w:val="BodyText"/>
        <w:spacing w:line="264" w:lineRule="exact"/>
        <w:ind w:right="96"/>
        <w:jc w:val="left"/>
      </w:pPr>
      <w:r>
        <w:rPr/>
        <w:t>期权定价模型至少应当考虑以下因素：①期权的行权价格；②期权的有效期；③标的股份的现行价格</w:t>
      </w:r>
    </w:p>
    <w:p>
      <w:pPr>
        <w:pStyle w:val="BodyText"/>
        <w:spacing w:line="333" w:lineRule="auto"/>
        <w:ind w:left="685" w:right="96" w:hanging="540"/>
        <w:jc w:val="left"/>
      </w:pPr>
      <w:r>
        <w:rPr/>
        <w:t>④股价预计波动率；⑤股份的预计股利；⑥期权有效期内的无风险利率；⑦分期行权的股份支付； </w:t>
      </w:r>
      <w:r>
        <w:rPr>
          <w:rFonts w:ascii="Times New Roman" w:hAnsi="Times New Roman" w:cs="Times New Roman" w:eastAsia="Times New Roman" w:hint="default"/>
        </w:rPr>
        <w:t>3</w:t>
      </w:r>
      <w:r>
        <w:rPr/>
        <w:t>）确认可行权权益工具最佳估计的依据 等待期内每个资产负债表日，公司根据最新取得的可行权职工人数变动等后续信息作出最佳估</w:t>
      </w:r>
    </w:p>
    <w:p>
      <w:pPr>
        <w:pStyle w:val="BodyText"/>
        <w:spacing w:line="189" w:lineRule="exact"/>
        <w:ind w:right="96"/>
        <w:jc w:val="left"/>
      </w:pPr>
      <w:r>
        <w:rPr/>
        <w:t>计，修正预计可行权的权益工具数量。在可行权日，最终预计可行权权益工具的数量应当与实际可行</w:t>
      </w:r>
    </w:p>
    <w:p>
      <w:pPr>
        <w:pStyle w:val="BodyText"/>
        <w:spacing w:line="274" w:lineRule="exact"/>
        <w:ind w:right="96"/>
        <w:jc w:val="left"/>
      </w:pPr>
      <w:r>
        <w:rPr/>
        <w:t>权数量一致。</w:t>
      </w:r>
    </w:p>
    <w:p>
      <w:pPr>
        <w:pStyle w:val="BodyText"/>
        <w:spacing w:line="272" w:lineRule="exact" w:before="145"/>
        <w:ind w:right="210" w:firstLine="539"/>
        <w:jc w:val="both"/>
      </w:pPr>
      <w:r>
        <w:rPr/>
        <w:t>根据上述权益工具的公允价值和预计可行权的权益工具数量，计算截至当期累计应确认的成本</w:t>
      </w:r>
      <w:r>
        <w:rPr>
          <w:spacing w:val="2"/>
        </w:rPr>
        <w:t> </w:t>
      </w:r>
      <w:r>
        <w:rPr/>
        <w:t>费用金额，再减去前期累计已确认金额，作为当期应确认的成本费用金额。</w:t>
      </w:r>
    </w:p>
    <w:p>
      <w:pPr>
        <w:pStyle w:val="BodyText"/>
        <w:spacing w:line="240" w:lineRule="auto" w:before="93"/>
        <w:ind w:left="685" w:right="96"/>
        <w:jc w:val="left"/>
      </w:pPr>
      <w:r>
        <w:rPr>
          <w:rFonts w:ascii="Times New Roman" w:hAnsi="Times New Roman" w:cs="Times New Roman" w:eastAsia="Times New Roman" w:hint="default"/>
        </w:rPr>
        <w:t>21</w:t>
      </w:r>
      <w:r>
        <w:rPr/>
        <w:t>、收入确认原则：</w:t>
      </w:r>
    </w:p>
    <w:p>
      <w:pPr>
        <w:pStyle w:val="BodyText"/>
        <w:spacing w:line="324" w:lineRule="auto" w:before="101"/>
        <w:ind w:left="685" w:right="96"/>
        <w:jc w:val="left"/>
      </w:pPr>
      <w:r>
        <w:rPr>
          <w:rFonts w:ascii="Times New Roman" w:hAnsi="Times New Roman" w:cs="Times New Roman" w:eastAsia="Times New Roman" w:hint="default"/>
        </w:rPr>
        <w:t>1</w:t>
      </w:r>
      <w:r>
        <w:rPr/>
        <w:t>）销售商品 公司已将商品所有权上的主要风险和报酬转移给购买方；既没有保留通常与所有权相联系的继</w:t>
      </w:r>
    </w:p>
    <w:p>
      <w:pPr>
        <w:pStyle w:val="BodyText"/>
        <w:spacing w:line="198" w:lineRule="exact"/>
        <w:ind w:right="96"/>
        <w:jc w:val="left"/>
      </w:pPr>
      <w:r>
        <w:rPr/>
        <w:t>续管理权，也没有对已售出的商品实施有效控制；收入的金额能够可靠地计量；相关的经济利益很可</w:t>
      </w:r>
    </w:p>
    <w:p>
      <w:pPr>
        <w:pStyle w:val="BodyText"/>
        <w:spacing w:line="274" w:lineRule="exact"/>
        <w:ind w:right="96"/>
        <w:jc w:val="left"/>
      </w:pPr>
      <w:r>
        <w:rPr/>
        <w:t>能流入企业；相关的已发生或将发生的成本能够可靠地计量时，确认营业收入实现。</w:t>
      </w:r>
    </w:p>
    <w:p>
      <w:pPr>
        <w:pStyle w:val="BodyText"/>
        <w:spacing w:line="240" w:lineRule="auto" w:before="117"/>
        <w:ind w:left="685" w:right="96"/>
        <w:jc w:val="left"/>
      </w:pPr>
      <w:r>
        <w:rPr>
          <w:rFonts w:ascii="Times New Roman" w:hAnsi="Times New Roman" w:cs="Times New Roman" w:eastAsia="Times New Roman" w:hint="default"/>
        </w:rPr>
        <w:t>2</w:t>
      </w:r>
      <w:r>
        <w:rPr/>
        <w:t>）提供劳务</w:t>
      </w:r>
    </w:p>
    <w:p>
      <w:pPr>
        <w:spacing w:after="0" w:line="240" w:lineRule="auto"/>
        <w:jc w:val="left"/>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272" w:lineRule="exact" w:before="63"/>
        <w:ind w:right="96" w:firstLine="539"/>
        <w:jc w:val="left"/>
      </w:pPr>
      <w:r>
        <w:rPr/>
        <w:t>在资产负债表日提供劳务交易的结果能够可靠估计的，采用完工百分比法确认提供劳务收入。</w:t>
      </w:r>
      <w:r>
        <w:rPr>
          <w:spacing w:val="2"/>
        </w:rPr>
        <w:t> </w:t>
      </w:r>
      <w:r>
        <w:rPr/>
        <w:t>提供劳务交易的完工进度，根据实际情况选用下列方法确定：</w:t>
      </w:r>
    </w:p>
    <w:p>
      <w:pPr>
        <w:pStyle w:val="BodyText"/>
        <w:spacing w:line="240" w:lineRule="auto" w:before="93"/>
        <w:ind w:left="685" w:right="96"/>
        <w:jc w:val="left"/>
      </w:pPr>
      <w:r>
        <w:rPr/>
        <w:t>（</w:t>
      </w:r>
      <w:r>
        <w:rPr>
          <w:rFonts w:ascii="Times New Roman" w:hAnsi="Times New Roman" w:cs="Times New Roman" w:eastAsia="Times New Roman" w:hint="default"/>
        </w:rPr>
        <w:t>1</w:t>
      </w:r>
      <w:r>
        <w:rPr/>
        <w:t>）已完工作的测量。</w:t>
      </w:r>
    </w:p>
    <w:p>
      <w:pPr>
        <w:pStyle w:val="BodyText"/>
        <w:spacing w:line="240" w:lineRule="auto" w:before="101"/>
        <w:ind w:left="685" w:right="96"/>
        <w:jc w:val="left"/>
      </w:pPr>
      <w:r>
        <w:rPr/>
        <w:t>（</w:t>
      </w:r>
      <w:r>
        <w:rPr>
          <w:rFonts w:ascii="Times New Roman" w:hAnsi="Times New Roman" w:cs="Times New Roman" w:eastAsia="Times New Roman" w:hint="default"/>
        </w:rPr>
        <w:t>2</w:t>
      </w:r>
      <w:r>
        <w:rPr/>
        <w:t>）已经提供的劳务占应提供劳务总量的比例。</w:t>
      </w:r>
    </w:p>
    <w:p>
      <w:pPr>
        <w:pStyle w:val="BodyText"/>
        <w:spacing w:line="324" w:lineRule="auto" w:before="101"/>
        <w:ind w:left="685" w:right="96"/>
        <w:jc w:val="left"/>
      </w:pPr>
      <w:r>
        <w:rPr/>
        <w:t>（</w:t>
      </w:r>
      <w:r>
        <w:rPr>
          <w:rFonts w:ascii="Times New Roman" w:hAnsi="Times New Roman" w:cs="Times New Roman" w:eastAsia="Times New Roman" w:hint="default"/>
        </w:rPr>
        <w:t>3</w:t>
      </w:r>
      <w:r>
        <w:rPr/>
        <w:t>）已经发生的成本占估计总成本的比例。 按照从接受劳务方已收或应收的合同或协议价款确定提供劳务收入总额，但已收或应收的合同</w:t>
      </w:r>
    </w:p>
    <w:p>
      <w:pPr>
        <w:pStyle w:val="BodyText"/>
        <w:spacing w:line="198" w:lineRule="exact"/>
        <w:ind w:right="96"/>
        <w:jc w:val="left"/>
      </w:pPr>
      <w:r>
        <w:rPr/>
        <w:t>或协议价款不公允的除外。资产负债表日按照提供劳务收入总额乘以完工进度扣除以前会计期间累计</w:t>
      </w:r>
    </w:p>
    <w:p>
      <w:pPr>
        <w:pStyle w:val="BodyText"/>
        <w:spacing w:line="343" w:lineRule="auto"/>
        <w:ind w:left="685" w:right="1965" w:hanging="540"/>
        <w:jc w:val="left"/>
      </w:pPr>
      <w:r>
        <w:rPr/>
        <w:t>已确认提供劳务收入后的金额，确认当期提供劳务收入。 在资产负债表日提供劳务交易结果不能够可靠估计的，分别下列情况处理：</w:t>
      </w:r>
    </w:p>
    <w:p>
      <w:pPr>
        <w:pStyle w:val="BodyText"/>
        <w:spacing w:line="272" w:lineRule="exact" w:before="55"/>
        <w:ind w:right="96" w:firstLine="539"/>
        <w:jc w:val="left"/>
      </w:pPr>
      <w:r>
        <w:rPr>
          <w:spacing w:val="-1"/>
        </w:rPr>
        <w:t>（</w:t>
      </w:r>
      <w:r>
        <w:rPr>
          <w:rFonts w:ascii="Times New Roman" w:hAnsi="Times New Roman" w:cs="Times New Roman" w:eastAsia="Times New Roman" w:hint="default"/>
          <w:spacing w:val="-1"/>
        </w:rPr>
        <w:t>1</w:t>
      </w:r>
      <w:r>
        <w:rPr>
          <w:spacing w:val="-1"/>
        </w:rPr>
        <w:t>）已经发生的劳务成本预计能够得到补偿的，按照已经发生的劳务成本金额确认提供劳务收</w:t>
      </w:r>
      <w:r>
        <w:rPr/>
        <w:t> 入，并按相同金额结转劳务成本。</w:t>
      </w:r>
    </w:p>
    <w:p>
      <w:pPr>
        <w:pStyle w:val="BodyText"/>
        <w:spacing w:line="272" w:lineRule="exact" w:before="119"/>
        <w:ind w:right="96" w:firstLine="539"/>
        <w:jc w:val="left"/>
      </w:pPr>
      <w:r>
        <w:rPr>
          <w:spacing w:val="-1"/>
        </w:rPr>
        <w:t>（</w:t>
      </w:r>
      <w:r>
        <w:rPr>
          <w:rFonts w:ascii="Times New Roman" w:hAnsi="Times New Roman" w:cs="Times New Roman" w:eastAsia="Times New Roman" w:hint="default"/>
          <w:spacing w:val="-1"/>
        </w:rPr>
        <w:t>2</w:t>
      </w:r>
      <w:r>
        <w:rPr>
          <w:spacing w:val="-1"/>
        </w:rPr>
        <w:t>）已经发生的劳务成本预计不能够得到补偿的，将已经发生的劳务成本计入当期损益，不确</w:t>
      </w:r>
      <w:r>
        <w:rPr/>
        <w:t> 认提供劳务收入。</w:t>
      </w:r>
    </w:p>
    <w:p>
      <w:pPr>
        <w:pStyle w:val="BodyText"/>
        <w:spacing w:line="324" w:lineRule="auto" w:before="93"/>
        <w:ind w:left="685" w:right="96"/>
        <w:jc w:val="left"/>
      </w:pPr>
      <w:r>
        <w:rPr>
          <w:rFonts w:ascii="Times New Roman" w:hAnsi="Times New Roman" w:cs="Times New Roman" w:eastAsia="Times New Roman" w:hint="default"/>
        </w:rPr>
        <w:t>3</w:t>
      </w:r>
      <w:r>
        <w:rPr/>
        <w:t>）让渡资产使用权 与交易相关的经济利益很可能流入企业，收入的金额能够可靠地计量时，分别下列情况确定让</w:t>
      </w:r>
    </w:p>
    <w:p>
      <w:pPr>
        <w:pStyle w:val="BodyText"/>
        <w:spacing w:line="199" w:lineRule="exact"/>
        <w:ind w:right="96"/>
        <w:jc w:val="left"/>
      </w:pPr>
      <w:r>
        <w:rPr/>
        <w:t>渡资产使用权收入金额：</w:t>
      </w:r>
    </w:p>
    <w:p>
      <w:pPr>
        <w:pStyle w:val="BodyText"/>
        <w:spacing w:line="240" w:lineRule="auto" w:before="117"/>
        <w:ind w:left="685" w:right="96"/>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33" w:lineRule="auto" w:before="101"/>
        <w:ind w:left="685" w:right="96"/>
        <w:jc w:val="left"/>
      </w:pPr>
      <w:r>
        <w:rPr/>
        <w:t>（</w:t>
      </w:r>
      <w:r>
        <w:rPr>
          <w:rFonts w:ascii="Times New Roman" w:hAnsi="Times New Roman" w:cs="Times New Roman" w:eastAsia="Times New Roman" w:hint="default"/>
        </w:rPr>
        <w:t>2</w:t>
      </w:r>
      <w:r>
        <w:rPr/>
        <w:t>）使用费收入金额，按照有关合同或协议约定的收费时间和方法计算确定。 本公司各项业务收入确认的具体方法如下： 本公司主营业务收入主要包括自行开发研制的软件产品销售收入、系统集成收入、定制软件收</w:t>
      </w:r>
    </w:p>
    <w:p>
      <w:pPr>
        <w:pStyle w:val="BodyText"/>
        <w:spacing w:line="190" w:lineRule="exact"/>
        <w:ind w:right="96"/>
        <w:jc w:val="left"/>
      </w:pPr>
      <w:r>
        <w:rPr/>
        <w:t>入、系统维护收入、建筑安装工程收入、商品销售收入等，各项业务收入确认的具体方法如下：</w:t>
      </w:r>
    </w:p>
    <w:p>
      <w:pPr>
        <w:pStyle w:val="BodyText"/>
        <w:spacing w:line="324" w:lineRule="auto" w:before="117"/>
        <w:ind w:left="685" w:right="96"/>
        <w:jc w:val="left"/>
      </w:pPr>
      <w:r>
        <w:rPr/>
        <w:t>（</w:t>
      </w:r>
      <w:r>
        <w:rPr>
          <w:rFonts w:ascii="Times New Roman" w:hAnsi="Times New Roman" w:cs="Times New Roman" w:eastAsia="Times New Roman" w:hint="default"/>
        </w:rPr>
        <w:t>1</w:t>
      </w:r>
      <w:r>
        <w:rPr/>
        <w:t>）自行开发研制的软件产品销售收入确认的具体方法 本公司自行开发研制的软件产品业务是指由本公司开发的，拥有自主知识产权的软件产品。其</w:t>
      </w:r>
    </w:p>
    <w:p>
      <w:pPr>
        <w:pStyle w:val="BodyText"/>
        <w:spacing w:line="198" w:lineRule="exact"/>
        <w:ind w:right="96"/>
        <w:jc w:val="left"/>
      </w:pPr>
      <w:r>
        <w:rPr/>
        <w:t>收入确认的具体方法为：按签订的软件销售合同进行核算。本公司已将商品所有权上的主要风险和报</w:t>
      </w:r>
    </w:p>
    <w:p>
      <w:pPr>
        <w:pStyle w:val="BodyText"/>
        <w:spacing w:line="272" w:lineRule="exact" w:before="26"/>
        <w:ind w:right="195"/>
        <w:jc w:val="left"/>
      </w:pPr>
      <w:r>
        <w:rPr/>
        <w:t>酬转移给购货方；既没有保留通常与所有权相联系的继续管理权，也没有对已售出的商品实施控制； 与交易相关的经济利益能够流入企业；相关的收入和成本能够可靠地计量时确认收入。</w:t>
      </w:r>
    </w:p>
    <w:p>
      <w:pPr>
        <w:pStyle w:val="BodyText"/>
        <w:spacing w:line="324" w:lineRule="auto" w:before="93"/>
        <w:ind w:left="685" w:right="96"/>
        <w:jc w:val="left"/>
      </w:pPr>
      <w:r>
        <w:rPr/>
        <w:t>（</w:t>
      </w:r>
      <w:r>
        <w:rPr>
          <w:rFonts w:ascii="Times New Roman" w:hAnsi="Times New Roman" w:cs="Times New Roman" w:eastAsia="Times New Roman" w:hint="default"/>
        </w:rPr>
        <w:t>2</w:t>
      </w:r>
      <w:r>
        <w:rPr/>
        <w:t>）定制软件收入确认的具体方法 </w:t>
      </w:r>
      <w:r>
        <w:rPr>
          <w:spacing w:val="-1"/>
        </w:rPr>
        <w:t>本公司定制软件业务是指为特定客户开发软件和客户委托开发业务。其收入确认的具体方法为：</w:t>
      </w:r>
    </w:p>
    <w:p>
      <w:pPr>
        <w:pStyle w:val="BodyText"/>
        <w:spacing w:line="198" w:lineRule="exact"/>
        <w:ind w:right="96"/>
        <w:jc w:val="left"/>
      </w:pPr>
      <w:r>
        <w:rPr/>
        <w:t>按签订的软件开发合同进行核算。开发项目在同一会计年度开始并完成的，在完成时确认收入；如果</w:t>
      </w:r>
    </w:p>
    <w:p>
      <w:pPr>
        <w:pStyle w:val="BodyText"/>
        <w:spacing w:line="274" w:lineRule="exact"/>
        <w:ind w:right="96"/>
        <w:jc w:val="left"/>
      </w:pPr>
      <w:r>
        <w:rPr/>
        <w:t>开发项目的开始和完成分属不同会计年度，在资产负债表日根据开发的完工程度确认收入。</w:t>
      </w:r>
    </w:p>
    <w:p>
      <w:pPr>
        <w:pStyle w:val="BodyText"/>
        <w:spacing w:line="324" w:lineRule="auto" w:before="117"/>
        <w:ind w:left="685" w:right="201"/>
        <w:jc w:val="left"/>
      </w:pPr>
      <w:r>
        <w:rPr/>
        <w:t>（</w:t>
      </w:r>
      <w:r>
        <w:rPr>
          <w:rFonts w:ascii="Times New Roman" w:hAnsi="Times New Roman" w:cs="Times New Roman" w:eastAsia="Times New Roman" w:hint="default"/>
        </w:rPr>
        <w:t>3</w:t>
      </w:r>
      <w:r>
        <w:rPr/>
        <w:t>）系统集成收入确认的具体方法 </w:t>
      </w:r>
      <w:r>
        <w:rPr>
          <w:spacing w:val="-3"/>
        </w:rPr>
        <w:t>本公司系统集成业务是指按照客户需求提供整体解决方案，并通过本公司产品和外购原材料（设</w:t>
      </w:r>
    </w:p>
    <w:p>
      <w:pPr>
        <w:pStyle w:val="BodyText"/>
        <w:spacing w:line="197" w:lineRule="exact"/>
        <w:ind w:right="96"/>
        <w:jc w:val="left"/>
      </w:pPr>
      <w:r>
        <w:rPr/>
        <w:t>备等</w:t>
      </w:r>
      <w:r>
        <w:rPr>
          <w:spacing w:val="-105"/>
        </w:rPr>
        <w:t>）</w:t>
      </w:r>
      <w:r>
        <w:rPr>
          <w:spacing w:val="-27"/>
        </w:rPr>
        <w:t>，</w:t>
      </w:r>
      <w:r>
        <w:rPr/>
        <w:t>以工程形式对整体解决方案进行实现</w:t>
      </w:r>
      <w:r>
        <w:rPr>
          <w:spacing w:val="-27"/>
        </w:rPr>
        <w:t>。</w:t>
      </w:r>
      <w:r>
        <w:rPr/>
        <w:t>其收入确认的具体方法为</w:t>
      </w:r>
      <w:r>
        <w:rPr>
          <w:spacing w:val="-27"/>
        </w:rPr>
        <w:t>：</w:t>
      </w:r>
      <w:r>
        <w:rPr/>
        <w:t>对签订的工程项目合同</w:t>
      </w:r>
      <w:r>
        <w:rPr>
          <w:spacing w:val="-27"/>
        </w:rPr>
        <w:t>，</w:t>
      </w:r>
      <w:r>
        <w:rPr/>
        <w:t>减</w:t>
      </w:r>
    </w:p>
    <w:p>
      <w:pPr>
        <w:pStyle w:val="BodyText"/>
        <w:spacing w:line="273" w:lineRule="exact"/>
        <w:ind w:right="96"/>
        <w:jc w:val="left"/>
      </w:pPr>
      <w:r>
        <w:rPr/>
        <w:t>去本公司产品金额后进行核算。在工程项目竣工验收后，确认相关的收入。</w:t>
      </w:r>
    </w:p>
    <w:p>
      <w:pPr>
        <w:pStyle w:val="BodyText"/>
        <w:spacing w:line="324" w:lineRule="auto" w:before="117"/>
        <w:ind w:left="684" w:right="96"/>
        <w:jc w:val="left"/>
      </w:pPr>
      <w:r>
        <w:rPr/>
        <w:t>（</w:t>
      </w:r>
      <w:r>
        <w:rPr>
          <w:rFonts w:ascii="Times New Roman" w:hAnsi="Times New Roman" w:cs="Times New Roman" w:eastAsia="Times New Roman" w:hint="default"/>
        </w:rPr>
        <w:t>4</w:t>
      </w:r>
      <w:r>
        <w:rPr/>
        <w:t>）系统维护收入确认的具体方法 本公司系统维护业务是指本公司对出售的产品在一年免费服务期后的技术服务、二次开发服务</w:t>
      </w:r>
    </w:p>
    <w:p>
      <w:pPr>
        <w:pStyle w:val="BodyText"/>
        <w:spacing w:line="198" w:lineRule="exact"/>
        <w:ind w:right="96"/>
        <w:jc w:val="left"/>
      </w:pPr>
      <w:r>
        <w:rPr/>
        <w:t>业务以及其他为客户（包括使用非本公司产品）进行的技术咨询、技术支持等服务。其收入确认的具</w:t>
      </w:r>
    </w:p>
    <w:p>
      <w:pPr>
        <w:pStyle w:val="BodyText"/>
        <w:spacing w:line="274" w:lineRule="exact"/>
        <w:ind w:right="96"/>
        <w:jc w:val="left"/>
      </w:pPr>
      <w:r>
        <w:rPr/>
        <w:t>体方法为：按签订的系统维护合同进行核算。在系统维护合同约定的收款日期确认收入。</w:t>
      </w:r>
    </w:p>
    <w:p>
      <w:pPr>
        <w:pStyle w:val="BodyText"/>
        <w:spacing w:line="240" w:lineRule="auto" w:before="117"/>
        <w:ind w:left="684" w:right="96"/>
        <w:jc w:val="left"/>
      </w:pPr>
      <w:r>
        <w:rPr/>
        <w:t>（</w:t>
      </w:r>
      <w:r>
        <w:rPr>
          <w:rFonts w:ascii="Times New Roman" w:hAnsi="Times New Roman" w:cs="Times New Roman" w:eastAsia="Times New Roman" w:hint="default"/>
        </w:rPr>
        <w:t>5</w:t>
      </w:r>
      <w:r>
        <w:rPr/>
        <w:t>）建筑安装工程收入</w:t>
      </w:r>
    </w:p>
    <w:p>
      <w:pPr>
        <w:spacing w:after="0" w:line="240" w:lineRule="auto"/>
        <w:jc w:val="left"/>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272" w:lineRule="exact" w:before="63"/>
        <w:ind w:right="170" w:firstLine="539"/>
        <w:jc w:val="both"/>
      </w:pPr>
      <w:r>
        <w:rPr/>
        <w:t>本公司建筑安装工程业务是指建筑安装合同、缴纳营业税的各种施工工程，如：楼宇设备目控</w:t>
      </w:r>
      <w:r>
        <w:rPr>
          <w:spacing w:val="2"/>
        </w:rPr>
        <w:t> </w:t>
      </w:r>
      <w:r>
        <w:rPr/>
        <w:t>安装、通讯设备安装的施工。其收入确认的具体方法为：按完工百分比法确认收入。</w:t>
      </w:r>
    </w:p>
    <w:p>
      <w:pPr>
        <w:pStyle w:val="BodyText"/>
        <w:spacing w:line="324" w:lineRule="auto" w:before="93"/>
        <w:ind w:left="685" w:right="0"/>
        <w:jc w:val="left"/>
      </w:pPr>
      <w:r>
        <w:rPr>
          <w:rFonts w:ascii="Times New Roman" w:hAnsi="Times New Roman" w:cs="Times New Roman" w:eastAsia="Times New Roman" w:hint="default"/>
        </w:rPr>
        <w:t>22</w:t>
      </w:r>
      <w:r>
        <w:rPr/>
        <w:t>、确认递延所得税资产的依据： 公司以很可能取得用来抵扣可抵扣暂时性差异的应纳税所得额为限，确认由可抵扣暂时性差异</w:t>
      </w:r>
    </w:p>
    <w:p>
      <w:pPr>
        <w:pStyle w:val="BodyText"/>
        <w:spacing w:line="199" w:lineRule="exact"/>
        <w:ind w:right="2197"/>
        <w:jc w:val="left"/>
      </w:pPr>
      <w:r>
        <w:rPr/>
        <w:t>产生的递延所得税资产。</w:t>
      </w:r>
    </w:p>
    <w:p>
      <w:pPr>
        <w:pStyle w:val="BodyText"/>
        <w:spacing w:line="331" w:lineRule="auto" w:before="117"/>
        <w:ind w:left="685" w:right="4655"/>
        <w:jc w:val="left"/>
      </w:pPr>
      <w:r>
        <w:rPr>
          <w:rFonts w:ascii="Times New Roman" w:hAnsi="Times New Roman" w:cs="Times New Roman" w:eastAsia="Times New Roman" w:hint="default"/>
        </w:rPr>
        <w:t>23</w:t>
      </w:r>
      <w:r>
        <w:rPr/>
        <w:t>、合并报表合并范围发生变更的理由： 报告期内，合并报表的合并范围未发生变更。 </w:t>
      </w:r>
      <w:r>
        <w:rPr>
          <w:rFonts w:ascii="Times New Roman" w:hAnsi="Times New Roman" w:cs="Times New Roman" w:eastAsia="Times New Roman" w:hint="default"/>
        </w:rPr>
        <w:t>24</w:t>
      </w:r>
      <w:r>
        <w:rPr/>
        <w:t>、公司年金计划的主要内容及重大变化： 报告期内，本公司无年金计划。</w:t>
      </w:r>
    </w:p>
    <w:p>
      <w:pPr>
        <w:pStyle w:val="BodyText"/>
        <w:spacing w:line="324" w:lineRule="auto" w:before="38"/>
        <w:ind w:left="683" w:right="1506" w:firstLine="1"/>
        <w:jc w:val="left"/>
      </w:pPr>
      <w:r>
        <w:rPr>
          <w:rFonts w:ascii="Times New Roman" w:hAnsi="Times New Roman" w:cs="Times New Roman" w:eastAsia="Times New Roman" w:hint="default"/>
        </w:rPr>
        <w:t>25</w:t>
      </w:r>
      <w:r>
        <w:rPr/>
        <w:t>、主要会计政策、会计估计和核算方法的变更以及重大会计差错更正及其影响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会计政策变更</w:t>
      </w:r>
    </w:p>
    <w:p>
      <w:pPr>
        <w:pStyle w:val="BodyText"/>
        <w:spacing w:line="272" w:lineRule="exact" w:before="47"/>
        <w:ind w:right="171" w:firstLine="538"/>
        <w:jc w:val="both"/>
      </w:pPr>
      <w:r>
        <w:rPr>
          <w:rFonts w:ascii="Times New Roman" w:hAnsi="Times New Roman" w:cs="Times New Roman" w:eastAsia="Times New Roman" w:hint="default"/>
        </w:rPr>
        <w:t>1</w:t>
      </w:r>
      <w:r>
        <w:rPr/>
        <w:t>、按照新会计准则，所得税核算应采用资产负债表债务法，在</w:t>
      </w:r>
      <w:r>
        <w:rPr>
          <w:spacing w:val="-3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日，对资产、负 债的账面价值与其计税基础不同形成的暂时性差异，按照相关条件确认递延所得税资产或递延所得税 负债，并将影响金额调整留存收益，导致“递延所得税资产”增加 </w:t>
      </w:r>
      <w:r>
        <w:rPr>
          <w:rFonts w:ascii="Times New Roman" w:hAnsi="Times New Roman" w:cs="Times New Roman" w:eastAsia="Times New Roman" w:hint="default"/>
        </w:rPr>
        <w:t>5,317,908.26</w:t>
      </w:r>
      <w:r>
        <w:rPr>
          <w:rFonts w:ascii="Times New Roman" w:hAnsi="Times New Roman" w:cs="Times New Roman" w:eastAsia="Times New Roman" w:hint="default"/>
          <w:spacing w:val="-6"/>
        </w:rPr>
        <w:t> </w:t>
      </w:r>
      <w:r>
        <w:rPr/>
        <w:t>元、“未分配利润”</w:t>
      </w:r>
    </w:p>
    <w:p>
      <w:pPr>
        <w:pStyle w:val="BodyText"/>
        <w:spacing w:line="263" w:lineRule="exact"/>
        <w:ind w:left="683" w:right="0" w:hanging="539"/>
        <w:jc w:val="left"/>
      </w:pPr>
      <w:r>
        <w:rPr/>
        <w:t>增加</w:t>
      </w:r>
      <w:r>
        <w:rPr>
          <w:spacing w:val="-56"/>
        </w:rPr>
        <w:t> </w:t>
      </w:r>
      <w:r>
        <w:rPr>
          <w:rFonts w:ascii="Times New Roman" w:hAnsi="Times New Roman" w:cs="Times New Roman" w:eastAsia="Times New Roman" w:hint="default"/>
        </w:rPr>
        <w:t>4,543,219.13</w:t>
      </w:r>
      <w:r>
        <w:rPr>
          <w:rFonts w:ascii="Times New Roman" w:hAnsi="Times New Roman" w:cs="Times New Roman" w:eastAsia="Times New Roman" w:hint="default"/>
          <w:spacing w:val="-3"/>
        </w:rPr>
        <w:t> </w:t>
      </w:r>
      <w:r>
        <w:rPr/>
        <w:t>元、“盈余公积”增加</w:t>
      </w:r>
      <w:r>
        <w:rPr>
          <w:spacing w:val="-56"/>
        </w:rPr>
        <w:t> </w:t>
      </w:r>
      <w:r>
        <w:rPr>
          <w:rFonts w:ascii="Times New Roman" w:hAnsi="Times New Roman" w:cs="Times New Roman" w:eastAsia="Times New Roman" w:hint="default"/>
        </w:rPr>
        <w:t>504,802.13</w:t>
      </w:r>
      <w:r>
        <w:rPr>
          <w:rFonts w:ascii="Times New Roman" w:hAnsi="Times New Roman" w:cs="Times New Roman" w:eastAsia="Times New Roman" w:hint="default"/>
          <w:spacing w:val="-3"/>
        </w:rPr>
        <w:t> </w:t>
      </w:r>
      <w:r>
        <w:rPr/>
        <w:t>元、归属于少数股东权益增加</w:t>
      </w:r>
      <w:r>
        <w:rPr>
          <w:spacing w:val="-56"/>
        </w:rPr>
        <w:t> </w:t>
      </w:r>
      <w:r>
        <w:rPr>
          <w:rFonts w:ascii="Times New Roman" w:hAnsi="Times New Roman" w:cs="Times New Roman" w:eastAsia="Times New Roman" w:hint="default"/>
        </w:rPr>
        <w:t>269,887.00</w:t>
      </w:r>
      <w:r>
        <w:rPr>
          <w:rFonts w:ascii="Times New Roman" w:hAnsi="Times New Roman" w:cs="Times New Roman" w:eastAsia="Times New Roman" w:hint="default"/>
          <w:spacing w:val="-2"/>
        </w:rPr>
        <w:t> </w:t>
      </w:r>
      <w:r>
        <w:rPr/>
        <w:t>元。</w:t>
      </w:r>
      <w:r>
        <w:rPr>
          <w:spacing w:val="-7"/>
        </w:rPr>
        <w:t> </w:t>
      </w:r>
      <w:r>
        <w:rPr/>
        <w:t>。</w:t>
      </w:r>
    </w:p>
    <w:p>
      <w:pPr>
        <w:pStyle w:val="BodyText"/>
        <w:spacing w:line="240" w:lineRule="auto" w:before="101"/>
        <w:ind w:left="68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、将“少数股东权益”调入“股东权益”，增加“股东权益——少数股东权益”</w:t>
      </w:r>
      <w:r>
        <w:rPr>
          <w:rFonts w:ascii="Times New Roman" w:hAnsi="Times New Roman" w:cs="Times New Roman" w:eastAsia="Times New Roman" w:hint="default"/>
        </w:rPr>
        <w:t>36,142,800.65</w:t>
      </w:r>
    </w:p>
    <w:p>
      <w:pPr>
        <w:pStyle w:val="BodyText"/>
        <w:spacing w:line="256" w:lineRule="exact"/>
        <w:ind w:right="2197"/>
        <w:jc w:val="left"/>
      </w:pPr>
      <w:r>
        <w:rPr/>
        <w:t>元 。</w:t>
      </w:r>
    </w:p>
    <w:p>
      <w:pPr>
        <w:pStyle w:val="BodyText"/>
        <w:spacing w:line="324" w:lineRule="auto" w:before="117"/>
        <w:ind w:left="684" w:right="724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会计估计变更</w:t>
      </w:r>
      <w:r>
        <w:rPr>
          <w:w w:val="99"/>
        </w:rPr>
        <w:t> </w:t>
      </w:r>
      <w:r>
        <w:rPr/>
        <w:t>无</w:t>
      </w:r>
    </w:p>
    <w:p>
      <w:pPr>
        <w:pStyle w:val="BodyText"/>
        <w:spacing w:line="324" w:lineRule="auto" w:before="44"/>
        <w:ind w:left="684" w:right="682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会计核算方法变更</w:t>
      </w:r>
      <w:r>
        <w:rPr>
          <w:w w:val="99"/>
        </w:rPr>
        <w:t> </w:t>
      </w:r>
      <w:r>
        <w:rPr/>
        <w:t>无</w:t>
      </w:r>
    </w:p>
    <w:p>
      <w:pPr>
        <w:pStyle w:val="BodyText"/>
        <w:spacing w:line="324" w:lineRule="auto" w:before="44"/>
        <w:ind w:left="684" w:right="724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会计差错更正</w:t>
      </w:r>
      <w:r>
        <w:rPr>
          <w:w w:val="99"/>
        </w:rPr>
        <w:t> </w:t>
      </w:r>
      <w:r>
        <w:rPr/>
        <w:t>无</w:t>
      </w:r>
    </w:p>
    <w:p>
      <w:pPr>
        <w:pStyle w:val="BodyText"/>
        <w:spacing w:line="324" w:lineRule="auto" w:before="44"/>
        <w:ind w:left="683" w:right="707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税项：</w:t>
      </w:r>
      <w:r>
        <w:rPr>
          <w:w w:val="99"/>
        </w:rPr>
        <w:t> </w:t>
      </w:r>
      <w:r>
        <w:rPr>
          <w:rFonts w:ascii="Times New Roman" w:hAnsi="Times New Roman" w:cs="Times New Roman" w:eastAsia="Times New Roman" w:hint="default"/>
        </w:rPr>
        <w:t>1</w:t>
      </w:r>
      <w:r>
        <w:rPr/>
        <w:t>、主要税种及税率</w:t>
      </w:r>
    </w:p>
    <w:p>
      <w:pPr>
        <w:spacing w:line="240" w:lineRule="auto" w:before="2"/>
        <w:rPr>
          <w:rFonts w:ascii="宋体" w:hAnsi="宋体" w:cs="宋体" w:eastAsia="宋体" w:hint="default"/>
          <w:sz w:val="4"/>
          <w:szCs w:val="4"/>
        </w:rPr>
      </w:pPr>
    </w:p>
    <w:tbl>
      <w:tblPr>
        <w:tblW w:w="0" w:type="auto"/>
        <w:jc w:val="left"/>
        <w:tblInd w:w="129" w:type="dxa"/>
        <w:tblLayout w:type="fixed"/>
        <w:tblCellMar>
          <w:top w:w="0" w:type="dxa"/>
          <w:left w:w="0" w:type="dxa"/>
          <w:bottom w:w="0" w:type="dxa"/>
          <w:right w:w="0" w:type="dxa"/>
        </w:tblCellMar>
        <w:tblLook w:val="01E0"/>
      </w:tblPr>
      <w:tblGrid>
        <w:gridCol w:w="1349"/>
        <w:gridCol w:w="6268"/>
        <w:gridCol w:w="1684"/>
      </w:tblGrid>
      <w:tr>
        <w:trPr>
          <w:trHeight w:val="434" w:hRule="exact"/>
        </w:trPr>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55" w:lineRule="exact"/>
              <w:ind w:left="725"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6268" w:type="dxa"/>
            <w:tcBorders>
              <w:top w:val="single" w:sz="6" w:space="0" w:color="101010"/>
              <w:left w:val="single" w:sz="6" w:space="0" w:color="101010"/>
              <w:bottom w:val="single" w:sz="6" w:space="0" w:color="101010"/>
              <w:right w:val="single" w:sz="6" w:space="0" w:color="101010"/>
            </w:tcBorders>
          </w:tcPr>
          <w:p>
            <w:pPr>
              <w:pStyle w:val="TableParagraph"/>
              <w:spacing w:line="255" w:lineRule="exact"/>
              <w:ind w:left="538"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684" w:type="dxa"/>
            <w:tcBorders>
              <w:top w:val="single" w:sz="6" w:space="0" w:color="101010"/>
              <w:left w:val="single" w:sz="6" w:space="0" w:color="101010"/>
              <w:bottom w:val="single" w:sz="6" w:space="0" w:color="101010"/>
              <w:right w:val="single" w:sz="6" w:space="0" w:color="101010"/>
            </w:tcBorders>
          </w:tcPr>
          <w:p>
            <w:pPr>
              <w:pStyle w:val="TableParagraph"/>
              <w:spacing w:line="255" w:lineRule="exact"/>
              <w:ind w:left="893"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288" w:hRule="exact"/>
        </w:trPr>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2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以销项税扣除允许抵扣的进项税的差额计算缴纳或按应税收入</w:t>
            </w:r>
          </w:p>
        </w:tc>
        <w:tc>
          <w:tcPr>
            <w:tcW w:w="1684"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r>
          </w:p>
        </w:tc>
      </w:tr>
      <w:tr>
        <w:trPr>
          <w:trHeight w:val="287" w:hRule="exact"/>
        </w:trPr>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26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按营业收入的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c>
          <w:tcPr>
            <w:tcW w:w="1684"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Times New Roman" w:hAnsi="Times New Roman" w:cs="Times New Roman" w:eastAsia="Times New Roman" w:hint="default"/>
                <w:sz w:val="21"/>
                <w:szCs w:val="21"/>
              </w:rPr>
            </w:r>
          </w:p>
        </w:tc>
      </w:tr>
      <w:tr>
        <w:trPr>
          <w:trHeight w:val="288" w:hRule="exact"/>
        </w:trPr>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626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按应纳增值税、营业税的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c>
          <w:tcPr>
            <w:tcW w:w="1684"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7%</w:t>
            </w:r>
            <w:r>
              <w:rPr>
                <w:rFonts w:ascii="Times New Roman" w:hAnsi="Times New Roman" w:cs="Times New Roman" w:eastAsia="Times New Roman" w:hint="default"/>
                <w:sz w:val="21"/>
                <w:szCs w:val="21"/>
              </w:rPr>
            </w:r>
          </w:p>
        </w:tc>
      </w:tr>
      <w:tr>
        <w:trPr>
          <w:trHeight w:val="288" w:hRule="exact"/>
        </w:trPr>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26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w:t>
            </w:r>
          </w:p>
        </w:tc>
        <w:tc>
          <w:tcPr>
            <w:tcW w:w="1684"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33%</w:t>
            </w:r>
          </w:p>
        </w:tc>
      </w:tr>
    </w:tbl>
    <w:p>
      <w:pPr>
        <w:spacing w:line="240" w:lineRule="auto" w:before="1"/>
        <w:rPr>
          <w:rFonts w:ascii="宋体" w:hAnsi="宋体" w:cs="宋体" w:eastAsia="宋体" w:hint="default"/>
          <w:sz w:val="13"/>
          <w:szCs w:val="13"/>
        </w:rPr>
      </w:pPr>
    </w:p>
    <w:p>
      <w:pPr>
        <w:pStyle w:val="BodyText"/>
        <w:spacing w:line="240" w:lineRule="auto" w:before="35"/>
        <w:ind w:left="685" w:right="2197"/>
        <w:jc w:val="left"/>
      </w:pPr>
      <w:r>
        <w:rPr>
          <w:rFonts w:ascii="Times New Roman" w:hAnsi="Times New Roman" w:cs="Times New Roman" w:eastAsia="Times New Roman" w:hint="default"/>
        </w:rPr>
        <w:t>2</w:t>
      </w:r>
      <w:r>
        <w:rPr/>
        <w:t>、优惠税负及批文</w:t>
      </w:r>
    </w:p>
    <w:p>
      <w:pPr>
        <w:pStyle w:val="BodyText"/>
        <w:spacing w:line="282" w:lineRule="exact" w:before="101"/>
        <w:ind w:left="685" w:right="0"/>
        <w:jc w:val="left"/>
      </w:pPr>
      <w:r>
        <w:rPr>
          <w:spacing w:val="5"/>
        </w:rPr>
        <w:t>深圳市金证软银科技有限公司经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10 </w:t>
      </w:r>
      <w:r>
        <w:rPr>
          <w:rFonts w:ascii="Times New Roman" w:hAnsi="Times New Roman" w:cs="Times New Roman" w:eastAsia="Times New Roman" w:hint="default"/>
          <w:spacing w:val="36"/>
        </w:rPr>
        <w:t> </w:t>
      </w:r>
      <w:r>
        <w:rPr>
          <w:spacing w:val="4"/>
        </w:rPr>
        <w:t>日深圳市福田区国家税务局深国税福减免</w:t>
      </w:r>
    </w:p>
    <w:p>
      <w:pPr>
        <w:pStyle w:val="BodyText"/>
        <w:spacing w:line="272"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[2007]0084 </w:t>
      </w:r>
      <w:r>
        <w:rPr/>
        <w:t>号文《深圳市国家税务局减、免税批准通知书》批准，从开始获利年度起，第 </w:t>
      </w:r>
      <w:r>
        <w:rPr>
          <w:rFonts w:ascii="Times New Roman" w:hAnsi="Times New Roman" w:cs="Times New Roman" w:eastAsia="Times New Roman" w:hint="default"/>
        </w:rPr>
        <w:t>1 </w:t>
      </w:r>
      <w:r>
        <w:rPr/>
        <w:t>年至第</w:t>
      </w:r>
      <w:r>
        <w:rPr>
          <w:spacing w:val="-41"/>
        </w:rPr>
        <w:t> </w:t>
      </w:r>
      <w:r>
        <w:rPr>
          <w:rFonts w:ascii="Times New Roman" w:hAnsi="Times New Roman" w:cs="Times New Roman" w:eastAsia="Times New Roman" w:hint="default"/>
        </w:rPr>
        <w:t>2</w:t>
      </w:r>
    </w:p>
    <w:p>
      <w:pPr>
        <w:pStyle w:val="BodyText"/>
        <w:spacing w:line="272" w:lineRule="exact" w:before="18"/>
        <w:ind w:left="144" w:right="0"/>
        <w:jc w:val="left"/>
      </w:pPr>
      <w:r>
        <w:rPr/>
        <w:t>年的经营所得免征所得税，第</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年至</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年减半征收所得税。该公司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年度为第一个获利年度。 北京北方金证科技有限公司被认定为高新技术企业，</w:t>
      </w:r>
      <w:r>
        <w:rPr>
          <w:rFonts w:ascii="Times New Roman" w:hAnsi="Times New Roman" w:cs="Times New Roman" w:eastAsia="Times New Roman" w:hint="default"/>
        </w:rPr>
        <w:t>2007 </w:t>
      </w:r>
      <w:r>
        <w:rPr/>
        <w:t>年度按</w:t>
      </w:r>
      <w:r>
        <w:rPr>
          <w:spacing w:val="-55"/>
        </w:rPr>
        <w:t> </w:t>
      </w:r>
      <w:r>
        <w:rPr>
          <w:rFonts w:ascii="Times New Roman" w:hAnsi="Times New Roman" w:cs="Times New Roman" w:eastAsia="Times New Roman" w:hint="default"/>
        </w:rPr>
        <w:t>15%</w:t>
      </w:r>
      <w:r>
        <w:rPr/>
        <w:t>的税率征收企业所得税。 </w:t>
      </w:r>
      <w:r>
        <w:rPr>
          <w:spacing w:val="4"/>
        </w:rPr>
        <w:t>沈阳市金证科技有限公司 </w:t>
      </w:r>
      <w:r>
        <w:rPr>
          <w:rFonts w:ascii="Times New Roman" w:hAnsi="Times New Roman" w:cs="Times New Roman" w:eastAsia="Times New Roman" w:hint="default"/>
        </w:rPr>
        <w:t>2002 </w:t>
      </w:r>
      <w:r>
        <w:rPr>
          <w:rFonts w:ascii="Times New Roman" w:hAnsi="Times New Roman" w:cs="Times New Roman" w:eastAsia="Times New Roman" w:hint="default"/>
          <w:spacing w:val="27"/>
        </w:rPr>
        <w:t> </w:t>
      </w:r>
      <w:r>
        <w:rPr>
          <w:spacing w:val="4"/>
        </w:rPr>
        <w:t>年十一月一日经“辽宁省地方税务局辽宁省软件企业税收优惠通知</w:t>
      </w:r>
      <w:r>
        <w:rPr/>
      </w:r>
    </w:p>
    <w:p>
      <w:pPr>
        <w:pStyle w:val="BodyText"/>
        <w:spacing w:line="272" w:lineRule="exact"/>
        <w:ind w:left="144" w:right="161"/>
        <w:jc w:val="left"/>
      </w:pPr>
      <w:r>
        <w:rPr/>
        <w:t>书”编号第</w:t>
      </w:r>
      <w:r>
        <w:rPr>
          <w:spacing w:val="-51"/>
        </w:rPr>
        <w:t> </w:t>
      </w:r>
      <w:r>
        <w:rPr>
          <w:rFonts w:ascii="Times New Roman" w:hAnsi="Times New Roman" w:cs="Times New Roman" w:eastAsia="Times New Roman" w:hint="default"/>
        </w:rPr>
        <w:t>83</w:t>
      </w:r>
      <w:r>
        <w:rPr>
          <w:rFonts w:ascii="Times New Roman" w:hAnsi="Times New Roman" w:cs="Times New Roman" w:eastAsia="Times New Roman" w:hint="default"/>
          <w:spacing w:val="2"/>
        </w:rPr>
        <w:t> </w:t>
      </w:r>
      <w:r>
        <w:rPr>
          <w:spacing w:val="-3"/>
        </w:rPr>
        <w:t>号批准：自开始获利年度起，第一年和第二年免征企业所得税，第三年至第五年减半征</w:t>
      </w:r>
      <w:r>
        <w:rPr/>
        <w:t> 收企业所得税，“两免三减半”优惠政策期满后，按</w:t>
      </w:r>
      <w:r>
        <w:rPr>
          <w:spacing w:val="-55"/>
        </w:rPr>
        <w:t> </w:t>
      </w:r>
      <w:r>
        <w:rPr>
          <w:rFonts w:ascii="Times New Roman" w:hAnsi="Times New Roman" w:cs="Times New Roman" w:eastAsia="Times New Roman" w:hint="default"/>
        </w:rPr>
        <w:t>15%</w:t>
      </w:r>
      <w:r>
        <w:rPr/>
        <w:t>的税率征收企业所得税。</w:t>
      </w:r>
    </w:p>
    <w:p>
      <w:pPr>
        <w:spacing w:after="0" w:line="272" w:lineRule="exact"/>
        <w:jc w:val="left"/>
        <w:sectPr>
          <w:pgSz w:w="12240" w:h="15840"/>
          <w:pgMar w:header="747" w:footer="727" w:top="1040" w:bottom="920" w:left="1380" w:right="1300"/>
        </w:sectPr>
      </w:pPr>
    </w:p>
    <w:p>
      <w:pPr>
        <w:spacing w:line="240" w:lineRule="auto" w:before="3"/>
        <w:rPr>
          <w:rFonts w:ascii="宋体" w:hAnsi="宋体" w:cs="宋体" w:eastAsia="宋体" w:hint="default"/>
          <w:sz w:val="24"/>
          <w:szCs w:val="24"/>
        </w:rPr>
      </w:pPr>
    </w:p>
    <w:p>
      <w:pPr>
        <w:pStyle w:val="BodyText"/>
        <w:spacing w:line="282" w:lineRule="exact" w:before="35"/>
        <w:ind w:right="226"/>
        <w:jc w:val="left"/>
      </w:pPr>
      <w:r>
        <w:rPr>
          <w:spacing w:val="10"/>
        </w:rPr>
        <w:t>深圳市齐普生信息科技有限公司经 </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6"/>
        </w:rPr>
        <w:t> </w:t>
      </w:r>
      <w:r>
        <w:rPr>
          <w:spacing w:val="10"/>
        </w:rPr>
        <w:t>日深圳市福田区国家税务局深国税福减免</w:t>
      </w:r>
    </w:p>
    <w:p>
      <w:pPr>
        <w:pStyle w:val="BodyText"/>
        <w:spacing w:line="272" w:lineRule="exact"/>
        <w:ind w:right="226"/>
        <w:jc w:val="left"/>
        <w:rPr>
          <w:rFonts w:ascii="Times New Roman" w:hAnsi="Times New Roman" w:cs="Times New Roman" w:eastAsia="Times New Roman" w:hint="default"/>
        </w:rPr>
      </w:pPr>
      <w:r>
        <w:rPr>
          <w:rFonts w:ascii="Times New Roman" w:hAnsi="Times New Roman" w:cs="Times New Roman" w:eastAsia="Times New Roman" w:hint="default"/>
        </w:rPr>
        <w:t>[2004]0407 </w:t>
      </w:r>
      <w:r>
        <w:rPr/>
        <w:t>号文《深圳市国家税务局减、免税批准通知书》批准，从开始获利年度起，第 </w:t>
      </w:r>
      <w:r>
        <w:rPr>
          <w:rFonts w:ascii="Times New Roman" w:hAnsi="Times New Roman" w:cs="Times New Roman" w:eastAsia="Times New Roman" w:hint="default"/>
        </w:rPr>
        <w:t>1 </w:t>
      </w:r>
      <w:r>
        <w:rPr/>
        <w:t>年至第</w:t>
      </w:r>
      <w:r>
        <w:rPr>
          <w:spacing w:val="-41"/>
        </w:rPr>
        <w:t> </w:t>
      </w:r>
      <w:r>
        <w:rPr>
          <w:rFonts w:ascii="Times New Roman" w:hAnsi="Times New Roman" w:cs="Times New Roman" w:eastAsia="Times New Roman" w:hint="default"/>
        </w:rPr>
        <w:t>2</w:t>
      </w:r>
    </w:p>
    <w:p>
      <w:pPr>
        <w:pStyle w:val="BodyText"/>
        <w:spacing w:line="272" w:lineRule="exact"/>
        <w:ind w:left="144" w:right="226"/>
        <w:jc w:val="left"/>
      </w:pPr>
      <w:r>
        <w:rPr/>
        <w:t>年的经营所得免征所得税，第</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至</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年减半征收所得税。该公司</w:t>
      </w:r>
      <w:r>
        <w:rPr>
          <w:spacing w:val="-54"/>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年度为第一个获利年度。</w:t>
      </w:r>
    </w:p>
    <w:p>
      <w:pPr>
        <w:pStyle w:val="BodyText"/>
        <w:spacing w:line="272" w:lineRule="exact"/>
        <w:ind w:left="144" w:right="226"/>
        <w:jc w:val="left"/>
        <w:rPr>
          <w:rFonts w:ascii="Times New Roman" w:hAnsi="Times New Roman" w:cs="Times New Roman" w:eastAsia="Times New Roman" w:hint="default"/>
        </w:rPr>
      </w:pPr>
      <w:r>
        <w:rPr/>
        <w:t>深圳市金证卡尔电子有限公司经</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日深圳市南山区国家税务局深国税南减免</w:t>
      </w:r>
      <w:r>
        <w:rPr>
          <w:rFonts w:ascii="Times New Roman" w:hAnsi="Times New Roman" w:cs="Times New Roman" w:eastAsia="Times New Roman" w:hint="default"/>
        </w:rPr>
        <w:t>[2007]0187</w:t>
      </w:r>
    </w:p>
    <w:p>
      <w:pPr>
        <w:pStyle w:val="BodyText"/>
        <w:spacing w:line="272" w:lineRule="exact"/>
        <w:ind w:left="144" w:right="226"/>
        <w:jc w:val="left"/>
      </w:pPr>
      <w:r>
        <w:rPr/>
        <w:t>号文《深圳市国家税务局减、免税批准通知书》批准，从开始获利年度起，第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年至第</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年的经营所</w:t>
      </w:r>
    </w:p>
    <w:p>
      <w:pPr>
        <w:pStyle w:val="BodyText"/>
        <w:spacing w:line="282" w:lineRule="exact"/>
        <w:ind w:left="144" w:right="226"/>
        <w:jc w:val="left"/>
      </w:pPr>
      <w:r>
        <w:rPr/>
        <w:t>得免征所得税，第</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至</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年减半征收所得税。</w:t>
      </w:r>
    </w:p>
    <w:p>
      <w:pPr>
        <w:pStyle w:val="BodyText"/>
        <w:spacing w:line="390" w:lineRule="atLeast" w:before="2"/>
        <w:ind w:left="684" w:right="5131"/>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企业合并及合并财务报表</w:t>
      </w:r>
      <w:r>
        <w:rPr>
          <w:w w:val="99"/>
        </w:rPr>
        <w:t> </w:t>
      </w:r>
      <w:r>
        <w:rPr>
          <w:rFonts w:ascii="Times New Roman" w:hAnsi="Times New Roman" w:cs="Times New Roman" w:eastAsia="Times New Roman" w:hint="default"/>
        </w:rPr>
        <w:t>1</w:t>
      </w:r>
      <w:r>
        <w:rPr/>
        <w:t>、公司所控制的境内外重要子公司的情况</w:t>
      </w:r>
    </w:p>
    <w:p>
      <w:pPr>
        <w:pStyle w:val="BodyText"/>
        <w:tabs>
          <w:tab w:pos="1424" w:val="left" w:leader="none"/>
        </w:tabs>
        <w:spacing w:line="272" w:lineRule="exact"/>
        <w:ind w:left="0" w:right="332"/>
        <w:jc w:val="right"/>
      </w:pPr>
      <w:r>
        <w:rPr/>
        <w:t>单位</w:t>
      </w:r>
      <w:r>
        <w:rPr>
          <w:rFonts w:ascii="Times New Roman" w:hAnsi="Times New Roman" w:cs="Times New Roman" w:eastAsia="Times New Roman" w:hint="default"/>
        </w:rPr>
        <w:t>:</w:t>
      </w:r>
      <w:r>
        <w:rPr/>
        <w:t>万元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29" w:type="dxa"/>
        <w:tblLayout w:type="fixed"/>
        <w:tblCellMar>
          <w:top w:w="0" w:type="dxa"/>
          <w:left w:w="0" w:type="dxa"/>
          <w:bottom w:w="0" w:type="dxa"/>
          <w:right w:w="0" w:type="dxa"/>
        </w:tblCellMar>
        <w:tblLook w:val="01E0"/>
      </w:tblPr>
      <w:tblGrid>
        <w:gridCol w:w="1890"/>
        <w:gridCol w:w="1607"/>
        <w:gridCol w:w="496"/>
        <w:gridCol w:w="532"/>
        <w:gridCol w:w="944"/>
        <w:gridCol w:w="3982"/>
      </w:tblGrid>
      <w:tr>
        <w:trPr>
          <w:trHeight w:val="1104"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70"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104"/>
              <w:ind w:left="134" w:right="134"/>
              <w:jc w:val="both"/>
              <w:rPr>
                <w:rFonts w:ascii="宋体" w:hAnsi="宋体" w:cs="宋体" w:eastAsia="宋体" w:hint="default"/>
                <w:sz w:val="21"/>
                <w:szCs w:val="21"/>
              </w:rPr>
            </w:pPr>
            <w:r>
              <w:rPr>
                <w:rFonts w:ascii="宋体" w:hAnsi="宋体" w:cs="宋体" w:eastAsia="宋体" w:hint="default"/>
                <w:sz w:val="21"/>
                <w:szCs w:val="21"/>
              </w:rPr>
              <w:t>注 册 地</w:t>
            </w:r>
          </w:p>
        </w:tc>
        <w:tc>
          <w:tcPr>
            <w:tcW w:w="53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52" w:right="0"/>
              <w:jc w:val="both"/>
              <w:rPr>
                <w:rFonts w:ascii="宋体" w:hAnsi="宋体" w:cs="宋体" w:eastAsia="宋体" w:hint="default"/>
                <w:sz w:val="21"/>
                <w:szCs w:val="21"/>
              </w:rPr>
            </w:pPr>
            <w:r>
              <w:rPr>
                <w:rFonts w:ascii="宋体" w:hAnsi="宋体" w:cs="宋体" w:eastAsia="宋体" w:hint="default"/>
                <w:sz w:val="21"/>
                <w:szCs w:val="21"/>
              </w:rPr>
              <w:t>业</w:t>
            </w:r>
          </w:p>
          <w:p>
            <w:pPr>
              <w:pStyle w:val="TableParagraph"/>
              <w:spacing w:line="237" w:lineRule="auto" w:before="1"/>
              <w:ind w:left="152" w:right="152"/>
              <w:jc w:val="both"/>
              <w:rPr>
                <w:rFonts w:ascii="宋体" w:hAnsi="宋体" w:cs="宋体" w:eastAsia="宋体" w:hint="default"/>
                <w:sz w:val="21"/>
                <w:szCs w:val="21"/>
              </w:rPr>
            </w:pPr>
            <w:r>
              <w:rPr>
                <w:rFonts w:ascii="宋体" w:hAnsi="宋体" w:cs="宋体" w:eastAsia="宋体" w:hint="default"/>
                <w:sz w:val="21"/>
                <w:szCs w:val="21"/>
              </w:rPr>
              <w:t>务 性 质</w:t>
            </w: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59" w:right="148"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832"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66"/>
              <w:jc w:val="left"/>
              <w:rPr>
                <w:rFonts w:ascii="宋体" w:hAnsi="宋体" w:cs="宋体" w:eastAsia="宋体" w:hint="default"/>
                <w:sz w:val="21"/>
                <w:szCs w:val="21"/>
              </w:rPr>
            </w:pPr>
            <w:r>
              <w:rPr>
                <w:rFonts w:ascii="宋体" w:hAnsi="宋体" w:cs="宋体" w:eastAsia="宋体" w:hint="default"/>
                <w:spacing w:val="26"/>
                <w:sz w:val="21"/>
                <w:szCs w:val="21"/>
              </w:rPr>
              <w:t>上海金证高</w:t>
            </w:r>
            <w:r>
              <w:rPr>
                <w:rFonts w:ascii="宋体" w:hAnsi="宋体" w:cs="宋体" w:eastAsia="宋体" w:hint="default"/>
                <w:spacing w:val="-70"/>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t>有限公司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上 海</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计算机应用系统及配套设备的技术开发、</w:t>
            </w:r>
          </w:p>
          <w:p>
            <w:pPr>
              <w:pStyle w:val="TableParagraph"/>
              <w:spacing w:line="272" w:lineRule="exact" w:before="26"/>
              <w:ind w:left="100" w:right="-4"/>
              <w:jc w:val="left"/>
              <w:rPr>
                <w:rFonts w:ascii="宋体" w:hAnsi="宋体" w:cs="宋体" w:eastAsia="宋体" w:hint="default"/>
                <w:sz w:val="21"/>
                <w:szCs w:val="21"/>
              </w:rPr>
            </w:pPr>
            <w:r>
              <w:rPr>
                <w:rFonts w:ascii="宋体" w:hAnsi="宋体" w:cs="宋体" w:eastAsia="宋体" w:hint="default"/>
                <w:spacing w:val="-7"/>
                <w:sz w:val="21"/>
                <w:szCs w:val="21"/>
              </w:rPr>
              <w:t>生产、安装、维修、电子产品、通讯器材、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机械设备的零售、批发。</w:t>
            </w:r>
          </w:p>
        </w:tc>
      </w:tr>
      <w:tr>
        <w:trPr>
          <w:trHeight w:val="1105"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6"/>
              <w:jc w:val="left"/>
              <w:rPr>
                <w:rFonts w:ascii="宋体" w:hAnsi="宋体" w:cs="宋体" w:eastAsia="宋体" w:hint="default"/>
                <w:sz w:val="21"/>
                <w:szCs w:val="21"/>
              </w:rPr>
            </w:pPr>
            <w:r>
              <w:rPr>
                <w:rFonts w:ascii="宋体" w:hAnsi="宋体" w:cs="宋体" w:eastAsia="宋体" w:hint="default"/>
                <w:spacing w:val="26"/>
                <w:sz w:val="21"/>
                <w:szCs w:val="21"/>
              </w:rPr>
              <w:t>深圳市金至</w:t>
            </w:r>
            <w:r>
              <w:rPr>
                <w:rFonts w:ascii="宋体" w:hAnsi="宋体" w:cs="宋体" w:eastAsia="宋体" w:hint="default"/>
                <w:spacing w:val="-70"/>
                <w:sz w:val="21"/>
                <w:szCs w:val="21"/>
              </w:rPr>
              <w:t> </w:t>
            </w:r>
            <w:r>
              <w:rPr>
                <w:rFonts w:ascii="宋体" w:hAnsi="宋体" w:cs="宋体" w:eastAsia="宋体" w:hint="default"/>
                <w:spacing w:val="16"/>
                <w:sz w:val="21"/>
                <w:szCs w:val="21"/>
              </w:rPr>
              <w:t>典科</w:t>
            </w:r>
            <w:r>
              <w:rPr>
                <w:rFonts w:ascii="宋体" w:hAnsi="宋体" w:cs="宋体" w:eastAsia="宋体" w:hint="default"/>
                <w:spacing w:val="-72"/>
                <w:sz w:val="21"/>
                <w:szCs w:val="21"/>
              </w:rPr>
              <w:t> </w:t>
            </w:r>
            <w:r>
              <w:rPr>
                <w:rFonts w:ascii="宋体" w:hAnsi="宋体" w:cs="宋体" w:eastAsia="宋体" w:hint="default"/>
                <w:sz w:val="21"/>
                <w:szCs w:val="21"/>
              </w:rPr>
              <w:t>技有限公司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8"/>
              <w:jc w:val="left"/>
              <w:rPr>
                <w:rFonts w:ascii="宋体" w:hAnsi="宋体" w:cs="宋体" w:eastAsia="宋体" w:hint="default"/>
                <w:sz w:val="21"/>
                <w:szCs w:val="21"/>
              </w:rPr>
            </w:pPr>
            <w:r>
              <w:rPr>
                <w:rFonts w:ascii="宋体" w:hAnsi="宋体" w:cs="宋体" w:eastAsia="宋体" w:hint="default"/>
                <w:sz w:val="21"/>
                <w:szCs w:val="21"/>
              </w:rPr>
              <w:t>深 圳</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计算机软、硬件及配套设备的技术开发</w:t>
            </w:r>
            <w:r>
              <w:rPr>
                <w:rFonts w:ascii="宋体" w:hAnsi="宋体" w:cs="宋体" w:eastAsia="宋体" w:hint="default"/>
                <w:sz w:val="21"/>
                <w:szCs w:val="21"/>
              </w:rPr>
            </w:r>
          </w:p>
          <w:p>
            <w:pPr>
              <w:pStyle w:val="TableParagraph"/>
              <w:spacing w:line="272" w:lineRule="exact" w:before="26"/>
              <w:ind w:left="100" w:right="94"/>
              <w:jc w:val="both"/>
              <w:rPr>
                <w:rFonts w:ascii="宋体" w:hAnsi="宋体" w:cs="宋体" w:eastAsia="宋体" w:hint="default"/>
                <w:sz w:val="21"/>
                <w:szCs w:val="21"/>
              </w:rPr>
            </w:pPr>
            <w:r>
              <w:rPr>
                <w:rFonts w:ascii="宋体" w:hAnsi="宋体" w:cs="宋体" w:eastAsia="宋体" w:hint="default"/>
                <w:spacing w:val="-2"/>
                <w:sz w:val="21"/>
                <w:szCs w:val="21"/>
              </w:rPr>
              <w:t>（不含限制项目）；电子产品、机械设备</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
                <w:sz w:val="21"/>
                <w:szCs w:val="21"/>
              </w:rPr>
              <w:t>的购销及国内商业、物资供销业（不含专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营、专控、专卖商品）。</w:t>
            </w:r>
          </w:p>
        </w:tc>
      </w:tr>
      <w:tr>
        <w:trPr>
          <w:trHeight w:val="1104"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6"/>
              <w:jc w:val="left"/>
              <w:rPr>
                <w:rFonts w:ascii="宋体" w:hAnsi="宋体" w:cs="宋体" w:eastAsia="宋体" w:hint="default"/>
                <w:sz w:val="21"/>
                <w:szCs w:val="21"/>
              </w:rPr>
            </w:pPr>
            <w:r>
              <w:rPr>
                <w:rFonts w:ascii="宋体" w:hAnsi="宋体" w:cs="宋体" w:eastAsia="宋体" w:hint="default"/>
                <w:spacing w:val="26"/>
                <w:sz w:val="21"/>
                <w:szCs w:val="21"/>
              </w:rPr>
              <w:t>北京北方金</w:t>
            </w:r>
            <w:r>
              <w:rPr>
                <w:rFonts w:ascii="宋体" w:hAnsi="宋体" w:cs="宋体" w:eastAsia="宋体" w:hint="default"/>
                <w:spacing w:val="-70"/>
                <w:sz w:val="21"/>
                <w:szCs w:val="21"/>
              </w:rPr>
              <w:t> </w:t>
            </w:r>
            <w:r>
              <w:rPr>
                <w:rFonts w:ascii="宋体" w:hAnsi="宋体" w:cs="宋体" w:eastAsia="宋体" w:hint="default"/>
                <w:spacing w:val="16"/>
                <w:sz w:val="21"/>
                <w:szCs w:val="21"/>
              </w:rPr>
              <w:t>证科</w:t>
            </w:r>
            <w:r>
              <w:rPr>
                <w:rFonts w:ascii="宋体" w:hAnsi="宋体" w:cs="宋体" w:eastAsia="宋体" w:hint="default"/>
                <w:spacing w:val="-72"/>
                <w:sz w:val="21"/>
                <w:szCs w:val="21"/>
              </w:rPr>
              <w:t> </w:t>
            </w:r>
            <w:r>
              <w:rPr>
                <w:rFonts w:ascii="宋体" w:hAnsi="宋体" w:cs="宋体" w:eastAsia="宋体" w:hint="default"/>
                <w:sz w:val="21"/>
                <w:szCs w:val="21"/>
              </w:rPr>
              <w:t>技有限公司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8"/>
              <w:jc w:val="left"/>
              <w:rPr>
                <w:rFonts w:ascii="宋体" w:hAnsi="宋体" w:cs="宋体" w:eastAsia="宋体" w:hint="default"/>
                <w:sz w:val="21"/>
                <w:szCs w:val="21"/>
              </w:rPr>
            </w:pPr>
            <w:r>
              <w:rPr>
                <w:rFonts w:ascii="宋体" w:hAnsi="宋体" w:cs="宋体" w:eastAsia="宋体" w:hint="default"/>
                <w:sz w:val="21"/>
                <w:szCs w:val="21"/>
              </w:rPr>
              <w:t>北 京</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技术开发、服务、转让、咨询、培训；销</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1"/>
                <w:sz w:val="21"/>
                <w:szCs w:val="21"/>
              </w:rPr>
              <w:t>售开发后的产品、计算机及外围设备、电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讯设备、机械电器设备、办公设备；承接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计算机网络工程。</w:t>
            </w:r>
          </w:p>
        </w:tc>
      </w:tr>
      <w:tr>
        <w:trPr>
          <w:trHeight w:val="1104"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6"/>
              <w:jc w:val="left"/>
              <w:rPr>
                <w:rFonts w:ascii="宋体" w:hAnsi="宋体" w:cs="宋体" w:eastAsia="宋体" w:hint="default"/>
                <w:sz w:val="21"/>
                <w:szCs w:val="21"/>
              </w:rPr>
            </w:pPr>
            <w:r>
              <w:rPr>
                <w:rFonts w:ascii="宋体" w:hAnsi="宋体" w:cs="宋体" w:eastAsia="宋体" w:hint="default"/>
                <w:spacing w:val="26"/>
                <w:sz w:val="21"/>
                <w:szCs w:val="21"/>
              </w:rPr>
              <w:t>成都市金证</w:t>
            </w:r>
            <w:r>
              <w:rPr>
                <w:rFonts w:ascii="宋体" w:hAnsi="宋体" w:cs="宋体" w:eastAsia="宋体" w:hint="default"/>
                <w:spacing w:val="-70"/>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t>有限责任公司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8"/>
              <w:jc w:val="left"/>
              <w:rPr>
                <w:rFonts w:ascii="宋体" w:hAnsi="宋体" w:cs="宋体" w:eastAsia="宋体" w:hint="default"/>
                <w:sz w:val="21"/>
                <w:szCs w:val="21"/>
              </w:rPr>
            </w:pPr>
            <w:r>
              <w:rPr>
                <w:rFonts w:ascii="宋体" w:hAnsi="宋体" w:cs="宋体" w:eastAsia="宋体" w:hint="default"/>
                <w:sz w:val="21"/>
                <w:szCs w:val="21"/>
              </w:rPr>
              <w:t>成 都</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计算机应用系统及配套设备的技术开发、</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pacing w:val="-1"/>
                <w:sz w:val="21"/>
                <w:szCs w:val="21"/>
              </w:rPr>
              <w:t>生产、安装、维修、销售，电子产品、通</w:t>
            </w:r>
            <w:r>
              <w:rPr>
                <w:rFonts w:ascii="宋体" w:hAnsi="宋体" w:cs="宋体" w:eastAsia="宋体" w:hint="default"/>
                <w:sz w:val="21"/>
                <w:szCs w:val="21"/>
              </w:rPr>
              <w:t> </w:t>
            </w:r>
            <w:r>
              <w:rPr>
                <w:rFonts w:ascii="宋体" w:hAnsi="宋体" w:cs="宋体" w:eastAsia="宋体" w:hint="default"/>
                <w:spacing w:val="-1"/>
                <w:sz w:val="21"/>
                <w:szCs w:val="21"/>
              </w:rPr>
              <w:t>讯器材、机械设备的销售（不含国家专项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7"/>
                <w:sz w:val="21"/>
                <w:szCs w:val="21"/>
              </w:rPr>
              <w:t>产品）。</w:t>
            </w:r>
          </w:p>
        </w:tc>
      </w:tr>
      <w:tr>
        <w:trPr>
          <w:trHeight w:val="1105"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6"/>
              <w:jc w:val="left"/>
              <w:rPr>
                <w:rFonts w:ascii="宋体" w:hAnsi="宋体" w:cs="宋体" w:eastAsia="宋体" w:hint="default"/>
                <w:sz w:val="21"/>
                <w:szCs w:val="21"/>
              </w:rPr>
            </w:pPr>
            <w:r>
              <w:rPr>
                <w:rFonts w:ascii="宋体" w:hAnsi="宋体" w:cs="宋体" w:eastAsia="宋体" w:hint="default"/>
                <w:spacing w:val="26"/>
                <w:sz w:val="21"/>
                <w:szCs w:val="21"/>
              </w:rPr>
              <w:t>沈阳市金证</w:t>
            </w:r>
            <w:r>
              <w:rPr>
                <w:rFonts w:ascii="宋体" w:hAnsi="宋体" w:cs="宋体" w:eastAsia="宋体" w:hint="default"/>
                <w:spacing w:val="-70"/>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t>有限公司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8"/>
              <w:jc w:val="left"/>
              <w:rPr>
                <w:rFonts w:ascii="宋体" w:hAnsi="宋体" w:cs="宋体" w:eastAsia="宋体" w:hint="default"/>
                <w:sz w:val="21"/>
                <w:szCs w:val="21"/>
              </w:rPr>
            </w:pPr>
            <w:r>
              <w:rPr>
                <w:rFonts w:ascii="宋体" w:hAnsi="宋体" w:cs="宋体" w:eastAsia="宋体" w:hint="default"/>
                <w:sz w:val="21"/>
                <w:szCs w:val="21"/>
              </w:rPr>
              <w:t>沈 阳</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计算机系统集成；计算机应用系统及配套</w:t>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1"/>
                <w:sz w:val="21"/>
                <w:szCs w:val="21"/>
              </w:rPr>
              <w:t>设备的开发、维护、生产、销售；电子产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品、通讯器材（不含无线设备）、机械设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备销售；综合布线。</w:t>
            </w:r>
          </w:p>
        </w:tc>
      </w:tr>
      <w:tr>
        <w:trPr>
          <w:trHeight w:val="832"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66"/>
              <w:jc w:val="left"/>
              <w:rPr>
                <w:rFonts w:ascii="宋体" w:hAnsi="宋体" w:cs="宋体" w:eastAsia="宋体" w:hint="default"/>
                <w:sz w:val="21"/>
                <w:szCs w:val="21"/>
              </w:rPr>
            </w:pPr>
            <w:r>
              <w:rPr>
                <w:rFonts w:ascii="宋体" w:hAnsi="宋体" w:cs="宋体" w:eastAsia="宋体" w:hint="default"/>
                <w:spacing w:val="26"/>
                <w:sz w:val="21"/>
                <w:szCs w:val="21"/>
              </w:rPr>
              <w:t>广州市金证</w:t>
            </w:r>
            <w:r>
              <w:rPr>
                <w:rFonts w:ascii="宋体" w:hAnsi="宋体" w:cs="宋体" w:eastAsia="宋体" w:hint="default"/>
                <w:spacing w:val="-70"/>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t>有限公司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68"/>
              <w:jc w:val="left"/>
              <w:rPr>
                <w:rFonts w:ascii="宋体" w:hAnsi="宋体" w:cs="宋体" w:eastAsia="宋体" w:hint="default"/>
                <w:sz w:val="21"/>
                <w:szCs w:val="21"/>
              </w:rPr>
            </w:pPr>
            <w:r>
              <w:rPr>
                <w:rFonts w:ascii="宋体" w:hAnsi="宋体" w:cs="宋体" w:eastAsia="宋体" w:hint="default"/>
                <w:sz w:val="21"/>
                <w:szCs w:val="21"/>
              </w:rPr>
              <w:t>广 州</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计算机应用系统及配套设备的技术开发。</w:t>
            </w:r>
          </w:p>
          <w:p>
            <w:pPr>
              <w:pStyle w:val="TableParagraph"/>
              <w:spacing w:line="272" w:lineRule="exact" w:before="26"/>
              <w:ind w:left="100" w:right="86"/>
              <w:jc w:val="left"/>
              <w:rPr>
                <w:rFonts w:ascii="宋体" w:hAnsi="宋体" w:cs="宋体" w:eastAsia="宋体" w:hint="default"/>
                <w:sz w:val="21"/>
                <w:szCs w:val="21"/>
              </w:rPr>
            </w:pPr>
            <w:r>
              <w:rPr>
                <w:rFonts w:ascii="宋体" w:hAnsi="宋体" w:cs="宋体" w:eastAsia="宋体" w:hint="default"/>
                <w:spacing w:val="12"/>
                <w:sz w:val="21"/>
                <w:szCs w:val="21"/>
              </w:rPr>
              <w:t>批发和零售贸易（国家专营专控商品除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5"/>
                <w:sz w:val="21"/>
                <w:szCs w:val="21"/>
              </w:rPr>
              <w:t>外）。</w:t>
            </w:r>
          </w:p>
        </w:tc>
      </w:tr>
      <w:tr>
        <w:trPr>
          <w:trHeight w:val="1376"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66"/>
              <w:jc w:val="left"/>
              <w:rPr>
                <w:rFonts w:ascii="宋体" w:hAnsi="宋体" w:cs="宋体" w:eastAsia="宋体" w:hint="default"/>
                <w:sz w:val="21"/>
                <w:szCs w:val="21"/>
              </w:rPr>
            </w:pPr>
            <w:r>
              <w:rPr>
                <w:rFonts w:ascii="宋体" w:hAnsi="宋体" w:cs="宋体" w:eastAsia="宋体" w:hint="default"/>
                <w:spacing w:val="26"/>
                <w:sz w:val="21"/>
                <w:szCs w:val="21"/>
              </w:rPr>
              <w:t>郑州市金证</w:t>
            </w:r>
            <w:r>
              <w:rPr>
                <w:rFonts w:ascii="宋体" w:hAnsi="宋体" w:cs="宋体" w:eastAsia="宋体" w:hint="default"/>
                <w:spacing w:val="-70"/>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t>有限公司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68"/>
              <w:jc w:val="left"/>
              <w:rPr>
                <w:rFonts w:ascii="宋体" w:hAnsi="宋体" w:cs="宋体" w:eastAsia="宋体" w:hint="default"/>
                <w:sz w:val="21"/>
                <w:szCs w:val="21"/>
              </w:rPr>
            </w:pPr>
            <w:r>
              <w:rPr>
                <w:rFonts w:ascii="宋体" w:hAnsi="宋体" w:cs="宋体" w:eastAsia="宋体" w:hint="default"/>
                <w:sz w:val="21"/>
                <w:szCs w:val="21"/>
              </w:rPr>
              <w:t>郑 州</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计算机应用系统及配套设备的技术开发、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
                <w:sz w:val="21"/>
                <w:szCs w:val="21"/>
              </w:rPr>
              <w:t>生产、销售、电子产品；通讯器材、机械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设备的购销及国内商业、物资供销业及计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算机应用系统配套设备的安装、调试和维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护。</w:t>
            </w:r>
          </w:p>
        </w:tc>
      </w:tr>
      <w:tr>
        <w:trPr>
          <w:trHeight w:val="164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66"/>
              <w:jc w:val="both"/>
              <w:rPr>
                <w:rFonts w:ascii="宋体" w:hAnsi="宋体" w:cs="宋体" w:eastAsia="宋体" w:hint="default"/>
                <w:sz w:val="21"/>
                <w:szCs w:val="21"/>
              </w:rPr>
            </w:pPr>
            <w:r>
              <w:rPr>
                <w:rFonts w:ascii="宋体" w:hAnsi="宋体" w:cs="宋体" w:eastAsia="宋体" w:hint="default"/>
                <w:spacing w:val="26"/>
                <w:sz w:val="21"/>
                <w:szCs w:val="21"/>
              </w:rPr>
              <w:t>深圳市金慧</w:t>
            </w:r>
            <w:r>
              <w:rPr>
                <w:rFonts w:ascii="宋体" w:hAnsi="宋体" w:cs="宋体" w:eastAsia="宋体" w:hint="default"/>
                <w:spacing w:val="-70"/>
                <w:sz w:val="21"/>
                <w:szCs w:val="21"/>
              </w:rPr>
              <w:t> </w:t>
            </w:r>
            <w:r>
              <w:rPr>
                <w:rFonts w:ascii="宋体" w:hAnsi="宋体" w:cs="宋体" w:eastAsia="宋体" w:hint="default"/>
                <w:spacing w:val="16"/>
                <w:sz w:val="21"/>
                <w:szCs w:val="21"/>
              </w:rPr>
              <w:t>盈通</w:t>
            </w:r>
            <w:r>
              <w:rPr>
                <w:rFonts w:ascii="宋体" w:hAnsi="宋体" w:cs="宋体" w:eastAsia="宋体" w:hint="default"/>
                <w:spacing w:val="-72"/>
                <w:sz w:val="21"/>
                <w:szCs w:val="21"/>
              </w:rPr>
              <w:t> </w:t>
            </w:r>
            <w:r>
              <w:rPr>
                <w:rFonts w:ascii="宋体" w:hAnsi="宋体" w:cs="宋体" w:eastAsia="宋体" w:hint="default"/>
                <w:spacing w:val="26"/>
                <w:sz w:val="21"/>
                <w:szCs w:val="21"/>
              </w:rPr>
              <w:t>数据服务有</w:t>
            </w:r>
            <w:r>
              <w:rPr>
                <w:rFonts w:ascii="宋体" w:hAnsi="宋体" w:cs="宋体" w:eastAsia="宋体" w:hint="default"/>
                <w:spacing w:val="-70"/>
                <w:sz w:val="21"/>
                <w:szCs w:val="21"/>
              </w:rPr>
              <w:t> </w:t>
            </w:r>
            <w:r>
              <w:rPr>
                <w:rFonts w:ascii="宋体" w:hAnsi="宋体" w:cs="宋体" w:eastAsia="宋体" w:hint="default"/>
                <w:spacing w:val="16"/>
                <w:sz w:val="21"/>
                <w:szCs w:val="21"/>
              </w:rPr>
              <w:t>限公</w:t>
            </w:r>
            <w:r>
              <w:rPr>
                <w:rFonts w:ascii="宋体" w:hAnsi="宋体" w:cs="宋体" w:eastAsia="宋体" w:hint="default"/>
                <w:spacing w:val="-72"/>
                <w:sz w:val="21"/>
                <w:szCs w:val="21"/>
              </w:rPr>
              <w:t> </w:t>
            </w:r>
            <w:r>
              <w:rPr>
                <w:rFonts w:ascii="宋体" w:hAnsi="宋体" w:cs="宋体" w:eastAsia="宋体" w:hint="default"/>
                <w:sz w:val="21"/>
                <w:szCs w:val="21"/>
              </w:rPr>
              <w:t>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68"/>
              <w:jc w:val="left"/>
              <w:rPr>
                <w:rFonts w:ascii="宋体" w:hAnsi="宋体" w:cs="宋体" w:eastAsia="宋体" w:hint="default"/>
                <w:sz w:val="21"/>
                <w:szCs w:val="21"/>
              </w:rPr>
            </w:pPr>
            <w:r>
              <w:rPr>
                <w:rFonts w:ascii="宋体" w:hAnsi="宋体" w:cs="宋体" w:eastAsia="宋体" w:hint="default"/>
                <w:sz w:val="21"/>
                <w:szCs w:val="21"/>
              </w:rPr>
              <w:t>深 圳</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1,100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计算机应用系统及配套设备的技术咨询、</w:t>
            </w:r>
          </w:p>
          <w:p>
            <w:pPr>
              <w:pStyle w:val="TableParagraph"/>
              <w:spacing w:line="272" w:lineRule="exact" w:before="26"/>
              <w:ind w:left="100" w:right="84"/>
              <w:jc w:val="both"/>
              <w:rPr>
                <w:rFonts w:ascii="宋体" w:hAnsi="宋体" w:cs="宋体" w:eastAsia="宋体" w:hint="default"/>
                <w:sz w:val="21"/>
                <w:szCs w:val="21"/>
              </w:rPr>
            </w:pPr>
            <w:r>
              <w:rPr>
                <w:rFonts w:ascii="宋体" w:hAnsi="宋体" w:cs="宋体" w:eastAsia="宋体" w:hint="default"/>
                <w:sz w:val="21"/>
                <w:szCs w:val="21"/>
              </w:rPr>
              <w:t>技术开发、销售、运行、维护管理服务； 电子产品、通讯器材、机械设备的购销及 国内商业、物资供销业；计算机应用系统 数据备份、数据恢复、数据系统运行维护 管理服务。</w:t>
            </w:r>
          </w:p>
        </w:tc>
      </w:tr>
      <w:tr>
        <w:trPr>
          <w:trHeight w:val="288"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2" w:right="0"/>
              <w:jc w:val="center"/>
              <w:rPr>
                <w:rFonts w:ascii="宋体" w:hAnsi="宋体" w:cs="宋体" w:eastAsia="宋体" w:hint="default"/>
                <w:sz w:val="21"/>
                <w:szCs w:val="21"/>
              </w:rPr>
            </w:pPr>
            <w:r>
              <w:rPr>
                <w:rFonts w:ascii="宋体" w:hAnsi="宋体" w:cs="宋体" w:eastAsia="宋体" w:hint="default"/>
                <w:spacing w:val="26"/>
                <w:sz w:val="21"/>
                <w:szCs w:val="21"/>
              </w:rPr>
              <w:t>深圳市齐普</w:t>
            </w:r>
            <w:r>
              <w:rPr>
                <w:rFonts w:ascii="宋体" w:hAnsi="宋体" w:cs="宋体" w:eastAsia="宋体" w:hint="default"/>
                <w:spacing w:val="-69"/>
                <w:sz w:val="21"/>
                <w:szCs w:val="21"/>
              </w:rPr>
              <w:t> </w:t>
            </w:r>
            <w:r>
              <w:rPr>
                <w:rFonts w:ascii="宋体" w:hAnsi="宋体" w:cs="宋体" w:eastAsia="宋体" w:hint="default"/>
                <w:spacing w:val="16"/>
                <w:sz w:val="21"/>
                <w:szCs w:val="21"/>
              </w:rPr>
              <w:t>生信</w:t>
            </w:r>
            <w:r>
              <w:rPr>
                <w:rFonts w:ascii="宋体" w:hAnsi="宋体" w:cs="宋体" w:eastAsia="宋体" w:hint="default"/>
                <w:spacing w:val="-72"/>
                <w:sz w:val="21"/>
                <w:szCs w:val="21"/>
              </w:rPr>
              <w:t> </w:t>
            </w:r>
            <w:r>
              <w:rPr>
                <w:rFonts w:ascii="宋体" w:hAnsi="宋体" w:cs="宋体" w:eastAsia="宋体" w:hint="default"/>
                <w:sz w:val="21"/>
                <w:szCs w:val="21"/>
              </w:rPr>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pacing w:val="12"/>
                <w:sz w:val="21"/>
                <w:szCs w:val="21"/>
              </w:rPr>
              <w:t>计算机软硬件产品及其配套设备的技术</w:t>
            </w:r>
            <w:r>
              <w:rPr>
                <w:rFonts w:ascii="宋体" w:hAnsi="宋体" w:cs="宋体" w:eastAsia="宋体" w:hint="default"/>
                <w:sz w:val="21"/>
                <w:szCs w:val="21"/>
              </w:rPr>
            </w:r>
          </w:p>
        </w:tc>
      </w:tr>
    </w:tbl>
    <w:p>
      <w:pPr>
        <w:spacing w:after="0" w:line="241" w:lineRule="exact"/>
        <w:jc w:val="center"/>
        <w:rPr>
          <w:rFonts w:ascii="宋体" w:hAnsi="宋体" w:cs="宋体" w:eastAsia="宋体" w:hint="default"/>
          <w:sz w:val="21"/>
          <w:szCs w:val="21"/>
        </w:rPr>
        <w:sectPr>
          <w:pgSz w:w="12240" w:h="15840"/>
          <w:pgMar w:header="747" w:footer="727" w:top="1040" w:bottom="920" w:left="1380" w:right="114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1890"/>
        <w:gridCol w:w="1607"/>
        <w:gridCol w:w="496"/>
        <w:gridCol w:w="532"/>
        <w:gridCol w:w="944"/>
        <w:gridCol w:w="3982"/>
      </w:tblGrid>
      <w:tr>
        <w:trPr>
          <w:trHeight w:val="1104"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息科技有限公司</w:t>
            </w:r>
          </w:p>
        </w:tc>
        <w:tc>
          <w:tcPr>
            <w:tcW w:w="1607" w:type="dxa"/>
            <w:tcBorders>
              <w:top w:val="single" w:sz="6" w:space="0" w:color="101010"/>
              <w:left w:val="single" w:sz="6" w:space="0" w:color="101010"/>
              <w:bottom w:val="single" w:sz="6" w:space="0" w:color="101010"/>
              <w:right w:val="single" w:sz="6" w:space="0" w:color="101010"/>
            </w:tcBorders>
          </w:tcPr>
          <w:p>
            <w:pP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圳</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开发、销售、维修；信息咨询；楼宇智能</w:t>
            </w:r>
          </w:p>
          <w:p>
            <w:pPr>
              <w:pStyle w:val="TableParagraph"/>
              <w:spacing w:line="272" w:lineRule="exact" w:before="26"/>
              <w:ind w:left="100" w:right="86"/>
              <w:jc w:val="both"/>
              <w:rPr>
                <w:rFonts w:ascii="宋体" w:hAnsi="宋体" w:cs="宋体" w:eastAsia="宋体" w:hint="default"/>
                <w:sz w:val="21"/>
                <w:szCs w:val="21"/>
              </w:rPr>
            </w:pPr>
            <w:r>
              <w:rPr>
                <w:rFonts w:ascii="宋体" w:hAnsi="宋体" w:cs="宋体" w:eastAsia="宋体" w:hint="default"/>
                <w:sz w:val="21"/>
                <w:szCs w:val="21"/>
              </w:rPr>
              <w:t>化产品的技术开发及销售；电子产品、通 </w:t>
            </w:r>
            <w:r>
              <w:rPr>
                <w:rFonts w:ascii="宋体" w:hAnsi="宋体" w:cs="宋体" w:eastAsia="宋体" w:hint="default"/>
                <w:spacing w:val="12"/>
                <w:sz w:val="21"/>
                <w:szCs w:val="21"/>
              </w:rPr>
              <w:t>讯器材、机械设备的购销及其它国内商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业、物资供销业。</w:t>
            </w:r>
          </w:p>
        </w:tc>
      </w:tr>
      <w:tr>
        <w:trPr>
          <w:trHeight w:val="1105"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6"/>
              <w:jc w:val="left"/>
              <w:rPr>
                <w:rFonts w:ascii="宋体" w:hAnsi="宋体" w:cs="宋体" w:eastAsia="宋体" w:hint="default"/>
                <w:sz w:val="21"/>
                <w:szCs w:val="21"/>
              </w:rPr>
            </w:pPr>
            <w:r>
              <w:rPr>
                <w:rFonts w:ascii="宋体" w:hAnsi="宋体" w:cs="宋体" w:eastAsia="宋体" w:hint="default"/>
                <w:spacing w:val="26"/>
                <w:sz w:val="21"/>
                <w:szCs w:val="21"/>
              </w:rPr>
              <w:t>深圳市金证</w:t>
            </w:r>
            <w:r>
              <w:rPr>
                <w:rFonts w:ascii="宋体" w:hAnsi="宋体" w:cs="宋体" w:eastAsia="宋体" w:hint="default"/>
                <w:spacing w:val="-70"/>
                <w:sz w:val="21"/>
                <w:szCs w:val="21"/>
              </w:rPr>
              <w:t> </w:t>
            </w:r>
            <w:r>
              <w:rPr>
                <w:rFonts w:ascii="宋体" w:hAnsi="宋体" w:cs="宋体" w:eastAsia="宋体" w:hint="default"/>
                <w:spacing w:val="16"/>
                <w:sz w:val="21"/>
                <w:szCs w:val="21"/>
              </w:rPr>
              <w:t>卡尔</w:t>
            </w:r>
            <w:r>
              <w:rPr>
                <w:rFonts w:ascii="宋体" w:hAnsi="宋体" w:cs="宋体" w:eastAsia="宋体" w:hint="default"/>
                <w:spacing w:val="-72"/>
                <w:sz w:val="21"/>
                <w:szCs w:val="21"/>
              </w:rPr>
              <w:t> </w:t>
            </w:r>
            <w:r>
              <w:rPr>
                <w:rFonts w:ascii="宋体" w:hAnsi="宋体" w:cs="宋体" w:eastAsia="宋体" w:hint="default"/>
                <w:sz w:val="21"/>
                <w:szCs w:val="21"/>
              </w:rPr>
              <w:t>电子有限公司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8"/>
              <w:jc w:val="left"/>
              <w:rPr>
                <w:rFonts w:ascii="宋体" w:hAnsi="宋体" w:cs="宋体" w:eastAsia="宋体" w:hint="default"/>
                <w:sz w:val="21"/>
                <w:szCs w:val="21"/>
              </w:rPr>
            </w:pPr>
            <w:r>
              <w:rPr>
                <w:rFonts w:ascii="宋体" w:hAnsi="宋体" w:cs="宋体" w:eastAsia="宋体" w:hint="default"/>
                <w:sz w:val="21"/>
                <w:szCs w:val="21"/>
              </w:rPr>
              <w:t>深 圳</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1,000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计算机软硬件产品、汽车电子产品及配套</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7"/>
                <w:sz w:val="21"/>
                <w:szCs w:val="21"/>
              </w:rPr>
              <w:t>设备的技术开发、生产、销售；电子产品、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通讯器材、机械设备的购销（不含专营、 </w:t>
            </w:r>
            <w:r>
              <w:rPr>
                <w:rFonts w:ascii="宋体" w:hAnsi="宋体" w:cs="宋体" w:eastAsia="宋体" w:hint="default"/>
                <w:spacing w:val="-8"/>
                <w:sz w:val="21"/>
                <w:szCs w:val="21"/>
              </w:rPr>
              <w:t>专控、专卖商品及限制项目）。</w:t>
            </w:r>
          </w:p>
        </w:tc>
      </w:tr>
      <w:tr>
        <w:trPr>
          <w:trHeight w:val="1104"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6"/>
              <w:jc w:val="left"/>
              <w:rPr>
                <w:rFonts w:ascii="宋体" w:hAnsi="宋体" w:cs="宋体" w:eastAsia="宋体" w:hint="default"/>
                <w:sz w:val="21"/>
                <w:szCs w:val="21"/>
              </w:rPr>
            </w:pPr>
            <w:r>
              <w:rPr>
                <w:rFonts w:ascii="宋体" w:hAnsi="宋体" w:cs="宋体" w:eastAsia="宋体" w:hint="default"/>
                <w:spacing w:val="26"/>
                <w:sz w:val="21"/>
                <w:szCs w:val="21"/>
              </w:rPr>
              <w:t>深圳市金证</w:t>
            </w:r>
            <w:r>
              <w:rPr>
                <w:rFonts w:ascii="宋体" w:hAnsi="宋体" w:cs="宋体" w:eastAsia="宋体" w:hint="default"/>
                <w:spacing w:val="-70"/>
                <w:sz w:val="21"/>
                <w:szCs w:val="21"/>
              </w:rPr>
              <w:t> </w:t>
            </w:r>
            <w:r>
              <w:rPr>
                <w:rFonts w:ascii="宋体" w:hAnsi="宋体" w:cs="宋体" w:eastAsia="宋体" w:hint="default"/>
                <w:spacing w:val="16"/>
                <w:sz w:val="21"/>
                <w:szCs w:val="21"/>
              </w:rPr>
              <w:t>软银</w:t>
            </w:r>
            <w:r>
              <w:rPr>
                <w:rFonts w:ascii="宋体" w:hAnsi="宋体" w:cs="宋体" w:eastAsia="宋体" w:hint="default"/>
                <w:spacing w:val="-72"/>
                <w:sz w:val="21"/>
                <w:szCs w:val="21"/>
              </w:rPr>
              <w:t> </w:t>
            </w:r>
            <w:r>
              <w:rPr>
                <w:rFonts w:ascii="宋体" w:hAnsi="宋体" w:cs="宋体" w:eastAsia="宋体" w:hint="default"/>
                <w:sz w:val="21"/>
                <w:szCs w:val="21"/>
              </w:rPr>
              <w:t>科技有限公司</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8"/>
              <w:jc w:val="left"/>
              <w:rPr>
                <w:rFonts w:ascii="宋体" w:hAnsi="宋体" w:cs="宋体" w:eastAsia="宋体" w:hint="default"/>
                <w:sz w:val="21"/>
                <w:szCs w:val="21"/>
              </w:rPr>
            </w:pPr>
            <w:r>
              <w:rPr>
                <w:rFonts w:ascii="宋体" w:hAnsi="宋体" w:cs="宋体" w:eastAsia="宋体" w:hint="default"/>
                <w:sz w:val="21"/>
                <w:szCs w:val="21"/>
              </w:rPr>
              <w:t>深 圳</w:t>
            </w:r>
          </w:p>
        </w:tc>
        <w:tc>
          <w:tcPr>
            <w:tcW w:w="532" w:type="dxa"/>
            <w:tcBorders>
              <w:top w:val="single" w:sz="6" w:space="0" w:color="101010"/>
              <w:left w:val="single" w:sz="6" w:space="0" w:color="101010"/>
              <w:bottom w:val="single" w:sz="6" w:space="0" w:color="101010"/>
              <w:right w:val="single" w:sz="6" w:space="0" w:color="101010"/>
            </w:tcBorders>
          </w:tcPr>
          <w:p>
            <w:pPr/>
          </w:p>
        </w:tc>
        <w:tc>
          <w:tcPr>
            <w:tcW w:w="9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39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计算机应用系统及配套设备的技术开发、</w:t>
            </w:r>
          </w:p>
          <w:p>
            <w:pPr>
              <w:pStyle w:val="TableParagraph"/>
              <w:spacing w:line="237" w:lineRule="auto" w:before="1"/>
              <w:ind w:left="100" w:right="84"/>
              <w:jc w:val="both"/>
              <w:rPr>
                <w:rFonts w:ascii="宋体" w:hAnsi="宋体" w:cs="宋体" w:eastAsia="宋体" w:hint="default"/>
                <w:sz w:val="21"/>
                <w:szCs w:val="21"/>
              </w:rPr>
            </w:pPr>
            <w:r>
              <w:rPr>
                <w:rFonts w:ascii="宋体" w:hAnsi="宋体" w:cs="宋体" w:eastAsia="宋体" w:hint="default"/>
                <w:sz w:val="21"/>
                <w:szCs w:val="21"/>
              </w:rPr>
              <w:t>销售，电子产品、通讯器材、机械设备的 购销及其他国内商业、物资供销业（以上 不含专营、专控、专卖商品及限制项目）</w:t>
            </w:r>
          </w:p>
        </w:tc>
      </w:tr>
    </w:tbl>
    <w:p>
      <w:pPr>
        <w:spacing w:line="240" w:lineRule="auto" w:before="7"/>
        <w:rPr>
          <w:rFonts w:ascii="宋体" w:hAnsi="宋体" w:cs="宋体" w:eastAsia="宋体" w:hint="default"/>
          <w:sz w:val="18"/>
          <w:szCs w:val="18"/>
        </w:rPr>
      </w:pPr>
    </w:p>
    <w:tbl>
      <w:tblPr>
        <w:tblW w:w="0" w:type="auto"/>
        <w:jc w:val="left"/>
        <w:tblInd w:w="129" w:type="dxa"/>
        <w:tblLayout w:type="fixed"/>
        <w:tblCellMar>
          <w:top w:w="0" w:type="dxa"/>
          <w:left w:w="0" w:type="dxa"/>
          <w:bottom w:w="0" w:type="dxa"/>
          <w:right w:w="0" w:type="dxa"/>
        </w:tblCellMar>
        <w:tblLook w:val="01E0"/>
      </w:tblPr>
      <w:tblGrid>
        <w:gridCol w:w="1890"/>
        <w:gridCol w:w="1188"/>
        <w:gridCol w:w="3258"/>
        <w:gridCol w:w="1030"/>
        <w:gridCol w:w="1135"/>
        <w:gridCol w:w="949"/>
      </w:tblGrid>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12"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期末实际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投资额</w:t>
            </w:r>
          </w:p>
        </w:tc>
        <w:tc>
          <w:tcPr>
            <w:tcW w:w="325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实质上构成对子公司的净投资的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余额（资不抵债子公司适用）</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244"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2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是否合</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并报表</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上海金证</w:t>
            </w:r>
            <w:r>
              <w:rPr>
                <w:rFonts w:ascii="宋体" w:hAnsi="宋体" w:cs="宋体" w:eastAsia="宋体" w:hint="default"/>
                <w:spacing w:val="-69"/>
                <w:sz w:val="21"/>
                <w:szCs w:val="21"/>
              </w:rPr>
              <w:t> </w:t>
            </w: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298.5</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99.50</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99.50</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深圳市金</w:t>
            </w:r>
            <w:r>
              <w:rPr>
                <w:rFonts w:ascii="宋体" w:hAnsi="宋体" w:cs="宋体" w:eastAsia="宋体" w:hint="default"/>
                <w:spacing w:val="-69"/>
                <w:sz w:val="21"/>
                <w:szCs w:val="21"/>
              </w:rPr>
              <w:t> </w:t>
            </w:r>
            <w:r>
              <w:rPr>
                <w:rFonts w:ascii="宋体" w:hAnsi="宋体" w:cs="宋体" w:eastAsia="宋体" w:hint="default"/>
                <w:sz w:val="21"/>
                <w:szCs w:val="21"/>
              </w:rPr>
              <w:t>至</w:t>
            </w:r>
            <w:r>
              <w:rPr>
                <w:rFonts w:ascii="宋体" w:hAnsi="宋体" w:cs="宋体" w:eastAsia="宋体" w:hint="default"/>
                <w:spacing w:val="-69"/>
                <w:sz w:val="21"/>
                <w:szCs w:val="21"/>
              </w:rPr>
              <w:t> </w:t>
            </w:r>
            <w:r>
              <w:rPr>
                <w:rFonts w:ascii="宋体" w:hAnsi="宋体" w:cs="宋体" w:eastAsia="宋体" w:hint="default"/>
                <w:spacing w:val="16"/>
                <w:sz w:val="21"/>
                <w:szCs w:val="21"/>
              </w:rPr>
              <w:t>典科</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z w:val="21"/>
              </w:rPr>
              <w:t>80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80</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80</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北京北方</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pacing w:val="16"/>
                <w:sz w:val="21"/>
                <w:szCs w:val="21"/>
              </w:rPr>
              <w:t>证科</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240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80</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80</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成都市金</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270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90</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90</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沈阳市金</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270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90</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90</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广州市金</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270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90</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90</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郑州市金</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pacing w:val="16"/>
                <w:sz w:val="21"/>
                <w:szCs w:val="21"/>
              </w:rPr>
              <w:t>科技</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270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90</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90</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深圳市金</w:t>
            </w:r>
            <w:r>
              <w:rPr>
                <w:rFonts w:ascii="宋体" w:hAnsi="宋体" w:cs="宋体" w:eastAsia="宋体" w:hint="default"/>
                <w:spacing w:val="-69"/>
                <w:sz w:val="21"/>
                <w:szCs w:val="21"/>
              </w:rPr>
              <w:t> </w:t>
            </w:r>
            <w:r>
              <w:rPr>
                <w:rFonts w:ascii="宋体" w:hAnsi="宋体" w:cs="宋体" w:eastAsia="宋体" w:hint="default"/>
                <w:sz w:val="21"/>
                <w:szCs w:val="21"/>
              </w:rPr>
              <w:t>慧</w:t>
            </w:r>
            <w:r>
              <w:rPr>
                <w:rFonts w:ascii="宋体" w:hAnsi="宋体" w:cs="宋体" w:eastAsia="宋体" w:hint="default"/>
                <w:spacing w:val="-69"/>
                <w:sz w:val="21"/>
                <w:szCs w:val="21"/>
              </w:rPr>
              <w:t> </w:t>
            </w:r>
            <w:r>
              <w:rPr>
                <w:rFonts w:ascii="宋体" w:hAnsi="宋体" w:cs="宋体" w:eastAsia="宋体" w:hint="default"/>
                <w:spacing w:val="16"/>
                <w:sz w:val="21"/>
                <w:szCs w:val="21"/>
              </w:rPr>
              <w:t>盈通</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2" w:lineRule="exact" w:before="26"/>
              <w:ind w:left="100" w:right="65"/>
              <w:jc w:val="left"/>
              <w:rPr>
                <w:rFonts w:ascii="宋体" w:hAnsi="宋体" w:cs="宋体" w:eastAsia="宋体" w:hint="default"/>
                <w:sz w:val="21"/>
                <w:szCs w:val="21"/>
              </w:rPr>
            </w:pPr>
            <w:r>
              <w:rPr>
                <w:rFonts w:ascii="宋体" w:hAnsi="宋体" w:cs="宋体" w:eastAsia="宋体" w:hint="default"/>
                <w:spacing w:val="24"/>
                <w:sz w:val="21"/>
                <w:szCs w:val="21"/>
              </w:rPr>
              <w:t>数据服务</w:t>
            </w:r>
            <w:r>
              <w:rPr>
                <w:rFonts w:ascii="宋体" w:hAnsi="宋体" w:cs="宋体" w:eastAsia="宋体" w:hint="default"/>
                <w:spacing w:val="-70"/>
                <w:sz w:val="21"/>
                <w:szCs w:val="21"/>
              </w:rPr>
              <w:t> </w:t>
            </w:r>
            <w:r>
              <w:rPr>
                <w:rFonts w:ascii="宋体" w:hAnsi="宋体" w:cs="宋体" w:eastAsia="宋体" w:hint="default"/>
                <w:sz w:val="21"/>
                <w:szCs w:val="21"/>
              </w:rPr>
              <w:t>有</w:t>
            </w:r>
            <w:r>
              <w:rPr>
                <w:rFonts w:ascii="宋体" w:hAnsi="宋体" w:cs="宋体" w:eastAsia="宋体" w:hint="default"/>
                <w:spacing w:val="-70"/>
                <w:sz w:val="21"/>
                <w:szCs w:val="21"/>
              </w:rPr>
              <w:t> </w:t>
            </w:r>
            <w:r>
              <w:rPr>
                <w:rFonts w:ascii="宋体" w:hAnsi="宋体" w:cs="宋体" w:eastAsia="宋体" w:hint="default"/>
                <w:spacing w:val="16"/>
                <w:sz w:val="21"/>
                <w:szCs w:val="21"/>
              </w:rPr>
              <w:t>限公</w:t>
            </w:r>
            <w:r>
              <w:rPr>
                <w:rFonts w:ascii="宋体" w:hAnsi="宋体" w:cs="宋体" w:eastAsia="宋体" w:hint="default"/>
                <w:spacing w:val="-72"/>
                <w:sz w:val="21"/>
                <w:szCs w:val="21"/>
              </w:rPr>
              <w:t> </w:t>
            </w:r>
            <w:r>
              <w:rPr>
                <w:rFonts w:ascii="宋体" w:hAnsi="宋体" w:cs="宋体" w:eastAsia="宋体" w:hint="default"/>
                <w:sz w:val="21"/>
                <w:szCs w:val="21"/>
              </w:rPr>
              <w:t>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940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85.45</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85.45</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深圳市齐</w:t>
            </w:r>
            <w:r>
              <w:rPr>
                <w:rFonts w:ascii="宋体" w:hAnsi="宋体" w:cs="宋体" w:eastAsia="宋体" w:hint="default"/>
                <w:spacing w:val="-69"/>
                <w:sz w:val="21"/>
                <w:szCs w:val="21"/>
              </w:rPr>
              <w:t> </w:t>
            </w:r>
            <w:r>
              <w:rPr>
                <w:rFonts w:ascii="宋体" w:hAnsi="宋体" w:cs="宋体" w:eastAsia="宋体" w:hint="default"/>
                <w:sz w:val="21"/>
                <w:szCs w:val="21"/>
              </w:rPr>
              <w:t>普</w:t>
            </w:r>
            <w:r>
              <w:rPr>
                <w:rFonts w:ascii="宋体" w:hAnsi="宋体" w:cs="宋体" w:eastAsia="宋体" w:hint="default"/>
                <w:spacing w:val="-69"/>
                <w:sz w:val="21"/>
                <w:szCs w:val="21"/>
              </w:rPr>
              <w:t> </w:t>
            </w:r>
            <w:r>
              <w:rPr>
                <w:rFonts w:ascii="宋体" w:hAnsi="宋体" w:cs="宋体" w:eastAsia="宋体" w:hint="default"/>
                <w:spacing w:val="16"/>
                <w:sz w:val="21"/>
                <w:szCs w:val="21"/>
              </w:rPr>
              <w:t>生信</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息科技有限公司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2,650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53</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53</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深圳市金</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pacing w:val="16"/>
                <w:sz w:val="21"/>
                <w:szCs w:val="21"/>
              </w:rPr>
              <w:t>卡尔</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电子有限公司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700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70</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70</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深圳市金</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pacing w:val="16"/>
                <w:sz w:val="21"/>
                <w:szCs w:val="21"/>
              </w:rPr>
              <w:t>软银</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300</w:t>
            </w:r>
          </w:p>
        </w:tc>
        <w:tc>
          <w:tcPr>
            <w:tcW w:w="3258" w:type="dxa"/>
            <w:tcBorders>
              <w:top w:val="single" w:sz="6" w:space="0" w:color="101010"/>
              <w:left w:val="single" w:sz="6" w:space="0" w:color="101010"/>
              <w:bottom w:val="single" w:sz="6" w:space="0" w:color="101010"/>
              <w:right w:val="single" w:sz="6" w:space="0" w:color="101010"/>
            </w:tcBorders>
          </w:tcPr>
          <w:p>
            <w:pP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9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240" w:lineRule="auto" w:before="84"/>
        <w:ind w:left="504" w:right="226"/>
        <w:jc w:val="left"/>
      </w:pPr>
      <w:r>
        <w:rPr/>
        <w:t>企业合并及合并财务报表的说明：</w:t>
      </w:r>
    </w:p>
    <w:p>
      <w:pPr>
        <w:pStyle w:val="BodyText"/>
        <w:spacing w:line="272" w:lineRule="exact" w:before="145"/>
        <w:ind w:right="315" w:firstLine="358"/>
        <w:jc w:val="left"/>
      </w:pPr>
      <w:r>
        <w:rPr/>
        <w:t>合并财务报表按照</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月颁布的《企业会计准则第</w:t>
      </w:r>
      <w:r>
        <w:rPr>
          <w:spacing w:val="-43"/>
        </w:rPr>
        <w:t> </w:t>
      </w:r>
      <w:r>
        <w:rPr>
          <w:rFonts w:ascii="Times New Roman" w:hAnsi="Times New Roman" w:cs="Times New Roman" w:eastAsia="Times New Roman" w:hint="default"/>
        </w:rPr>
        <w:t>33</w:t>
      </w:r>
      <w:r>
        <w:rPr>
          <w:rFonts w:ascii="Times New Roman" w:hAnsi="Times New Roman" w:cs="Times New Roman" w:eastAsia="Times New Roman" w:hint="default"/>
          <w:spacing w:val="10"/>
        </w:rPr>
        <w:t> </w:t>
      </w:r>
      <w:r>
        <w:rPr/>
        <w:t>号—合并财务报表》执行。公司所控 制的全部子公司均纳入合并财务报表的合并范围。 合并财务报表以母公司和纳入合并范围的子公司的个别财务报表为基础，根据其他有关资料为依据， 按照权益法调整对子公司的长期股权投资后，由母公司编制。合并时对内部权益性投资与子公司所有 者权益、内部投资收益与子公司利润分配、内部交易事项、内部债权债务进行抵销。 子公司所采用的会计政策与母公司保持一致。</w:t>
      </w:r>
    </w:p>
    <w:p>
      <w:pPr>
        <w:pStyle w:val="BodyText"/>
        <w:spacing w:line="240" w:lineRule="auto" w:before="93"/>
        <w:ind w:left="504" w:right="22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报告期内，公司财务报表合并范围未发生重大变化。</w:t>
      </w:r>
    </w:p>
    <w:p>
      <w:pPr>
        <w:spacing w:after="0" w:line="240" w:lineRule="auto"/>
        <w:jc w:val="left"/>
        <w:sectPr>
          <w:pgSz w:w="12240" w:h="15840"/>
          <w:pgMar w:header="747" w:footer="727" w:top="1040" w:bottom="920" w:left="1380" w:right="1140"/>
        </w:sectPr>
      </w:pP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2240" w:h="15840"/>
          <w:pgMar w:header="747" w:footer="727" w:top="1040" w:bottom="920" w:left="1380" w:right="1140"/>
        </w:sectPr>
      </w:pPr>
    </w:p>
    <w:p>
      <w:pPr>
        <w:pStyle w:val="BodyText"/>
        <w:spacing w:line="324" w:lineRule="auto" w:before="35"/>
        <w:ind w:left="503" w:right="-19"/>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合并会计报表附注</w:t>
      </w:r>
      <w:r>
        <w:rPr>
          <w:w w:val="99"/>
        </w:rPr>
        <w:t> </w:t>
      </w:r>
      <w:r>
        <w:rPr>
          <w:rFonts w:ascii="Times New Roman" w:hAnsi="Times New Roman" w:cs="Times New Roman" w:eastAsia="Times New Roman" w:hint="default"/>
        </w:rPr>
        <w:t>1</w:t>
      </w:r>
      <w:r>
        <w:rPr/>
        <w:t>、货币资金</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8"/>
          <w:szCs w:val="18"/>
        </w:rPr>
      </w:pPr>
    </w:p>
    <w:p>
      <w:pPr>
        <w:pStyle w:val="BodyText"/>
        <w:spacing w:line="240" w:lineRule="auto"/>
        <w:ind w:left="503"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660" w:bottom="280" w:left="1380" w:right="1140"/>
          <w:cols w:num="2" w:equalWidth="0">
            <w:col w:w="2535" w:space="5659"/>
            <w:col w:w="1526"/>
          </w:cols>
        </w:sectPr>
      </w:pPr>
    </w:p>
    <w:tbl>
      <w:tblPr>
        <w:tblW w:w="0" w:type="auto"/>
        <w:jc w:val="left"/>
        <w:tblInd w:w="129" w:type="dxa"/>
        <w:tblLayout w:type="fixed"/>
        <w:tblCellMar>
          <w:top w:w="0" w:type="dxa"/>
          <w:left w:w="0" w:type="dxa"/>
          <w:bottom w:w="0" w:type="dxa"/>
          <w:right w:w="0" w:type="dxa"/>
        </w:tblCellMar>
        <w:tblLook w:val="01E0"/>
      </w:tblPr>
      <w:tblGrid>
        <w:gridCol w:w="3359"/>
        <w:gridCol w:w="3046"/>
        <w:gridCol w:w="3046"/>
      </w:tblGrid>
      <w:tr>
        <w:trPr>
          <w:trHeight w:val="434" w:hRule="exact"/>
        </w:trPr>
        <w:tc>
          <w:tcPr>
            <w:tcW w:w="3359"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6" w:hRule="exact"/>
        </w:trPr>
        <w:tc>
          <w:tcPr>
            <w:tcW w:w="3359" w:type="dxa"/>
            <w:vMerge/>
            <w:tcBorders>
              <w:left w:val="single" w:sz="6" w:space="0" w:color="101010"/>
              <w:bottom w:val="single" w:sz="6" w:space="0" w:color="101010"/>
              <w:right w:val="single" w:sz="6" w:space="0" w:color="101010"/>
            </w:tcBorders>
          </w:tcPr>
          <w:p>
            <w:pP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99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990"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33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046" w:type="dxa"/>
            <w:tcBorders>
              <w:top w:val="single" w:sz="6" w:space="0" w:color="101010"/>
              <w:left w:val="single" w:sz="6" w:space="0" w:color="101010"/>
              <w:bottom w:val="single" w:sz="6" w:space="0" w:color="101010"/>
              <w:right w:val="single" w:sz="6" w:space="0" w:color="101010"/>
            </w:tcBorders>
          </w:tcPr>
          <w:p>
            <w:pPr/>
          </w:p>
        </w:tc>
        <w:tc>
          <w:tcPr>
            <w:tcW w:w="304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3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158,055.10</w:t>
            </w:r>
            <w:r>
              <w:rPr>
                <w:rFonts w:ascii="Times New Roman"/>
                <w:sz w:val="21"/>
              </w:rPr>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247,750.14</w:t>
            </w:r>
            <w:r>
              <w:rPr>
                <w:rFonts w:ascii="Times New Roman"/>
                <w:sz w:val="21"/>
              </w:rPr>
            </w:r>
          </w:p>
        </w:tc>
      </w:tr>
      <w:tr>
        <w:trPr>
          <w:trHeight w:val="287" w:hRule="exact"/>
        </w:trPr>
        <w:tc>
          <w:tcPr>
            <w:tcW w:w="33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254,819,248.66</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184,662,063.92</w:t>
            </w:r>
          </w:p>
        </w:tc>
      </w:tr>
      <w:tr>
        <w:trPr>
          <w:trHeight w:val="288" w:hRule="exact"/>
        </w:trPr>
        <w:tc>
          <w:tcPr>
            <w:tcW w:w="33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046" w:type="dxa"/>
            <w:tcBorders>
              <w:top w:val="single" w:sz="6" w:space="0" w:color="101010"/>
              <w:left w:val="single" w:sz="6" w:space="0" w:color="101010"/>
              <w:bottom w:val="single" w:sz="6" w:space="0" w:color="101010"/>
              <w:right w:val="single" w:sz="6" w:space="0" w:color="101010"/>
            </w:tcBorders>
          </w:tcPr>
          <w:p>
            <w:pPr/>
          </w:p>
        </w:tc>
        <w:tc>
          <w:tcPr>
            <w:tcW w:w="304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3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20,188,170.94</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17,194,106.69</w:t>
            </w:r>
          </w:p>
        </w:tc>
      </w:tr>
      <w:tr>
        <w:trPr>
          <w:trHeight w:val="288" w:hRule="exact"/>
        </w:trPr>
        <w:tc>
          <w:tcPr>
            <w:tcW w:w="33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275,165,474.70</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202,103,920.75</w:t>
            </w:r>
          </w:p>
        </w:tc>
      </w:tr>
    </w:tbl>
    <w:p>
      <w:pPr>
        <w:spacing w:line="240" w:lineRule="auto" w:before="1"/>
        <w:rPr>
          <w:rFonts w:ascii="宋体" w:hAnsi="宋体" w:cs="宋体" w:eastAsia="宋体" w:hint="default"/>
          <w:sz w:val="5"/>
          <w:szCs w:val="5"/>
        </w:rPr>
      </w:pPr>
    </w:p>
    <w:p>
      <w:pPr>
        <w:pStyle w:val="BodyText"/>
        <w:spacing w:line="272" w:lineRule="exact" w:before="63"/>
        <w:ind w:left="144" w:right="332" w:firstLine="420"/>
        <w:jc w:val="left"/>
      </w:pPr>
      <w:r>
        <w:rPr/>
        <w:t>货币资金年末数比年初数增加 </w:t>
      </w:r>
      <w:r>
        <w:rPr>
          <w:rFonts w:ascii="Times New Roman" w:hAnsi="Times New Roman" w:cs="Times New Roman" w:eastAsia="Times New Roman" w:hint="default"/>
        </w:rPr>
        <w:t>73,061,553.95 </w:t>
      </w:r>
      <w:r>
        <w:rPr/>
        <w:t>元，增加比例为</w:t>
      </w:r>
      <w:r>
        <w:rPr>
          <w:spacing w:val="-69"/>
        </w:rPr>
        <w:t> </w:t>
      </w:r>
      <w:r>
        <w:rPr>
          <w:rFonts w:ascii="Times New Roman" w:hAnsi="Times New Roman" w:cs="Times New Roman" w:eastAsia="Times New Roman" w:hint="default"/>
        </w:rPr>
        <w:t>36.15</w:t>
      </w:r>
      <w:r>
        <w:rPr/>
        <w:t>％，变动原因主要为：本年度 加强了应收账款的管理使货款回收加快及预收账款增加。</w:t>
      </w:r>
    </w:p>
    <w:p>
      <w:pPr>
        <w:pStyle w:val="BodyText"/>
        <w:spacing w:line="240" w:lineRule="auto" w:before="93"/>
        <w:ind w:left="564" w:right="226"/>
        <w:jc w:val="left"/>
      </w:pPr>
      <w:r>
        <w:rPr>
          <w:rFonts w:ascii="Times New Roman" w:hAnsi="Times New Roman" w:cs="Times New Roman" w:eastAsia="Times New Roman" w:hint="default"/>
        </w:rPr>
        <w:t>2</w:t>
      </w:r>
      <w:r>
        <w:rPr/>
        <w:t>、交易性金融资产：</w:t>
      </w:r>
    </w:p>
    <w:p>
      <w:pPr>
        <w:pStyle w:val="BodyText"/>
        <w:tabs>
          <w:tab w:pos="1213" w:val="left" w:leader="none"/>
        </w:tabs>
        <w:spacing w:line="240" w:lineRule="auto" w:before="101"/>
        <w:ind w:left="0" w:right="331"/>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6198"/>
        <w:gridCol w:w="1626"/>
        <w:gridCol w:w="1626"/>
      </w:tblGrid>
      <w:tr>
        <w:trPr>
          <w:trHeight w:val="434" w:hRule="exact"/>
        </w:trPr>
        <w:tc>
          <w:tcPr>
            <w:tcW w:w="61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5"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6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5"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619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1626" w:type="dxa"/>
            <w:tcBorders>
              <w:top w:val="single" w:sz="6" w:space="0" w:color="101010"/>
              <w:left w:val="single" w:sz="6" w:space="0" w:color="101010"/>
              <w:bottom w:val="single" w:sz="6" w:space="0" w:color="101010"/>
              <w:right w:val="single" w:sz="6" w:space="0" w:color="101010"/>
            </w:tcBorders>
          </w:tcPr>
          <w:p>
            <w:pPr/>
          </w:p>
        </w:tc>
        <w:tc>
          <w:tcPr>
            <w:tcW w:w="162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619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16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4,578,789.99</w:t>
            </w:r>
          </w:p>
        </w:tc>
        <w:tc>
          <w:tcPr>
            <w:tcW w:w="162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619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指定为以公允价值计量且其变动计入当期损益的金融资产</w:t>
            </w:r>
          </w:p>
        </w:tc>
        <w:tc>
          <w:tcPr>
            <w:tcW w:w="1626" w:type="dxa"/>
            <w:tcBorders>
              <w:top w:val="single" w:sz="6" w:space="0" w:color="101010"/>
              <w:left w:val="single" w:sz="6" w:space="0" w:color="101010"/>
              <w:bottom w:val="single" w:sz="6" w:space="0" w:color="101010"/>
              <w:right w:val="single" w:sz="6" w:space="0" w:color="101010"/>
            </w:tcBorders>
          </w:tcPr>
          <w:p>
            <w:pPr/>
          </w:p>
        </w:tc>
        <w:tc>
          <w:tcPr>
            <w:tcW w:w="162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619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1626" w:type="dxa"/>
            <w:tcBorders>
              <w:top w:val="single" w:sz="6" w:space="0" w:color="101010"/>
              <w:left w:val="single" w:sz="6" w:space="0" w:color="101010"/>
              <w:bottom w:val="single" w:sz="6" w:space="0" w:color="101010"/>
              <w:right w:val="single" w:sz="6" w:space="0" w:color="101010"/>
            </w:tcBorders>
          </w:tcPr>
          <w:p>
            <w:pPr/>
          </w:p>
        </w:tc>
        <w:tc>
          <w:tcPr>
            <w:tcW w:w="162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619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626" w:type="dxa"/>
            <w:tcBorders>
              <w:top w:val="single" w:sz="6" w:space="0" w:color="101010"/>
              <w:left w:val="single" w:sz="6" w:space="0" w:color="101010"/>
              <w:bottom w:val="single" w:sz="6" w:space="0" w:color="101010"/>
              <w:right w:val="single" w:sz="6" w:space="0" w:color="101010"/>
            </w:tcBorders>
          </w:tcPr>
          <w:p>
            <w:pPr/>
          </w:p>
        </w:tc>
        <w:tc>
          <w:tcPr>
            <w:tcW w:w="162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61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4,578,789.99</w:t>
            </w:r>
          </w:p>
        </w:tc>
        <w:tc>
          <w:tcPr>
            <w:tcW w:w="1626"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1"/>
        <w:rPr>
          <w:rFonts w:ascii="宋体" w:hAnsi="宋体" w:cs="宋体" w:eastAsia="宋体" w:hint="default"/>
          <w:sz w:val="5"/>
          <w:szCs w:val="5"/>
        </w:rPr>
      </w:pPr>
    </w:p>
    <w:p>
      <w:pPr>
        <w:pStyle w:val="BodyText"/>
        <w:spacing w:line="272" w:lineRule="exact" w:before="63"/>
        <w:ind w:left="1405" w:right="226" w:hanging="841"/>
        <w:jc w:val="left"/>
      </w:pPr>
      <w:r>
        <w:rPr>
          <w:spacing w:val="-8"/>
        </w:rPr>
        <w:t>注：（</w:t>
      </w:r>
      <w:r>
        <w:rPr>
          <w:rFonts w:ascii="Times New Roman" w:hAnsi="Times New Roman" w:cs="Times New Roman" w:eastAsia="Times New Roman" w:hint="default"/>
          <w:spacing w:val="-8"/>
        </w:rPr>
        <w:t>1</w:t>
      </w:r>
      <w:r>
        <w:rPr>
          <w:spacing w:val="-8"/>
        </w:rPr>
        <w:t>）交易性金融资产年末数比年初数增加</w:t>
      </w:r>
      <w:r>
        <w:rPr>
          <w:spacing w:val="-45"/>
        </w:rPr>
        <w:t> </w:t>
      </w:r>
      <w:r>
        <w:rPr>
          <w:rFonts w:ascii="Times New Roman" w:hAnsi="Times New Roman" w:cs="Times New Roman" w:eastAsia="Times New Roman" w:hint="default"/>
          <w:spacing w:val="-1"/>
        </w:rPr>
        <w:t>4,578,789.99</w:t>
      </w:r>
      <w:r>
        <w:rPr>
          <w:rFonts w:ascii="Times New Roman" w:hAnsi="Times New Roman" w:cs="Times New Roman" w:eastAsia="Times New Roman" w:hint="default"/>
          <w:spacing w:val="8"/>
        </w:rPr>
        <w:t> </w:t>
      </w:r>
      <w:r>
        <w:rPr>
          <w:spacing w:val="-5"/>
        </w:rPr>
        <w:t>元，增加比例为</w:t>
      </w:r>
      <w:r>
        <w:rPr>
          <w:spacing w:val="-45"/>
        </w:rPr>
        <w:t> </w:t>
      </w:r>
      <w:r>
        <w:rPr>
          <w:rFonts w:ascii="Times New Roman" w:hAnsi="Times New Roman" w:cs="Times New Roman" w:eastAsia="Times New Roman" w:hint="default"/>
          <w:spacing w:val="-3"/>
        </w:rPr>
        <w:t>100</w:t>
      </w:r>
      <w:r>
        <w:rPr>
          <w:spacing w:val="-3"/>
        </w:rPr>
        <w:t>％，变动原因主要</w:t>
      </w:r>
      <w:r>
        <w:rPr>
          <w:spacing w:val="-103"/>
        </w:rPr>
        <w:t> </w:t>
      </w:r>
      <w:r>
        <w:rPr>
          <w:spacing w:val="-103"/>
        </w:rPr>
      </w:r>
      <w:r>
        <w:rPr/>
        <w:t>为：上年度四季度公司将交易性权益工具全部变现。</w:t>
      </w:r>
    </w:p>
    <w:p>
      <w:pPr>
        <w:pStyle w:val="BodyText"/>
        <w:spacing w:line="240" w:lineRule="auto" w:before="93"/>
        <w:ind w:left="865" w:right="226"/>
        <w:jc w:val="left"/>
      </w:pPr>
      <w:r>
        <w:rPr/>
        <w:t>（</w:t>
      </w:r>
      <w:r>
        <w:rPr>
          <w:rFonts w:ascii="Times New Roman" w:hAnsi="Times New Roman" w:cs="Times New Roman" w:eastAsia="Times New Roman" w:hint="default"/>
        </w:rPr>
        <w:t>2</w:t>
      </w:r>
      <w:r>
        <w:rPr/>
        <w:t>）年末交易性权益工具投资变现不存在重大限制。</w:t>
      </w:r>
    </w:p>
    <w:p>
      <w:pPr>
        <w:pStyle w:val="BodyText"/>
        <w:spacing w:line="240" w:lineRule="auto" w:before="100"/>
        <w:ind w:left="565" w:right="226"/>
        <w:jc w:val="left"/>
      </w:pPr>
      <w:r>
        <w:rPr>
          <w:rFonts w:ascii="Times New Roman" w:hAnsi="Times New Roman" w:cs="Times New Roman" w:eastAsia="Times New Roman" w:hint="default"/>
        </w:rPr>
        <w:t>3</w:t>
      </w:r>
      <w:r>
        <w:rPr/>
        <w:t>、应收票据</w:t>
      </w:r>
    </w:p>
    <w:p>
      <w:pPr>
        <w:pStyle w:val="BodyText"/>
        <w:spacing w:line="240" w:lineRule="auto" w:before="101"/>
        <w:ind w:left="685" w:right="22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应收票据分类</w:t>
      </w:r>
    </w:p>
    <w:p>
      <w:pPr>
        <w:pStyle w:val="BodyText"/>
        <w:spacing w:line="272" w:lineRule="exact"/>
        <w:ind w:left="0" w:right="33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4050"/>
        <w:gridCol w:w="2700"/>
        <w:gridCol w:w="2700"/>
      </w:tblGrid>
      <w:tr>
        <w:trPr>
          <w:trHeight w:val="406" w:hRule="exact"/>
        </w:trPr>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806"/>
              <w:jc w:val="right"/>
              <w:rPr>
                <w:rFonts w:ascii="宋体" w:hAnsi="宋体" w:cs="宋体" w:eastAsia="宋体" w:hint="default"/>
                <w:sz w:val="21"/>
                <w:szCs w:val="21"/>
              </w:rPr>
            </w:pPr>
            <w:r>
              <w:rPr>
                <w:rFonts w:ascii="宋体" w:hAnsi="宋体" w:cs="宋体" w:eastAsia="宋体" w:hint="default"/>
                <w:sz w:val="21"/>
                <w:szCs w:val="21"/>
              </w:rPr>
              <w:t>种类</w:t>
            </w:r>
          </w:p>
        </w:tc>
        <w:tc>
          <w:tcPr>
            <w:tcW w:w="2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11,808,175.11</w:t>
            </w:r>
          </w:p>
        </w:tc>
        <w:tc>
          <w:tcPr>
            <w:tcW w:w="2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18,732,333.00</w:t>
            </w:r>
          </w:p>
        </w:tc>
      </w:tr>
      <w:tr>
        <w:trPr>
          <w:trHeight w:val="288" w:hRule="exact"/>
        </w:trPr>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806"/>
              <w:jc w:val="right"/>
              <w:rPr>
                <w:rFonts w:ascii="宋体" w:hAnsi="宋体" w:cs="宋体" w:eastAsia="宋体" w:hint="default"/>
                <w:sz w:val="21"/>
                <w:szCs w:val="21"/>
              </w:rPr>
            </w:pPr>
            <w:r>
              <w:rPr>
                <w:rFonts w:ascii="宋体" w:hAnsi="宋体" w:cs="宋体" w:eastAsia="宋体" w:hint="default"/>
                <w:sz w:val="21"/>
                <w:szCs w:val="21"/>
              </w:rPr>
              <w:t>合计</w:t>
            </w:r>
          </w:p>
        </w:tc>
        <w:tc>
          <w:tcPr>
            <w:tcW w:w="2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11,808,175.11</w:t>
            </w:r>
          </w:p>
        </w:tc>
        <w:tc>
          <w:tcPr>
            <w:tcW w:w="2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18,732,333.00</w:t>
            </w:r>
          </w:p>
        </w:tc>
      </w:tr>
    </w:tbl>
    <w:p>
      <w:pPr>
        <w:spacing w:line="240" w:lineRule="auto" w:before="4"/>
        <w:rPr>
          <w:rFonts w:ascii="宋体" w:hAnsi="宋体" w:cs="宋体" w:eastAsia="宋体" w:hint="default"/>
          <w:sz w:val="14"/>
          <w:szCs w:val="14"/>
        </w:rPr>
      </w:pPr>
    </w:p>
    <w:p>
      <w:pPr>
        <w:pStyle w:val="BodyText"/>
        <w:spacing w:line="272" w:lineRule="exact" w:before="63"/>
        <w:ind w:right="226" w:firstLine="358"/>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4"/>
        </w:rPr>
        <w:t> </w:t>
      </w:r>
      <w:r>
        <w:rPr>
          <w:spacing w:val="-2"/>
        </w:rPr>
        <w:t>因出票人无力履约而将票据转为应收账款的票据，以及期末公司已经背书给他方但尚未到期的</w:t>
      </w:r>
      <w:r>
        <w:rPr>
          <w:w w:val="99"/>
        </w:rPr>
        <w:t> </w:t>
      </w:r>
      <w:r>
        <w:rPr/>
        <w:t>票据情况</w:t>
      </w:r>
    </w:p>
    <w:p>
      <w:pPr>
        <w:pStyle w:val="BodyText"/>
        <w:tabs>
          <w:tab w:pos="1108" w:val="left" w:leader="none"/>
        </w:tabs>
        <w:spacing w:line="263" w:lineRule="exact"/>
        <w:ind w:left="0" w:right="331"/>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2052"/>
        <w:gridCol w:w="2707"/>
        <w:gridCol w:w="2562"/>
        <w:gridCol w:w="1979"/>
      </w:tblGrid>
      <w:tr>
        <w:trPr>
          <w:trHeight w:val="406"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7"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71"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青岛海信</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760" w:right="0"/>
              <w:jc w:val="left"/>
              <w:rPr>
                <w:rFonts w:ascii="Times New Roman" w:hAnsi="Times New Roman" w:cs="Times New Roman" w:eastAsia="Times New Roman" w:hint="default"/>
                <w:sz w:val="21"/>
                <w:szCs w:val="21"/>
              </w:rPr>
            </w:pPr>
            <w:r>
              <w:rPr>
                <w:rFonts w:ascii="Times New Roman"/>
                <w:sz w:val="21"/>
              </w:rPr>
              <w:t>1,830,988.00</w:t>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长城计算机</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761" w:right="0"/>
              <w:jc w:val="left"/>
              <w:rPr>
                <w:rFonts w:ascii="Times New Roman" w:hAnsi="Times New Roman" w:cs="Times New Roman" w:eastAsia="Times New Roman" w:hint="default"/>
                <w:sz w:val="21"/>
                <w:szCs w:val="21"/>
              </w:rPr>
            </w:pPr>
            <w:r>
              <w:rPr>
                <w:rFonts w:ascii="Times New Roman"/>
                <w:sz w:val="21"/>
              </w:rPr>
              <w:t>6,807,650.00</w:t>
            </w:r>
          </w:p>
        </w:tc>
      </w:tr>
      <w:tr>
        <w:trPr>
          <w:trHeight w:val="287"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维新康</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760" w:right="0"/>
              <w:jc w:val="left"/>
              <w:rPr>
                <w:rFonts w:ascii="Times New Roman" w:hAnsi="Times New Roman" w:cs="Times New Roman" w:eastAsia="Times New Roman" w:hint="default"/>
                <w:sz w:val="21"/>
                <w:szCs w:val="21"/>
              </w:rPr>
            </w:pPr>
            <w:r>
              <w:rPr>
                <w:rFonts w:ascii="Times New Roman"/>
                <w:sz w:val="21"/>
              </w:rPr>
              <w:t>1,000,000.00</w:t>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维新康</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760" w:right="0"/>
              <w:jc w:val="left"/>
              <w:rPr>
                <w:rFonts w:ascii="Times New Roman" w:hAnsi="Times New Roman" w:cs="Times New Roman" w:eastAsia="Times New Roman" w:hint="default"/>
                <w:sz w:val="21"/>
                <w:szCs w:val="21"/>
              </w:rPr>
            </w:pPr>
            <w:r>
              <w:rPr>
                <w:rFonts w:ascii="Times New Roman"/>
                <w:sz w:val="21"/>
              </w:rPr>
              <w:t>1,000,000.00</w:t>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维新康</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760" w:right="0"/>
              <w:jc w:val="left"/>
              <w:rPr>
                <w:rFonts w:ascii="Times New Roman" w:hAnsi="Times New Roman" w:cs="Times New Roman" w:eastAsia="Times New Roman" w:hint="default"/>
                <w:sz w:val="21"/>
                <w:szCs w:val="21"/>
              </w:rPr>
            </w:pPr>
            <w:r>
              <w:rPr>
                <w:rFonts w:ascii="Times New Roman"/>
                <w:sz w:val="21"/>
              </w:rPr>
              <w:t>1,000,000.00</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660" w:bottom="280" w:left="1380" w:right="114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052"/>
        <w:gridCol w:w="2707"/>
        <w:gridCol w:w="2562"/>
        <w:gridCol w:w="1979"/>
      </w:tblGrid>
      <w:tr>
        <w:trPr>
          <w:trHeight w:val="287"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北京太极华青</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838,575.00</w:t>
            </w:r>
            <w:r>
              <w:rPr>
                <w:rFonts w:ascii="Times New Roman"/>
                <w:sz w:val="21"/>
              </w:rPr>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青岛海信</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489,694.00</w:t>
            </w:r>
            <w:r>
              <w:rPr>
                <w:rFonts w:ascii="Times New Roman"/>
                <w:sz w:val="21"/>
              </w:rPr>
            </w:r>
          </w:p>
        </w:tc>
      </w:tr>
      <w:tr>
        <w:trPr>
          <w:trHeight w:val="287"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合肥汇英</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2,600,000.00</w:t>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依格欣</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574,333.00</w:t>
            </w:r>
            <w:r>
              <w:rPr>
                <w:rFonts w:ascii="Times New Roman"/>
                <w:sz w:val="21"/>
              </w:rPr>
            </w:r>
          </w:p>
        </w:tc>
      </w:tr>
      <w:tr>
        <w:trPr>
          <w:trHeight w:val="287"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维新康</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925,419.00</w:t>
            </w:r>
            <w:r>
              <w:rPr>
                <w:rFonts w:ascii="Times New Roman"/>
                <w:sz w:val="21"/>
              </w:rPr>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杭州德昌隆</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648,383.00</w:t>
            </w:r>
            <w:r>
              <w:rPr>
                <w:rFonts w:ascii="Times New Roman"/>
                <w:sz w:val="21"/>
              </w:rPr>
            </w:r>
          </w:p>
        </w:tc>
      </w:tr>
      <w:tr>
        <w:trPr>
          <w:trHeight w:val="287"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北京太极华青</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268,258.00</w:t>
            </w:r>
            <w:r>
              <w:rPr>
                <w:rFonts w:ascii="Times New Roman"/>
                <w:sz w:val="21"/>
              </w:rPr>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北京太极华青</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469,724.00</w:t>
            </w:r>
            <w:r>
              <w:rPr>
                <w:rFonts w:ascii="Times New Roman"/>
                <w:sz w:val="21"/>
              </w:rPr>
            </w:r>
          </w:p>
        </w:tc>
      </w:tr>
      <w:tr>
        <w:trPr>
          <w:trHeight w:val="287"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北京太极华青</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831,870.00</w:t>
            </w:r>
            <w:r>
              <w:rPr>
                <w:rFonts w:ascii="Times New Roman"/>
                <w:sz w:val="21"/>
              </w:rPr>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甘肃汇宇</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r>
      <w:tr>
        <w:trPr>
          <w:trHeight w:val="287"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维新康</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740,599.00</w:t>
            </w:r>
            <w:r>
              <w:rPr>
                <w:rFonts w:ascii="Times New Roman"/>
                <w:sz w:val="21"/>
              </w:rPr>
            </w:r>
          </w:p>
        </w:tc>
      </w:tr>
      <w:tr>
        <w:trPr>
          <w:trHeight w:val="287"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安徽四创</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519,080.00</w:t>
            </w:r>
            <w:r>
              <w:rPr>
                <w:rFonts w:ascii="Times New Roman"/>
                <w:sz w:val="21"/>
              </w:rPr>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维新康</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882,397.00</w:t>
            </w:r>
            <w:r>
              <w:rPr>
                <w:rFonts w:ascii="Times New Roman"/>
                <w:sz w:val="21"/>
              </w:rPr>
            </w:r>
          </w:p>
        </w:tc>
      </w:tr>
      <w:tr>
        <w:trPr>
          <w:trHeight w:val="288" w:hRule="exact"/>
        </w:trPr>
        <w:tc>
          <w:tcPr>
            <w:tcW w:w="205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w:t>
            </w:r>
          </w:p>
        </w:tc>
        <w:tc>
          <w:tcPr>
            <w:tcW w:w="25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21,626,970.00</w:t>
            </w:r>
          </w:p>
        </w:tc>
      </w:tr>
    </w:tbl>
    <w:p>
      <w:pPr>
        <w:pStyle w:val="BodyText"/>
        <w:spacing w:line="272" w:lineRule="exact" w:before="112"/>
        <w:ind w:right="169" w:firstLine="420"/>
        <w:jc w:val="left"/>
      </w:pPr>
      <w:r>
        <w:rPr/>
        <w:t>应收票据年末数比年初数增加</w:t>
      </w:r>
      <w:r>
        <w:rPr>
          <w:spacing w:val="-49"/>
        </w:rPr>
        <w:t> </w:t>
      </w:r>
      <w:r>
        <w:rPr>
          <w:rFonts w:ascii="Times New Roman" w:hAnsi="Times New Roman" w:cs="Times New Roman" w:eastAsia="Times New Roman" w:hint="default"/>
        </w:rPr>
        <w:t>6,924,157.89</w:t>
      </w:r>
      <w:r>
        <w:rPr>
          <w:rFonts w:ascii="Times New Roman" w:hAnsi="Times New Roman" w:cs="Times New Roman" w:eastAsia="Times New Roman" w:hint="default"/>
          <w:spacing w:val="4"/>
        </w:rPr>
        <w:t> </w:t>
      </w:r>
      <w:r>
        <w:rPr>
          <w:spacing w:val="-3"/>
        </w:rPr>
        <w:t>元，增加比例为</w:t>
      </w:r>
      <w:r>
        <w:rPr>
          <w:spacing w:val="-49"/>
        </w:rPr>
        <w:t> </w:t>
      </w:r>
      <w:r>
        <w:rPr>
          <w:rFonts w:ascii="Times New Roman" w:hAnsi="Times New Roman" w:cs="Times New Roman" w:eastAsia="Times New Roman" w:hint="default"/>
          <w:spacing w:val="-3"/>
        </w:rPr>
        <w:t>36.96</w:t>
      </w:r>
      <w:r>
        <w:rPr>
          <w:spacing w:val="-3"/>
        </w:rPr>
        <w:t>％，变动原因主要为：本年度公</w:t>
      </w:r>
      <w:r>
        <w:rPr/>
        <w:t> 司已背书未到期的应收票据较上年度增加。</w:t>
      </w:r>
    </w:p>
    <w:p>
      <w:pPr>
        <w:pStyle w:val="BodyText"/>
        <w:spacing w:line="240" w:lineRule="auto" w:before="93"/>
        <w:ind w:left="565" w:right="2197"/>
        <w:jc w:val="left"/>
      </w:pPr>
      <w:r>
        <w:rPr>
          <w:rFonts w:ascii="Times New Roman" w:hAnsi="Times New Roman" w:cs="Times New Roman" w:eastAsia="Times New Roman" w:hint="default"/>
        </w:rPr>
        <w:t>4</w:t>
      </w:r>
      <w:r>
        <w:rPr/>
        <w:t>、应收账款</w:t>
      </w:r>
    </w:p>
    <w:p>
      <w:pPr>
        <w:pStyle w:val="BodyText"/>
        <w:spacing w:line="240" w:lineRule="auto" w:before="101"/>
        <w:ind w:left="565" w:right="219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应收账款按种类披露</w:t>
      </w:r>
    </w:p>
    <w:p>
      <w:pPr>
        <w:pStyle w:val="BodyText"/>
        <w:tabs>
          <w:tab w:pos="1108" w:val="left" w:leader="none"/>
        </w:tabs>
        <w:spacing w:line="240" w:lineRule="auto" w:before="101"/>
        <w:ind w:left="0" w:right="171"/>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998"/>
        <w:gridCol w:w="1252"/>
        <w:gridCol w:w="846"/>
        <w:gridCol w:w="1162"/>
        <w:gridCol w:w="847"/>
        <w:gridCol w:w="1340"/>
        <w:gridCol w:w="847"/>
        <w:gridCol w:w="1162"/>
        <w:gridCol w:w="846"/>
      </w:tblGrid>
      <w:tr>
        <w:trPr>
          <w:trHeight w:val="404" w:hRule="exact"/>
        </w:trPr>
        <w:tc>
          <w:tcPr>
            <w:tcW w:w="99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10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95"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998" w:type="dxa"/>
            <w:vMerge/>
            <w:tcBorders>
              <w:left w:val="single" w:sz="6" w:space="0" w:color="101010"/>
              <w:right w:val="single" w:sz="6" w:space="0" w:color="101010"/>
            </w:tcBorders>
          </w:tcPr>
          <w:p>
            <w:pPr/>
          </w:p>
        </w:tc>
        <w:tc>
          <w:tcPr>
            <w:tcW w:w="20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8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0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1" w:hRule="exact"/>
        </w:trPr>
        <w:tc>
          <w:tcPr>
            <w:tcW w:w="998" w:type="dxa"/>
            <w:vMerge/>
            <w:tcBorders>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2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5" w:hRule="exact"/>
        </w:trPr>
        <w:tc>
          <w:tcPr>
            <w:tcW w:w="99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2" w:lineRule="exact" w:before="24"/>
              <w:ind w:left="100" w:right="79"/>
              <w:jc w:val="left"/>
              <w:rPr>
                <w:rFonts w:ascii="宋体" w:hAnsi="宋体" w:cs="宋体" w:eastAsia="宋体" w:hint="default"/>
                <w:sz w:val="18"/>
                <w:szCs w:val="18"/>
              </w:rPr>
            </w:pPr>
            <w:r>
              <w:rPr>
                <w:rFonts w:ascii="宋体" w:hAnsi="宋体" w:cs="宋体" w:eastAsia="宋体" w:hint="default"/>
                <w:spacing w:val="15"/>
                <w:sz w:val="18"/>
                <w:szCs w:val="18"/>
              </w:rPr>
              <w:t>重大的应</w:t>
            </w:r>
            <w:r>
              <w:rPr>
                <w:rFonts w:ascii="宋体" w:hAnsi="宋体" w:cs="宋体" w:eastAsia="宋体" w:hint="default"/>
                <w:spacing w:val="-70"/>
                <w:sz w:val="18"/>
                <w:szCs w:val="18"/>
              </w:rPr>
              <w:t> </w:t>
            </w:r>
            <w:r>
              <w:rPr>
                <w:rFonts w:ascii="宋体" w:hAnsi="宋体" w:cs="宋体" w:eastAsia="宋体" w:hint="default"/>
                <w:sz w:val="18"/>
                <w:szCs w:val="18"/>
              </w:rPr>
              <w:t>收账款</w:t>
            </w:r>
          </w:p>
        </w:tc>
        <w:tc>
          <w:tcPr>
            <w:tcW w:w="1252" w:type="dxa"/>
            <w:tcBorders>
              <w:top w:val="single" w:sz="6" w:space="0" w:color="101010"/>
              <w:left w:val="single" w:sz="6" w:space="0" w:color="101010"/>
              <w:bottom w:val="single" w:sz="6" w:space="0" w:color="101010"/>
              <w:right w:val="single" w:sz="6" w:space="0" w:color="101010"/>
            </w:tcBorders>
          </w:tcPr>
          <w:p>
            <w:pPr/>
          </w:p>
        </w:tc>
        <w:tc>
          <w:tcPr>
            <w:tcW w:w="846" w:type="dxa"/>
            <w:tcBorders>
              <w:top w:val="single" w:sz="6" w:space="0" w:color="101010"/>
              <w:left w:val="single" w:sz="6" w:space="0" w:color="101010"/>
              <w:bottom w:val="single" w:sz="6" w:space="0" w:color="101010"/>
              <w:right w:val="single" w:sz="6" w:space="0" w:color="101010"/>
            </w:tcBorders>
          </w:tcPr>
          <w:p>
            <w:pPr/>
          </w:p>
        </w:tc>
        <w:tc>
          <w:tcPr>
            <w:tcW w:w="1162" w:type="dxa"/>
            <w:tcBorders>
              <w:top w:val="single" w:sz="6" w:space="0" w:color="101010"/>
              <w:left w:val="single" w:sz="6" w:space="0" w:color="101010"/>
              <w:bottom w:val="single" w:sz="6" w:space="0" w:color="101010"/>
              <w:right w:val="single" w:sz="6" w:space="0" w:color="101010"/>
            </w:tcBorders>
          </w:tcPr>
          <w:p>
            <w:pPr/>
          </w:p>
        </w:tc>
        <w:tc>
          <w:tcPr>
            <w:tcW w:w="847"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847" w:type="dxa"/>
            <w:tcBorders>
              <w:top w:val="single" w:sz="6" w:space="0" w:color="101010"/>
              <w:left w:val="single" w:sz="6" w:space="0" w:color="101010"/>
              <w:bottom w:val="single" w:sz="6" w:space="0" w:color="101010"/>
              <w:right w:val="single" w:sz="6" w:space="0" w:color="101010"/>
            </w:tcBorders>
          </w:tcPr>
          <w:p>
            <w:pPr/>
          </w:p>
        </w:tc>
        <w:tc>
          <w:tcPr>
            <w:tcW w:w="1162" w:type="dxa"/>
            <w:tcBorders>
              <w:top w:val="single" w:sz="6" w:space="0" w:color="101010"/>
              <w:left w:val="single" w:sz="6" w:space="0" w:color="101010"/>
              <w:bottom w:val="single" w:sz="6" w:space="0" w:color="101010"/>
              <w:right w:val="single" w:sz="6" w:space="0" w:color="101010"/>
            </w:tcBorders>
          </w:tcPr>
          <w:p>
            <w:pPr/>
          </w:p>
        </w:tc>
        <w:tc>
          <w:tcPr>
            <w:tcW w:w="846" w:type="dxa"/>
            <w:tcBorders>
              <w:top w:val="single" w:sz="6" w:space="0" w:color="101010"/>
              <w:left w:val="single" w:sz="6" w:space="0" w:color="101010"/>
              <w:bottom w:val="single" w:sz="6" w:space="0" w:color="101010"/>
              <w:right w:val="single" w:sz="6" w:space="0" w:color="101010"/>
            </w:tcBorders>
          </w:tcPr>
          <w:p>
            <w:pPr/>
          </w:p>
        </w:tc>
      </w:tr>
      <w:tr>
        <w:trPr>
          <w:trHeight w:val="2117" w:hRule="exact"/>
        </w:trPr>
        <w:tc>
          <w:tcPr>
            <w:tcW w:w="99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2" w:lineRule="exact" w:before="24"/>
              <w:ind w:left="100" w:right="79"/>
              <w:jc w:val="both"/>
              <w:rPr>
                <w:rFonts w:ascii="宋体" w:hAnsi="宋体" w:cs="宋体" w:eastAsia="宋体" w:hint="default"/>
                <w:sz w:val="18"/>
                <w:szCs w:val="18"/>
              </w:rPr>
            </w:pPr>
            <w:r>
              <w:rPr>
                <w:rFonts w:ascii="宋体" w:hAnsi="宋体" w:cs="宋体" w:eastAsia="宋体" w:hint="default"/>
                <w:spacing w:val="15"/>
                <w:sz w:val="18"/>
                <w:szCs w:val="18"/>
              </w:rPr>
              <w:t>不重大但</w:t>
            </w:r>
            <w:r>
              <w:rPr>
                <w:rFonts w:ascii="宋体" w:hAnsi="宋体" w:cs="宋体" w:eastAsia="宋体" w:hint="default"/>
                <w:spacing w:val="-70"/>
                <w:sz w:val="18"/>
                <w:szCs w:val="18"/>
              </w:rPr>
              <w:t> </w:t>
            </w:r>
            <w:r>
              <w:rPr>
                <w:rFonts w:ascii="宋体" w:hAnsi="宋体" w:cs="宋体" w:eastAsia="宋体" w:hint="default"/>
                <w:sz w:val="18"/>
                <w:szCs w:val="18"/>
              </w:rPr>
              <w:t>按信用</w:t>
            </w:r>
          </w:p>
          <w:p>
            <w:pPr>
              <w:pStyle w:val="TableParagraph"/>
              <w:spacing w:line="232" w:lineRule="exact" w:before="2"/>
              <w:ind w:left="100" w:right="79"/>
              <w:jc w:val="both"/>
              <w:rPr>
                <w:rFonts w:ascii="宋体" w:hAnsi="宋体" w:cs="宋体" w:eastAsia="宋体" w:hint="default"/>
                <w:sz w:val="18"/>
                <w:szCs w:val="18"/>
              </w:rPr>
            </w:pPr>
            <w:r>
              <w:rPr>
                <w:rFonts w:ascii="宋体" w:hAnsi="宋体" w:cs="宋体" w:eastAsia="宋体" w:hint="default"/>
                <w:spacing w:val="15"/>
                <w:sz w:val="18"/>
                <w:szCs w:val="18"/>
              </w:rPr>
              <w:t>风险特征</w:t>
            </w:r>
            <w:r>
              <w:rPr>
                <w:rFonts w:ascii="宋体" w:hAnsi="宋体" w:cs="宋体" w:eastAsia="宋体" w:hint="default"/>
                <w:spacing w:val="-70"/>
                <w:sz w:val="18"/>
                <w:szCs w:val="18"/>
              </w:rPr>
              <w:t> </w:t>
            </w:r>
            <w:r>
              <w:rPr>
                <w:rFonts w:ascii="宋体" w:hAnsi="宋体" w:cs="宋体" w:eastAsia="宋体" w:hint="default"/>
                <w:spacing w:val="15"/>
                <w:sz w:val="18"/>
                <w:szCs w:val="18"/>
              </w:rPr>
              <w:t>组合后该</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z w:val="18"/>
                <w:szCs w:val="18"/>
              </w:rPr>
              <w:t>组合的</w:t>
            </w:r>
          </w:p>
          <w:p>
            <w:pPr>
              <w:pStyle w:val="TableParagraph"/>
              <w:spacing w:line="240" w:lineRule="auto"/>
              <w:ind w:left="100" w:right="79"/>
              <w:jc w:val="both"/>
              <w:rPr>
                <w:rFonts w:ascii="宋体" w:hAnsi="宋体" w:cs="宋体" w:eastAsia="宋体" w:hint="default"/>
                <w:sz w:val="18"/>
                <w:szCs w:val="18"/>
              </w:rPr>
            </w:pPr>
            <w:r>
              <w:rPr>
                <w:rFonts w:ascii="宋体" w:hAnsi="宋体" w:cs="宋体" w:eastAsia="宋体" w:hint="default"/>
                <w:spacing w:val="15"/>
                <w:sz w:val="18"/>
                <w:szCs w:val="18"/>
              </w:rPr>
              <w:t>风险较大</w:t>
            </w:r>
            <w:r>
              <w:rPr>
                <w:rFonts w:ascii="宋体" w:hAnsi="宋体" w:cs="宋体" w:eastAsia="宋体" w:hint="default"/>
                <w:spacing w:val="-70"/>
                <w:sz w:val="18"/>
                <w:szCs w:val="18"/>
              </w:rPr>
              <w:t> </w:t>
            </w:r>
            <w:r>
              <w:rPr>
                <w:rFonts w:ascii="宋体" w:hAnsi="宋体" w:cs="宋体" w:eastAsia="宋体" w:hint="default"/>
                <w:spacing w:val="15"/>
                <w:sz w:val="18"/>
                <w:szCs w:val="18"/>
              </w:rPr>
              <w:t>的应收账</w:t>
            </w:r>
            <w:r>
              <w:rPr>
                <w:rFonts w:ascii="宋体" w:hAnsi="宋体" w:cs="宋体" w:eastAsia="宋体" w:hint="default"/>
                <w:spacing w:val="-70"/>
                <w:sz w:val="18"/>
                <w:szCs w:val="18"/>
              </w:rPr>
              <w:t> </w:t>
            </w:r>
            <w:r>
              <w:rPr>
                <w:rFonts w:ascii="宋体" w:hAnsi="宋体" w:cs="宋体" w:eastAsia="宋体" w:hint="default"/>
                <w:sz w:val="18"/>
                <w:szCs w:val="18"/>
              </w:rPr>
              <w:t>款</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2,402,502.51</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2.41</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2,402,502.51</w:t>
            </w:r>
          </w:p>
        </w:tc>
        <w:tc>
          <w:tcPr>
            <w:tcW w:w="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100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2,498,745.08</w:t>
            </w:r>
          </w:p>
        </w:tc>
        <w:tc>
          <w:tcPr>
            <w:tcW w:w="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1.90</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2,498,745.08</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99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其他不重</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ind w:left="100" w:right="79"/>
              <w:jc w:val="left"/>
              <w:rPr>
                <w:rFonts w:ascii="宋体" w:hAnsi="宋体" w:cs="宋体" w:eastAsia="宋体" w:hint="default"/>
                <w:sz w:val="18"/>
                <w:szCs w:val="18"/>
              </w:rPr>
            </w:pPr>
            <w:r>
              <w:rPr>
                <w:rFonts w:ascii="宋体" w:hAnsi="宋体" w:cs="宋体" w:eastAsia="宋体" w:hint="default"/>
                <w:spacing w:val="15"/>
                <w:sz w:val="18"/>
                <w:szCs w:val="18"/>
              </w:rPr>
              <w:t>大应收账</w:t>
            </w:r>
            <w:r>
              <w:rPr>
                <w:rFonts w:ascii="宋体" w:hAnsi="宋体" w:cs="宋体" w:eastAsia="宋体" w:hint="default"/>
                <w:spacing w:val="-70"/>
                <w:sz w:val="18"/>
                <w:szCs w:val="18"/>
              </w:rPr>
              <w:t> </w:t>
            </w:r>
            <w:r>
              <w:rPr>
                <w:rFonts w:ascii="宋体" w:hAnsi="宋体" w:cs="宋体" w:eastAsia="宋体" w:hint="default"/>
                <w:sz w:val="18"/>
                <w:szCs w:val="18"/>
              </w:rPr>
              <w:t>款</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97,204,678.02</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97.59</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5,447,064.58</w:t>
            </w:r>
          </w:p>
        </w:tc>
        <w:tc>
          <w:tcPr>
            <w:tcW w:w="847"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128,892,741.64</w:t>
            </w:r>
          </w:p>
        </w:tc>
        <w:tc>
          <w:tcPr>
            <w:tcW w:w="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98.10</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7,211,462.12</w:t>
            </w:r>
          </w:p>
        </w:tc>
        <w:tc>
          <w:tcPr>
            <w:tcW w:w="84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99,607,180.53</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7,849,567.09</w:t>
            </w:r>
          </w:p>
        </w:tc>
        <w:tc>
          <w:tcPr>
            <w:tcW w:w="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131,391,486.72</w:t>
            </w:r>
          </w:p>
        </w:tc>
        <w:tc>
          <w:tcPr>
            <w:tcW w:w="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356"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9,710,207.20</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5"/>
          <w:szCs w:val="5"/>
        </w:rPr>
      </w:pPr>
    </w:p>
    <w:p>
      <w:pPr>
        <w:pStyle w:val="BodyText"/>
        <w:spacing w:line="282" w:lineRule="exact" w:before="35"/>
        <w:ind w:left="504" w:right="219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本报告期实际核销的应收款项情况</w:t>
      </w:r>
    </w:p>
    <w:p>
      <w:pPr>
        <w:pStyle w:val="BodyText"/>
        <w:spacing w:line="266" w:lineRule="exact"/>
        <w:ind w:left="0" w:right="171"/>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860"/>
        <w:gridCol w:w="1860"/>
        <w:gridCol w:w="1860"/>
        <w:gridCol w:w="2512"/>
        <w:gridCol w:w="1208"/>
      </w:tblGrid>
      <w:tr>
        <w:trPr>
          <w:trHeight w:val="832" w:hRule="exact"/>
        </w:trPr>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应收款项性质</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21"/>
                <w:szCs w:val="21"/>
              </w:rPr>
            </w:pPr>
            <w:r>
              <w:rPr>
                <w:rFonts w:ascii="宋体" w:hAnsi="宋体" w:cs="宋体" w:eastAsia="宋体" w:hint="default"/>
                <w:sz w:val="21"/>
                <w:szCs w:val="21"/>
              </w:rPr>
              <w:t>冲销金额</w:t>
            </w:r>
          </w:p>
        </w:tc>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冲销原因</w:t>
            </w:r>
          </w:p>
        </w:tc>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是否因关</w:t>
            </w:r>
          </w:p>
          <w:p>
            <w:pPr>
              <w:pStyle w:val="TableParagraph"/>
              <w:spacing w:line="272" w:lineRule="exact" w:before="26"/>
              <w:ind w:left="491" w:right="175" w:hanging="316"/>
              <w:jc w:val="left"/>
              <w:rPr>
                <w:rFonts w:ascii="宋体" w:hAnsi="宋体" w:cs="宋体" w:eastAsia="宋体" w:hint="default"/>
                <w:sz w:val="21"/>
                <w:szCs w:val="21"/>
              </w:rPr>
            </w:pPr>
            <w:r>
              <w:rPr>
                <w:rFonts w:ascii="宋体" w:hAnsi="宋体" w:cs="宋体" w:eastAsia="宋体" w:hint="default"/>
                <w:sz w:val="21"/>
                <w:szCs w:val="21"/>
              </w:rPr>
              <w:t>联交易产 生</w:t>
            </w:r>
          </w:p>
        </w:tc>
      </w:tr>
      <w:tr>
        <w:trPr>
          <w:trHeight w:val="288" w:hRule="exact"/>
        </w:trPr>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60" w:type="dxa"/>
            <w:tcBorders>
              <w:top w:val="single" w:sz="6" w:space="0" w:color="101010"/>
              <w:left w:val="single" w:sz="6" w:space="0" w:color="101010"/>
              <w:bottom w:val="single" w:sz="6" w:space="0" w:color="101010"/>
              <w:right w:val="single" w:sz="6" w:space="0" w:color="101010"/>
            </w:tcBorders>
          </w:tcPr>
          <w:p>
            <w:pPr/>
          </w:p>
        </w:tc>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auto" w:before="84"/>
        <w:ind w:left="504" w:right="2197"/>
        <w:jc w:val="left"/>
      </w:pPr>
      <w:r>
        <w:rPr/>
        <w:t>本年实际核销的应收账款金额为</w:t>
      </w:r>
      <w:r>
        <w:rPr>
          <w:spacing w:val="-55"/>
        </w:rPr>
        <w:t> </w:t>
      </w:r>
      <w:r>
        <w:rPr>
          <w:rFonts w:ascii="Times New Roman" w:hAnsi="Times New Roman" w:cs="Times New Roman" w:eastAsia="Times New Roman" w:hint="default"/>
        </w:rPr>
        <w:t>312,781.08</w:t>
      </w:r>
      <w:r>
        <w:rPr>
          <w:rFonts w:ascii="Times New Roman" w:hAnsi="Times New Roman" w:cs="Times New Roman" w:eastAsia="Times New Roman" w:hint="default"/>
          <w:spacing w:val="-2"/>
        </w:rPr>
        <w:t> </w:t>
      </w:r>
      <w:r>
        <w:rPr/>
        <w:t>元。</w:t>
      </w:r>
    </w:p>
    <w:p>
      <w:pPr>
        <w:spacing w:after="0" w:line="240" w:lineRule="auto"/>
        <w:jc w:val="left"/>
        <w:sectPr>
          <w:pgSz w:w="12240" w:h="15840"/>
          <w:pgMar w:header="747" w:footer="727" w:top="1040" w:bottom="920" w:left="1380" w:right="1300"/>
        </w:sectPr>
      </w:pPr>
    </w:p>
    <w:p>
      <w:pPr>
        <w:spacing w:line="240" w:lineRule="auto" w:before="3"/>
        <w:rPr>
          <w:rFonts w:ascii="宋体" w:hAnsi="宋体" w:cs="宋体" w:eastAsia="宋体" w:hint="default"/>
          <w:sz w:val="24"/>
          <w:szCs w:val="24"/>
        </w:rPr>
      </w:pPr>
    </w:p>
    <w:p>
      <w:pPr>
        <w:pStyle w:val="BodyText"/>
        <w:spacing w:line="240" w:lineRule="auto" w:before="35"/>
        <w:ind w:left="504" w:right="0"/>
        <w:jc w:val="left"/>
      </w:pPr>
      <w:r>
        <w:rPr>
          <w:rFonts w:ascii="Times New Roman" w:hAnsi="Times New Roman" w:cs="Times New Roman" w:eastAsia="Times New Roman" w:hint="default"/>
        </w:rPr>
        <w:t>(3) </w:t>
      </w:r>
      <w:r>
        <w:rPr/>
        <w:t>本报告期应收账款中无持有公司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以上表决权股份的股东单位的欠款。</w:t>
      </w:r>
    </w:p>
    <w:p>
      <w:pPr>
        <w:spacing w:line="240" w:lineRule="auto" w:before="5"/>
        <w:rPr>
          <w:rFonts w:ascii="宋体" w:hAnsi="宋体" w:cs="宋体" w:eastAsia="宋体" w:hint="default"/>
          <w:sz w:val="14"/>
          <w:szCs w:val="14"/>
        </w:rPr>
      </w:pPr>
    </w:p>
    <w:p>
      <w:pPr>
        <w:pStyle w:val="BodyText"/>
        <w:spacing w:line="282" w:lineRule="exact" w:before="35"/>
        <w:ind w:left="503" w:right="219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应收账款前五名欠款情况</w:t>
      </w:r>
    </w:p>
    <w:p>
      <w:pPr>
        <w:pStyle w:val="BodyText"/>
        <w:spacing w:line="266" w:lineRule="exact"/>
        <w:ind w:left="0" w:right="171"/>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698"/>
        <w:gridCol w:w="1860"/>
        <w:gridCol w:w="1952"/>
        <w:gridCol w:w="1488"/>
        <w:gridCol w:w="1302"/>
      </w:tblGrid>
      <w:tr>
        <w:trPr>
          <w:trHeight w:val="559"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549"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16"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8"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8"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60" w:type="dxa"/>
            <w:tcBorders>
              <w:top w:val="single" w:sz="6" w:space="0" w:color="101010"/>
              <w:left w:val="single" w:sz="6" w:space="0" w:color="101010"/>
              <w:bottom w:val="single" w:sz="6" w:space="0" w:color="101010"/>
              <w:right w:val="single" w:sz="6" w:space="0" w:color="101010"/>
            </w:tcBorders>
          </w:tcPr>
          <w:p>
            <w:pP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2,707,134.00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2.72</w:t>
            </w:r>
          </w:p>
        </w:tc>
      </w:tr>
      <w:tr>
        <w:trPr>
          <w:trHeight w:val="287"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60" w:type="dxa"/>
            <w:tcBorders>
              <w:top w:val="single" w:sz="6" w:space="0" w:color="101010"/>
              <w:left w:val="single" w:sz="6" w:space="0" w:color="101010"/>
              <w:bottom w:val="single" w:sz="6" w:space="0" w:color="101010"/>
              <w:right w:val="single" w:sz="6" w:space="0" w:color="101010"/>
            </w:tcBorders>
          </w:tcPr>
          <w:p>
            <w:pP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2,333,450.00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2.34</w:t>
            </w:r>
          </w:p>
        </w:tc>
      </w:tr>
      <w:tr>
        <w:trPr>
          <w:trHeight w:val="288"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60" w:type="dxa"/>
            <w:tcBorders>
              <w:top w:val="single" w:sz="6" w:space="0" w:color="101010"/>
              <w:left w:val="single" w:sz="6" w:space="0" w:color="101010"/>
              <w:bottom w:val="single" w:sz="6" w:space="0" w:color="101010"/>
              <w:right w:val="single" w:sz="6" w:space="0" w:color="101010"/>
            </w:tcBorders>
          </w:tcPr>
          <w:p>
            <w:pP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1,971,887.00</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1.98</w:t>
            </w:r>
          </w:p>
        </w:tc>
      </w:tr>
      <w:tr>
        <w:trPr>
          <w:trHeight w:val="287"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60" w:type="dxa"/>
            <w:tcBorders>
              <w:top w:val="single" w:sz="6" w:space="0" w:color="101010"/>
              <w:left w:val="single" w:sz="6" w:space="0" w:color="101010"/>
              <w:bottom w:val="single" w:sz="6" w:space="0" w:color="101010"/>
              <w:right w:val="single" w:sz="6" w:space="0" w:color="101010"/>
            </w:tcBorders>
          </w:tcPr>
          <w:p>
            <w:pP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1,985,230.33</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1.99</w:t>
            </w:r>
          </w:p>
        </w:tc>
      </w:tr>
      <w:tr>
        <w:trPr>
          <w:trHeight w:val="288"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60" w:type="dxa"/>
            <w:tcBorders>
              <w:top w:val="single" w:sz="6" w:space="0" w:color="101010"/>
              <w:left w:val="single" w:sz="6" w:space="0" w:color="101010"/>
              <w:bottom w:val="single" w:sz="6" w:space="0" w:color="101010"/>
              <w:right w:val="single" w:sz="6" w:space="0" w:color="101010"/>
            </w:tcBorders>
          </w:tcPr>
          <w:p>
            <w:pP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1,983,590.33</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1.99</w:t>
            </w:r>
          </w:p>
        </w:tc>
      </w:tr>
      <w:tr>
        <w:trPr>
          <w:trHeight w:val="288"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10,981,291.66</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11.02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27" w:top="1040" w:bottom="920" w:left="1380" w:right="1300"/>
        </w:sectPr>
      </w:pPr>
    </w:p>
    <w:p>
      <w:pPr>
        <w:pStyle w:val="BodyText"/>
        <w:spacing w:line="240" w:lineRule="auto" w:before="84"/>
        <w:ind w:right="-17"/>
        <w:jc w:val="left"/>
      </w:pPr>
      <w:r>
        <w:rPr>
          <w:rFonts w:ascii="Times New Roman" w:hAnsi="Times New Roman" w:cs="Times New Roman" w:eastAsia="Times New Roman" w:hint="default"/>
        </w:rPr>
        <w:t>5</w:t>
      </w:r>
      <w:r>
        <w:rPr/>
        <w:t>、其他应收款</w:t>
      </w:r>
    </w:p>
    <w:p>
      <w:pPr>
        <w:pStyle w:val="BodyText"/>
        <w:spacing w:line="240" w:lineRule="auto" w:before="101"/>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其他应收账款按种类披露</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BodyText"/>
        <w:tabs>
          <w:tab w:pos="1463" w:val="left" w:leader="none"/>
        </w:tabs>
        <w:spacing w:line="240" w:lineRule="auto"/>
        <w:ind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660" w:bottom="280" w:left="1380" w:right="1300"/>
          <w:cols w:num="2" w:equalWidth="0">
            <w:col w:w="2806" w:space="4009"/>
            <w:col w:w="2745"/>
          </w:cols>
        </w:sectPr>
      </w:pPr>
    </w:p>
    <w:tbl>
      <w:tblPr>
        <w:tblW w:w="0" w:type="auto"/>
        <w:jc w:val="left"/>
        <w:tblInd w:w="129" w:type="dxa"/>
        <w:tblLayout w:type="fixed"/>
        <w:tblCellMar>
          <w:top w:w="0" w:type="dxa"/>
          <w:left w:w="0" w:type="dxa"/>
          <w:bottom w:w="0" w:type="dxa"/>
          <w:right w:w="0" w:type="dxa"/>
        </w:tblCellMar>
        <w:tblLook w:val="01E0"/>
      </w:tblPr>
      <w:tblGrid>
        <w:gridCol w:w="1048"/>
        <w:gridCol w:w="1250"/>
        <w:gridCol w:w="834"/>
        <w:gridCol w:w="1162"/>
        <w:gridCol w:w="835"/>
        <w:gridCol w:w="1250"/>
        <w:gridCol w:w="835"/>
        <w:gridCol w:w="1252"/>
        <w:gridCol w:w="834"/>
      </w:tblGrid>
      <w:tr>
        <w:trPr>
          <w:trHeight w:val="404" w:hRule="exact"/>
        </w:trPr>
        <w:tc>
          <w:tcPr>
            <w:tcW w:w="104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081"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71"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1048" w:type="dxa"/>
            <w:vMerge/>
            <w:tcBorders>
              <w:left w:val="single" w:sz="6" w:space="0" w:color="101010"/>
              <w:right w:val="single" w:sz="6" w:space="0" w:color="101010"/>
            </w:tcBorders>
          </w:tcPr>
          <w:p>
            <w:pPr/>
          </w:p>
        </w:tc>
        <w:tc>
          <w:tcPr>
            <w:tcW w:w="208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1" w:hRule="exact"/>
        </w:trPr>
        <w:tc>
          <w:tcPr>
            <w:tcW w:w="1048" w:type="dxa"/>
            <w:vMerge/>
            <w:tcBorders>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2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5"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5"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2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1" w:hRule="exact"/>
        </w:trPr>
        <w:tc>
          <w:tcPr>
            <w:tcW w:w="1048"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单项金额</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tcBorders>
              <w:top w:val="single" w:sz="6" w:space="0" w:color="101010"/>
              <w:left w:val="single" w:sz="6" w:space="0" w:color="101010"/>
              <w:bottom w:val="nil" w:sz="6" w:space="0" w:color="auto"/>
              <w:right w:val="single" w:sz="6" w:space="0" w:color="101010"/>
            </w:tcBorders>
          </w:tcPr>
          <w:p>
            <w:pPr/>
          </w:p>
        </w:tc>
        <w:tc>
          <w:tcPr>
            <w:tcW w:w="834" w:type="dxa"/>
            <w:tcBorders>
              <w:top w:val="single" w:sz="6" w:space="0" w:color="101010"/>
              <w:left w:val="single" w:sz="6" w:space="0" w:color="101010"/>
              <w:bottom w:val="nil" w:sz="6" w:space="0" w:color="auto"/>
              <w:right w:val="single" w:sz="6" w:space="0" w:color="101010"/>
            </w:tcBorders>
          </w:tcPr>
          <w:p>
            <w:pPr/>
          </w:p>
        </w:tc>
        <w:tc>
          <w:tcPr>
            <w:tcW w:w="1162" w:type="dxa"/>
            <w:tcBorders>
              <w:top w:val="single" w:sz="6" w:space="0" w:color="101010"/>
              <w:left w:val="single" w:sz="6" w:space="0" w:color="101010"/>
              <w:bottom w:val="nil" w:sz="6" w:space="0" w:color="auto"/>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835" w:type="dxa"/>
            <w:tcBorders>
              <w:top w:val="single" w:sz="6" w:space="0" w:color="101010"/>
              <w:left w:val="single" w:sz="6" w:space="0" w:color="101010"/>
              <w:bottom w:val="nil" w:sz="6" w:space="0" w:color="auto"/>
              <w:right w:val="single" w:sz="6" w:space="0" w:color="101010"/>
            </w:tcBorders>
          </w:tcPr>
          <w:p>
            <w:pPr/>
          </w:p>
        </w:tc>
        <w:tc>
          <w:tcPr>
            <w:tcW w:w="1252" w:type="dxa"/>
            <w:tcBorders>
              <w:top w:val="single" w:sz="6" w:space="0" w:color="101010"/>
              <w:left w:val="single" w:sz="6" w:space="0" w:color="101010"/>
              <w:bottom w:val="nil" w:sz="6" w:space="0" w:color="auto"/>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r>
      <w:tr>
        <w:trPr>
          <w:trHeight w:val="467"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重大的其</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他应收款</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sz w:val="18"/>
              </w:rPr>
              <w:t>50,000,000.00</w:t>
            </w:r>
          </w:p>
        </w:tc>
        <w:tc>
          <w:tcPr>
            <w:tcW w:w="834" w:type="dxa"/>
            <w:tcBorders>
              <w:top w:val="nil" w:sz="6" w:space="0" w:color="auto"/>
              <w:left w:val="single" w:sz="6" w:space="0" w:color="101010"/>
              <w:bottom w:val="nil" w:sz="6" w:space="0" w:color="auto"/>
              <w:right w:val="single" w:sz="6" w:space="0" w:color="101010"/>
            </w:tcBorders>
          </w:tcPr>
          <w:p>
            <w:pPr>
              <w:pStyle w:val="TableParagraph"/>
              <w:spacing w:line="240" w:lineRule="auto" w:before="126"/>
              <w:ind w:left="313" w:right="0"/>
              <w:jc w:val="left"/>
              <w:rPr>
                <w:rFonts w:ascii="Times New Roman" w:hAnsi="Times New Roman" w:cs="Times New Roman" w:eastAsia="Times New Roman" w:hint="default"/>
                <w:sz w:val="18"/>
                <w:szCs w:val="18"/>
              </w:rPr>
            </w:pPr>
            <w:r>
              <w:rPr>
                <w:rFonts w:ascii="Times New Roman"/>
                <w:sz w:val="18"/>
              </w:rPr>
              <w:t>82.78</w:t>
            </w:r>
          </w:p>
        </w:tc>
        <w:tc>
          <w:tcPr>
            <w:tcW w:w="1162" w:type="dxa"/>
            <w:tcBorders>
              <w:top w:val="nil" w:sz="6" w:space="0" w:color="auto"/>
              <w:left w:val="single" w:sz="6" w:space="0" w:color="101010"/>
              <w:bottom w:val="nil" w:sz="6" w:space="0" w:color="auto"/>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835"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50,000,000.00</w:t>
            </w:r>
          </w:p>
        </w:tc>
        <w:tc>
          <w:tcPr>
            <w:tcW w:w="835" w:type="dxa"/>
            <w:tcBorders>
              <w:top w:val="nil" w:sz="6" w:space="0" w:color="auto"/>
              <w:left w:val="single" w:sz="6" w:space="0" w:color="101010"/>
              <w:bottom w:val="nil" w:sz="6" w:space="0" w:color="auto"/>
              <w:right w:val="single" w:sz="6" w:space="0" w:color="101010"/>
            </w:tcBorders>
          </w:tcPr>
          <w:p>
            <w:pPr>
              <w:pStyle w:val="TableParagraph"/>
              <w:spacing w:line="240" w:lineRule="auto" w:before="126"/>
              <w:ind w:left="314" w:right="0"/>
              <w:jc w:val="left"/>
              <w:rPr>
                <w:rFonts w:ascii="Times New Roman" w:hAnsi="Times New Roman" w:cs="Times New Roman" w:eastAsia="Times New Roman" w:hint="default"/>
                <w:sz w:val="18"/>
                <w:szCs w:val="18"/>
              </w:rPr>
            </w:pPr>
            <w:r>
              <w:rPr>
                <w:rFonts w:ascii="Times New Roman"/>
                <w:sz w:val="18"/>
              </w:rPr>
              <w:t>83.76</w:t>
            </w:r>
          </w:p>
        </w:tc>
        <w:tc>
          <w:tcPr>
            <w:tcW w:w="1252" w:type="dxa"/>
            <w:tcBorders>
              <w:top w:val="nil" w:sz="6" w:space="0" w:color="auto"/>
              <w:left w:val="single" w:sz="6" w:space="0" w:color="101010"/>
              <w:bottom w:val="nil" w:sz="6" w:space="0" w:color="auto"/>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17,000,000.00</w:t>
            </w:r>
          </w:p>
        </w:tc>
        <w:tc>
          <w:tcPr>
            <w:tcW w:w="834" w:type="dxa"/>
            <w:vMerge/>
            <w:tcBorders>
              <w:left w:val="single" w:sz="6" w:space="0" w:color="101010"/>
              <w:right w:val="single" w:sz="6" w:space="0" w:color="101010"/>
            </w:tcBorders>
          </w:tcPr>
          <w:p>
            <w:pPr/>
          </w:p>
        </w:tc>
      </w:tr>
      <w:tr>
        <w:trPr>
          <w:trHeight w:val="242" w:hRule="exact"/>
        </w:trPr>
        <w:tc>
          <w:tcPr>
            <w:tcW w:w="1048" w:type="dxa"/>
            <w:tcBorders>
              <w:top w:val="nil" w:sz="6" w:space="0" w:color="auto"/>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250" w:type="dxa"/>
            <w:tcBorders>
              <w:top w:val="nil" w:sz="6" w:space="0" w:color="auto"/>
              <w:left w:val="single" w:sz="6" w:space="0" w:color="101010"/>
              <w:bottom w:val="single" w:sz="6" w:space="0" w:color="101010"/>
              <w:right w:val="single" w:sz="6" w:space="0" w:color="101010"/>
            </w:tcBorders>
          </w:tcPr>
          <w:p>
            <w:pPr/>
          </w:p>
        </w:tc>
        <w:tc>
          <w:tcPr>
            <w:tcW w:w="834" w:type="dxa"/>
            <w:tcBorders>
              <w:top w:val="nil" w:sz="6" w:space="0" w:color="auto"/>
              <w:left w:val="single" w:sz="6" w:space="0" w:color="101010"/>
              <w:bottom w:val="single" w:sz="6" w:space="0" w:color="101010"/>
              <w:right w:val="single" w:sz="6" w:space="0" w:color="101010"/>
            </w:tcBorders>
          </w:tcPr>
          <w:p>
            <w:pPr/>
          </w:p>
        </w:tc>
        <w:tc>
          <w:tcPr>
            <w:tcW w:w="1162" w:type="dxa"/>
            <w:tcBorders>
              <w:top w:val="nil" w:sz="6" w:space="0" w:color="auto"/>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835" w:type="dxa"/>
            <w:tcBorders>
              <w:top w:val="nil" w:sz="6" w:space="0" w:color="auto"/>
              <w:left w:val="single" w:sz="6" w:space="0" w:color="101010"/>
              <w:bottom w:val="single" w:sz="6" w:space="0" w:color="101010"/>
              <w:right w:val="single" w:sz="6" w:space="0" w:color="101010"/>
            </w:tcBorders>
          </w:tcPr>
          <w:p>
            <w:pPr/>
          </w:p>
        </w:tc>
        <w:tc>
          <w:tcPr>
            <w:tcW w:w="1252" w:type="dxa"/>
            <w:tcBorders>
              <w:top w:val="nil" w:sz="6" w:space="0" w:color="auto"/>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r>
      <w:tr>
        <w:trPr>
          <w:trHeight w:val="240" w:hRule="exact"/>
        </w:trPr>
        <w:tc>
          <w:tcPr>
            <w:tcW w:w="1048"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单项金额</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val="restart"/>
            <w:tcBorders>
              <w:top w:val="single" w:sz="6" w:space="0" w:color="101010"/>
              <w:left w:val="single" w:sz="6" w:space="0" w:color="101010"/>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c>
          <w:tcPr>
            <w:tcW w:w="1162" w:type="dxa"/>
            <w:vMerge w:val="restart"/>
            <w:tcBorders>
              <w:top w:val="single" w:sz="6" w:space="0" w:color="101010"/>
              <w:left w:val="single" w:sz="6" w:space="0" w:color="101010"/>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2" w:type="dxa"/>
            <w:vMerge w:val="restart"/>
            <w:tcBorders>
              <w:top w:val="single" w:sz="6" w:space="0" w:color="101010"/>
              <w:left w:val="single" w:sz="6" w:space="0" w:color="101010"/>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不重大但</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按信用风</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险</w:t>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特征组合</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后该组合</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的风险较</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w:t>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4"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的其他应</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42" w:hRule="exact"/>
        </w:trPr>
        <w:tc>
          <w:tcPr>
            <w:tcW w:w="1048" w:type="dxa"/>
            <w:tcBorders>
              <w:top w:val="nil" w:sz="6" w:space="0" w:color="auto"/>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收款项</w:t>
            </w:r>
          </w:p>
        </w:tc>
        <w:tc>
          <w:tcPr>
            <w:tcW w:w="1250" w:type="dxa"/>
            <w:vMerge/>
            <w:tcBorders>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c>
          <w:tcPr>
            <w:tcW w:w="1162" w:type="dxa"/>
            <w:vMerge/>
            <w:tcBorders>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2" w:type="dxa"/>
            <w:vMerge/>
            <w:tcBorders>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r>
      <w:tr>
        <w:trPr>
          <w:trHeight w:val="240" w:hRule="exact"/>
        </w:trPr>
        <w:tc>
          <w:tcPr>
            <w:tcW w:w="1048"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其他不重</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tcBorders>
              <w:top w:val="single" w:sz="6" w:space="0" w:color="101010"/>
              <w:left w:val="single" w:sz="6" w:space="0" w:color="101010"/>
              <w:bottom w:val="nil" w:sz="6" w:space="0" w:color="auto"/>
              <w:right w:val="single" w:sz="6" w:space="0" w:color="101010"/>
            </w:tcBorders>
          </w:tcPr>
          <w:p>
            <w:pPr/>
          </w:p>
        </w:tc>
        <w:tc>
          <w:tcPr>
            <w:tcW w:w="834" w:type="dxa"/>
            <w:tcBorders>
              <w:top w:val="single" w:sz="6" w:space="0" w:color="101010"/>
              <w:left w:val="single" w:sz="6" w:space="0" w:color="101010"/>
              <w:bottom w:val="nil" w:sz="6" w:space="0" w:color="auto"/>
              <w:right w:val="single" w:sz="6" w:space="0" w:color="101010"/>
            </w:tcBorders>
          </w:tcPr>
          <w:p>
            <w:pPr/>
          </w:p>
        </w:tc>
        <w:tc>
          <w:tcPr>
            <w:tcW w:w="1162" w:type="dxa"/>
            <w:tcBorders>
              <w:top w:val="single" w:sz="6" w:space="0" w:color="101010"/>
              <w:left w:val="single" w:sz="6" w:space="0" w:color="101010"/>
              <w:bottom w:val="nil" w:sz="6" w:space="0" w:color="auto"/>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835" w:type="dxa"/>
            <w:tcBorders>
              <w:top w:val="single" w:sz="6" w:space="0" w:color="101010"/>
              <w:left w:val="single" w:sz="6" w:space="0" w:color="101010"/>
              <w:bottom w:val="nil" w:sz="6" w:space="0" w:color="auto"/>
              <w:right w:val="single" w:sz="6" w:space="0" w:color="101010"/>
            </w:tcBorders>
          </w:tcPr>
          <w:p>
            <w:pPr/>
          </w:p>
        </w:tc>
        <w:tc>
          <w:tcPr>
            <w:tcW w:w="1252" w:type="dxa"/>
            <w:tcBorders>
              <w:top w:val="single" w:sz="6" w:space="0" w:color="101010"/>
              <w:left w:val="single" w:sz="6" w:space="0" w:color="101010"/>
              <w:bottom w:val="nil" w:sz="6" w:space="0" w:color="auto"/>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r>
      <w:tr>
        <w:trPr>
          <w:trHeight w:val="237"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大其他应</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10,400,537.48</w:t>
            </w:r>
          </w:p>
        </w:tc>
        <w:tc>
          <w:tcPr>
            <w:tcW w:w="834"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left="313" w:right="0"/>
              <w:jc w:val="left"/>
              <w:rPr>
                <w:rFonts w:ascii="Times New Roman" w:hAnsi="Times New Roman" w:cs="Times New Roman" w:eastAsia="Times New Roman" w:hint="default"/>
                <w:sz w:val="18"/>
                <w:szCs w:val="18"/>
              </w:rPr>
            </w:pPr>
            <w:r>
              <w:rPr>
                <w:rFonts w:ascii="Times New Roman"/>
                <w:sz w:val="18"/>
              </w:rPr>
              <w:t>17.22</w:t>
            </w:r>
          </w:p>
        </w:tc>
        <w:tc>
          <w:tcPr>
            <w:tcW w:w="1162"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869,186.46</w:t>
            </w:r>
          </w:p>
        </w:tc>
        <w:tc>
          <w:tcPr>
            <w:tcW w:w="835"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9,695,638.58</w:t>
            </w:r>
          </w:p>
        </w:tc>
        <w:tc>
          <w:tcPr>
            <w:tcW w:w="835"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left="314" w:right="0"/>
              <w:jc w:val="left"/>
              <w:rPr>
                <w:rFonts w:ascii="Times New Roman" w:hAnsi="Times New Roman" w:cs="Times New Roman" w:eastAsia="Times New Roman" w:hint="default"/>
                <w:sz w:val="18"/>
                <w:szCs w:val="18"/>
              </w:rPr>
            </w:pPr>
            <w:r>
              <w:rPr>
                <w:rFonts w:ascii="Times New Roman"/>
                <w:sz w:val="18"/>
              </w:rPr>
              <w:t>16.24</w:t>
            </w:r>
          </w:p>
        </w:tc>
        <w:tc>
          <w:tcPr>
            <w:tcW w:w="1252" w:type="dxa"/>
            <w:tcBorders>
              <w:top w:val="nil" w:sz="6" w:space="0" w:color="auto"/>
              <w:left w:val="single" w:sz="6" w:space="0" w:color="101010"/>
              <w:bottom w:val="nil" w:sz="6" w:space="0" w:color="auto"/>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608,932.25</w:t>
            </w:r>
          </w:p>
        </w:tc>
        <w:tc>
          <w:tcPr>
            <w:tcW w:w="834" w:type="dxa"/>
            <w:vMerge/>
            <w:tcBorders>
              <w:left w:val="single" w:sz="6" w:space="0" w:color="101010"/>
              <w:right w:val="single" w:sz="6" w:space="0" w:color="101010"/>
            </w:tcBorders>
          </w:tcPr>
          <w:p>
            <w:pPr/>
          </w:p>
        </w:tc>
      </w:tr>
      <w:tr>
        <w:trPr>
          <w:trHeight w:val="239" w:hRule="exact"/>
        </w:trPr>
        <w:tc>
          <w:tcPr>
            <w:tcW w:w="1048" w:type="dxa"/>
            <w:tcBorders>
              <w:top w:val="nil" w:sz="6" w:space="0" w:color="auto"/>
              <w:left w:val="single" w:sz="6" w:space="0" w:color="101010"/>
              <w:bottom w:val="single" w:sz="6" w:space="0" w:color="101010"/>
              <w:right w:val="single" w:sz="6" w:space="0" w:color="10101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收款项</w:t>
            </w:r>
          </w:p>
        </w:tc>
        <w:tc>
          <w:tcPr>
            <w:tcW w:w="1250" w:type="dxa"/>
            <w:tcBorders>
              <w:top w:val="nil" w:sz="6" w:space="0" w:color="auto"/>
              <w:left w:val="single" w:sz="6" w:space="0" w:color="101010"/>
              <w:bottom w:val="single" w:sz="6" w:space="0" w:color="101010"/>
              <w:right w:val="single" w:sz="6" w:space="0" w:color="101010"/>
            </w:tcBorders>
          </w:tcPr>
          <w:p>
            <w:pPr/>
          </w:p>
        </w:tc>
        <w:tc>
          <w:tcPr>
            <w:tcW w:w="834" w:type="dxa"/>
            <w:tcBorders>
              <w:top w:val="nil" w:sz="6" w:space="0" w:color="auto"/>
              <w:left w:val="single" w:sz="6" w:space="0" w:color="101010"/>
              <w:bottom w:val="single" w:sz="6" w:space="0" w:color="101010"/>
              <w:right w:val="single" w:sz="6" w:space="0" w:color="101010"/>
            </w:tcBorders>
          </w:tcPr>
          <w:p>
            <w:pPr/>
          </w:p>
        </w:tc>
        <w:tc>
          <w:tcPr>
            <w:tcW w:w="1162" w:type="dxa"/>
            <w:tcBorders>
              <w:top w:val="nil" w:sz="6" w:space="0" w:color="auto"/>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835" w:type="dxa"/>
            <w:tcBorders>
              <w:top w:val="nil" w:sz="6" w:space="0" w:color="auto"/>
              <w:left w:val="single" w:sz="6" w:space="0" w:color="101010"/>
              <w:bottom w:val="single" w:sz="6" w:space="0" w:color="101010"/>
              <w:right w:val="single" w:sz="6" w:space="0" w:color="101010"/>
            </w:tcBorders>
          </w:tcPr>
          <w:p>
            <w:pPr/>
          </w:p>
        </w:tc>
        <w:tc>
          <w:tcPr>
            <w:tcW w:w="1252" w:type="dxa"/>
            <w:tcBorders>
              <w:top w:val="nil" w:sz="6" w:space="0" w:color="auto"/>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r>
      <w:tr>
        <w:trPr>
          <w:trHeight w:val="248" w:hRule="exact"/>
        </w:trPr>
        <w:tc>
          <w:tcPr>
            <w:tcW w:w="104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60,400,537.48</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349"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5,869,186.46</w:t>
            </w:r>
          </w:p>
        </w:tc>
        <w:tc>
          <w:tcPr>
            <w:tcW w:w="8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59,695,638.58</w:t>
            </w:r>
          </w:p>
        </w:tc>
        <w:tc>
          <w:tcPr>
            <w:tcW w:w="8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350"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17,608,932.25</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4"/>
          <w:szCs w:val="14"/>
        </w:rPr>
      </w:pPr>
    </w:p>
    <w:p>
      <w:pPr>
        <w:pStyle w:val="BodyText"/>
        <w:spacing w:line="282" w:lineRule="exact" w:before="35"/>
        <w:ind w:right="219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期末单项金额重大的其他应收款项计提：</w:t>
      </w:r>
    </w:p>
    <w:p>
      <w:pPr>
        <w:pStyle w:val="BodyText"/>
        <w:spacing w:line="266" w:lineRule="exact"/>
        <w:ind w:left="0" w:right="171"/>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512"/>
        <w:gridCol w:w="1766"/>
        <w:gridCol w:w="1582"/>
        <w:gridCol w:w="1302"/>
        <w:gridCol w:w="2138"/>
      </w:tblGrid>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其他应收款项内容</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279" w:hRule="exact"/>
        </w:trPr>
        <w:tc>
          <w:tcPr>
            <w:tcW w:w="2512" w:type="dxa"/>
            <w:tcBorders>
              <w:top w:val="single" w:sz="6" w:space="0" w:color="101010"/>
              <w:left w:val="single" w:sz="6" w:space="0" w:color="101010"/>
              <w:bottom w:val="nil" w:sz="6" w:space="0" w:color="auto"/>
              <w:right w:val="single" w:sz="6" w:space="0" w:color="101010"/>
            </w:tcBorders>
          </w:tcPr>
          <w:p>
            <w:pPr/>
          </w:p>
        </w:tc>
        <w:tc>
          <w:tcPr>
            <w:tcW w:w="1766" w:type="dxa"/>
            <w:tcBorders>
              <w:top w:val="single" w:sz="6" w:space="0" w:color="101010"/>
              <w:left w:val="single" w:sz="6" w:space="0" w:color="101010"/>
              <w:bottom w:val="nil" w:sz="6" w:space="0" w:color="auto"/>
              <w:right w:val="single" w:sz="6" w:space="0" w:color="101010"/>
            </w:tcBorders>
          </w:tcPr>
          <w:p>
            <w:pPr/>
          </w:p>
        </w:tc>
        <w:tc>
          <w:tcPr>
            <w:tcW w:w="1582" w:type="dxa"/>
            <w:tcBorders>
              <w:top w:val="single" w:sz="6" w:space="0" w:color="101010"/>
              <w:left w:val="single" w:sz="6" w:space="0" w:color="101010"/>
              <w:bottom w:val="nil" w:sz="6" w:space="0" w:color="auto"/>
              <w:right w:val="single" w:sz="6" w:space="0" w:color="101010"/>
            </w:tcBorders>
          </w:tcPr>
          <w:p>
            <w:pPr/>
          </w:p>
        </w:tc>
        <w:tc>
          <w:tcPr>
            <w:tcW w:w="1302" w:type="dxa"/>
            <w:vMerge w:val="restart"/>
            <w:tcBorders>
              <w:top w:val="single" w:sz="6" w:space="0" w:color="101010"/>
              <w:left w:val="single" w:sz="6" w:space="0" w:color="101010"/>
              <w:right w:val="single" w:sz="6" w:space="0" w:color="101010"/>
            </w:tcBorders>
          </w:tcPr>
          <w:p>
            <w:pPr/>
          </w:p>
        </w:tc>
        <w:tc>
          <w:tcPr>
            <w:tcW w:w="2138"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经本公司第三届董事</w:t>
            </w:r>
            <w:r>
              <w:rPr>
                <w:rFonts w:ascii="宋体" w:hAnsi="宋体" w:cs="宋体" w:eastAsia="宋体" w:hint="default"/>
                <w:sz w:val="21"/>
                <w:szCs w:val="21"/>
              </w:rPr>
            </w:r>
          </w:p>
        </w:tc>
      </w:tr>
      <w:tr>
        <w:trPr>
          <w:trHeight w:val="278" w:hRule="exact"/>
        </w:trPr>
        <w:tc>
          <w:tcPr>
            <w:tcW w:w="2512" w:type="dxa"/>
            <w:tcBorders>
              <w:top w:val="nil" w:sz="6" w:space="0" w:color="auto"/>
              <w:left w:val="single" w:sz="6" w:space="0" w:color="101010"/>
              <w:bottom w:val="nil" w:sz="6" w:space="0" w:color="auto"/>
              <w:right w:val="single" w:sz="6" w:space="0" w:color="101010"/>
            </w:tcBorders>
          </w:tcPr>
          <w:p>
            <w:pPr/>
          </w:p>
        </w:tc>
        <w:tc>
          <w:tcPr>
            <w:tcW w:w="1766" w:type="dxa"/>
            <w:tcBorders>
              <w:top w:val="nil" w:sz="6" w:space="0" w:color="auto"/>
              <w:left w:val="single" w:sz="6" w:space="0" w:color="101010"/>
              <w:bottom w:val="nil" w:sz="6" w:space="0" w:color="auto"/>
              <w:right w:val="single" w:sz="6" w:space="0" w:color="101010"/>
            </w:tcBorders>
          </w:tcPr>
          <w:p>
            <w:pPr/>
          </w:p>
        </w:tc>
        <w:tc>
          <w:tcPr>
            <w:tcW w:w="1582" w:type="dxa"/>
            <w:tcBorders>
              <w:top w:val="nil" w:sz="6" w:space="0" w:color="auto"/>
              <w:left w:val="single" w:sz="6" w:space="0" w:color="101010"/>
              <w:bottom w:val="nil" w:sz="6" w:space="0" w:color="auto"/>
              <w:right w:val="single" w:sz="6" w:space="0" w:color="101010"/>
            </w:tcBorders>
          </w:tcPr>
          <w:p>
            <w:pPr/>
          </w:p>
        </w:tc>
        <w:tc>
          <w:tcPr>
            <w:tcW w:w="1302" w:type="dxa"/>
            <w:vMerge/>
            <w:tcBorders>
              <w:left w:val="single" w:sz="6" w:space="0" w:color="101010"/>
              <w:right w:val="single" w:sz="6" w:space="0" w:color="101010"/>
            </w:tcBorders>
          </w:tcPr>
          <w:p>
            <w:pPr/>
          </w:p>
        </w:tc>
        <w:tc>
          <w:tcPr>
            <w:tcW w:w="2138" w:type="dxa"/>
            <w:tcBorders>
              <w:top w:val="nil" w:sz="6" w:space="0" w:color="auto"/>
              <w:left w:val="single" w:sz="6" w:space="0" w:color="101010"/>
              <w:bottom w:val="nil" w:sz="6" w:space="0" w:color="auto"/>
              <w:right w:val="single" w:sz="6" w:space="0" w:color="101010"/>
            </w:tcBorders>
          </w:tcPr>
          <w:p>
            <w:pPr>
              <w:pStyle w:val="TableParagraph"/>
              <w:spacing w:line="257" w:lineRule="exact"/>
              <w:ind w:left="8" w:right="0"/>
              <w:jc w:val="center"/>
              <w:rPr>
                <w:rFonts w:ascii="宋体" w:hAnsi="宋体" w:cs="宋体" w:eastAsia="宋体" w:hint="default"/>
                <w:sz w:val="21"/>
                <w:szCs w:val="21"/>
              </w:rPr>
            </w:pPr>
            <w:r>
              <w:rPr>
                <w:rFonts w:ascii="宋体" w:hAnsi="宋体" w:cs="宋体" w:eastAsia="宋体" w:hint="default"/>
                <w:sz w:val="21"/>
                <w:szCs w:val="21"/>
              </w:rPr>
              <w:t>会 </w:t>
            </w:r>
            <w:r>
              <w:rPr>
                <w:rFonts w:ascii="Times New Roman" w:hAnsi="Times New Roman" w:cs="Times New Roman" w:eastAsia="Times New Roman" w:hint="default"/>
                <w:sz w:val="21"/>
                <w:szCs w:val="21"/>
              </w:rPr>
              <w:t>2008 </w:t>
            </w:r>
            <w:r>
              <w:rPr>
                <w:rFonts w:ascii="Times New Roman" w:hAnsi="Times New Roman" w:cs="Times New Roman" w:eastAsia="Times New Roman" w:hint="default"/>
                <w:spacing w:val="11"/>
                <w:sz w:val="21"/>
                <w:szCs w:val="21"/>
              </w:rPr>
              <w:t> </w:t>
            </w:r>
            <w:r>
              <w:rPr>
                <w:rFonts w:ascii="宋体" w:hAnsi="宋体" w:cs="宋体" w:eastAsia="宋体" w:hint="default"/>
                <w:spacing w:val="5"/>
                <w:sz w:val="21"/>
                <w:szCs w:val="21"/>
              </w:rPr>
              <w:t>年第三次会</w:t>
            </w:r>
            <w:r>
              <w:rPr>
                <w:rFonts w:ascii="宋体" w:hAnsi="宋体" w:cs="宋体" w:eastAsia="宋体" w:hint="default"/>
                <w:sz w:val="21"/>
                <w:szCs w:val="21"/>
              </w:rPr>
            </w:r>
          </w:p>
        </w:tc>
      </w:tr>
      <w:tr>
        <w:trPr>
          <w:trHeight w:val="266" w:hRule="exact"/>
        </w:trPr>
        <w:tc>
          <w:tcPr>
            <w:tcW w:w="2512" w:type="dxa"/>
            <w:tcBorders>
              <w:top w:val="nil" w:sz="6" w:space="0" w:color="auto"/>
              <w:left w:val="single" w:sz="6" w:space="0" w:color="101010"/>
              <w:bottom w:val="nil" w:sz="6" w:space="0" w:color="auto"/>
              <w:right w:val="single" w:sz="6" w:space="0" w:color="101010"/>
            </w:tcBorders>
          </w:tcPr>
          <w:p>
            <w:pPr/>
          </w:p>
        </w:tc>
        <w:tc>
          <w:tcPr>
            <w:tcW w:w="1766" w:type="dxa"/>
            <w:tcBorders>
              <w:top w:val="nil" w:sz="6" w:space="0" w:color="auto"/>
              <w:left w:val="single" w:sz="6" w:space="0" w:color="101010"/>
              <w:bottom w:val="nil" w:sz="6" w:space="0" w:color="auto"/>
              <w:right w:val="single" w:sz="6" w:space="0" w:color="101010"/>
            </w:tcBorders>
          </w:tcPr>
          <w:p>
            <w:pPr/>
          </w:p>
        </w:tc>
        <w:tc>
          <w:tcPr>
            <w:tcW w:w="1582" w:type="dxa"/>
            <w:tcBorders>
              <w:top w:val="nil" w:sz="6" w:space="0" w:color="auto"/>
              <w:left w:val="single" w:sz="6" w:space="0" w:color="101010"/>
              <w:bottom w:val="nil" w:sz="6" w:space="0" w:color="auto"/>
              <w:right w:val="single" w:sz="6" w:space="0" w:color="101010"/>
            </w:tcBorders>
          </w:tcPr>
          <w:p>
            <w:pPr/>
          </w:p>
        </w:tc>
        <w:tc>
          <w:tcPr>
            <w:tcW w:w="1302" w:type="dxa"/>
            <w:vMerge/>
            <w:tcBorders>
              <w:left w:val="single" w:sz="6" w:space="0" w:color="101010"/>
              <w:right w:val="single" w:sz="6" w:space="0" w:color="101010"/>
            </w:tcBorders>
          </w:tcPr>
          <w:p>
            <w:pPr/>
          </w:p>
        </w:tc>
        <w:tc>
          <w:tcPr>
            <w:tcW w:w="2138" w:type="dxa"/>
            <w:tcBorders>
              <w:top w:val="nil" w:sz="6" w:space="0" w:color="auto"/>
              <w:left w:val="single" w:sz="6" w:space="0" w:color="101010"/>
              <w:bottom w:val="nil" w:sz="6" w:space="0" w:color="auto"/>
              <w:right w:val="single" w:sz="6" w:space="0" w:color="101010"/>
            </w:tcBorders>
          </w:tcPr>
          <w:p>
            <w:pPr>
              <w:pStyle w:val="TableParagraph"/>
              <w:spacing w:line="235"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议决议，对上述委托</w:t>
            </w:r>
            <w:r>
              <w:rPr>
                <w:rFonts w:ascii="宋体" w:hAnsi="宋体" w:cs="宋体" w:eastAsia="宋体" w:hint="default"/>
                <w:sz w:val="21"/>
                <w:szCs w:val="21"/>
              </w:rPr>
            </w:r>
          </w:p>
        </w:tc>
      </w:tr>
      <w:tr>
        <w:trPr>
          <w:trHeight w:val="278" w:hRule="exact"/>
        </w:trPr>
        <w:tc>
          <w:tcPr>
            <w:tcW w:w="2512"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委托天一证券理财资金</w:t>
            </w:r>
          </w:p>
        </w:tc>
        <w:tc>
          <w:tcPr>
            <w:tcW w:w="1766" w:type="dxa"/>
            <w:tcBorders>
              <w:top w:val="nil" w:sz="6" w:space="0" w:color="auto"/>
              <w:left w:val="single" w:sz="6" w:space="0" w:color="101010"/>
              <w:bottom w:val="nil" w:sz="6" w:space="0" w:color="auto"/>
              <w:right w:val="single" w:sz="6" w:space="0" w:color="101010"/>
            </w:tcBorders>
          </w:tcPr>
          <w:p>
            <w:pPr>
              <w:pStyle w:val="TableParagraph"/>
              <w:spacing w:line="240" w:lineRule="auto" w:before="15"/>
              <w:ind w:left="445" w:right="0"/>
              <w:jc w:val="left"/>
              <w:rPr>
                <w:rFonts w:ascii="Times New Roman" w:hAnsi="Times New Roman" w:cs="Times New Roman" w:eastAsia="Times New Roman" w:hint="default"/>
                <w:sz w:val="21"/>
                <w:szCs w:val="21"/>
              </w:rPr>
            </w:pPr>
            <w:r>
              <w:rPr>
                <w:rFonts w:ascii="Times New Roman"/>
                <w:sz w:val="21"/>
              </w:rPr>
              <w:t>50,000,000.00</w:t>
            </w:r>
          </w:p>
        </w:tc>
        <w:tc>
          <w:tcPr>
            <w:tcW w:w="1582" w:type="dxa"/>
            <w:tcBorders>
              <w:top w:val="nil" w:sz="6" w:space="0" w:color="auto"/>
              <w:left w:val="single" w:sz="6" w:space="0" w:color="101010"/>
              <w:bottom w:val="nil" w:sz="6" w:space="0" w:color="auto"/>
              <w:right w:val="single" w:sz="6" w:space="0" w:color="101010"/>
            </w:tcBorders>
          </w:tcPr>
          <w:p>
            <w:pPr>
              <w:pStyle w:val="TableParagraph"/>
              <w:spacing w:line="240" w:lineRule="auto" w:before="15"/>
              <w:ind w:left="363" w:right="0"/>
              <w:jc w:val="left"/>
              <w:rPr>
                <w:rFonts w:ascii="Times New Roman" w:hAnsi="Times New Roman" w:cs="Times New Roman" w:eastAsia="Times New Roman" w:hint="default"/>
                <w:sz w:val="21"/>
                <w:szCs w:val="21"/>
              </w:rPr>
            </w:pPr>
            <w:r>
              <w:rPr>
                <w:rFonts w:ascii="Times New Roman"/>
                <w:sz w:val="21"/>
              </w:rPr>
              <w:t>5,000,000.00</w:t>
            </w:r>
          </w:p>
        </w:tc>
        <w:tc>
          <w:tcPr>
            <w:tcW w:w="1302" w:type="dxa"/>
            <w:vMerge/>
            <w:tcBorders>
              <w:left w:val="single" w:sz="6" w:space="0" w:color="101010"/>
              <w:right w:val="single" w:sz="6" w:space="0" w:color="101010"/>
            </w:tcBorders>
          </w:tcPr>
          <w:p>
            <w:pPr/>
          </w:p>
        </w:tc>
        <w:tc>
          <w:tcPr>
            <w:tcW w:w="2138" w:type="dxa"/>
            <w:tcBorders>
              <w:top w:val="nil" w:sz="6" w:space="0" w:color="auto"/>
              <w:left w:val="single" w:sz="6" w:space="0" w:color="101010"/>
              <w:bottom w:val="nil" w:sz="6" w:space="0" w:color="auto"/>
              <w:right w:val="single" w:sz="6" w:space="0" w:color="10101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理财的减值准备由年</w:t>
            </w:r>
            <w:r>
              <w:rPr>
                <w:rFonts w:ascii="宋体" w:hAnsi="宋体" w:cs="宋体" w:eastAsia="宋体" w:hint="default"/>
                <w:sz w:val="21"/>
                <w:szCs w:val="21"/>
              </w:rPr>
            </w:r>
          </w:p>
        </w:tc>
      </w:tr>
      <w:tr>
        <w:trPr>
          <w:trHeight w:val="273" w:hRule="exact"/>
        </w:trPr>
        <w:tc>
          <w:tcPr>
            <w:tcW w:w="2512" w:type="dxa"/>
            <w:tcBorders>
              <w:top w:val="nil" w:sz="6" w:space="0" w:color="auto"/>
              <w:left w:val="single" w:sz="6" w:space="0" w:color="101010"/>
              <w:bottom w:val="nil" w:sz="6" w:space="0" w:color="auto"/>
              <w:right w:val="single" w:sz="6" w:space="0" w:color="101010"/>
            </w:tcBorders>
          </w:tcPr>
          <w:p>
            <w:pPr/>
          </w:p>
        </w:tc>
        <w:tc>
          <w:tcPr>
            <w:tcW w:w="1766" w:type="dxa"/>
            <w:tcBorders>
              <w:top w:val="nil" w:sz="6" w:space="0" w:color="auto"/>
              <w:left w:val="single" w:sz="6" w:space="0" w:color="101010"/>
              <w:bottom w:val="nil" w:sz="6" w:space="0" w:color="auto"/>
              <w:right w:val="single" w:sz="6" w:space="0" w:color="101010"/>
            </w:tcBorders>
          </w:tcPr>
          <w:p>
            <w:pPr/>
          </w:p>
        </w:tc>
        <w:tc>
          <w:tcPr>
            <w:tcW w:w="1582" w:type="dxa"/>
            <w:tcBorders>
              <w:top w:val="nil" w:sz="6" w:space="0" w:color="auto"/>
              <w:left w:val="single" w:sz="6" w:space="0" w:color="101010"/>
              <w:bottom w:val="nil" w:sz="6" w:space="0" w:color="auto"/>
              <w:right w:val="single" w:sz="6" w:space="0" w:color="101010"/>
            </w:tcBorders>
          </w:tcPr>
          <w:p>
            <w:pPr/>
          </w:p>
        </w:tc>
        <w:tc>
          <w:tcPr>
            <w:tcW w:w="1302" w:type="dxa"/>
            <w:vMerge/>
            <w:tcBorders>
              <w:left w:val="single" w:sz="6" w:space="0" w:color="101010"/>
              <w:right w:val="single" w:sz="6" w:space="0" w:color="101010"/>
            </w:tcBorders>
          </w:tcPr>
          <w:p>
            <w:pPr/>
          </w:p>
        </w:tc>
        <w:tc>
          <w:tcPr>
            <w:tcW w:w="2138" w:type="dxa"/>
            <w:tcBorders>
              <w:top w:val="nil" w:sz="6" w:space="0" w:color="auto"/>
              <w:left w:val="single" w:sz="6" w:space="0" w:color="101010"/>
              <w:bottom w:val="nil" w:sz="6" w:space="0" w:color="auto"/>
              <w:right w:val="single" w:sz="6" w:space="0" w:color="10101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初的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17,000,000.00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w:t>
            </w:r>
          </w:p>
        </w:tc>
      </w:tr>
      <w:tr>
        <w:trPr>
          <w:trHeight w:val="272" w:hRule="exact"/>
        </w:trPr>
        <w:tc>
          <w:tcPr>
            <w:tcW w:w="2512" w:type="dxa"/>
            <w:tcBorders>
              <w:top w:val="nil" w:sz="6" w:space="0" w:color="auto"/>
              <w:left w:val="single" w:sz="6" w:space="0" w:color="101010"/>
              <w:bottom w:val="nil" w:sz="6" w:space="0" w:color="auto"/>
              <w:right w:val="single" w:sz="6" w:space="0" w:color="101010"/>
            </w:tcBorders>
          </w:tcPr>
          <w:p>
            <w:pPr/>
          </w:p>
        </w:tc>
        <w:tc>
          <w:tcPr>
            <w:tcW w:w="1766" w:type="dxa"/>
            <w:tcBorders>
              <w:top w:val="nil" w:sz="6" w:space="0" w:color="auto"/>
              <w:left w:val="single" w:sz="6" w:space="0" w:color="101010"/>
              <w:bottom w:val="nil" w:sz="6" w:space="0" w:color="auto"/>
              <w:right w:val="single" w:sz="6" w:space="0" w:color="101010"/>
            </w:tcBorders>
          </w:tcPr>
          <w:p>
            <w:pPr/>
          </w:p>
        </w:tc>
        <w:tc>
          <w:tcPr>
            <w:tcW w:w="1582" w:type="dxa"/>
            <w:tcBorders>
              <w:top w:val="nil" w:sz="6" w:space="0" w:color="auto"/>
              <w:left w:val="single" w:sz="6" w:space="0" w:color="101010"/>
              <w:bottom w:val="nil" w:sz="6" w:space="0" w:color="auto"/>
              <w:right w:val="single" w:sz="6" w:space="0" w:color="101010"/>
            </w:tcBorders>
          </w:tcPr>
          <w:p>
            <w:pPr/>
          </w:p>
        </w:tc>
        <w:tc>
          <w:tcPr>
            <w:tcW w:w="1302" w:type="dxa"/>
            <w:vMerge/>
            <w:tcBorders>
              <w:left w:val="single" w:sz="6" w:space="0" w:color="101010"/>
              <w:right w:val="single" w:sz="6" w:space="0" w:color="101010"/>
            </w:tcBorders>
          </w:tcPr>
          <w:p>
            <w:pPr/>
          </w:p>
        </w:tc>
        <w:tc>
          <w:tcPr>
            <w:tcW w:w="2138" w:type="dxa"/>
            <w:tcBorders>
              <w:top w:val="nil" w:sz="6" w:space="0" w:color="auto"/>
              <w:left w:val="single" w:sz="6" w:space="0" w:color="101010"/>
              <w:bottom w:val="nil" w:sz="6" w:space="0" w:color="auto"/>
              <w:right w:val="single" w:sz="6" w:space="0" w:color="101010"/>
            </w:tcBorders>
          </w:tcPr>
          <w:p>
            <w:pPr>
              <w:pStyle w:val="TableParagraph"/>
              <w:spacing w:line="251"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18"/>
                <w:sz w:val="21"/>
                <w:szCs w:val="21"/>
              </w:rPr>
              <w:t>调整为</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5,000,000.00</w:t>
            </w:r>
          </w:p>
        </w:tc>
      </w:tr>
      <w:tr>
        <w:trPr>
          <w:trHeight w:val="275" w:hRule="exact"/>
        </w:trPr>
        <w:tc>
          <w:tcPr>
            <w:tcW w:w="2512" w:type="dxa"/>
            <w:tcBorders>
              <w:top w:val="nil" w:sz="6" w:space="0" w:color="auto"/>
              <w:left w:val="single" w:sz="6" w:space="0" w:color="101010"/>
              <w:bottom w:val="single" w:sz="6" w:space="0" w:color="101010"/>
              <w:right w:val="single" w:sz="6" w:space="0" w:color="101010"/>
            </w:tcBorders>
          </w:tcPr>
          <w:p>
            <w:pPr/>
          </w:p>
        </w:tc>
        <w:tc>
          <w:tcPr>
            <w:tcW w:w="1766" w:type="dxa"/>
            <w:tcBorders>
              <w:top w:val="nil" w:sz="6" w:space="0" w:color="auto"/>
              <w:left w:val="single" w:sz="6" w:space="0" w:color="101010"/>
              <w:bottom w:val="single" w:sz="6" w:space="0" w:color="101010"/>
              <w:right w:val="single" w:sz="6" w:space="0" w:color="101010"/>
            </w:tcBorders>
          </w:tcPr>
          <w:p>
            <w:pPr/>
          </w:p>
        </w:tc>
        <w:tc>
          <w:tcPr>
            <w:tcW w:w="1582" w:type="dxa"/>
            <w:tcBorders>
              <w:top w:val="nil" w:sz="6" w:space="0" w:color="auto"/>
              <w:left w:val="single" w:sz="6" w:space="0" w:color="101010"/>
              <w:bottom w:val="single" w:sz="6" w:space="0" w:color="101010"/>
              <w:right w:val="single" w:sz="6" w:space="0" w:color="101010"/>
            </w:tcBorders>
          </w:tcPr>
          <w:p>
            <w:pPr/>
          </w:p>
        </w:tc>
        <w:tc>
          <w:tcPr>
            <w:tcW w:w="1302" w:type="dxa"/>
            <w:vMerge/>
            <w:tcBorders>
              <w:left w:val="single" w:sz="6" w:space="0" w:color="101010"/>
              <w:bottom w:val="single" w:sz="6" w:space="0" w:color="101010"/>
              <w:right w:val="single" w:sz="6" w:space="0" w:color="101010"/>
            </w:tcBorders>
          </w:tcPr>
          <w:p>
            <w:pPr/>
          </w:p>
        </w:tc>
        <w:tc>
          <w:tcPr>
            <w:tcW w:w="2138" w:type="dxa"/>
            <w:tcBorders>
              <w:top w:val="nil" w:sz="6" w:space="0" w:color="auto"/>
              <w:left w:val="single" w:sz="6" w:space="0" w:color="101010"/>
              <w:bottom w:val="single" w:sz="6" w:space="0" w:color="101010"/>
              <w:right w:val="single" w:sz="6" w:space="0" w:color="101010"/>
            </w:tcBorders>
          </w:tcPr>
          <w:p>
            <w:pPr>
              <w:pStyle w:val="TableParagraph"/>
              <w:spacing w:line="235" w:lineRule="exact"/>
              <w:ind w:left="2" w:right="0"/>
              <w:jc w:val="center"/>
              <w:rPr>
                <w:rFonts w:ascii="宋体" w:hAnsi="宋体" w:cs="宋体" w:eastAsia="宋体" w:hint="default"/>
                <w:sz w:val="21"/>
                <w:szCs w:val="21"/>
              </w:rPr>
            </w:pPr>
            <w:r>
              <w:rPr>
                <w:rFonts w:ascii="宋体" w:hAnsi="宋体" w:cs="宋体" w:eastAsia="宋体" w:hint="default"/>
                <w:spacing w:val="3"/>
                <w:sz w:val="21"/>
                <w:szCs w:val="21"/>
              </w:rPr>
              <w:t>元。有关委托理财的</w:t>
            </w:r>
            <w:r>
              <w:rPr>
                <w:rFonts w:ascii="宋体" w:hAnsi="宋体" w:cs="宋体" w:eastAsia="宋体" w:hint="default"/>
                <w:sz w:val="21"/>
                <w:szCs w:val="21"/>
              </w:rPr>
            </w:r>
          </w:p>
        </w:tc>
      </w:tr>
    </w:tbl>
    <w:p>
      <w:pPr>
        <w:spacing w:after="0" w:line="235" w:lineRule="exact"/>
        <w:jc w:val="center"/>
        <w:rPr>
          <w:rFonts w:ascii="宋体" w:hAnsi="宋体" w:cs="宋体" w:eastAsia="宋体" w:hint="default"/>
          <w:sz w:val="21"/>
          <w:szCs w:val="21"/>
        </w:rPr>
        <w:sectPr>
          <w:type w:val="continuous"/>
          <w:pgSz w:w="12240" w:h="15840"/>
          <w:pgMar w:top="660" w:bottom="280" w:left="1380" w:right="13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512"/>
        <w:gridCol w:w="1766"/>
        <w:gridCol w:w="1582"/>
        <w:gridCol w:w="1302"/>
        <w:gridCol w:w="2138"/>
      </w:tblGrid>
      <w:tr>
        <w:trPr>
          <w:trHeight w:val="559" w:hRule="exact"/>
        </w:trPr>
        <w:tc>
          <w:tcPr>
            <w:tcW w:w="2512" w:type="dxa"/>
            <w:tcBorders>
              <w:top w:val="single" w:sz="6" w:space="0" w:color="101010"/>
              <w:left w:val="single" w:sz="6" w:space="0" w:color="101010"/>
              <w:bottom w:val="single" w:sz="6" w:space="0" w:color="101010"/>
              <w:right w:val="single" w:sz="6" w:space="0" w:color="101010"/>
            </w:tcBorders>
          </w:tcPr>
          <w:p>
            <w:pPr/>
          </w:p>
        </w:tc>
        <w:tc>
          <w:tcPr>
            <w:tcW w:w="176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相关情况请参见附注</w:t>
            </w:r>
            <w:r>
              <w:rPr>
                <w:rFonts w:ascii="宋体" w:hAnsi="宋体" w:cs="宋体" w:eastAsia="宋体" w:hint="default"/>
                <w:sz w:val="21"/>
                <w:szCs w:val="21"/>
              </w:rPr>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445" w:right="0"/>
              <w:jc w:val="left"/>
              <w:rPr>
                <w:rFonts w:ascii="Times New Roman" w:hAnsi="Times New Roman" w:cs="Times New Roman" w:eastAsia="Times New Roman" w:hint="default"/>
                <w:sz w:val="21"/>
                <w:szCs w:val="21"/>
              </w:rPr>
            </w:pPr>
            <w:r>
              <w:rPr>
                <w:rFonts w:ascii="Times New Roman"/>
                <w:sz w:val="21"/>
              </w:rPr>
              <w:t>50,000,000.00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363" w:right="0"/>
              <w:jc w:val="left"/>
              <w:rPr>
                <w:rFonts w:ascii="Times New Roman" w:hAnsi="Times New Roman" w:cs="Times New Roman" w:eastAsia="Times New Roman" w:hint="default"/>
                <w:sz w:val="21"/>
                <w:szCs w:val="21"/>
              </w:rPr>
            </w:pPr>
            <w:r>
              <w:rPr>
                <w:rFonts w:ascii="Times New Roman"/>
                <w:sz w:val="21"/>
              </w:rPr>
              <w:t>5,000,000.00</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392" w:lineRule="exact" w:before="16"/>
        <w:ind w:left="503" w:right="1119"/>
        <w:jc w:val="left"/>
      </w:pPr>
      <w:r>
        <w:rPr>
          <w:rFonts w:ascii="Times New Roman" w:hAnsi="Times New Roman" w:cs="Times New Roman" w:eastAsia="Times New Roman" w:hint="default"/>
        </w:rPr>
        <w:t>(3) </w:t>
      </w:r>
      <w:r>
        <w:rPr/>
        <w:t>本报告期其他应收账款中无持有公司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以上表决权股份的股东单位的欠款。</w:t>
      </w:r>
      <w:r>
        <w:rPr>
          <w:w w:val="99"/>
        </w:rPr>
        <w:t> </w:t>
      </w: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其他应收账款前五名欠款情况</w:t>
      </w:r>
    </w:p>
    <w:p>
      <w:pPr>
        <w:pStyle w:val="BodyText"/>
        <w:tabs>
          <w:tab w:pos="1154" w:val="left" w:leader="none"/>
        </w:tabs>
        <w:spacing w:line="224" w:lineRule="exact"/>
        <w:ind w:left="0" w:right="331"/>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512"/>
        <w:gridCol w:w="2138"/>
        <w:gridCol w:w="1674"/>
        <w:gridCol w:w="1674"/>
        <w:gridCol w:w="1302"/>
      </w:tblGrid>
      <w:tr>
        <w:trPr>
          <w:trHeight w:val="560"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82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08"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08"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8"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7"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138"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82.78</w:t>
            </w:r>
          </w:p>
        </w:tc>
      </w:tr>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138"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1,021,448.00</w:t>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1.69</w:t>
            </w:r>
          </w:p>
        </w:tc>
      </w:tr>
      <w:tr>
        <w:trPr>
          <w:trHeight w:val="287"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138"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567,326.32</w:t>
            </w:r>
            <w:r>
              <w:rPr>
                <w:rFonts w:ascii="Times New Roman"/>
                <w:sz w:val="21"/>
              </w:rPr>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0.94</w:t>
            </w:r>
          </w:p>
        </w:tc>
      </w:tr>
      <w:tr>
        <w:trPr>
          <w:trHeight w:val="287"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138"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410,823.45</w:t>
            </w:r>
            <w:r>
              <w:rPr>
                <w:rFonts w:ascii="Times New Roman"/>
                <w:sz w:val="21"/>
              </w:rPr>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0.68</w:t>
            </w:r>
          </w:p>
        </w:tc>
      </w:tr>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138" w:type="dxa"/>
            <w:tcBorders>
              <w:top w:val="single" w:sz="6" w:space="0" w:color="101010"/>
              <w:left w:val="single" w:sz="6" w:space="0" w:color="101010"/>
              <w:bottom w:val="single" w:sz="6" w:space="0" w:color="101010"/>
              <w:right w:val="single" w:sz="6" w:space="0" w:color="101010"/>
            </w:tcBorders>
          </w:tcPr>
          <w:p>
            <w:pP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265,000.00</w:t>
            </w:r>
            <w:r>
              <w:rPr>
                <w:rFonts w:ascii="Times New Roman"/>
                <w:sz w:val="21"/>
              </w:rPr>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0.44</w:t>
            </w:r>
          </w:p>
        </w:tc>
      </w:tr>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52,264,597.77</w:t>
            </w:r>
          </w:p>
        </w:tc>
        <w:tc>
          <w:tcPr>
            <w:tcW w:w="16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86.53</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27" w:top="1040" w:bottom="920" w:left="1380" w:right="1140"/>
        </w:sectPr>
      </w:pPr>
    </w:p>
    <w:p>
      <w:pPr>
        <w:pStyle w:val="BodyText"/>
        <w:spacing w:line="240" w:lineRule="auto" w:before="84"/>
        <w:ind w:left="504" w:right="-16"/>
        <w:jc w:val="left"/>
      </w:pPr>
      <w:r>
        <w:rPr>
          <w:rFonts w:ascii="Times New Roman" w:hAnsi="Times New Roman" w:cs="Times New Roman" w:eastAsia="Times New Roman" w:hint="default"/>
        </w:rPr>
        <w:t>6</w:t>
      </w:r>
      <w:r>
        <w:rPr/>
        <w:t>、预付账款</w:t>
      </w:r>
    </w:p>
    <w:p>
      <w:pPr>
        <w:pStyle w:val="BodyText"/>
        <w:spacing w:line="240" w:lineRule="auto" w:before="101"/>
        <w:ind w:left="503"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预付账款帐龄</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BodyText"/>
        <w:tabs>
          <w:tab w:pos="1612" w:val="left" w:leader="none"/>
        </w:tabs>
        <w:spacing w:line="240" w:lineRule="auto"/>
        <w:ind w:left="503"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660" w:bottom="280" w:left="1380" w:right="1140"/>
          <w:cols w:num="2" w:equalWidth="0">
            <w:col w:w="2115" w:space="4550"/>
            <w:col w:w="3055"/>
          </w:cols>
        </w:sectPr>
      </w:pPr>
    </w:p>
    <w:tbl>
      <w:tblPr>
        <w:tblW w:w="0" w:type="auto"/>
        <w:jc w:val="left"/>
        <w:tblInd w:w="129" w:type="dxa"/>
        <w:tblLayout w:type="fixed"/>
        <w:tblCellMar>
          <w:top w:w="0" w:type="dxa"/>
          <w:left w:w="0" w:type="dxa"/>
          <w:bottom w:w="0" w:type="dxa"/>
          <w:right w:w="0" w:type="dxa"/>
        </w:tblCellMar>
        <w:tblLook w:val="01E0"/>
      </w:tblPr>
      <w:tblGrid>
        <w:gridCol w:w="1811"/>
        <w:gridCol w:w="1901"/>
        <w:gridCol w:w="1844"/>
        <w:gridCol w:w="1901"/>
        <w:gridCol w:w="1843"/>
      </w:tblGrid>
      <w:tr>
        <w:trPr>
          <w:trHeight w:val="404" w:hRule="exact"/>
        </w:trPr>
        <w:tc>
          <w:tcPr>
            <w:tcW w:w="1811"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4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4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1811" w:type="dxa"/>
            <w:vMerge/>
            <w:tcBorders>
              <w:left w:val="single" w:sz="6" w:space="0" w:color="101010"/>
              <w:bottom w:val="single" w:sz="6" w:space="0" w:color="101010"/>
              <w:right w:val="single" w:sz="6" w:space="0" w:color="101010"/>
            </w:tcBorders>
          </w:tcPr>
          <w:p>
            <w:pP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0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0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35,615,337.97</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94.97</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21,823,416.30</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88.85</w:t>
            </w:r>
          </w:p>
        </w:tc>
      </w:tr>
      <w:tr>
        <w:trPr>
          <w:trHeight w:val="288"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369,886.00</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0.99</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2,194,251.04</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8.93</w:t>
            </w:r>
          </w:p>
        </w:tc>
      </w:tr>
      <w:tr>
        <w:trPr>
          <w:trHeight w:val="287"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1,057,281.77</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2.82</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443,331.28</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1.80</w:t>
            </w:r>
          </w:p>
        </w:tc>
      </w:tr>
      <w:tr>
        <w:trPr>
          <w:trHeight w:val="288"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458,918.83</w:t>
            </w:r>
            <w:r>
              <w:rPr>
                <w:rFonts w:ascii="Times New Roman"/>
                <w:sz w:val="21"/>
              </w:rPr>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1.22</w:t>
            </w:r>
            <w:r>
              <w:rPr>
                <w:rFonts w:ascii="Times New Roman"/>
                <w:sz w:val="21"/>
              </w:rPr>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103,326.40</w:t>
            </w:r>
            <w:r>
              <w:rPr>
                <w:rFonts w:ascii="Times New Roman"/>
                <w:sz w:val="21"/>
              </w:rPr>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0.42</w:t>
            </w:r>
            <w:r>
              <w:rPr>
                <w:rFonts w:ascii="Times New Roman"/>
                <w:sz w:val="21"/>
              </w:rPr>
            </w:r>
          </w:p>
        </w:tc>
      </w:tr>
      <w:tr>
        <w:trPr>
          <w:trHeight w:val="287"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37,501,424.57</w:t>
            </w:r>
          </w:p>
        </w:tc>
        <w:tc>
          <w:tcPr>
            <w:tcW w:w="18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9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24,564,325.02</w:t>
            </w:r>
          </w:p>
        </w:tc>
        <w:tc>
          <w:tcPr>
            <w:tcW w:w="1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1"/>
        <w:rPr>
          <w:rFonts w:ascii="宋体" w:hAnsi="宋体" w:cs="宋体" w:eastAsia="宋体" w:hint="default"/>
          <w:sz w:val="5"/>
          <w:szCs w:val="5"/>
        </w:rPr>
      </w:pPr>
    </w:p>
    <w:p>
      <w:pPr>
        <w:pStyle w:val="BodyText"/>
        <w:spacing w:line="240" w:lineRule="auto" w:before="35"/>
        <w:ind w:left="504" w:right="22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预付账款主要单位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tabs>
          <w:tab w:pos="1004" w:val="left" w:leader="none"/>
        </w:tabs>
        <w:spacing w:line="240" w:lineRule="auto"/>
        <w:ind w:left="0" w:right="33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tbl>
      <w:tblPr>
        <w:tblW w:w="0" w:type="auto"/>
        <w:jc w:val="left"/>
        <w:tblInd w:w="129" w:type="dxa"/>
        <w:tblLayout w:type="fixed"/>
        <w:tblCellMar>
          <w:top w:w="0" w:type="dxa"/>
          <w:left w:w="0" w:type="dxa"/>
          <w:bottom w:w="0" w:type="dxa"/>
          <w:right w:w="0" w:type="dxa"/>
        </w:tblCellMar>
        <w:tblLook w:val="01E0"/>
      </w:tblPr>
      <w:tblGrid>
        <w:gridCol w:w="3498"/>
        <w:gridCol w:w="1847"/>
        <w:gridCol w:w="1658"/>
        <w:gridCol w:w="2447"/>
      </w:tblGrid>
      <w:tr>
        <w:trPr>
          <w:trHeight w:val="404" w:hRule="exact"/>
        </w:trPr>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5"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02" w:right="0"/>
              <w:jc w:val="left"/>
              <w:rPr>
                <w:rFonts w:ascii="宋体" w:hAnsi="宋体" w:cs="宋体" w:eastAsia="宋体" w:hint="default"/>
                <w:sz w:val="21"/>
                <w:szCs w:val="21"/>
              </w:rPr>
            </w:pPr>
            <w:r>
              <w:rPr>
                <w:rFonts w:ascii="宋体" w:hAnsi="宋体" w:cs="宋体" w:eastAsia="宋体" w:hint="default"/>
                <w:sz w:val="21"/>
                <w:szCs w:val="21"/>
              </w:rPr>
              <w:t>欠款时间</w:t>
            </w:r>
          </w:p>
        </w:tc>
        <w:tc>
          <w:tcPr>
            <w:tcW w:w="24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95" w:right="0"/>
              <w:jc w:val="left"/>
              <w:rPr>
                <w:rFonts w:ascii="宋体" w:hAnsi="宋体" w:cs="宋体" w:eastAsia="宋体" w:hint="default"/>
                <w:sz w:val="21"/>
                <w:szCs w:val="21"/>
              </w:rPr>
            </w:pPr>
            <w:r>
              <w:rPr>
                <w:rFonts w:ascii="宋体" w:hAnsi="宋体" w:cs="宋体" w:eastAsia="宋体" w:hint="default"/>
                <w:sz w:val="21"/>
                <w:szCs w:val="21"/>
              </w:rPr>
              <w:t>欠款原因</w:t>
            </w:r>
          </w:p>
        </w:tc>
      </w:tr>
      <w:tr>
        <w:trPr>
          <w:trHeight w:val="288" w:hRule="exact"/>
        </w:trPr>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深圳中电投资股份有限公司</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12,408,992.00</w:t>
            </w:r>
          </w:p>
        </w:tc>
        <w:tc>
          <w:tcPr>
            <w:tcW w:w="1658"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244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委托代理进口预付款</w:t>
            </w:r>
          </w:p>
        </w:tc>
      </w:tr>
      <w:tr>
        <w:trPr>
          <w:trHeight w:val="559" w:hRule="exact"/>
        </w:trPr>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深圳市罗湖建筑安装工程有限公司</w:t>
            </w:r>
            <w:r>
              <w:rPr>
                <w:rFonts w:ascii="宋体" w:hAnsi="宋体" w:cs="宋体" w:eastAsia="宋体" w:hint="default"/>
                <w:sz w:val="21"/>
                <w:szCs w:val="21"/>
              </w:rPr>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基建）</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4,731,739.70</w:t>
            </w:r>
          </w:p>
        </w:tc>
        <w:tc>
          <w:tcPr>
            <w:tcW w:w="1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244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预付金证科工贸大厦基</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建款项</w:t>
            </w:r>
          </w:p>
        </w:tc>
      </w:tr>
      <w:tr>
        <w:trPr>
          <w:trHeight w:val="559" w:hRule="exact"/>
        </w:trPr>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中铁建工集团有限公司深圳分公司</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（基建）</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4,072,400.00</w:t>
            </w:r>
          </w:p>
        </w:tc>
        <w:tc>
          <w:tcPr>
            <w:tcW w:w="1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w:t>
            </w:r>
          </w:p>
        </w:tc>
        <w:tc>
          <w:tcPr>
            <w:tcW w:w="244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预付金证科工贸大厦基</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建款项</w:t>
            </w:r>
          </w:p>
        </w:tc>
      </w:tr>
      <w:tr>
        <w:trPr>
          <w:trHeight w:val="288" w:hRule="exact"/>
        </w:trPr>
        <w:tc>
          <w:tcPr>
            <w:tcW w:w="34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21,213,131.7</w:t>
            </w:r>
          </w:p>
        </w:tc>
        <w:tc>
          <w:tcPr>
            <w:tcW w:w="1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24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5"/>
          <w:szCs w:val="5"/>
        </w:rPr>
      </w:pPr>
    </w:p>
    <w:p>
      <w:pPr>
        <w:pStyle w:val="BodyText"/>
        <w:spacing w:line="240" w:lineRule="auto" w:before="35"/>
        <w:ind w:left="504" w:right="226"/>
        <w:jc w:val="left"/>
      </w:pPr>
      <w:r>
        <w:rPr>
          <w:rFonts w:ascii="Times New Roman" w:hAnsi="Times New Roman" w:cs="Times New Roman" w:eastAsia="Times New Roman" w:hint="default"/>
        </w:rPr>
        <w:t>(3) </w:t>
      </w:r>
      <w:r>
        <w:rPr/>
        <w:t>本报告期预付账款中无持有公司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以上表决权股份的股东单位的欠款</w:t>
      </w:r>
    </w:p>
    <w:p>
      <w:pPr>
        <w:pStyle w:val="BodyText"/>
        <w:spacing w:line="272" w:lineRule="exact" w:before="129"/>
        <w:ind w:left="144" w:right="226" w:firstLine="359"/>
        <w:jc w:val="left"/>
      </w:pPr>
      <w:r>
        <w:rPr/>
        <w:t>预付款项年末数比年初数增加</w:t>
      </w:r>
      <w:r>
        <w:rPr>
          <w:spacing w:val="-54"/>
        </w:rPr>
        <w:t> </w:t>
      </w:r>
      <w:r>
        <w:rPr>
          <w:rFonts w:ascii="Times New Roman" w:hAnsi="Times New Roman" w:cs="Times New Roman" w:eastAsia="Times New Roman" w:hint="default"/>
        </w:rPr>
        <w:t>12,937,099.55 </w:t>
      </w:r>
      <w:r>
        <w:rPr>
          <w:spacing w:val="-5"/>
        </w:rPr>
        <w:t>元，增加比例为</w:t>
      </w:r>
      <w:r>
        <w:rPr>
          <w:spacing w:val="-54"/>
        </w:rPr>
        <w:t> </w:t>
      </w:r>
      <w:r>
        <w:rPr>
          <w:rFonts w:ascii="Times New Roman" w:hAnsi="Times New Roman" w:cs="Times New Roman" w:eastAsia="Times New Roman" w:hint="default"/>
          <w:spacing w:val="-4"/>
        </w:rPr>
        <w:t>52.66</w:t>
      </w:r>
      <w:r>
        <w:rPr>
          <w:spacing w:val="-4"/>
        </w:rPr>
        <w:t>％，变动原因主要为：本年度公</w:t>
      </w:r>
      <w:r>
        <w:rPr/>
        <w:t> 司预付基建款和预付委托代理进口款较上年增加。</w:t>
      </w:r>
    </w:p>
    <w:p>
      <w:pPr>
        <w:pStyle w:val="BodyText"/>
        <w:spacing w:line="240" w:lineRule="auto" w:before="93"/>
        <w:ind w:left="503" w:right="226"/>
        <w:jc w:val="left"/>
      </w:pPr>
      <w:r>
        <w:rPr>
          <w:rFonts w:ascii="Times New Roman" w:hAnsi="Times New Roman" w:cs="Times New Roman" w:eastAsia="Times New Roman" w:hint="default"/>
        </w:rPr>
        <w:t>7</w:t>
      </w:r>
      <w:r>
        <w:rPr/>
        <w:t>、存货</w:t>
      </w:r>
    </w:p>
    <w:p>
      <w:pPr>
        <w:pStyle w:val="BodyText"/>
        <w:spacing w:line="240" w:lineRule="auto" w:before="101"/>
        <w:ind w:left="503" w:right="22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存货分类</w:t>
      </w:r>
    </w:p>
    <w:p>
      <w:pPr>
        <w:pStyle w:val="BodyText"/>
        <w:tabs>
          <w:tab w:pos="1108" w:val="left" w:leader="none"/>
        </w:tabs>
        <w:spacing w:line="240" w:lineRule="auto" w:before="101"/>
        <w:ind w:left="0" w:right="331"/>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right"/>
        <w:sectPr>
          <w:type w:val="continuous"/>
          <w:pgSz w:w="12240" w:h="15840"/>
          <w:pgMar w:top="660" w:bottom="280" w:left="1380" w:right="114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1236"/>
        <w:gridCol w:w="1530"/>
        <w:gridCol w:w="1319"/>
        <w:gridCol w:w="1529"/>
        <w:gridCol w:w="1529"/>
        <w:gridCol w:w="1319"/>
        <w:gridCol w:w="1522"/>
      </w:tblGrid>
      <w:tr>
        <w:trPr>
          <w:trHeight w:val="406" w:hRule="exact"/>
        </w:trPr>
        <w:tc>
          <w:tcPr>
            <w:tcW w:w="1236"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37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6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1236" w:type="dxa"/>
            <w:vMerge/>
            <w:tcBorders>
              <w:left w:val="single" w:sz="6" w:space="0" w:color="101010"/>
              <w:bottom w:val="single" w:sz="6" w:space="0" w:color="101010"/>
              <w:right w:val="single" w:sz="6" w:space="0" w:color="101010"/>
            </w:tcBorders>
          </w:tcPr>
          <w:p>
            <w:pP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33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1,261,871.77</w:t>
            </w:r>
          </w:p>
        </w:tc>
        <w:tc>
          <w:tcPr>
            <w:tcW w:w="1319" w:type="dxa"/>
            <w:tcBorders>
              <w:top w:val="single" w:sz="6" w:space="0" w:color="101010"/>
              <w:left w:val="single" w:sz="6" w:space="0" w:color="101010"/>
              <w:bottom w:val="single" w:sz="6" w:space="0" w:color="101010"/>
              <w:right w:val="single" w:sz="6" w:space="0" w:color="101010"/>
            </w:tcBorders>
          </w:tcPr>
          <w:p>
            <w:pP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210" w:right="0"/>
              <w:jc w:val="center"/>
              <w:rPr>
                <w:rFonts w:ascii="Times New Roman" w:hAnsi="Times New Roman" w:cs="Times New Roman" w:eastAsia="Times New Roman" w:hint="default"/>
                <w:sz w:val="21"/>
                <w:szCs w:val="21"/>
              </w:rPr>
            </w:pPr>
            <w:r>
              <w:rPr>
                <w:rFonts w:ascii="Times New Roman"/>
                <w:sz w:val="21"/>
              </w:rPr>
              <w:t>1,261,871.77</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883,425.54</w:t>
            </w:r>
          </w:p>
        </w:tc>
        <w:tc>
          <w:tcPr>
            <w:tcW w:w="1319" w:type="dxa"/>
            <w:tcBorders>
              <w:top w:val="single" w:sz="6" w:space="0" w:color="101010"/>
              <w:left w:val="single" w:sz="6" w:space="0" w:color="101010"/>
              <w:bottom w:val="single" w:sz="6" w:space="0" w:color="101010"/>
              <w:right w:val="single" w:sz="6" w:space="0" w:color="101010"/>
            </w:tcBorders>
          </w:tcPr>
          <w:p>
            <w:pP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883,425.54</w:t>
            </w:r>
          </w:p>
        </w:tc>
      </w:tr>
      <w:tr>
        <w:trPr>
          <w:trHeight w:val="288" w:hRule="exact"/>
        </w:trPr>
        <w:tc>
          <w:tcPr>
            <w:tcW w:w="1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25,922,427.84</w:t>
            </w:r>
          </w:p>
        </w:tc>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1,121,777.69</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24,800,650.15</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32,419,480.01</w:t>
            </w:r>
          </w:p>
        </w:tc>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1,102,574.02</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31,316,905.99</w:t>
            </w:r>
          </w:p>
        </w:tc>
      </w:tr>
      <w:tr>
        <w:trPr>
          <w:trHeight w:val="287" w:hRule="exact"/>
        </w:trPr>
        <w:tc>
          <w:tcPr>
            <w:tcW w:w="1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120,264,380.40</w:t>
            </w:r>
          </w:p>
        </w:tc>
        <w:tc>
          <w:tcPr>
            <w:tcW w:w="1319" w:type="dxa"/>
            <w:tcBorders>
              <w:top w:val="single" w:sz="6" w:space="0" w:color="101010"/>
              <w:left w:val="single" w:sz="6" w:space="0" w:color="101010"/>
              <w:bottom w:val="single" w:sz="6" w:space="0" w:color="101010"/>
              <w:right w:val="single" w:sz="6" w:space="0" w:color="101010"/>
            </w:tcBorders>
          </w:tcPr>
          <w:p>
            <w:pP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120,264,380.40</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49,977,822.31</w:t>
            </w:r>
          </w:p>
        </w:tc>
        <w:tc>
          <w:tcPr>
            <w:tcW w:w="1319" w:type="dxa"/>
            <w:tcBorders>
              <w:top w:val="single" w:sz="6" w:space="0" w:color="101010"/>
              <w:left w:val="single" w:sz="6" w:space="0" w:color="101010"/>
              <w:bottom w:val="single" w:sz="6" w:space="0" w:color="101010"/>
              <w:right w:val="single" w:sz="6" w:space="0" w:color="101010"/>
            </w:tcBorders>
          </w:tcPr>
          <w:p>
            <w:pP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49,977,822.31</w:t>
            </w:r>
          </w:p>
        </w:tc>
      </w:tr>
      <w:tr>
        <w:trPr>
          <w:trHeight w:val="288" w:hRule="exact"/>
        </w:trPr>
        <w:tc>
          <w:tcPr>
            <w:tcW w:w="1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113,128,464.19</w:t>
            </w:r>
          </w:p>
        </w:tc>
        <w:tc>
          <w:tcPr>
            <w:tcW w:w="1319" w:type="dxa"/>
            <w:tcBorders>
              <w:top w:val="single" w:sz="6" w:space="0" w:color="101010"/>
              <w:left w:val="single" w:sz="6" w:space="0" w:color="101010"/>
              <w:bottom w:val="single" w:sz="6" w:space="0" w:color="101010"/>
              <w:right w:val="single" w:sz="6" w:space="0" w:color="101010"/>
            </w:tcBorders>
          </w:tcPr>
          <w:p>
            <w:pP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6" w:right="0"/>
              <w:jc w:val="center"/>
              <w:rPr>
                <w:rFonts w:ascii="Times New Roman" w:hAnsi="Times New Roman" w:cs="Times New Roman" w:eastAsia="Times New Roman" w:hint="default"/>
                <w:sz w:val="21"/>
                <w:szCs w:val="21"/>
              </w:rPr>
            </w:pPr>
            <w:r>
              <w:rPr>
                <w:rFonts w:ascii="Times New Roman"/>
                <w:sz w:val="21"/>
              </w:rPr>
              <w:t>113,128,464.19</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76,940,523.84</w:t>
            </w:r>
          </w:p>
        </w:tc>
        <w:tc>
          <w:tcPr>
            <w:tcW w:w="1319" w:type="dxa"/>
            <w:tcBorders>
              <w:top w:val="single" w:sz="6" w:space="0" w:color="101010"/>
              <w:left w:val="single" w:sz="6" w:space="0" w:color="101010"/>
              <w:bottom w:val="single" w:sz="6" w:space="0" w:color="101010"/>
              <w:right w:val="single" w:sz="6" w:space="0" w:color="101010"/>
            </w:tcBorders>
          </w:tcPr>
          <w:p>
            <w:pP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76,940,523.84</w:t>
            </w:r>
          </w:p>
        </w:tc>
      </w:tr>
      <w:tr>
        <w:trPr>
          <w:trHeight w:val="288" w:hRule="exact"/>
        </w:trPr>
        <w:tc>
          <w:tcPr>
            <w:tcW w:w="1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260,577,144.2</w:t>
            </w:r>
          </w:p>
        </w:tc>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1,121,777.69</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259,455,366.51</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160,221,251.70</w:t>
            </w:r>
          </w:p>
        </w:tc>
        <w:tc>
          <w:tcPr>
            <w:tcW w:w="13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1,102,574.02</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159,118,677.68</w:t>
            </w:r>
          </w:p>
        </w:tc>
      </w:tr>
    </w:tbl>
    <w:p>
      <w:pPr>
        <w:pStyle w:val="BodyText"/>
        <w:spacing w:line="272" w:lineRule="exact" w:before="112"/>
        <w:ind w:right="0" w:firstLine="420"/>
        <w:jc w:val="left"/>
      </w:pPr>
      <w:r>
        <w:rPr>
          <w:spacing w:val="-3"/>
        </w:rPr>
        <w:t>注：（</w:t>
      </w:r>
      <w:r>
        <w:rPr>
          <w:rFonts w:ascii="Times New Roman" w:hAnsi="Times New Roman" w:cs="Times New Roman" w:eastAsia="Times New Roman" w:hint="default"/>
          <w:spacing w:val="-3"/>
        </w:rPr>
        <w:t>1</w:t>
      </w:r>
      <w:r>
        <w:rPr>
          <w:spacing w:val="-3"/>
        </w:rPr>
        <w:t>）存货可变现净值的确定依据：在正常生产经营过程中，以存货的估计售价减去至完工估</w:t>
      </w:r>
      <w:r>
        <w:rPr/>
        <w:t> 计将要发生的成本、估计的销售费用以及相关税金后的金额。</w:t>
      </w:r>
    </w:p>
    <w:p>
      <w:pPr>
        <w:pStyle w:val="BodyText"/>
        <w:spacing w:line="272" w:lineRule="exact" w:before="120"/>
        <w:ind w:left="144" w:right="0" w:firstLine="420"/>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日存货余额比年初余额增加</w:t>
      </w:r>
      <w:r>
        <w:rPr>
          <w:spacing w:val="-53"/>
        </w:rPr>
        <w:t> </w:t>
      </w:r>
      <w:r>
        <w:rPr>
          <w:rFonts w:ascii="Times New Roman" w:hAnsi="Times New Roman" w:cs="Times New Roman" w:eastAsia="Times New Roman" w:hint="default"/>
        </w:rPr>
        <w:t>100,355,892.50 </w:t>
      </w:r>
      <w:r>
        <w:rPr>
          <w:spacing w:val="-6"/>
        </w:rPr>
        <w:t>元，增长</w:t>
      </w:r>
      <w:r>
        <w:rPr>
          <w:spacing w:val="-53"/>
        </w:rPr>
        <w:t> </w:t>
      </w:r>
      <w:r>
        <w:rPr>
          <w:rFonts w:ascii="Times New Roman" w:hAnsi="Times New Roman" w:cs="Times New Roman" w:eastAsia="Times New Roman" w:hint="default"/>
          <w:spacing w:val="-3"/>
        </w:rPr>
        <w:t>62.63%</w:t>
      </w:r>
      <w:r>
        <w:rPr>
          <w:spacing w:val="-3"/>
        </w:rPr>
        <w:t>，主要原因为：</w:t>
      </w:r>
      <w:r>
        <w:rPr/>
        <w:t> 本公司本年系统集成业务增长而使年末工程成本增加及子公司—深圳市齐普生信息科技有限公司年末 按合同约定发出商品但期末未完成合同的商品成本较上年末增加。</w:t>
      </w:r>
    </w:p>
    <w:p>
      <w:pPr>
        <w:pStyle w:val="BodyText"/>
        <w:spacing w:line="272" w:lineRule="exact" w:before="120"/>
        <w:ind w:left="144" w:right="0" w:firstLine="420"/>
        <w:jc w:val="left"/>
      </w:pPr>
      <w:r>
        <w:rPr>
          <w:spacing w:val="-3"/>
        </w:rPr>
        <w:t>（</w:t>
      </w:r>
      <w:r>
        <w:rPr>
          <w:rFonts w:ascii="Times New Roman" w:hAnsi="Times New Roman" w:cs="Times New Roman" w:eastAsia="Times New Roman" w:hint="default"/>
          <w:spacing w:val="-3"/>
        </w:rPr>
        <w:t>3</w:t>
      </w:r>
      <w:r>
        <w:rPr>
          <w:spacing w:val="-3"/>
        </w:rPr>
        <w:t>）本公司本年末“存货—发出商品”为按相关合同约定已发出商品，但未完成合同而未办理结</w:t>
      </w:r>
      <w:r>
        <w:rPr/>
        <w:t> 算的商品成本。</w:t>
      </w:r>
    </w:p>
    <w:p>
      <w:pPr>
        <w:pStyle w:val="BodyText"/>
        <w:spacing w:line="324" w:lineRule="auto" w:before="93"/>
        <w:ind w:left="564" w:right="8048"/>
        <w:jc w:val="left"/>
      </w:pPr>
      <w:r>
        <w:rPr>
          <w:rFonts w:ascii="Times New Roman" w:hAnsi="Times New Roman" w:cs="Times New Roman" w:eastAsia="Times New Roman" w:hint="default"/>
        </w:rPr>
        <w:t>8</w:t>
      </w:r>
      <w:r>
        <w:rPr/>
        <w:t>、长期股权投资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按成本法核算</w:t>
      </w:r>
    </w:p>
    <w:p>
      <w:pPr>
        <w:spacing w:line="240" w:lineRule="auto" w:before="1"/>
        <w:rPr>
          <w:rFonts w:ascii="宋体" w:hAnsi="宋体" w:cs="宋体" w:eastAsia="宋体" w:hint="default"/>
          <w:sz w:val="20"/>
          <w:szCs w:val="20"/>
        </w:rPr>
      </w:pPr>
    </w:p>
    <w:p>
      <w:pPr>
        <w:pStyle w:val="BodyText"/>
        <w:spacing w:line="240" w:lineRule="auto"/>
        <w:ind w:left="0" w:right="85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3066"/>
        <w:gridCol w:w="1652"/>
        <w:gridCol w:w="1183"/>
        <w:gridCol w:w="1183"/>
        <w:gridCol w:w="1183"/>
        <w:gridCol w:w="1182"/>
      </w:tblGrid>
      <w:tr>
        <w:trPr>
          <w:trHeight w:val="404" w:hRule="exact"/>
        </w:trPr>
        <w:tc>
          <w:tcPr>
            <w:tcW w:w="30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99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189"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1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162"/>
              <w:jc w:val="right"/>
              <w:rPr>
                <w:rFonts w:ascii="宋体" w:hAnsi="宋体" w:cs="宋体" w:eastAsia="宋体" w:hint="default"/>
                <w:sz w:val="21"/>
                <w:szCs w:val="21"/>
              </w:rPr>
            </w:pPr>
            <w:r>
              <w:rPr>
                <w:rFonts w:ascii="宋体" w:hAnsi="宋体" w:cs="宋体" w:eastAsia="宋体" w:hint="default"/>
                <w:sz w:val="21"/>
                <w:szCs w:val="21"/>
              </w:rPr>
              <w:t>期初余额</w:t>
            </w:r>
          </w:p>
        </w:tc>
        <w:tc>
          <w:tcPr>
            <w:tcW w:w="11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16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1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162"/>
              <w:jc w:val="right"/>
              <w:rPr>
                <w:rFonts w:ascii="宋体" w:hAnsi="宋体" w:cs="宋体" w:eastAsia="宋体" w:hint="default"/>
                <w:sz w:val="21"/>
                <w:szCs w:val="21"/>
              </w:rPr>
            </w:pPr>
            <w:r>
              <w:rPr>
                <w:rFonts w:ascii="宋体" w:hAnsi="宋体" w:cs="宋体" w:eastAsia="宋体" w:hint="default"/>
                <w:sz w:val="21"/>
                <w:szCs w:val="21"/>
              </w:rPr>
              <w:t>期末余额</w:t>
            </w:r>
          </w:p>
        </w:tc>
        <w:tc>
          <w:tcPr>
            <w:tcW w:w="11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164" w:right="0"/>
              <w:jc w:val="left"/>
              <w:rPr>
                <w:rFonts w:ascii="宋体" w:hAnsi="宋体" w:cs="宋体" w:eastAsia="宋体" w:hint="default"/>
                <w:sz w:val="21"/>
                <w:szCs w:val="21"/>
              </w:rPr>
            </w:pPr>
            <w:r>
              <w:rPr>
                <w:rFonts w:ascii="宋体" w:hAnsi="宋体" w:cs="宋体" w:eastAsia="宋体" w:hint="default"/>
                <w:sz w:val="21"/>
                <w:szCs w:val="21"/>
              </w:rPr>
              <w:t>减值准备</w:t>
            </w:r>
          </w:p>
        </w:tc>
      </w:tr>
      <w:tr>
        <w:trPr>
          <w:trHeight w:val="288" w:hRule="exact"/>
        </w:trPr>
        <w:tc>
          <w:tcPr>
            <w:tcW w:w="30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北京金证海通科技有限公司</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1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w:t>
            </w:r>
          </w:p>
        </w:tc>
        <w:tc>
          <w:tcPr>
            <w:tcW w:w="1183" w:type="dxa"/>
            <w:tcBorders>
              <w:top w:val="single" w:sz="6" w:space="0" w:color="101010"/>
              <w:left w:val="single" w:sz="6" w:space="0" w:color="101010"/>
              <w:bottom w:val="single" w:sz="6" w:space="0" w:color="101010"/>
              <w:right w:val="single" w:sz="6" w:space="0" w:color="101010"/>
            </w:tcBorders>
          </w:tcPr>
          <w:p>
            <w:pPr/>
          </w:p>
        </w:tc>
        <w:tc>
          <w:tcPr>
            <w:tcW w:w="118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w:t>
            </w:r>
          </w:p>
        </w:tc>
        <w:tc>
          <w:tcPr>
            <w:tcW w:w="1182"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1"/>
        <w:rPr>
          <w:rFonts w:ascii="宋体" w:hAnsi="宋体" w:cs="宋体" w:eastAsia="宋体" w:hint="default"/>
          <w:sz w:val="5"/>
          <w:szCs w:val="5"/>
        </w:rPr>
      </w:pPr>
    </w:p>
    <w:p>
      <w:pPr>
        <w:pStyle w:val="BodyText"/>
        <w:spacing w:line="272" w:lineRule="exact" w:before="63"/>
        <w:ind w:left="144" w:right="850" w:firstLine="420"/>
        <w:jc w:val="both"/>
      </w:pPr>
      <w:r>
        <w:rPr>
          <w:spacing w:val="-3"/>
        </w:rPr>
        <w:t>年初对联营公司的投资含对广州广捷信息技术有限公司的投资，其中投资成本为</w:t>
      </w:r>
      <w:r>
        <w:rPr>
          <w:spacing w:val="-51"/>
        </w:rPr>
        <w:t> </w:t>
      </w:r>
      <w:r>
        <w:rPr>
          <w:rFonts w:ascii="Times New Roman" w:hAnsi="Times New Roman" w:cs="Times New Roman" w:eastAsia="Times New Roman" w:hint="default"/>
          <w:spacing w:val="-1"/>
        </w:rPr>
        <w:t>700,000.00</w:t>
      </w:r>
      <w:r>
        <w:rPr>
          <w:rFonts w:ascii="Times New Roman" w:hAnsi="Times New Roman" w:cs="Times New Roman" w:eastAsia="Times New Roman" w:hint="default"/>
          <w:spacing w:val="3"/>
        </w:rPr>
        <w:t> </w:t>
      </w:r>
      <w:r>
        <w:rPr>
          <w:spacing w:val="-35"/>
        </w:rPr>
        <w:t>元（持</w:t>
      </w:r>
      <w:r>
        <w:rPr/>
        <w:t> 投比例为</w:t>
      </w:r>
      <w:r>
        <w:rPr>
          <w:spacing w:val="-52"/>
        </w:rPr>
        <w:t> </w:t>
      </w:r>
      <w:r>
        <w:rPr>
          <w:rFonts w:ascii="Times New Roman" w:hAnsi="Times New Roman" w:cs="Times New Roman" w:eastAsia="Times New Roman" w:hint="default"/>
          <w:spacing w:val="-9"/>
        </w:rPr>
        <w:t>35%</w:t>
      </w:r>
      <w:r>
        <w:rPr>
          <w:spacing w:val="-9"/>
        </w:rPr>
        <w:t>）、累计损益调整金额为</w:t>
      </w:r>
      <w:r>
        <w:rPr>
          <w:spacing w:val="-52"/>
        </w:rPr>
        <w:t> </w:t>
      </w:r>
      <w:r>
        <w:rPr>
          <w:rFonts w:ascii="Times New Roman" w:hAnsi="Times New Roman" w:cs="Times New Roman" w:eastAsia="Times New Roman" w:hint="default"/>
          <w:spacing w:val="-1"/>
        </w:rPr>
        <w:t>700,000.00</w:t>
      </w:r>
      <w:r>
        <w:rPr>
          <w:rFonts w:ascii="Times New Roman" w:hAnsi="Times New Roman" w:cs="Times New Roman" w:eastAsia="Times New Roman" w:hint="default"/>
          <w:spacing w:val="2"/>
        </w:rPr>
        <w:t> </w:t>
      </w:r>
      <w:r>
        <w:rPr>
          <w:spacing w:val="-3"/>
        </w:rPr>
        <w:t>元，账面价值为零。</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8 </w:t>
      </w:r>
      <w:r>
        <w:rPr>
          <w:spacing w:val="-3"/>
        </w:rPr>
        <w:t>日，广州广捷信</w:t>
      </w:r>
      <w:r>
        <w:rPr/>
        <w:t> 息技术有限公司股东会议决定，同意本公司将持有广州广捷信息技术有限公司</w:t>
      </w:r>
      <w:r>
        <w:rPr>
          <w:spacing w:val="-69"/>
        </w:rPr>
        <w:t> </w:t>
      </w:r>
      <w:r>
        <w:rPr>
          <w:rFonts w:ascii="Times New Roman" w:hAnsi="Times New Roman" w:cs="Times New Roman" w:eastAsia="Times New Roman" w:hint="default"/>
        </w:rPr>
        <w:t>35%</w:t>
      </w:r>
      <w:r>
        <w:rPr/>
        <w:t>的股权转让给自然 人温兴菊，转让的相关手续（含工商变更登记手续）已于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月办理完毕。</w:t>
      </w:r>
    </w:p>
    <w:p>
      <w:pPr>
        <w:pStyle w:val="BodyText"/>
        <w:spacing w:line="272" w:lineRule="exact" w:before="120"/>
        <w:ind w:left="144" w:right="850" w:firstLine="419"/>
        <w:jc w:val="both"/>
      </w:pPr>
      <w:r>
        <w:rPr/>
        <w:t>本公司于</w:t>
      </w:r>
      <w:r>
        <w:rPr>
          <w:spacing w:val="-4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月以人民币</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元的价格购入北京海通新星系统集成有限公司的</w:t>
      </w:r>
      <w:r>
        <w:rPr>
          <w:spacing w:val="-42"/>
        </w:rPr>
        <w:t> </w:t>
      </w:r>
      <w:r>
        <w:rPr>
          <w:rFonts w:ascii="Times New Roman" w:hAnsi="Times New Roman" w:cs="Times New Roman" w:eastAsia="Times New Roman" w:hint="default"/>
        </w:rPr>
        <w:t>16%</w:t>
      </w:r>
      <w:r>
        <w:rPr/>
        <w:t>的股权， 北京海通新星系统集成有限公司更名为北京金证海通科技有限公司。</w:t>
      </w:r>
    </w:p>
    <w:p>
      <w:pPr>
        <w:pStyle w:val="BodyText"/>
        <w:spacing w:line="240" w:lineRule="auto" w:before="93"/>
        <w:ind w:left="564" w:right="0"/>
        <w:jc w:val="left"/>
      </w:pPr>
      <w:r>
        <w:rPr>
          <w:rFonts w:ascii="Times New Roman" w:hAnsi="Times New Roman" w:cs="Times New Roman" w:eastAsia="Times New Roman" w:hint="default"/>
        </w:rPr>
        <w:t>9</w:t>
      </w:r>
      <w:r>
        <w:rPr/>
        <w:t>、固定资产</w:t>
      </w:r>
    </w:p>
    <w:p>
      <w:pPr>
        <w:pStyle w:val="BodyText"/>
        <w:spacing w:line="240" w:lineRule="auto" w:before="101"/>
        <w:ind w:left="56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固定资产情况</w:t>
      </w:r>
    </w:p>
    <w:p>
      <w:pPr>
        <w:pStyle w:val="BodyText"/>
        <w:spacing w:line="240" w:lineRule="auto" w:before="101"/>
        <w:ind w:left="0" w:right="85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9" w:type="dxa"/>
        <w:tblLayout w:type="fixed"/>
        <w:tblCellMar>
          <w:top w:w="0" w:type="dxa"/>
          <w:left w:w="0" w:type="dxa"/>
          <w:bottom w:w="0" w:type="dxa"/>
          <w:right w:w="0" w:type="dxa"/>
        </w:tblCellMar>
        <w:tblLook w:val="01E0"/>
      </w:tblPr>
      <w:tblGrid>
        <w:gridCol w:w="2453"/>
        <w:gridCol w:w="1771"/>
        <w:gridCol w:w="1746"/>
        <w:gridCol w:w="1710"/>
        <w:gridCol w:w="1770"/>
      </w:tblGrid>
      <w:tr>
        <w:trPr>
          <w:trHeight w:val="434"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6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40"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1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22"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6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18,681,003.05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5,686,415.64</w:t>
            </w:r>
          </w:p>
        </w:tc>
        <w:tc>
          <w:tcPr>
            <w:tcW w:w="1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322,545.39</w:t>
            </w: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24,044,873.3</w:t>
            </w:r>
          </w:p>
        </w:tc>
      </w:tr>
      <w:tr>
        <w:trPr>
          <w:trHeight w:val="304"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6,000,736.00</w:t>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6,000,736.00</w:t>
            </w:r>
          </w:p>
        </w:tc>
      </w:tr>
      <w:tr>
        <w:trPr>
          <w:trHeight w:val="288"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71"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1,698,346.14</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124,000.00</w:t>
            </w:r>
            <w:r>
              <w:rPr>
                <w:rFonts w:ascii="Times New Roman"/>
                <w:sz w:val="21"/>
              </w:rPr>
            </w:r>
          </w:p>
        </w:tc>
        <w:tc>
          <w:tcPr>
            <w:tcW w:w="17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120,000.00</w:t>
            </w:r>
            <w:r>
              <w:rPr>
                <w:rFonts w:ascii="Times New Roman"/>
                <w:sz w:val="21"/>
              </w:rPr>
            </w: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1,702,346.14</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8,499,436.72</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3,546,619.78</w:t>
            </w:r>
          </w:p>
        </w:tc>
        <w:tc>
          <w:tcPr>
            <w:tcW w:w="17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202,545.39</w:t>
            </w:r>
            <w:r>
              <w:rPr>
                <w:rFonts w:ascii="Times New Roman"/>
                <w:sz w:val="21"/>
              </w:rPr>
            </w: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3"/>
                <w:sz w:val="21"/>
              </w:rPr>
              <w:t>11,843,511.11</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2,482,484.19</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2,015,795.86</w:t>
            </w: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4,498,280.05</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8,405,232.33</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3,016,826.14</w:t>
            </w:r>
          </w:p>
        </w:tc>
        <w:tc>
          <w:tcPr>
            <w:tcW w:w="17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305,449.67</w:t>
            </w:r>
            <w:r>
              <w:rPr>
                <w:rFonts w:ascii="Times New Roman"/>
                <w:sz w:val="21"/>
              </w:rPr>
            </w: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2"/>
                <w:sz w:val="21"/>
              </w:rPr>
              <w:t>11,116,608.8</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1,567,692.06</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285,510.33</w:t>
            </w:r>
            <w:r>
              <w:rPr>
                <w:rFonts w:ascii="Times New Roman"/>
                <w:sz w:val="21"/>
              </w:rPr>
            </w: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1,853,202.39</w:t>
            </w:r>
          </w:p>
        </w:tc>
      </w:tr>
      <w:tr>
        <w:trPr>
          <w:trHeight w:val="287"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71"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
        </w:tc>
      </w:tr>
      <w:tr>
        <w:trPr>
          <w:trHeight w:val="306"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1,307,809.62</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184,521.54</w:t>
            </w:r>
            <w:r>
              <w:rPr>
                <w:rFonts w:ascii="Times New Roman"/>
                <w:sz w:val="21"/>
              </w:rPr>
            </w:r>
          </w:p>
        </w:tc>
        <w:tc>
          <w:tcPr>
            <w:tcW w:w="17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2"/>
                <w:sz w:val="21"/>
              </w:rPr>
              <w:t>114,000.00</w:t>
            </w: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1,378,331.16</w:t>
            </w:r>
          </w:p>
        </w:tc>
      </w:tr>
    </w:tbl>
    <w:p>
      <w:pPr>
        <w:spacing w:after="0" w:line="241" w:lineRule="exact"/>
        <w:jc w:val="right"/>
        <w:rPr>
          <w:rFonts w:ascii="Times New Roman" w:hAnsi="Times New Roman" w:cs="Times New Roman" w:eastAsia="Times New Roman" w:hint="default"/>
          <w:sz w:val="21"/>
          <w:szCs w:val="21"/>
        </w:rPr>
        <w:sectPr>
          <w:pgSz w:w="12240" w:h="15840"/>
          <w:pgMar w:header="747" w:footer="727" w:top="1040" w:bottom="920" w:left="1380" w:right="62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453"/>
        <w:gridCol w:w="1771"/>
        <w:gridCol w:w="1746"/>
        <w:gridCol w:w="1710"/>
        <w:gridCol w:w="1770"/>
      </w:tblGrid>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4,718,308.86</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2,078,589.86</w:t>
            </w:r>
          </w:p>
        </w:tc>
        <w:tc>
          <w:tcPr>
            <w:tcW w:w="17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648" w:right="0"/>
              <w:jc w:val="left"/>
              <w:rPr>
                <w:rFonts w:ascii="Times New Roman" w:hAnsi="Times New Roman" w:cs="Times New Roman" w:eastAsia="Times New Roman" w:hint="default"/>
                <w:sz w:val="21"/>
                <w:szCs w:val="21"/>
              </w:rPr>
            </w:pPr>
            <w:r>
              <w:rPr>
                <w:rFonts w:ascii="Times New Roman"/>
                <w:sz w:val="21"/>
              </w:rPr>
              <w:t>191,449.67</w:t>
            </w: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6,605,449.05</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2"/>
                <w:sz w:val="21"/>
              </w:rPr>
              <w:t>811,421.79</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468,204.41</w:t>
            </w:r>
            <w:r>
              <w:rPr>
                <w:rFonts w:ascii="Times New Roman"/>
                <w:sz w:val="21"/>
              </w:rPr>
            </w: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1,279,626.20</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三、固定资产净值合计</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10,275,770.72</w:t>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12,928,264.50</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4,433,043.94</w:t>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4,147,533.61</w:t>
            </w:r>
          </w:p>
        </w:tc>
      </w:tr>
      <w:tr>
        <w:trPr>
          <w:trHeight w:val="287"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71"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390,536.52</w:t>
            </w:r>
            <w:r>
              <w:rPr>
                <w:rFonts w:ascii="Times New Roman"/>
                <w:sz w:val="21"/>
              </w:rPr>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324,014.98</w:t>
            </w:r>
            <w:r>
              <w:rPr>
                <w:rFonts w:ascii="Times New Roman"/>
                <w:sz w:val="21"/>
              </w:rPr>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3,781,127.86</w:t>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5,238,062.06</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1,671,062.40</w:t>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3,218,653.85</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372,328.13</w:t>
            </w:r>
            <w:r>
              <w:rPr>
                <w:rFonts w:ascii="Times New Roman"/>
                <w:sz w:val="21"/>
              </w:rPr>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372,328.13</w:t>
            </w:r>
            <w:r>
              <w:rPr>
                <w:rFonts w:ascii="Times New Roman"/>
                <w:sz w:val="21"/>
              </w:rPr>
            </w:r>
          </w:p>
        </w:tc>
      </w:tr>
      <w:tr>
        <w:trPr>
          <w:trHeight w:val="288"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71"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71"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71"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239,710.20</w:t>
            </w:r>
            <w:r>
              <w:rPr>
                <w:rFonts w:ascii="Times New Roman"/>
                <w:sz w:val="21"/>
              </w:rPr>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239,710.20</w:t>
            </w:r>
            <w:r>
              <w:rPr>
                <w:rFonts w:ascii="Times New Roman"/>
                <w:sz w:val="21"/>
              </w:rPr>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132,617.93</w:t>
            </w:r>
            <w:r>
              <w:rPr>
                <w:rFonts w:ascii="Times New Roman"/>
                <w:sz w:val="21"/>
              </w:rPr>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132,617.93</w:t>
            </w:r>
            <w:r>
              <w:rPr>
                <w:rFonts w:ascii="Times New Roman"/>
                <w:sz w:val="21"/>
              </w:rPr>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五、固定资产净额合计</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9,903,442.59</w:t>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12,555,936.37</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4,433,043.94</w:t>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4,147,533.61</w:t>
            </w:r>
          </w:p>
        </w:tc>
      </w:tr>
      <w:tr>
        <w:trPr>
          <w:trHeight w:val="287"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71"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390,536.52</w:t>
            </w:r>
            <w:r>
              <w:rPr>
                <w:rFonts w:ascii="Times New Roman"/>
                <w:sz w:val="21"/>
              </w:rPr>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324,014.98</w:t>
            </w:r>
            <w:r>
              <w:rPr>
                <w:rFonts w:ascii="Times New Roman"/>
                <w:sz w:val="21"/>
              </w:rPr>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3,541,417.66</w:t>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4,998,351.86</w:t>
            </w:r>
          </w:p>
        </w:tc>
      </w:tr>
      <w:tr>
        <w:trPr>
          <w:trHeight w:val="305" w:hRule="exact"/>
        </w:trPr>
        <w:tc>
          <w:tcPr>
            <w:tcW w:w="245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7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1,538,444.47</w:t>
            </w:r>
          </w:p>
        </w:tc>
        <w:tc>
          <w:tcPr>
            <w:tcW w:w="1746" w:type="dxa"/>
            <w:tcBorders>
              <w:top w:val="single" w:sz="6" w:space="0" w:color="101010"/>
              <w:left w:val="single" w:sz="6" w:space="0" w:color="101010"/>
              <w:bottom w:val="single" w:sz="6" w:space="0" w:color="101010"/>
              <w:right w:val="single" w:sz="6" w:space="0" w:color="101010"/>
            </w:tcBorders>
          </w:tcPr>
          <w:p>
            <w:pPr/>
          </w:p>
        </w:tc>
        <w:tc>
          <w:tcPr>
            <w:tcW w:w="1710" w:type="dxa"/>
            <w:tcBorders>
              <w:top w:val="single" w:sz="6" w:space="0" w:color="101010"/>
              <w:left w:val="single" w:sz="6" w:space="0" w:color="101010"/>
              <w:bottom w:val="single" w:sz="6" w:space="0" w:color="101010"/>
              <w:right w:val="single" w:sz="6" w:space="0" w:color="101010"/>
            </w:tcBorders>
          </w:tcPr>
          <w:p>
            <w:pPr/>
          </w:p>
        </w:tc>
        <w:tc>
          <w:tcPr>
            <w:tcW w:w="1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3,086,035.92</w:t>
            </w:r>
          </w:p>
        </w:tc>
      </w:tr>
    </w:tbl>
    <w:p>
      <w:pPr>
        <w:pStyle w:val="BodyText"/>
        <w:spacing w:line="282" w:lineRule="exact" w:before="84"/>
        <w:ind w:left="565" w:right="0"/>
        <w:jc w:val="left"/>
      </w:pPr>
      <w:r>
        <w:rPr/>
        <w:t>注</w:t>
      </w:r>
      <w:r>
        <w:rPr>
          <w:spacing w:val="-101"/>
        </w:rPr>
        <w:t>：</w:t>
      </w:r>
      <w:r>
        <w:rPr/>
        <w:t>本公司于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 </w:t>
      </w:r>
      <w:r>
        <w:rPr>
          <w:spacing w:val="-2"/>
        </w:rPr>
        <w:t>月</w:t>
      </w:r>
      <w:r>
        <w:rPr/>
        <w:t>与深圳经济特区实验外贸公司签订了</w:t>
      </w:r>
      <w:r>
        <w:rPr>
          <w:spacing w:val="-101"/>
        </w:rPr>
        <w:t>深</w:t>
      </w:r>
      <w:r>
        <w:rPr/>
        <w:t>（福</w:t>
      </w:r>
      <w:r>
        <w:rPr>
          <w:spacing w:val="-101"/>
        </w:rPr>
        <w:t>）</w:t>
      </w:r>
      <w:r>
        <w:rPr>
          <w:spacing w:val="-2"/>
        </w:rPr>
        <w:t>房</w:t>
      </w:r>
      <w:r>
        <w:rPr/>
        <w:t>预买</w:t>
      </w:r>
      <w:r>
        <w:rPr>
          <w:spacing w:val="-101"/>
        </w:rPr>
        <w:t>字</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spacing w:val="-101"/>
        </w:rPr>
        <w:t>）</w:t>
      </w:r>
      <w:r>
        <w:rPr/>
        <w:t>第</w:t>
      </w:r>
      <w:r>
        <w:rPr>
          <w:spacing w:val="-53"/>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3</w:t>
      </w:r>
      <w:r>
        <w:rPr>
          <w:rFonts w:ascii="Times New Roman" w:hAnsi="Times New Roman" w:cs="Times New Roman" w:eastAsia="Times New Roman" w:hint="default"/>
        </w:rPr>
        <w:t>6</w:t>
      </w:r>
      <w:r>
        <w:rPr>
          <w:rFonts w:ascii="Times New Roman" w:hAnsi="Times New Roman" w:cs="Times New Roman" w:eastAsia="Times New Roman" w:hint="default"/>
          <w:spacing w:val="-1"/>
        </w:rPr>
        <w:t>6</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t>、</w:t>
      </w:r>
    </w:p>
    <w:p>
      <w:pPr>
        <w:pStyle w:val="BodyText"/>
        <w:spacing w:line="272" w:lineRule="exact"/>
        <w:ind w:left="144" w:right="226"/>
        <w:jc w:val="left"/>
        <w:rPr>
          <w:rFonts w:ascii="Times New Roman" w:hAnsi="Times New Roman" w:cs="Times New Roman" w:eastAsia="Times New Roman" w:hint="default"/>
        </w:rPr>
      </w:pPr>
      <w:r>
        <w:rPr>
          <w:rFonts w:ascii="Times New Roman" w:hAnsi="Times New Roman" w:cs="Times New Roman" w:eastAsia="Times New Roman" w:hint="default"/>
        </w:rPr>
        <w:t>B36617</w:t>
      </w:r>
      <w:r>
        <w:rPr/>
        <w:t>、</w:t>
      </w:r>
      <w:r>
        <w:rPr>
          <w:rFonts w:ascii="Times New Roman" w:hAnsi="Times New Roman" w:cs="Times New Roman" w:eastAsia="Times New Roman" w:hint="default"/>
        </w:rPr>
        <w:t>B36618</w:t>
      </w:r>
      <w:r>
        <w:rPr/>
        <w:t>、</w:t>
      </w:r>
      <w:r>
        <w:rPr>
          <w:rFonts w:ascii="Times New Roman" w:hAnsi="Times New Roman" w:cs="Times New Roman" w:eastAsia="Times New Roman" w:hint="default"/>
        </w:rPr>
        <w:t>B36619</w:t>
      </w:r>
      <w:r>
        <w:rPr/>
        <w:t>、</w:t>
      </w:r>
      <w:r>
        <w:rPr>
          <w:rFonts w:ascii="Times New Roman" w:hAnsi="Times New Roman" w:cs="Times New Roman" w:eastAsia="Times New Roman" w:hint="default"/>
        </w:rPr>
        <w:t>B36620</w:t>
      </w:r>
      <w:r>
        <w:rPr/>
        <w:t>、</w:t>
      </w:r>
      <w:r>
        <w:rPr>
          <w:rFonts w:ascii="Times New Roman" w:hAnsi="Times New Roman" w:cs="Times New Roman" w:eastAsia="Times New Roman" w:hint="default"/>
        </w:rPr>
        <w:t>B36621</w:t>
      </w:r>
      <w:r>
        <w:rPr>
          <w:rFonts w:ascii="Times New Roman" w:hAnsi="Times New Roman" w:cs="Times New Roman" w:eastAsia="Times New Roman" w:hint="default"/>
          <w:spacing w:val="3"/>
        </w:rPr>
        <w:t> </w:t>
      </w:r>
      <w:r>
        <w:rPr/>
        <w:t>号房地产买卖合同。已于</w:t>
      </w:r>
      <w:r>
        <w:rPr>
          <w:spacing w:val="-51"/>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月入住，截止</w:t>
      </w:r>
      <w:r>
        <w:rPr>
          <w:spacing w:val="-51"/>
        </w:rPr>
        <w:t> </w:t>
      </w:r>
      <w:r>
        <w:rPr>
          <w:rFonts w:ascii="Times New Roman" w:hAnsi="Times New Roman" w:cs="Times New Roman" w:eastAsia="Times New Roman" w:hint="default"/>
        </w:rPr>
        <w:t>2007</w:t>
      </w:r>
    </w:p>
    <w:p>
      <w:pPr>
        <w:pStyle w:val="BodyText"/>
        <w:spacing w:line="282" w:lineRule="exact"/>
        <w:ind w:left="144" w:right="226"/>
        <w:jc w:val="left"/>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日尚未办妥产权证书。</w:t>
      </w:r>
    </w:p>
    <w:p>
      <w:pPr>
        <w:pStyle w:val="BodyText"/>
        <w:spacing w:line="240" w:lineRule="auto" w:before="101"/>
        <w:ind w:left="564" w:right="226"/>
        <w:jc w:val="left"/>
      </w:pPr>
      <w:r>
        <w:rPr>
          <w:rFonts w:ascii="Times New Roman" w:hAnsi="Times New Roman" w:cs="Times New Roman" w:eastAsia="Times New Roman" w:hint="default"/>
        </w:rPr>
        <w:t>10</w:t>
      </w:r>
      <w:r>
        <w:rPr/>
        <w:t>、在建工程</w:t>
      </w:r>
    </w:p>
    <w:p>
      <w:pPr>
        <w:pStyle w:val="BodyText"/>
        <w:spacing w:line="240" w:lineRule="auto" w:before="101"/>
        <w:ind w:left="564" w:right="22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在建工程项目变动情况</w:t>
      </w:r>
    </w:p>
    <w:p>
      <w:pPr>
        <w:pStyle w:val="BodyText"/>
        <w:tabs>
          <w:tab w:pos="1108" w:val="left" w:leader="none"/>
        </w:tabs>
        <w:spacing w:line="240" w:lineRule="auto" w:before="103"/>
        <w:ind w:left="0" w:right="332"/>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line="240" w:lineRule="auto" w:before="5"/>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236"/>
        <w:gridCol w:w="1252"/>
        <w:gridCol w:w="1500"/>
        <w:gridCol w:w="1160"/>
        <w:gridCol w:w="1986"/>
        <w:gridCol w:w="816"/>
        <w:gridCol w:w="1500"/>
      </w:tblGrid>
      <w:tr>
        <w:trPr>
          <w:trHeight w:val="481" w:hRule="exact"/>
        </w:trPr>
        <w:tc>
          <w:tcPr>
            <w:tcW w:w="12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7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8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工程投入占预算比例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资金来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源</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7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2" w:hRule="exact"/>
        </w:trPr>
        <w:tc>
          <w:tcPr>
            <w:tcW w:w="12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4"/>
                <w:sz w:val="18"/>
                <w:szCs w:val="18"/>
              </w:rPr>
              <w:t>金证科工贸</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大厦</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87,733,400.00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3,216,646.27</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2,406,834.24</w:t>
            </w:r>
          </w:p>
        </w:tc>
        <w:tc>
          <w:tcPr>
            <w:tcW w:w="1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95"/>
                <w:sz w:val="18"/>
              </w:rPr>
              <w:t>6%</w:t>
            </w:r>
            <w:r>
              <w:rPr>
                <w:rFonts w:ascii="Times New Roman"/>
                <w:sz w:val="18"/>
              </w:rPr>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338"/>
              <w:jc w:val="right"/>
              <w:rPr>
                <w:rFonts w:ascii="宋体" w:hAnsi="宋体" w:cs="宋体" w:eastAsia="宋体" w:hint="default"/>
                <w:sz w:val="18"/>
                <w:szCs w:val="18"/>
              </w:rPr>
            </w:pPr>
            <w:r>
              <w:rPr>
                <w:rFonts w:ascii="宋体" w:hAnsi="宋体" w:cs="宋体" w:eastAsia="宋体" w:hint="default"/>
                <w:sz w:val="18"/>
                <w:szCs w:val="18"/>
              </w:rPr>
              <w:t>募集</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5,623,480.51</w:t>
            </w:r>
          </w:p>
        </w:tc>
      </w:tr>
      <w:tr>
        <w:trPr>
          <w:trHeight w:val="288" w:hRule="exact"/>
        </w:trPr>
        <w:tc>
          <w:tcPr>
            <w:tcW w:w="123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160" w:type="dxa"/>
            <w:tcBorders>
              <w:top w:val="single" w:sz="6" w:space="0" w:color="101010"/>
              <w:left w:val="single" w:sz="6" w:space="0" w:color="101010"/>
              <w:bottom w:val="single" w:sz="6" w:space="0" w:color="101010"/>
              <w:right w:val="single" w:sz="6" w:space="0" w:color="101010"/>
            </w:tcBorders>
          </w:tcPr>
          <w:p>
            <w:pPr/>
          </w:p>
        </w:tc>
        <w:tc>
          <w:tcPr>
            <w:tcW w:w="1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32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00"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40" w:lineRule="auto" w:before="84"/>
        <w:ind w:left="504" w:right="22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在建工程减值准备</w:t>
      </w:r>
    </w:p>
    <w:p>
      <w:pPr>
        <w:pStyle w:val="BodyText"/>
        <w:spacing w:line="240" w:lineRule="auto" w:before="101"/>
        <w:ind w:left="504" w:right="226"/>
        <w:jc w:val="left"/>
      </w:pPr>
      <w:r>
        <w:rPr/>
        <w:t>（</w:t>
      </w:r>
      <w:r>
        <w:rPr>
          <w:rFonts w:ascii="Times New Roman" w:hAnsi="Times New Roman" w:cs="Times New Roman" w:eastAsia="Times New Roman" w:hint="default"/>
        </w:rPr>
        <w:t>1</w:t>
      </w:r>
      <w:r>
        <w:rPr/>
        <w:t>）在建工程期末余额中无借款费用资本化金额。</w:t>
      </w:r>
    </w:p>
    <w:p>
      <w:pPr>
        <w:pStyle w:val="BodyText"/>
        <w:spacing w:line="240" w:lineRule="auto" w:before="101"/>
        <w:ind w:left="503" w:right="226"/>
        <w:jc w:val="left"/>
      </w:pPr>
      <w:r>
        <w:rPr/>
        <w:t>（</w:t>
      </w:r>
      <w:r>
        <w:rPr>
          <w:rFonts w:ascii="Times New Roman" w:hAnsi="Times New Roman" w:cs="Times New Roman" w:eastAsia="Times New Roman" w:hint="default"/>
        </w:rPr>
        <w:t>2</w:t>
      </w:r>
      <w:r>
        <w:rPr/>
        <w:t>）期末本公司对在建工程进行了检查，经检查期末在建工程无需计提减值准备。</w:t>
      </w:r>
    </w:p>
    <w:p>
      <w:pPr>
        <w:pStyle w:val="BodyText"/>
        <w:spacing w:line="240" w:lineRule="auto" w:before="101"/>
        <w:ind w:left="503" w:right="226"/>
        <w:jc w:val="left"/>
      </w:pPr>
      <w:r>
        <w:rPr>
          <w:rFonts w:ascii="Times New Roman" w:hAnsi="Times New Roman" w:cs="Times New Roman" w:eastAsia="Times New Roman" w:hint="default"/>
        </w:rPr>
        <w:t>11</w:t>
      </w:r>
      <w:r>
        <w:rPr/>
        <w:t>、无形资产</w:t>
      </w:r>
    </w:p>
    <w:p>
      <w:pPr>
        <w:pStyle w:val="BodyText"/>
        <w:spacing w:line="240" w:lineRule="auto" w:before="100"/>
        <w:ind w:left="503" w:right="22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无形资产情况：</w:t>
      </w:r>
    </w:p>
    <w:p>
      <w:pPr>
        <w:pStyle w:val="BodyText"/>
        <w:spacing w:line="240" w:lineRule="auto" w:before="103"/>
        <w:ind w:left="0" w:right="33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5"/>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096"/>
        <w:gridCol w:w="1640"/>
        <w:gridCol w:w="1642"/>
        <w:gridCol w:w="1640"/>
        <w:gridCol w:w="1642"/>
        <w:gridCol w:w="1640"/>
      </w:tblGrid>
      <w:tr>
        <w:trPr>
          <w:trHeight w:val="55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8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88"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88"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8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累计减值准备</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6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土地使用</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6"/>
              <w:jc w:val="right"/>
              <w:rPr>
                <w:rFonts w:ascii="Times New Roman" w:hAnsi="Times New Roman" w:cs="Times New Roman" w:eastAsia="Times New Roman" w:hint="default"/>
                <w:sz w:val="21"/>
                <w:szCs w:val="21"/>
              </w:rPr>
            </w:pPr>
            <w:r>
              <w:rPr>
                <w:rFonts w:ascii="Times New Roman"/>
                <w:spacing w:val="-1"/>
                <w:sz w:val="21"/>
              </w:rPr>
              <w:t>4,499,537.00</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93,903.36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4,405,633.64</w:t>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37"/>
              <w:jc w:val="center"/>
              <w:rPr>
                <w:rFonts w:ascii="宋体" w:hAnsi="宋体" w:cs="宋体" w:eastAsia="宋体" w:hint="default"/>
                <w:sz w:val="21"/>
                <w:szCs w:val="21"/>
              </w:rPr>
            </w:pPr>
            <w:r>
              <w:rPr>
                <w:rFonts w:ascii="宋体" w:hAnsi="宋体" w:cs="宋体" w:eastAsia="宋体" w:hint="default"/>
                <w:sz w:val="21"/>
                <w:szCs w:val="21"/>
              </w:rPr>
              <w:t>商标注册</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9,195.00</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90" w:right="0"/>
              <w:jc w:val="left"/>
              <w:rPr>
                <w:rFonts w:ascii="Times New Roman" w:hAnsi="Times New Roman" w:cs="Times New Roman" w:eastAsia="Times New Roman" w:hint="default"/>
                <w:sz w:val="21"/>
                <w:szCs w:val="21"/>
              </w:rPr>
            </w:pPr>
            <w:r>
              <w:rPr>
                <w:rFonts w:ascii="Times New Roman"/>
                <w:sz w:val="21"/>
              </w:rPr>
              <w:t>8,000.00</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4,959.96</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12,235.04</w:t>
            </w:r>
          </w:p>
        </w:tc>
        <w:tc>
          <w:tcPr>
            <w:tcW w:w="1640"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1040" w:bottom="920" w:left="1380" w:right="114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1096"/>
        <w:gridCol w:w="1640"/>
        <w:gridCol w:w="1642"/>
        <w:gridCol w:w="1640"/>
        <w:gridCol w:w="1642"/>
        <w:gridCol w:w="1640"/>
      </w:tblGrid>
      <w:tr>
        <w:trPr>
          <w:trHeight w:val="30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37"/>
              <w:jc w:val="center"/>
              <w:rPr>
                <w:rFonts w:ascii="宋体" w:hAnsi="宋体" w:cs="宋体" w:eastAsia="宋体" w:hint="default"/>
                <w:sz w:val="21"/>
                <w:szCs w:val="21"/>
              </w:rPr>
            </w:pPr>
            <w:r>
              <w:rPr>
                <w:rFonts w:ascii="宋体" w:hAnsi="宋体" w:cs="宋体" w:eastAsia="宋体" w:hint="default"/>
                <w:sz w:val="21"/>
                <w:szCs w:val="21"/>
              </w:rPr>
              <w:t>郎新软件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271.97</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196.97</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75.00</w:t>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证劵短信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服务系统</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2"/>
                <w:sz w:val="21"/>
              </w:rPr>
              <w:t>116,666.75</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39,999.96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76,666.79</w:t>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金蝶财务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88,670.62</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32,559.06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2"/>
                <w:sz w:val="21"/>
              </w:rPr>
              <w:t>56,111.56</w:t>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OA </w:t>
            </w:r>
            <w:r>
              <w:rPr>
                <w:rFonts w:ascii="Times New Roman" w:hAnsi="Times New Roman" w:cs="Times New Roman" w:eastAsia="Times New Roman" w:hint="default"/>
                <w:spacing w:val="24"/>
                <w:sz w:val="21"/>
                <w:szCs w:val="21"/>
              </w:rPr>
              <w:t> </w:t>
            </w:r>
            <w:r>
              <w:rPr>
                <w:rFonts w:ascii="宋体" w:hAnsi="宋体" w:cs="宋体" w:eastAsia="宋体" w:hint="default"/>
                <w:spacing w:val="12"/>
                <w:sz w:val="21"/>
                <w:szCs w:val="21"/>
              </w:rPr>
              <w:t>信息</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化系统</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46,500.00</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18,000.00</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28,500.00</w:t>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2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MIMIX</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256,463.29</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65,480.04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190,983.25</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ECU</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软件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72,549.86</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8,866.08</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63,683.78</w:t>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37"/>
              <w:jc w:val="center"/>
              <w:rPr>
                <w:rFonts w:ascii="宋体" w:hAnsi="宋体" w:cs="宋体" w:eastAsia="宋体" w:hint="default"/>
                <w:sz w:val="21"/>
                <w:szCs w:val="21"/>
              </w:rPr>
            </w:pPr>
            <w:r>
              <w:rPr>
                <w:rFonts w:ascii="宋体" w:hAnsi="宋体" w:cs="宋体" w:eastAsia="宋体" w:hint="default"/>
                <w:sz w:val="21"/>
                <w:szCs w:val="21"/>
              </w:rPr>
              <w:t>测试软件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6,666.60</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800.04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5,866.56</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37"/>
              <w:jc w:val="center"/>
              <w:rPr>
                <w:rFonts w:ascii="宋体" w:hAnsi="宋体" w:cs="宋体" w:eastAsia="宋体" w:hint="default"/>
                <w:sz w:val="21"/>
                <w:szCs w:val="21"/>
              </w:rPr>
            </w:pPr>
            <w:r>
              <w:rPr>
                <w:rFonts w:ascii="宋体" w:hAnsi="宋体" w:cs="宋体" w:eastAsia="宋体" w:hint="default"/>
                <w:sz w:val="21"/>
                <w:szCs w:val="21"/>
              </w:rPr>
              <w:t>打包软件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2,976.71</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759.96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2,216.75</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备份复制</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47,040.00</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10,080.00</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36,960.00</w:t>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金蝶财务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69,480.28</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16,675.32</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52,804.96</w:t>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网络安全</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管理系统</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98,333.33</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20,000.04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78,333.29</w:t>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37"/>
              <w:jc w:val="center"/>
              <w:rPr>
                <w:rFonts w:ascii="宋体" w:hAnsi="宋体" w:cs="宋体" w:eastAsia="宋体" w:hint="default"/>
                <w:sz w:val="21"/>
                <w:szCs w:val="21"/>
              </w:rPr>
            </w:pPr>
            <w:r>
              <w:rPr>
                <w:rFonts w:ascii="宋体" w:hAnsi="宋体" w:cs="宋体" w:eastAsia="宋体" w:hint="default"/>
                <w:sz w:val="21"/>
                <w:szCs w:val="21"/>
              </w:rPr>
              <w:t>网站系统</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206,067.33</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41,912.04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164,155.29</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2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RASII2.0</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14,583.30</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3,500.03</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2"/>
                <w:sz w:val="21"/>
              </w:rPr>
              <w:t>11,083.27</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1104"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迪 华</w:t>
            </w:r>
            <w:r>
              <w:rPr>
                <w:rFonts w:ascii="宋体" w:hAnsi="宋体" w:cs="宋体" w:eastAsia="宋体" w:hint="default"/>
                <w:spacing w:val="37"/>
                <w:sz w:val="21"/>
                <w:szCs w:val="21"/>
              </w:rPr>
              <w:t> </w:t>
            </w:r>
            <w:r>
              <w:rPr>
                <w:rFonts w:ascii="宋体" w:hAnsi="宋体" w:cs="宋体" w:eastAsia="宋体" w:hint="default"/>
                <w:sz w:val="21"/>
                <w:szCs w:val="21"/>
              </w:rPr>
              <w:t>龙</w:t>
            </w:r>
          </w:p>
          <w:p>
            <w:pPr>
              <w:pStyle w:val="TableParagraph"/>
              <w:spacing w:line="28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DESS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券</w:t>
            </w:r>
          </w:p>
          <w:p>
            <w:pPr>
              <w:pStyle w:val="TableParagraph"/>
              <w:spacing w:line="272" w:lineRule="exact" w:before="18"/>
              <w:ind w:left="100" w:right="85"/>
              <w:jc w:val="left"/>
              <w:rPr>
                <w:rFonts w:ascii="宋体" w:hAnsi="宋体" w:cs="宋体" w:eastAsia="宋体" w:hint="default"/>
                <w:sz w:val="21"/>
                <w:szCs w:val="21"/>
              </w:rPr>
            </w:pPr>
            <w:r>
              <w:rPr>
                <w:rFonts w:ascii="宋体" w:hAnsi="宋体" w:cs="宋体" w:eastAsia="宋体" w:hint="default"/>
                <w:spacing w:val="13"/>
                <w:sz w:val="21"/>
                <w:szCs w:val="21"/>
              </w:rPr>
              <w:t>商系统软 </w:t>
            </w:r>
            <w:r>
              <w:rPr>
                <w:rFonts w:ascii="宋体" w:hAnsi="宋体" w:cs="宋体" w:eastAsia="宋体" w:hint="default"/>
                <w:sz w:val="21"/>
                <w:szCs w:val="21"/>
              </w:rPr>
              <w:t>件</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899,999.98</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200,000.04</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699,999.94</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1104"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迪 华</w:t>
            </w:r>
            <w:r>
              <w:rPr>
                <w:rFonts w:ascii="宋体" w:hAnsi="宋体" w:cs="宋体" w:eastAsia="宋体" w:hint="default"/>
                <w:spacing w:val="37"/>
                <w:sz w:val="21"/>
                <w:szCs w:val="21"/>
              </w:rPr>
              <w:t> </w:t>
            </w:r>
            <w:r>
              <w:rPr>
                <w:rFonts w:ascii="宋体" w:hAnsi="宋体" w:cs="宋体" w:eastAsia="宋体" w:hint="default"/>
                <w:sz w:val="21"/>
                <w:szCs w:val="21"/>
              </w:rPr>
              <w:t>龙</w:t>
            </w:r>
          </w:p>
          <w:p>
            <w:pPr>
              <w:pStyle w:val="TableParagraph"/>
              <w:spacing w:line="28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DESS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证</w:t>
            </w:r>
          </w:p>
          <w:p>
            <w:pPr>
              <w:pStyle w:val="TableParagraph"/>
              <w:spacing w:line="272" w:lineRule="exact" w:before="18"/>
              <w:ind w:left="100" w:right="85"/>
              <w:jc w:val="left"/>
              <w:rPr>
                <w:rFonts w:ascii="宋体" w:hAnsi="宋体" w:cs="宋体" w:eastAsia="宋体" w:hint="default"/>
                <w:sz w:val="21"/>
                <w:szCs w:val="21"/>
              </w:rPr>
            </w:pPr>
            <w:r>
              <w:rPr>
                <w:rFonts w:ascii="宋体" w:hAnsi="宋体" w:cs="宋体" w:eastAsia="宋体" w:hint="default"/>
                <w:spacing w:val="13"/>
                <w:sz w:val="21"/>
                <w:szCs w:val="21"/>
              </w:rPr>
              <w:t>券短信服 </w:t>
            </w:r>
            <w:r>
              <w:rPr>
                <w:rFonts w:ascii="宋体" w:hAnsi="宋体" w:cs="宋体" w:eastAsia="宋体" w:hint="default"/>
                <w:sz w:val="21"/>
                <w:szCs w:val="21"/>
              </w:rPr>
              <w:t>务系统</w:t>
            </w:r>
          </w:p>
        </w:tc>
        <w:tc>
          <w:tcPr>
            <w:tcW w:w="1640"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00"/>
              <w:jc w:val="right"/>
              <w:rPr>
                <w:rFonts w:ascii="Times New Roman" w:hAnsi="Times New Roman" w:cs="Times New Roman" w:eastAsia="Times New Roman" w:hint="default"/>
                <w:sz w:val="21"/>
                <w:szCs w:val="21"/>
              </w:rPr>
            </w:pPr>
            <w:r>
              <w:rPr>
                <w:rFonts w:ascii="Times New Roman"/>
                <w:spacing w:val="-1"/>
                <w:sz w:val="21"/>
              </w:rPr>
              <w:t>295,000.00</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网上交易</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行情系统</w:t>
            </w:r>
          </w:p>
        </w:tc>
        <w:tc>
          <w:tcPr>
            <w:tcW w:w="1640"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100"/>
              <w:jc w:val="right"/>
              <w:rPr>
                <w:rFonts w:ascii="Times New Roman" w:hAnsi="Times New Roman" w:cs="Times New Roman" w:eastAsia="Times New Roman" w:hint="default"/>
                <w:sz w:val="21"/>
                <w:szCs w:val="21"/>
              </w:rPr>
            </w:pPr>
            <w:r>
              <w:rPr>
                <w:rFonts w:ascii="Times New Roman"/>
                <w:spacing w:val="-1"/>
                <w:sz w:val="21"/>
              </w:rPr>
              <w:t>203,000.00</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6,766.67</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100"/>
              <w:jc w:val="right"/>
              <w:rPr>
                <w:rFonts w:ascii="Times New Roman" w:hAnsi="Times New Roman" w:cs="Times New Roman" w:eastAsia="Times New Roman" w:hint="default"/>
                <w:sz w:val="21"/>
                <w:szCs w:val="21"/>
              </w:rPr>
            </w:pPr>
            <w:r>
              <w:rPr>
                <w:rFonts w:ascii="Times New Roman"/>
                <w:spacing w:val="-1"/>
                <w:sz w:val="21"/>
              </w:rPr>
              <w:t>196,233.33</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港股行情</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40"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pacing w:val="-1"/>
                <w:sz w:val="21"/>
              </w:rPr>
              <w:t>93,380.00</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4,668.99</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100"/>
              <w:jc w:val="right"/>
              <w:rPr>
                <w:rFonts w:ascii="Times New Roman" w:hAnsi="Times New Roman" w:cs="Times New Roman" w:eastAsia="Times New Roman" w:hint="default"/>
                <w:sz w:val="21"/>
                <w:szCs w:val="21"/>
              </w:rPr>
            </w:pPr>
            <w:r>
              <w:rPr>
                <w:rFonts w:ascii="Times New Roman"/>
                <w:spacing w:val="-2"/>
                <w:sz w:val="21"/>
              </w:rPr>
              <w:t>88,711.01</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306"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6,435,002.02</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604,380.00</w:t>
            </w:r>
            <w:r>
              <w:rPr>
                <w:rFonts w:ascii="Times New Roman"/>
                <w:sz w:val="21"/>
              </w:rPr>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574,128.56</w:t>
            </w:r>
            <w:r>
              <w:rPr>
                <w:rFonts w:ascii="Times New Roman"/>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6,465,253.46</w:t>
            </w:r>
          </w:p>
        </w:tc>
        <w:tc>
          <w:tcPr>
            <w:tcW w:w="1640"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40" w:lineRule="auto" w:before="84"/>
        <w:ind w:left="504" w:right="2197"/>
        <w:jc w:val="left"/>
      </w:pPr>
      <w:r>
        <w:rPr>
          <w:rFonts w:ascii="Times New Roman" w:hAnsi="Times New Roman" w:cs="Times New Roman" w:eastAsia="Times New Roman" w:hint="default"/>
        </w:rPr>
        <w:t>12</w:t>
      </w:r>
      <w:r>
        <w:rPr/>
        <w:t>、递延所得税资产的说明</w:t>
      </w:r>
    </w:p>
    <w:p>
      <w:pPr>
        <w:pStyle w:val="BodyText"/>
        <w:spacing w:line="240" w:lineRule="auto" w:before="101"/>
        <w:ind w:left="50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）因资产减值准备等因素形成的递延所得税资产年末数</w:t>
      </w:r>
      <w:r>
        <w:rPr>
          <w:spacing w:val="-60"/>
        </w:rPr>
        <w:t> </w:t>
      </w:r>
      <w:r>
        <w:rPr>
          <w:rFonts w:ascii="Times New Roman" w:hAnsi="Times New Roman" w:cs="Times New Roman" w:eastAsia="Times New Roman" w:hint="default"/>
        </w:rPr>
        <w:t>2,513,107.52,</w:t>
      </w:r>
      <w:r>
        <w:rPr/>
        <w:t>年初数</w:t>
      </w:r>
      <w:r>
        <w:rPr>
          <w:spacing w:val="-60"/>
        </w:rPr>
        <w:t> </w:t>
      </w:r>
      <w:r>
        <w:rPr>
          <w:rFonts w:ascii="Times New Roman" w:hAnsi="Times New Roman" w:cs="Times New Roman" w:eastAsia="Times New Roman" w:hint="default"/>
        </w:rPr>
        <w:t>3,904,340.04</w:t>
      </w:r>
    </w:p>
    <w:p>
      <w:pPr>
        <w:pStyle w:val="BodyText"/>
        <w:spacing w:line="240" w:lineRule="auto" w:before="101"/>
        <w:ind w:left="50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）因未弥补亏损形成的递延所得税资产年末数</w:t>
      </w:r>
      <w:r>
        <w:rPr>
          <w:spacing w:val="-64"/>
        </w:rPr>
        <w:t> </w:t>
      </w:r>
      <w:r>
        <w:rPr>
          <w:rFonts w:ascii="Times New Roman" w:hAnsi="Times New Roman" w:cs="Times New Roman" w:eastAsia="Times New Roman" w:hint="default"/>
        </w:rPr>
        <w:t>1,073,028.11.</w:t>
      </w:r>
      <w:r>
        <w:rPr/>
        <w:t>年初数</w:t>
      </w:r>
      <w:r>
        <w:rPr>
          <w:spacing w:val="-64"/>
        </w:rPr>
        <w:t> </w:t>
      </w:r>
      <w:r>
        <w:rPr>
          <w:rFonts w:ascii="Times New Roman" w:hAnsi="Times New Roman" w:cs="Times New Roman" w:eastAsia="Times New Roman" w:hint="default"/>
        </w:rPr>
        <w:t>1,413,568.22</w:t>
      </w:r>
    </w:p>
    <w:p>
      <w:pPr>
        <w:pStyle w:val="BodyText"/>
        <w:spacing w:line="240" w:lineRule="auto" w:before="100"/>
        <w:ind w:left="504" w:right="2197"/>
        <w:jc w:val="left"/>
      </w:pPr>
      <w:r>
        <w:rPr>
          <w:rFonts w:ascii="Times New Roman" w:hAnsi="Times New Roman" w:cs="Times New Roman" w:eastAsia="Times New Roman" w:hint="default"/>
        </w:rPr>
        <w:t>13</w:t>
      </w:r>
      <w:r>
        <w:rPr/>
        <w:t>、资产减值准备明细</w:t>
      </w:r>
    </w:p>
    <w:p>
      <w:pPr>
        <w:pStyle w:val="BodyText"/>
        <w:tabs>
          <w:tab w:pos="1108" w:val="left" w:leader="none"/>
        </w:tabs>
        <w:spacing w:line="240" w:lineRule="auto" w:before="103"/>
        <w:ind w:left="0" w:right="171"/>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line="240" w:lineRule="auto" w:before="5"/>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534"/>
        <w:gridCol w:w="1349"/>
        <w:gridCol w:w="1213"/>
        <w:gridCol w:w="1349"/>
        <w:gridCol w:w="1158"/>
        <w:gridCol w:w="1349"/>
        <w:gridCol w:w="1349"/>
      </w:tblGrid>
      <w:tr>
        <w:trPr>
          <w:trHeight w:val="434" w:hRule="exact"/>
        </w:trPr>
        <w:tc>
          <w:tcPr>
            <w:tcW w:w="1534"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49" w:type="dxa"/>
            <w:vMerge w:val="restart"/>
            <w:tcBorders>
              <w:top w:val="single" w:sz="6" w:space="0" w:color="101010"/>
              <w:left w:val="single" w:sz="6" w:space="0" w:color="101010"/>
              <w:right w:val="single" w:sz="6" w:space="0" w:color="101010"/>
            </w:tcBorders>
          </w:tcPr>
          <w:p>
            <w:pPr>
              <w:pStyle w:val="TableParagraph"/>
              <w:spacing w:line="272" w:lineRule="exact" w:before="141"/>
              <w:ind w:left="561" w:right="140"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1213" w:type="dxa"/>
            <w:vMerge w:val="restart"/>
            <w:tcBorders>
              <w:top w:val="single" w:sz="6" w:space="0" w:color="101010"/>
              <w:left w:val="single" w:sz="6" w:space="0" w:color="101010"/>
              <w:right w:val="single" w:sz="6" w:space="0" w:color="101010"/>
            </w:tcBorders>
          </w:tcPr>
          <w:p>
            <w:pPr>
              <w:pStyle w:val="TableParagraph"/>
              <w:spacing w:line="272" w:lineRule="exact" w:before="141"/>
              <w:ind w:left="494" w:right="179" w:hanging="316"/>
              <w:jc w:val="left"/>
              <w:rPr>
                <w:rFonts w:ascii="宋体" w:hAnsi="宋体" w:cs="宋体" w:eastAsia="宋体" w:hint="default"/>
                <w:sz w:val="21"/>
                <w:szCs w:val="21"/>
              </w:rPr>
            </w:pPr>
            <w:r>
              <w:rPr>
                <w:rFonts w:ascii="宋体" w:hAnsi="宋体" w:cs="宋体" w:eastAsia="宋体" w:hint="default"/>
                <w:sz w:val="21"/>
                <w:szCs w:val="21"/>
              </w:rPr>
              <w:t>本期计提 额</w:t>
            </w:r>
          </w:p>
        </w:tc>
        <w:tc>
          <w:tcPr>
            <w:tcW w:w="385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本期减少额</w:t>
            </w:r>
          </w:p>
        </w:tc>
        <w:tc>
          <w:tcPr>
            <w:tcW w:w="1349" w:type="dxa"/>
            <w:vMerge w:val="restart"/>
            <w:tcBorders>
              <w:top w:val="single" w:sz="6" w:space="0" w:color="101010"/>
              <w:left w:val="single" w:sz="6" w:space="0" w:color="101010"/>
              <w:right w:val="single" w:sz="6" w:space="0" w:color="101010"/>
            </w:tcBorders>
          </w:tcPr>
          <w:p>
            <w:pPr>
              <w:pStyle w:val="TableParagraph"/>
              <w:spacing w:line="272" w:lineRule="exact" w:before="141"/>
              <w:ind w:left="561" w:right="140" w:hanging="420"/>
              <w:jc w:val="left"/>
              <w:rPr>
                <w:rFonts w:ascii="宋体" w:hAnsi="宋体" w:cs="宋体" w:eastAsia="宋体" w:hint="default"/>
                <w:sz w:val="21"/>
                <w:szCs w:val="21"/>
              </w:rPr>
            </w:pPr>
            <w:r>
              <w:rPr>
                <w:rFonts w:ascii="宋体" w:hAnsi="宋体" w:cs="宋体" w:eastAsia="宋体" w:hint="default"/>
                <w:sz w:val="21"/>
                <w:szCs w:val="21"/>
              </w:rPr>
              <w:t>期末账面余 额</w:t>
            </w:r>
          </w:p>
        </w:tc>
      </w:tr>
      <w:tr>
        <w:trPr>
          <w:trHeight w:val="436" w:hRule="exact"/>
        </w:trPr>
        <w:tc>
          <w:tcPr>
            <w:tcW w:w="1534" w:type="dxa"/>
            <w:vMerge/>
            <w:tcBorders>
              <w:left w:val="single" w:sz="6" w:space="0" w:color="101010"/>
              <w:bottom w:val="single" w:sz="6" w:space="0" w:color="101010"/>
              <w:right w:val="single" w:sz="6" w:space="0" w:color="101010"/>
            </w:tcBorders>
          </w:tcPr>
          <w:p>
            <w:pPr/>
          </w:p>
        </w:tc>
        <w:tc>
          <w:tcPr>
            <w:tcW w:w="1349" w:type="dxa"/>
            <w:vMerge/>
            <w:tcBorders>
              <w:left w:val="single" w:sz="6" w:space="0" w:color="101010"/>
              <w:bottom w:val="single" w:sz="6" w:space="0" w:color="101010"/>
              <w:right w:val="single" w:sz="6" w:space="0" w:color="101010"/>
            </w:tcBorders>
          </w:tcPr>
          <w:p>
            <w:pPr/>
          </w:p>
        </w:tc>
        <w:tc>
          <w:tcPr>
            <w:tcW w:w="1213" w:type="dxa"/>
            <w:vMerge/>
            <w:tcBorders>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1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61"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9" w:type="dxa"/>
            <w:vMerge/>
            <w:tcBorders>
              <w:left w:val="single" w:sz="6" w:space="0" w:color="101010"/>
              <w:bottom w:val="single" w:sz="6" w:space="0" w:color="101010"/>
              <w:right w:val="single" w:sz="6" w:space="0" w:color="101010"/>
            </w:tcBorders>
          </w:tcPr>
          <w:p>
            <w:pPr/>
          </w:p>
        </w:tc>
      </w:tr>
      <w:tr>
        <w:trPr>
          <w:trHeight w:val="263"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27,319,139.45</w:t>
            </w:r>
          </w:p>
        </w:tc>
        <w:tc>
          <w:tcPr>
            <w:tcW w:w="1213"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806,520.70</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left="97" w:right="0"/>
              <w:jc w:val="center"/>
              <w:rPr>
                <w:rFonts w:ascii="Times New Roman" w:hAnsi="Times New Roman" w:cs="Times New Roman" w:eastAsia="Times New Roman" w:hint="default"/>
                <w:sz w:val="18"/>
                <w:szCs w:val="18"/>
              </w:rPr>
            </w:pPr>
            <w:r>
              <w:rPr>
                <w:rFonts w:ascii="Times New Roman"/>
                <w:sz w:val="18"/>
              </w:rPr>
              <w:t>14,406,906.60</w:t>
            </w: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14,406,906.60</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13,718,753.55</w:t>
            </w:r>
          </w:p>
        </w:tc>
      </w:tr>
      <w:tr>
        <w:trPr>
          <w:trHeight w:val="482"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二、存货跌价准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1,102,574.02</w:t>
            </w:r>
          </w:p>
        </w:tc>
        <w:tc>
          <w:tcPr>
            <w:tcW w:w="12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82,756.41</w:t>
            </w: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63,552.74</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63,552.74</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1,121,777.69</w:t>
            </w:r>
          </w:p>
        </w:tc>
      </w:tr>
    </w:tbl>
    <w:p>
      <w:pPr>
        <w:spacing w:after="0" w:line="240" w:lineRule="auto"/>
        <w:jc w:val="right"/>
        <w:rPr>
          <w:rFonts w:ascii="Times New Roman" w:hAnsi="Times New Roman" w:cs="Times New Roman" w:eastAsia="Times New Roman" w:hint="default"/>
          <w:sz w:val="18"/>
          <w:szCs w:val="18"/>
        </w:rPr>
        <w:sectPr>
          <w:pgSz w:w="12240" w:h="15840"/>
          <w:pgMar w:header="747" w:footer="727" w:top="1040" w:bottom="920" w:left="1380" w:right="13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1534"/>
        <w:gridCol w:w="1349"/>
        <w:gridCol w:w="1213"/>
        <w:gridCol w:w="1349"/>
        <w:gridCol w:w="1158"/>
        <w:gridCol w:w="1349"/>
        <w:gridCol w:w="1349"/>
      </w:tblGrid>
      <w:tr>
        <w:trPr>
          <w:trHeight w:val="482"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三、可供出售金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融资产减值准备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四、持有至到期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投资减值准备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五、长期股权投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资减值准备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六、投资性房地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产减值准备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七、固定资产减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372,328.13</w:t>
            </w: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372,328.13</w:t>
            </w:r>
          </w:p>
        </w:tc>
      </w:tr>
      <w:tr>
        <w:trPr>
          <w:trHeight w:val="481"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八、工程物资减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九、在建工程减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十、生产性生物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其中：成熟生产</w:t>
            </w:r>
          </w:p>
          <w:p>
            <w:pPr>
              <w:pStyle w:val="TableParagraph"/>
              <w:spacing w:line="240" w:lineRule="auto"/>
              <w:ind w:left="100" w:right="100"/>
              <w:jc w:val="left"/>
              <w:rPr>
                <w:rFonts w:ascii="宋体" w:hAnsi="宋体" w:cs="宋体" w:eastAsia="宋体" w:hint="default"/>
                <w:sz w:val="18"/>
                <w:szCs w:val="18"/>
              </w:rPr>
            </w:pPr>
            <w:r>
              <w:rPr>
                <w:rFonts w:ascii="宋体" w:hAnsi="宋体" w:cs="宋体" w:eastAsia="宋体" w:hint="default"/>
                <w:spacing w:val="7"/>
                <w:sz w:val="18"/>
                <w:szCs w:val="18"/>
              </w:rPr>
              <w:t>性生物资产减值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十一、油气资产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十二、无形资产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十三、商誉减值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349" w:type="dxa"/>
            <w:tcBorders>
              <w:top w:val="single" w:sz="6" w:space="0" w:color="101010"/>
              <w:left w:val="single" w:sz="6" w:space="0" w:color="101010"/>
              <w:bottom w:val="single" w:sz="6" w:space="0" w:color="101010"/>
              <w:right w:val="single" w:sz="6" w:space="0" w:color="101010"/>
            </w:tcBorders>
          </w:tcPr>
          <w:p>
            <w:pPr/>
          </w:p>
        </w:tc>
        <w:tc>
          <w:tcPr>
            <w:tcW w:w="1213"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158"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c>
          <w:tcPr>
            <w:tcW w:w="1349" w:type="dxa"/>
            <w:tcBorders>
              <w:top w:val="single" w:sz="6" w:space="0" w:color="101010"/>
              <w:left w:val="single" w:sz="6" w:space="0" w:color="101010"/>
              <w:bottom w:val="single" w:sz="6" w:space="0" w:color="101010"/>
              <w:right w:val="single" w:sz="6" w:space="0" w:color="101010"/>
            </w:tcBorders>
          </w:tcPr>
          <w:p>
            <w:pPr/>
          </w:p>
        </w:tc>
      </w:tr>
      <w:tr>
        <w:trPr>
          <w:trHeight w:val="264" w:hRule="exact"/>
        </w:trPr>
        <w:tc>
          <w:tcPr>
            <w:tcW w:w="1534"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28,794,041.6</w:t>
            </w:r>
          </w:p>
        </w:tc>
        <w:tc>
          <w:tcPr>
            <w:tcW w:w="1213"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left="294" w:right="0"/>
              <w:jc w:val="left"/>
              <w:rPr>
                <w:rFonts w:ascii="Times New Roman" w:hAnsi="Times New Roman" w:cs="Times New Roman" w:eastAsia="Times New Roman" w:hint="default"/>
                <w:sz w:val="18"/>
                <w:szCs w:val="18"/>
              </w:rPr>
            </w:pPr>
            <w:r>
              <w:rPr>
                <w:rFonts w:ascii="Times New Roman"/>
                <w:sz w:val="18"/>
              </w:rPr>
              <w:t>889,277.11</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left="198" w:right="0"/>
              <w:jc w:val="left"/>
              <w:rPr>
                <w:rFonts w:ascii="Times New Roman" w:hAnsi="Times New Roman" w:cs="Times New Roman" w:eastAsia="Times New Roman" w:hint="default"/>
                <w:sz w:val="18"/>
                <w:szCs w:val="18"/>
              </w:rPr>
            </w:pPr>
            <w:r>
              <w:rPr>
                <w:rFonts w:ascii="Times New Roman"/>
                <w:sz w:val="18"/>
              </w:rPr>
              <w:t>14,406,906.60</w:t>
            </w:r>
          </w:p>
        </w:tc>
        <w:tc>
          <w:tcPr>
            <w:tcW w:w="1158"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left="321" w:right="0"/>
              <w:jc w:val="left"/>
              <w:rPr>
                <w:rFonts w:ascii="Times New Roman" w:hAnsi="Times New Roman" w:cs="Times New Roman" w:eastAsia="Times New Roman" w:hint="default"/>
                <w:sz w:val="18"/>
                <w:szCs w:val="18"/>
              </w:rPr>
            </w:pPr>
            <w:r>
              <w:rPr>
                <w:rFonts w:ascii="Times New Roman"/>
                <w:sz w:val="18"/>
              </w:rPr>
              <w:t>63,552.74</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left="198" w:right="0"/>
              <w:jc w:val="left"/>
              <w:rPr>
                <w:rFonts w:ascii="Times New Roman" w:hAnsi="Times New Roman" w:cs="Times New Roman" w:eastAsia="Times New Roman" w:hint="default"/>
                <w:sz w:val="18"/>
                <w:szCs w:val="18"/>
              </w:rPr>
            </w:pPr>
            <w:r>
              <w:rPr>
                <w:rFonts w:ascii="Times New Roman"/>
                <w:sz w:val="18"/>
              </w:rPr>
              <w:t>14,470,459.34</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15,212,859.37</w:t>
            </w:r>
          </w:p>
        </w:tc>
      </w:tr>
    </w:tbl>
    <w:p>
      <w:pPr>
        <w:spacing w:after="0" w:line="203" w:lineRule="exact"/>
        <w:jc w:val="right"/>
        <w:rPr>
          <w:rFonts w:ascii="Times New Roman" w:hAnsi="Times New Roman" w:cs="Times New Roman" w:eastAsia="Times New Roman" w:hint="default"/>
          <w:sz w:val="18"/>
          <w:szCs w:val="18"/>
        </w:rPr>
        <w:sectPr>
          <w:pgSz w:w="12240" w:h="15840"/>
          <w:pgMar w:header="747" w:footer="727" w:top="1040" w:bottom="920" w:left="1380" w:right="1300"/>
        </w:sectPr>
      </w:pPr>
    </w:p>
    <w:p>
      <w:pPr>
        <w:pStyle w:val="BodyText"/>
        <w:spacing w:line="240" w:lineRule="auto" w:before="84"/>
        <w:ind w:left="504" w:right="-16"/>
        <w:jc w:val="left"/>
      </w:pPr>
      <w:r>
        <w:rPr>
          <w:rFonts w:ascii="Times New Roman" w:hAnsi="Times New Roman" w:cs="Times New Roman" w:eastAsia="Times New Roman" w:hint="default"/>
        </w:rPr>
        <w:t>14</w:t>
      </w:r>
      <w:r>
        <w:rPr/>
        <w:t>、短期借款</w:t>
      </w:r>
    </w:p>
    <w:p>
      <w:pPr>
        <w:pStyle w:val="BodyText"/>
        <w:spacing w:line="240" w:lineRule="auto" w:before="101"/>
        <w:ind w:left="503"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短期借款分类：</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2"/>
          <w:szCs w:val="22"/>
        </w:rPr>
      </w:pPr>
    </w:p>
    <w:p>
      <w:pPr>
        <w:pStyle w:val="BodyText"/>
        <w:spacing w:line="240" w:lineRule="auto"/>
        <w:ind w:left="50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660" w:bottom="280" w:left="1380" w:right="1300"/>
          <w:cols w:num="2" w:equalWidth="0">
            <w:col w:w="2325" w:space="4655"/>
            <w:col w:w="2580"/>
          </w:cols>
        </w:sectPr>
      </w:pPr>
    </w:p>
    <w:p>
      <w:pPr>
        <w:spacing w:line="240" w:lineRule="auto" w:before="6"/>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516"/>
        <w:gridCol w:w="3392"/>
        <w:gridCol w:w="3391"/>
      </w:tblGrid>
      <w:tr>
        <w:trPr>
          <w:trHeight w:val="287" w:hRule="exact"/>
        </w:trPr>
        <w:tc>
          <w:tcPr>
            <w:tcW w:w="25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39"/>
              <w:jc w:val="right"/>
              <w:rPr>
                <w:rFonts w:ascii="宋体" w:hAnsi="宋体" w:cs="宋体" w:eastAsia="宋体" w:hint="default"/>
                <w:sz w:val="21"/>
                <w:szCs w:val="21"/>
              </w:rPr>
            </w:pPr>
            <w:r>
              <w:rPr>
                <w:rFonts w:ascii="宋体" w:hAnsi="宋体" w:cs="宋体" w:eastAsia="宋体" w:hint="default"/>
                <w:sz w:val="21"/>
                <w:szCs w:val="21"/>
              </w:rPr>
              <w:t>项目</w:t>
            </w:r>
          </w:p>
        </w:tc>
        <w:tc>
          <w:tcPr>
            <w:tcW w:w="33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39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05" w:hRule="exact"/>
        </w:trPr>
        <w:tc>
          <w:tcPr>
            <w:tcW w:w="25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392" w:type="dxa"/>
            <w:tcBorders>
              <w:top w:val="single" w:sz="6" w:space="0" w:color="101010"/>
              <w:left w:val="single" w:sz="6" w:space="0" w:color="101010"/>
              <w:bottom w:val="single" w:sz="6" w:space="0" w:color="101010"/>
              <w:right w:val="single" w:sz="6" w:space="0" w:color="101010"/>
            </w:tcBorders>
          </w:tcPr>
          <w:p>
            <w:pPr/>
          </w:p>
        </w:tc>
        <w:tc>
          <w:tcPr>
            <w:tcW w:w="339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7,495,865.40</w:t>
            </w:r>
          </w:p>
        </w:tc>
      </w:tr>
      <w:tr>
        <w:trPr>
          <w:trHeight w:val="305" w:hRule="exact"/>
        </w:trPr>
        <w:tc>
          <w:tcPr>
            <w:tcW w:w="25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担保借款</w:t>
            </w:r>
          </w:p>
        </w:tc>
        <w:tc>
          <w:tcPr>
            <w:tcW w:w="33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25,350,000.00</w:t>
            </w:r>
          </w:p>
        </w:tc>
        <w:tc>
          <w:tcPr>
            <w:tcW w:w="339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05" w:hRule="exact"/>
        </w:trPr>
        <w:tc>
          <w:tcPr>
            <w:tcW w:w="25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039"/>
              <w:jc w:val="right"/>
              <w:rPr>
                <w:rFonts w:ascii="宋体" w:hAnsi="宋体" w:cs="宋体" w:eastAsia="宋体" w:hint="default"/>
                <w:sz w:val="21"/>
                <w:szCs w:val="21"/>
              </w:rPr>
            </w:pPr>
            <w:r>
              <w:rPr>
                <w:rFonts w:ascii="宋体" w:hAnsi="宋体" w:cs="宋体" w:eastAsia="宋体" w:hint="default"/>
                <w:sz w:val="21"/>
                <w:szCs w:val="21"/>
              </w:rPr>
              <w:t>合计</w:t>
            </w:r>
          </w:p>
        </w:tc>
        <w:tc>
          <w:tcPr>
            <w:tcW w:w="33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25,350,000.00</w:t>
            </w:r>
          </w:p>
        </w:tc>
        <w:tc>
          <w:tcPr>
            <w:tcW w:w="339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27,495,865.4</w:t>
            </w:r>
          </w:p>
        </w:tc>
      </w:tr>
    </w:tbl>
    <w:p>
      <w:pPr>
        <w:pStyle w:val="BodyText"/>
        <w:spacing w:line="246" w:lineRule="exact"/>
        <w:ind w:left="565" w:right="0"/>
        <w:jc w:val="left"/>
      </w:pPr>
      <w:r>
        <w:rPr>
          <w:spacing w:val="-3"/>
        </w:rPr>
        <w:t>注：</w:t>
      </w:r>
      <w:r>
        <w:rPr>
          <w:rFonts w:ascii="Times New Roman" w:hAnsi="Times New Roman" w:cs="Times New Roman" w:eastAsia="Times New Roman" w:hint="default"/>
          <w:spacing w:val="-3"/>
        </w:rPr>
        <w:t>1</w:t>
      </w:r>
      <w:r>
        <w:rPr>
          <w:spacing w:val="-3"/>
        </w:rPr>
        <w:t>）保证借款为本公司之子公司—深圳市齐普生信息科技有限公司、深圳市金证卡尔电子有限</w:t>
      </w:r>
    </w:p>
    <w:p>
      <w:pPr>
        <w:pStyle w:val="BodyText"/>
        <w:spacing w:line="282" w:lineRule="exact"/>
        <w:ind w:right="2197"/>
        <w:jc w:val="left"/>
      </w:pPr>
      <w:r>
        <w:rPr/>
        <w:t>公司的银行借款，保证方为本公司。详见附注十一、</w:t>
      </w:r>
      <w:r>
        <w:rPr>
          <w:rFonts w:ascii="Times New Roman" w:hAnsi="Times New Roman" w:cs="Times New Roman" w:eastAsia="Times New Roman" w:hint="default"/>
        </w:rPr>
        <w:t>2</w:t>
      </w:r>
      <w:r>
        <w:rPr/>
        <w:t>。</w:t>
      </w:r>
    </w:p>
    <w:p>
      <w:pPr>
        <w:spacing w:line="240" w:lineRule="auto" w:before="12"/>
        <w:rPr>
          <w:rFonts w:ascii="宋体" w:hAnsi="宋体" w:cs="宋体" w:eastAsia="宋体" w:hint="default"/>
          <w:sz w:val="16"/>
          <w:szCs w:val="16"/>
        </w:rPr>
      </w:pPr>
    </w:p>
    <w:p>
      <w:pPr>
        <w:pStyle w:val="BodyText"/>
        <w:spacing w:line="240" w:lineRule="auto"/>
        <w:ind w:left="565" w:right="2197"/>
        <w:jc w:val="left"/>
      </w:pPr>
      <w:r>
        <w:rPr>
          <w:rFonts w:ascii="Times New Roman" w:hAnsi="Times New Roman" w:cs="Times New Roman" w:eastAsia="Times New Roman" w:hint="default"/>
        </w:rPr>
        <w:t>2</w:t>
      </w:r>
      <w:r>
        <w:rPr/>
        <w:t>）期末无已到期末偿还的借款。</w:t>
      </w:r>
    </w:p>
    <w:p>
      <w:pPr>
        <w:spacing w:line="240" w:lineRule="auto" w:before="12"/>
        <w:rPr>
          <w:rFonts w:ascii="宋体" w:hAnsi="宋体" w:cs="宋体" w:eastAsia="宋体" w:hint="default"/>
          <w:sz w:val="16"/>
          <w:szCs w:val="16"/>
        </w:rPr>
      </w:pPr>
    </w:p>
    <w:p>
      <w:pPr>
        <w:pStyle w:val="BodyText"/>
        <w:spacing w:line="240" w:lineRule="auto"/>
        <w:ind w:left="565" w:right="2197"/>
        <w:jc w:val="left"/>
      </w:pPr>
      <w:r>
        <w:rPr>
          <w:rFonts w:ascii="Times New Roman" w:hAnsi="Times New Roman" w:cs="Times New Roman" w:eastAsia="Times New Roman" w:hint="default"/>
        </w:rPr>
        <w:t>15</w:t>
      </w:r>
      <w:r>
        <w:rPr/>
        <w:t>、应付票据</w:t>
      </w:r>
    </w:p>
    <w:p>
      <w:pPr>
        <w:spacing w:line="240" w:lineRule="auto" w:before="1"/>
        <w:rPr>
          <w:rFonts w:ascii="宋体" w:hAnsi="宋体" w:cs="宋体" w:eastAsia="宋体" w:hint="default"/>
          <w:sz w:val="17"/>
          <w:szCs w:val="17"/>
        </w:rPr>
      </w:pPr>
    </w:p>
    <w:p>
      <w:pPr>
        <w:pStyle w:val="BodyText"/>
        <w:spacing w:line="240" w:lineRule="auto"/>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6"/>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174"/>
        <w:gridCol w:w="3064"/>
        <w:gridCol w:w="3062"/>
      </w:tblGrid>
      <w:tr>
        <w:trPr>
          <w:trHeight w:val="287" w:hRule="exact"/>
        </w:trPr>
        <w:tc>
          <w:tcPr>
            <w:tcW w:w="31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05" w:hRule="exact"/>
        </w:trPr>
        <w:tc>
          <w:tcPr>
            <w:tcW w:w="317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3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47,760,000.00</w:t>
            </w:r>
          </w:p>
        </w:tc>
        <w:tc>
          <w:tcPr>
            <w:tcW w:w="30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47,530,888.00</w:t>
            </w:r>
          </w:p>
        </w:tc>
      </w:tr>
      <w:tr>
        <w:trPr>
          <w:trHeight w:val="306" w:hRule="exact"/>
        </w:trPr>
        <w:tc>
          <w:tcPr>
            <w:tcW w:w="317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47,760,000.00</w:t>
            </w:r>
          </w:p>
        </w:tc>
        <w:tc>
          <w:tcPr>
            <w:tcW w:w="30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47,530,888.00</w:t>
            </w:r>
          </w:p>
        </w:tc>
      </w:tr>
    </w:tbl>
    <w:p>
      <w:pPr>
        <w:pStyle w:val="BodyText"/>
        <w:spacing w:line="240" w:lineRule="auto" w:before="84"/>
        <w:ind w:left="504" w:right="2197"/>
        <w:jc w:val="left"/>
      </w:pPr>
      <w:r>
        <w:rPr>
          <w:rFonts w:ascii="Times New Roman" w:hAnsi="Times New Roman" w:cs="Times New Roman" w:eastAsia="Times New Roman" w:hint="default"/>
        </w:rPr>
        <w:t>16</w:t>
      </w:r>
      <w:r>
        <w:rPr/>
        <w:t>、应付账款</w:t>
      </w:r>
    </w:p>
    <w:p>
      <w:pPr>
        <w:pStyle w:val="BodyText"/>
        <w:spacing w:line="324" w:lineRule="auto" w:before="100"/>
        <w:ind w:left="503" w:right="119"/>
        <w:jc w:val="left"/>
      </w:pPr>
      <w:r>
        <w:rPr>
          <w:rFonts w:ascii="Times New Roman" w:hAnsi="Times New Roman" w:cs="Times New Roman" w:eastAsia="Times New Roman" w:hint="default"/>
        </w:rPr>
        <w:t>(1) </w:t>
      </w:r>
      <w:r>
        <w:rPr/>
        <w:t>本报告期应付账款中无应付持有公司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以上表决权股份的股东单位或关联方的款项。</w:t>
      </w:r>
      <w:r>
        <w:rPr>
          <w:w w:val="99"/>
        </w:rPr>
        <w:t> </w:t>
      </w:r>
      <w:r>
        <w:rPr>
          <w:rFonts w:ascii="Times New Roman" w:hAnsi="Times New Roman" w:cs="Times New Roman" w:eastAsia="Times New Roman" w:hint="default"/>
        </w:rPr>
        <w:t>17</w:t>
      </w:r>
      <w:r>
        <w:rPr/>
        <w:t>、预收账款：</w:t>
      </w:r>
    </w:p>
    <w:p>
      <w:pPr>
        <w:spacing w:after="0" w:line="324" w:lineRule="auto"/>
        <w:jc w:val="left"/>
        <w:sectPr>
          <w:type w:val="continuous"/>
          <w:pgSz w:w="12240" w:h="15840"/>
          <w:pgMar w:top="660" w:bottom="280" w:left="1380" w:right="1300"/>
        </w:sectPr>
      </w:pPr>
    </w:p>
    <w:p>
      <w:pPr>
        <w:spacing w:line="240" w:lineRule="auto" w:before="3"/>
        <w:rPr>
          <w:rFonts w:ascii="宋体" w:hAnsi="宋体" w:cs="宋体" w:eastAsia="宋体" w:hint="default"/>
          <w:sz w:val="24"/>
          <w:szCs w:val="24"/>
        </w:rPr>
      </w:pPr>
    </w:p>
    <w:p>
      <w:pPr>
        <w:pStyle w:val="BodyText"/>
        <w:spacing w:line="324" w:lineRule="auto" w:before="35"/>
        <w:ind w:left="583" w:right="279"/>
        <w:jc w:val="left"/>
      </w:pPr>
      <w:r>
        <w:rPr>
          <w:rFonts w:ascii="Times New Roman" w:hAnsi="Times New Roman" w:cs="Times New Roman" w:eastAsia="Times New Roman" w:hint="default"/>
        </w:rPr>
        <w:t>(1) </w:t>
      </w:r>
      <w:r>
        <w:rPr/>
        <w:t>本报告期预收账款中无预收持有公司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以上表决权股份的股东单位或关联方的款项。</w:t>
      </w:r>
      <w:r>
        <w:rPr>
          <w:w w:val="99"/>
        </w:rPr>
        <w:t> </w:t>
      </w:r>
      <w:r>
        <w:rPr>
          <w:rFonts w:ascii="Times New Roman" w:hAnsi="Times New Roman" w:cs="Times New Roman" w:eastAsia="Times New Roman" w:hint="default"/>
        </w:rPr>
        <w:t>(2)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年的大额预收账款情况的说明：</w:t>
      </w:r>
    </w:p>
    <w:p>
      <w:pPr>
        <w:spacing w:line="240" w:lineRule="auto" w:before="9"/>
        <w:rPr>
          <w:rFonts w:ascii="宋体" w:hAnsi="宋体" w:cs="宋体" w:eastAsia="宋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3888"/>
        <w:gridCol w:w="2416"/>
        <w:gridCol w:w="3154"/>
      </w:tblGrid>
      <w:tr>
        <w:trPr>
          <w:trHeight w:val="402"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hAnsi="宋体" w:cs="宋体" w:eastAsia="宋体" w:hint="default"/>
                <w:sz w:val="21"/>
                <w:szCs w:val="21"/>
              </w:rPr>
              <w:t>金 额</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hAnsi="宋体" w:cs="宋体" w:eastAsia="宋体" w:hint="default"/>
                <w:sz w:val="21"/>
                <w:szCs w:val="21"/>
              </w:rPr>
              <w:t>未结转原因</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深圳市福田区信息中心</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Times New Roman" w:hAnsi="Times New Roman" w:cs="Times New Roman" w:eastAsia="Times New Roman" w:hint="default"/>
                <w:sz w:val="21"/>
                <w:szCs w:val="21"/>
              </w:rPr>
            </w:pPr>
            <w:r>
              <w:rPr>
                <w:rFonts w:ascii="Times New Roman"/>
                <w:sz w:val="21"/>
              </w:rPr>
              <w:t>3,823,200.00</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工程尚未完工</w:t>
            </w:r>
          </w:p>
        </w:tc>
      </w:tr>
      <w:tr>
        <w:trPr>
          <w:trHeight w:val="402"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深圳市制药厂</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Times New Roman" w:hAnsi="Times New Roman" w:cs="Times New Roman" w:eastAsia="Times New Roman" w:hint="default"/>
                <w:sz w:val="21"/>
                <w:szCs w:val="21"/>
              </w:rPr>
            </w:pPr>
            <w:r>
              <w:rPr>
                <w:rFonts w:ascii="Times New Roman"/>
                <w:sz w:val="21"/>
              </w:rPr>
              <w:t>2,767,560.55</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工程尚未完工</w:t>
            </w:r>
          </w:p>
        </w:tc>
      </w:tr>
      <w:tr>
        <w:trPr>
          <w:trHeight w:val="402"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杭州工商信托投资股份有限公司</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Times New Roman" w:hAnsi="Times New Roman" w:cs="Times New Roman" w:eastAsia="Times New Roman" w:hint="default"/>
                <w:sz w:val="21"/>
                <w:szCs w:val="21"/>
              </w:rPr>
            </w:pPr>
            <w:r>
              <w:rPr>
                <w:rFonts w:ascii="Times New Roman"/>
                <w:sz w:val="21"/>
              </w:rPr>
              <w:t>2,928,000.00</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工程尚未完工</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Times New Roman" w:hAnsi="Times New Roman" w:cs="Times New Roman" w:eastAsia="Times New Roman" w:hint="default"/>
                <w:sz w:val="21"/>
                <w:szCs w:val="21"/>
              </w:rPr>
            </w:pPr>
            <w:r>
              <w:rPr>
                <w:rFonts w:ascii="Times New Roman"/>
                <w:sz w:val="21"/>
              </w:rPr>
              <w:t>9,518,760.55</w:t>
            </w:r>
          </w:p>
        </w:tc>
        <w:tc>
          <w:tcPr>
            <w:tcW w:w="31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4"/>
        <w:ind w:left="584" w:right="279"/>
        <w:jc w:val="left"/>
      </w:pPr>
      <w:r>
        <w:rPr>
          <w:rFonts w:ascii="Times New Roman" w:hAnsi="Times New Roman" w:cs="Times New Roman" w:eastAsia="Times New Roman" w:hint="default"/>
        </w:rPr>
        <w:t>18</w:t>
      </w:r>
      <w:r>
        <w:rPr/>
        <w:t>、应付职工薪酬</w:t>
      </w:r>
    </w:p>
    <w:p>
      <w:pPr>
        <w:pStyle w:val="BodyText"/>
        <w:spacing w:line="240" w:lineRule="auto" w:before="103"/>
        <w:ind w:left="0" w:right="33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182"/>
        <w:gridCol w:w="1595"/>
        <w:gridCol w:w="1540"/>
        <w:gridCol w:w="1538"/>
        <w:gridCol w:w="1595"/>
      </w:tblGrid>
      <w:tr>
        <w:trPr>
          <w:trHeight w:val="406"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59"/>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3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36" w:right="0"/>
              <w:jc w:val="left"/>
              <w:rPr>
                <w:rFonts w:ascii="宋体" w:hAnsi="宋体" w:cs="宋体" w:eastAsia="宋体" w:hint="default"/>
                <w:sz w:val="21"/>
                <w:szCs w:val="21"/>
              </w:rPr>
            </w:pPr>
            <w:r>
              <w:rPr>
                <w:rFonts w:ascii="宋体" w:hAnsi="宋体" w:cs="宋体" w:eastAsia="宋体" w:hint="default"/>
                <w:sz w:val="21"/>
                <w:szCs w:val="21"/>
              </w:rPr>
              <w:t>本期支付额</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5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05"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8,310,797.97</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67,195,025.89</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57,969,698.89</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17,536,124.97</w:t>
            </w:r>
          </w:p>
        </w:tc>
      </w:tr>
      <w:tr>
        <w:trPr>
          <w:trHeight w:val="305"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4,061,652.34</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84,309.75</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4,145,962.09</w:t>
            </w:r>
          </w:p>
        </w:tc>
        <w:tc>
          <w:tcPr>
            <w:tcW w:w="1595"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3,160,513.98</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3,146,088.54</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14,425.44</w:t>
            </w:r>
          </w:p>
        </w:tc>
      </w:tr>
      <w:tr>
        <w:trPr>
          <w:trHeight w:val="341"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其中：医疗保险费</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787,769.50</w:t>
            </w:r>
            <w:r>
              <w:rPr>
                <w:rFonts w:ascii="Times New Roman"/>
                <w:sz w:val="21"/>
              </w:rPr>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776,168.76</w:t>
            </w:r>
            <w:r>
              <w:rPr>
                <w:rFonts w:ascii="Times New Roman"/>
                <w:sz w:val="21"/>
              </w:rPr>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2"/>
                <w:sz w:val="21"/>
              </w:rPr>
              <w:t>11,600.74</w:t>
            </w:r>
            <w:r>
              <w:rPr>
                <w:rFonts w:ascii="Times New Roman"/>
                <w:sz w:val="21"/>
              </w:rPr>
            </w:r>
          </w:p>
        </w:tc>
      </w:tr>
      <w:tr>
        <w:trPr>
          <w:trHeight w:val="342"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基本养老保险费</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2,116,409.28</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2,113,584.58</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2,824.70</w:t>
            </w:r>
            <w:r>
              <w:rPr>
                <w:rFonts w:ascii="Times New Roman"/>
                <w:sz w:val="21"/>
              </w:rPr>
            </w:r>
          </w:p>
        </w:tc>
      </w:tr>
      <w:tr>
        <w:trPr>
          <w:trHeight w:val="342"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失业保险费</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137,368.02</w:t>
            </w:r>
            <w:r>
              <w:rPr>
                <w:rFonts w:ascii="Times New Roman"/>
                <w:sz w:val="21"/>
              </w:rPr>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137,368.02</w:t>
            </w:r>
            <w:r>
              <w:rPr>
                <w:rFonts w:ascii="Times New Roman"/>
                <w:sz w:val="21"/>
              </w:rPr>
            </w:r>
          </w:p>
        </w:tc>
        <w:tc>
          <w:tcPr>
            <w:tcW w:w="1595"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工伤保险费</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2"/>
                <w:sz w:val="21"/>
              </w:rPr>
              <w:t>118,967.18</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2"/>
                <w:sz w:val="21"/>
              </w:rPr>
              <w:t>118,967.18</w:t>
            </w:r>
          </w:p>
        </w:tc>
        <w:tc>
          <w:tcPr>
            <w:tcW w:w="1595"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生育保险费</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
        </w:tc>
        <w:tc>
          <w:tcPr>
            <w:tcW w:w="1538" w:type="dxa"/>
            <w:tcBorders>
              <w:top w:val="single" w:sz="6" w:space="0" w:color="101010"/>
              <w:left w:val="single" w:sz="6" w:space="0" w:color="101010"/>
              <w:bottom w:val="single" w:sz="6" w:space="0" w:color="101010"/>
              <w:right w:val="single" w:sz="6" w:space="0" w:color="101010"/>
            </w:tcBorders>
          </w:tcPr>
          <w:p>
            <w:pPr/>
          </w:p>
        </w:tc>
        <w:tc>
          <w:tcPr>
            <w:tcW w:w="1595"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70,840.00</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70,840.00</w:t>
            </w:r>
          </w:p>
        </w:tc>
        <w:tc>
          <w:tcPr>
            <w:tcW w:w="1595"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1,907,040.69</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553,495.23</w:t>
            </w:r>
            <w:r>
              <w:rPr>
                <w:rFonts w:ascii="Times New Roman"/>
                <w:sz w:val="21"/>
              </w:rPr>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1,353,545.46</w:t>
            </w:r>
          </w:p>
        </w:tc>
      </w:tr>
      <w:tr>
        <w:trPr>
          <w:trHeight w:val="342"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工会经费和职工教育</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1,729,933.69</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376,388.23</w:t>
            </w:r>
            <w:r>
              <w:rPr>
                <w:rFonts w:ascii="Times New Roman"/>
                <w:sz w:val="21"/>
              </w:rPr>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7"/>
              <w:jc w:val="right"/>
              <w:rPr>
                <w:rFonts w:ascii="Times New Roman" w:hAnsi="Times New Roman" w:cs="Times New Roman" w:eastAsia="Times New Roman" w:hint="default"/>
                <w:sz w:val="21"/>
                <w:szCs w:val="21"/>
              </w:rPr>
            </w:pPr>
            <w:r>
              <w:rPr>
                <w:rFonts w:ascii="Times New Roman"/>
                <w:spacing w:val="-1"/>
                <w:sz w:val="21"/>
              </w:rPr>
              <w:t>1,353,545.46</w:t>
            </w:r>
          </w:p>
        </w:tc>
      </w:tr>
      <w:tr>
        <w:trPr>
          <w:trHeight w:val="341"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非货币性福利</w:t>
            </w:r>
          </w:p>
        </w:tc>
        <w:tc>
          <w:tcPr>
            <w:tcW w:w="1595"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177,107.00</w:t>
            </w:r>
            <w:r>
              <w:rPr>
                <w:rFonts w:ascii="Times New Roman"/>
                <w:sz w:val="21"/>
              </w:rPr>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177,107.00</w:t>
            </w:r>
            <w:r>
              <w:rPr>
                <w:rFonts w:ascii="Times New Roman"/>
                <w:sz w:val="21"/>
              </w:rPr>
            </w:r>
          </w:p>
        </w:tc>
        <w:tc>
          <w:tcPr>
            <w:tcW w:w="1595" w:type="dxa"/>
            <w:tcBorders>
              <w:top w:val="single" w:sz="6" w:space="0" w:color="101010"/>
              <w:left w:val="single" w:sz="6" w:space="0" w:color="101010"/>
              <w:bottom w:val="single" w:sz="6" w:space="0" w:color="101010"/>
              <w:right w:val="single" w:sz="6" w:space="0" w:color="101010"/>
            </w:tcBorders>
          </w:tcPr>
          <w:p>
            <w:pPr/>
          </w:p>
        </w:tc>
      </w:tr>
      <w:tr>
        <w:trPr>
          <w:trHeight w:val="306" w:hRule="exact"/>
        </w:trPr>
        <w:tc>
          <w:tcPr>
            <w:tcW w:w="3182"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12,372,450.31</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72,417,730.31</w:t>
            </w:r>
          </w:p>
        </w:tc>
        <w:tc>
          <w:tcPr>
            <w:tcW w:w="15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65,886,084.75</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18,904,095.87</w:t>
            </w:r>
          </w:p>
        </w:tc>
      </w:tr>
    </w:tbl>
    <w:p>
      <w:pPr>
        <w:pStyle w:val="BodyText"/>
        <w:spacing w:line="240" w:lineRule="auto" w:before="86"/>
        <w:ind w:left="584" w:right="279"/>
        <w:jc w:val="left"/>
      </w:pPr>
      <w:r>
        <w:rPr>
          <w:rFonts w:ascii="Times New Roman" w:hAnsi="Times New Roman" w:cs="Times New Roman" w:eastAsia="Times New Roman" w:hint="default"/>
        </w:rPr>
        <w:t>19</w:t>
      </w:r>
      <w:r>
        <w:rPr/>
        <w:t>、应交税费</w:t>
      </w:r>
    </w:p>
    <w:p>
      <w:pPr>
        <w:pStyle w:val="BodyText"/>
        <w:spacing w:line="240" w:lineRule="auto" w:before="35"/>
        <w:ind w:left="0" w:right="33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6"/>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1978"/>
        <w:gridCol w:w="1388"/>
        <w:gridCol w:w="1390"/>
        <w:gridCol w:w="4544"/>
      </w:tblGrid>
      <w:tr>
        <w:trPr>
          <w:trHeight w:val="404"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7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7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60"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pacing w:val="-1"/>
                <w:sz w:val="21"/>
              </w:rPr>
              <w:t>-4,702,998.02</w:t>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-3,439,091.56</w:t>
            </w:r>
          </w:p>
        </w:tc>
        <w:tc>
          <w:tcPr>
            <w:tcW w:w="454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以销项税扣除允许抵扣的进项税的差额计算缴</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纳或按应税收入</w:t>
            </w:r>
          </w:p>
        </w:tc>
      </w:tr>
      <w:tr>
        <w:trPr>
          <w:trHeight w:val="404"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right="100"/>
              <w:jc w:val="right"/>
              <w:rPr>
                <w:rFonts w:ascii="Times New Roman" w:hAnsi="Times New Roman" w:cs="Times New Roman" w:eastAsia="Times New Roman" w:hint="default"/>
                <w:sz w:val="21"/>
                <w:szCs w:val="21"/>
              </w:rPr>
            </w:pPr>
            <w:r>
              <w:rPr>
                <w:rFonts w:ascii="Times New Roman"/>
                <w:spacing w:val="-1"/>
                <w:sz w:val="21"/>
              </w:rPr>
              <w:t>249,337.07</w:t>
            </w:r>
            <w:r>
              <w:rPr>
                <w:rFonts w:ascii="Times New Roman"/>
                <w:sz w:val="21"/>
              </w:rPr>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right="101"/>
              <w:jc w:val="right"/>
              <w:rPr>
                <w:rFonts w:ascii="Times New Roman" w:hAnsi="Times New Roman" w:cs="Times New Roman" w:eastAsia="Times New Roman" w:hint="default"/>
                <w:sz w:val="21"/>
                <w:szCs w:val="21"/>
              </w:rPr>
            </w:pPr>
            <w:r>
              <w:rPr>
                <w:rFonts w:ascii="Times New Roman"/>
                <w:spacing w:val="-1"/>
                <w:sz w:val="21"/>
              </w:rPr>
              <w:t>920,412.77</w:t>
            </w:r>
            <w:r>
              <w:rPr>
                <w:rFonts w:ascii="Times New Roman"/>
                <w:sz w:val="21"/>
              </w:rPr>
            </w:r>
          </w:p>
        </w:tc>
        <w:tc>
          <w:tcPr>
            <w:tcW w:w="4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按营业收入的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406"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right="100"/>
              <w:jc w:val="right"/>
              <w:rPr>
                <w:rFonts w:ascii="Times New Roman" w:hAnsi="Times New Roman" w:cs="Times New Roman" w:eastAsia="Times New Roman" w:hint="default"/>
                <w:sz w:val="21"/>
                <w:szCs w:val="21"/>
              </w:rPr>
            </w:pPr>
            <w:r>
              <w:rPr>
                <w:rFonts w:ascii="Times New Roman"/>
                <w:spacing w:val="-1"/>
                <w:sz w:val="21"/>
              </w:rPr>
              <w:t>725,776.87</w:t>
            </w:r>
            <w:r>
              <w:rPr>
                <w:rFonts w:ascii="Times New Roman"/>
                <w:sz w:val="21"/>
              </w:rPr>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right="98"/>
              <w:jc w:val="right"/>
              <w:rPr>
                <w:rFonts w:ascii="Times New Roman" w:hAnsi="Times New Roman" w:cs="Times New Roman" w:eastAsia="Times New Roman" w:hint="default"/>
                <w:sz w:val="21"/>
                <w:szCs w:val="21"/>
              </w:rPr>
            </w:pPr>
            <w:r>
              <w:rPr>
                <w:rFonts w:ascii="Times New Roman"/>
                <w:spacing w:val="-1"/>
                <w:sz w:val="21"/>
              </w:rPr>
              <w:t>2,510,057.45</w:t>
            </w:r>
          </w:p>
        </w:tc>
        <w:tc>
          <w:tcPr>
            <w:tcW w:w="4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w:t>
            </w:r>
          </w:p>
        </w:tc>
      </w:tr>
      <w:tr>
        <w:trPr>
          <w:trHeight w:val="404"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right="100"/>
              <w:jc w:val="right"/>
              <w:rPr>
                <w:rFonts w:ascii="Times New Roman" w:hAnsi="Times New Roman" w:cs="Times New Roman" w:eastAsia="Times New Roman" w:hint="default"/>
                <w:sz w:val="21"/>
                <w:szCs w:val="21"/>
              </w:rPr>
            </w:pPr>
            <w:r>
              <w:rPr>
                <w:rFonts w:ascii="Times New Roman"/>
                <w:spacing w:val="-1"/>
                <w:sz w:val="21"/>
              </w:rPr>
              <w:t>331,005.50</w:t>
            </w:r>
            <w:r>
              <w:rPr>
                <w:rFonts w:ascii="Times New Roman"/>
                <w:sz w:val="21"/>
              </w:rPr>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right="101"/>
              <w:jc w:val="right"/>
              <w:rPr>
                <w:rFonts w:ascii="Times New Roman" w:hAnsi="Times New Roman" w:cs="Times New Roman" w:eastAsia="Times New Roman" w:hint="default"/>
                <w:sz w:val="21"/>
                <w:szCs w:val="21"/>
              </w:rPr>
            </w:pPr>
            <w:r>
              <w:rPr>
                <w:rFonts w:ascii="Times New Roman"/>
                <w:spacing w:val="-1"/>
                <w:sz w:val="21"/>
              </w:rPr>
              <w:t>182,427.70</w:t>
            </w:r>
            <w:r>
              <w:rPr>
                <w:rFonts w:ascii="Times New Roman"/>
                <w:sz w:val="21"/>
              </w:rPr>
            </w:r>
          </w:p>
        </w:tc>
        <w:tc>
          <w:tcPr>
            <w:tcW w:w="4544" w:type="dxa"/>
            <w:tcBorders>
              <w:top w:val="single" w:sz="6" w:space="0" w:color="101010"/>
              <w:left w:val="single" w:sz="6" w:space="0" w:color="101010"/>
              <w:bottom w:val="single" w:sz="6" w:space="0" w:color="101010"/>
              <w:right w:val="single" w:sz="6" w:space="0" w:color="101010"/>
            </w:tcBorders>
          </w:tcPr>
          <w:p>
            <w:pPr/>
          </w:p>
        </w:tc>
      </w:tr>
      <w:tr>
        <w:trPr>
          <w:trHeight w:val="406"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right="98"/>
              <w:jc w:val="right"/>
              <w:rPr>
                <w:rFonts w:ascii="Times New Roman" w:hAnsi="Times New Roman" w:cs="Times New Roman" w:eastAsia="Times New Roman" w:hint="default"/>
                <w:sz w:val="21"/>
                <w:szCs w:val="21"/>
              </w:rPr>
            </w:pPr>
            <w:r>
              <w:rPr>
                <w:rFonts w:ascii="Times New Roman"/>
                <w:spacing w:val="-1"/>
                <w:sz w:val="21"/>
              </w:rPr>
              <w:t>35,080.16</w:t>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right="100"/>
              <w:jc w:val="right"/>
              <w:rPr>
                <w:rFonts w:ascii="Times New Roman" w:hAnsi="Times New Roman" w:cs="Times New Roman" w:eastAsia="Times New Roman" w:hint="default"/>
                <w:sz w:val="21"/>
                <w:szCs w:val="21"/>
              </w:rPr>
            </w:pPr>
            <w:r>
              <w:rPr>
                <w:rFonts w:ascii="Times New Roman"/>
                <w:spacing w:val="-2"/>
                <w:sz w:val="21"/>
              </w:rPr>
              <w:t>54,115.41</w:t>
            </w:r>
            <w:r>
              <w:rPr>
                <w:rFonts w:ascii="Times New Roman"/>
                <w:sz w:val="21"/>
              </w:rPr>
            </w:r>
          </w:p>
        </w:tc>
        <w:tc>
          <w:tcPr>
            <w:tcW w:w="4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按应纳增值税、营业税的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305"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33,949.70</w:t>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126,192.43</w:t>
            </w:r>
            <w:r>
              <w:rPr>
                <w:rFonts w:ascii="Times New Roman"/>
                <w:sz w:val="21"/>
              </w:rPr>
            </w:r>
          </w:p>
        </w:tc>
        <w:tc>
          <w:tcPr>
            <w:tcW w:w="454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主要副食品价格调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控基金</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21"/>
                <w:szCs w:val="21"/>
              </w:rPr>
            </w:pPr>
            <w:r>
              <w:rPr>
                <w:rFonts w:ascii="Times New Roman"/>
                <w:spacing w:val="-1"/>
                <w:sz w:val="21"/>
              </w:rPr>
              <w:t>4,578.97</w:t>
            </w:r>
            <w:r>
              <w:rPr>
                <w:rFonts w:ascii="Times New Roman"/>
                <w:sz w:val="21"/>
              </w:rPr>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21"/>
                <w:szCs w:val="21"/>
              </w:rPr>
            </w:pPr>
            <w:r>
              <w:rPr>
                <w:rFonts w:ascii="Times New Roman"/>
                <w:spacing w:val="-2"/>
                <w:sz w:val="21"/>
              </w:rPr>
              <w:t>2,115.29</w:t>
            </w:r>
          </w:p>
        </w:tc>
        <w:tc>
          <w:tcPr>
            <w:tcW w:w="4544"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1,150.33</w:t>
            </w:r>
            <w:r>
              <w:rPr>
                <w:rFonts w:ascii="Times New Roman"/>
                <w:sz w:val="21"/>
              </w:rPr>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4,096.07</w:t>
            </w:r>
            <w:r>
              <w:rPr>
                <w:rFonts w:ascii="Times New Roman"/>
                <w:sz w:val="21"/>
              </w:rPr>
            </w:r>
          </w:p>
        </w:tc>
        <w:tc>
          <w:tcPr>
            <w:tcW w:w="4544"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1040" w:bottom="920" w:left="1300" w:right="114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1978"/>
        <w:gridCol w:w="1388"/>
        <w:gridCol w:w="1390"/>
        <w:gridCol w:w="4544"/>
      </w:tblGrid>
      <w:tr>
        <w:trPr>
          <w:trHeight w:val="559"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河道工程维护管理</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21"/>
                <w:szCs w:val="21"/>
              </w:rPr>
            </w:pPr>
            <w:r>
              <w:rPr>
                <w:rFonts w:ascii="Times New Roman"/>
                <w:spacing w:val="-1"/>
                <w:sz w:val="21"/>
              </w:rPr>
              <w:t>3,015.00</w:t>
            </w:r>
            <w:r>
              <w:rPr>
                <w:rFonts w:ascii="Times New Roman"/>
                <w:sz w:val="21"/>
              </w:rPr>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21"/>
                <w:szCs w:val="21"/>
              </w:rPr>
            </w:pPr>
            <w:r>
              <w:rPr>
                <w:rFonts w:ascii="Times New Roman"/>
                <w:spacing w:val="-1"/>
                <w:sz w:val="21"/>
              </w:rPr>
              <w:t>200.76</w:t>
            </w:r>
          </w:p>
        </w:tc>
        <w:tc>
          <w:tcPr>
            <w:tcW w:w="4544"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1,122.41</w:t>
            </w:r>
            <w:r>
              <w:rPr>
                <w:rFonts w:ascii="Times New Roman"/>
                <w:sz w:val="21"/>
              </w:rPr>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1,519.30</w:t>
            </w:r>
            <w:r>
              <w:rPr>
                <w:rFonts w:ascii="Times New Roman"/>
                <w:sz w:val="21"/>
              </w:rPr>
            </w:r>
          </w:p>
        </w:tc>
        <w:tc>
          <w:tcPr>
            <w:tcW w:w="4544" w:type="dxa"/>
            <w:tcBorders>
              <w:top w:val="single" w:sz="6" w:space="0" w:color="101010"/>
              <w:left w:val="single" w:sz="6" w:space="0" w:color="101010"/>
              <w:bottom w:val="single" w:sz="6" w:space="0" w:color="101010"/>
              <w:right w:val="single" w:sz="6" w:space="0" w:color="101010"/>
            </w:tcBorders>
          </w:tcPr>
          <w:p>
            <w:pPr/>
          </w:p>
        </w:tc>
      </w:tr>
      <w:tr>
        <w:trPr>
          <w:trHeight w:val="306" w:hRule="exact"/>
        </w:trPr>
        <w:tc>
          <w:tcPr>
            <w:tcW w:w="197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-3,317,982.01</w:t>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pacing w:val="-1"/>
                <w:sz w:val="21"/>
              </w:rPr>
              <w:t>362,045.62</w:t>
            </w:r>
            <w:r>
              <w:rPr>
                <w:rFonts w:ascii="Times New Roman"/>
                <w:sz w:val="21"/>
              </w:rPr>
            </w:r>
          </w:p>
        </w:tc>
        <w:tc>
          <w:tcPr>
            <w:tcW w:w="4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4" w:lineRule="exact" w:before="84"/>
        <w:ind w:left="565" w:right="96"/>
        <w:jc w:val="left"/>
      </w:pPr>
      <w:r>
        <w:rPr/>
        <w:t>注：各税项计税基础、减免依据、减免幅度、减免期限详见附注四。</w:t>
      </w:r>
    </w:p>
    <w:p>
      <w:pPr>
        <w:pStyle w:val="BodyText"/>
        <w:spacing w:line="280" w:lineRule="exact"/>
        <w:ind w:left="565" w:right="96"/>
        <w:jc w:val="left"/>
      </w:pPr>
      <w:r>
        <w:rPr>
          <w:rFonts w:ascii="Times New Roman" w:hAnsi="Times New Roman" w:cs="Times New Roman" w:eastAsia="Times New Roman" w:hint="default"/>
        </w:rPr>
        <w:t>20</w:t>
      </w:r>
      <w:r>
        <w:rPr/>
        <w:t>、其他应付款：</w:t>
      </w:r>
    </w:p>
    <w:p>
      <w:pPr>
        <w:pStyle w:val="BodyText"/>
        <w:spacing w:line="272" w:lineRule="exact" w:before="18"/>
        <w:ind w:right="308" w:firstLine="420"/>
        <w:jc w:val="left"/>
      </w:pPr>
      <w:r>
        <w:rPr>
          <w:rFonts w:ascii="Times New Roman" w:hAnsi="Times New Roman" w:cs="Times New Roman" w:eastAsia="Times New Roman" w:hint="default"/>
        </w:rPr>
        <w:t>(1) </w:t>
      </w:r>
      <w:r>
        <w:rPr/>
        <w:t>本报告期其他应付款中无应付持有公司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以上表决权股份的股东单位或关联方的款</w:t>
      </w:r>
      <w:r>
        <w:rPr>
          <w:w w:val="99"/>
        </w:rPr>
        <w:t> </w:t>
      </w:r>
      <w:r>
        <w:rPr/>
        <w:t>项。</w:t>
      </w:r>
    </w:p>
    <w:p>
      <w:pPr>
        <w:pStyle w:val="BodyText"/>
        <w:spacing w:line="263" w:lineRule="exact"/>
        <w:ind w:left="565" w:right="96"/>
        <w:jc w:val="left"/>
      </w:pPr>
      <w:r>
        <w:rPr>
          <w:rFonts w:ascii="Times New Roman" w:hAnsi="Times New Roman" w:cs="Times New Roman" w:eastAsia="Times New Roman" w:hint="default"/>
        </w:rPr>
        <w:t>21</w:t>
      </w:r>
      <w:r>
        <w:rPr/>
        <w:t>、股本</w:t>
      </w:r>
    </w:p>
    <w:p>
      <w:pPr>
        <w:pStyle w:val="BodyText"/>
        <w:spacing w:line="272" w:lineRule="exact"/>
        <w:ind w:left="0" w:right="211"/>
        <w:jc w:val="right"/>
      </w:pPr>
      <w:r>
        <w:rPr/>
        <w:t>单位</w:t>
      </w:r>
      <w:r>
        <w:rPr>
          <w:rFonts w:ascii="Times New Roman" w:hAnsi="Times New Roman" w:cs="Times New Roman" w:eastAsia="Times New Roman" w:hint="default"/>
        </w:rPr>
        <w:t>:</w:t>
      </w:r>
      <w:r>
        <w:rPr/>
        <w:t>股</w:t>
      </w:r>
    </w:p>
    <w:tbl>
      <w:tblPr>
        <w:tblW w:w="0" w:type="auto"/>
        <w:jc w:val="left"/>
        <w:tblInd w:w="129" w:type="dxa"/>
        <w:tblLayout w:type="fixed"/>
        <w:tblCellMar>
          <w:top w:w="0" w:type="dxa"/>
          <w:left w:w="0" w:type="dxa"/>
          <w:bottom w:w="0" w:type="dxa"/>
          <w:right w:w="0" w:type="dxa"/>
        </w:tblCellMar>
        <w:tblLook w:val="01E0"/>
      </w:tblPr>
      <w:tblGrid>
        <w:gridCol w:w="889"/>
        <w:gridCol w:w="1343"/>
        <w:gridCol w:w="1054"/>
        <w:gridCol w:w="888"/>
        <w:gridCol w:w="560"/>
        <w:gridCol w:w="1051"/>
        <w:gridCol w:w="560"/>
        <w:gridCol w:w="560"/>
        <w:gridCol w:w="1340"/>
        <w:gridCol w:w="1054"/>
      </w:tblGrid>
      <w:tr>
        <w:trPr>
          <w:trHeight w:val="248" w:hRule="exact"/>
        </w:trPr>
        <w:tc>
          <w:tcPr>
            <w:tcW w:w="889" w:type="dxa"/>
            <w:vMerge w:val="restart"/>
            <w:tcBorders>
              <w:top w:val="single" w:sz="6" w:space="0" w:color="101010"/>
              <w:left w:val="single" w:sz="6" w:space="0" w:color="101010"/>
              <w:right w:val="single" w:sz="6" w:space="0" w:color="101010"/>
            </w:tcBorders>
          </w:tcPr>
          <w:p>
            <w:pPr/>
          </w:p>
        </w:tc>
        <w:tc>
          <w:tcPr>
            <w:tcW w:w="239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74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20"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3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7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1" w:hRule="exact"/>
        </w:trPr>
        <w:tc>
          <w:tcPr>
            <w:tcW w:w="889" w:type="dxa"/>
            <w:vMerge/>
            <w:tcBorders>
              <w:left w:val="single" w:sz="6" w:space="0" w:color="101010"/>
              <w:bottom w:val="single" w:sz="6" w:space="0" w:color="101010"/>
              <w:right w:val="single" w:sz="6" w:space="0" w:color="101010"/>
            </w:tcBorders>
          </w:tcPr>
          <w:p>
            <w:pP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0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66"/>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发行新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6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0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6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他</w:t>
            </w:r>
          </w:p>
        </w:tc>
        <w:tc>
          <w:tcPr>
            <w:tcW w:w="56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小</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66"/>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82" w:hRule="exact"/>
        </w:trPr>
        <w:tc>
          <w:tcPr>
            <w:tcW w:w="88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4"/>
                <w:sz w:val="18"/>
                <w:szCs w:val="18"/>
              </w:rPr>
              <w:t>股份总</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3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137,440,000.00</w:t>
            </w:r>
          </w:p>
        </w:tc>
        <w:tc>
          <w:tcPr>
            <w:tcW w:w="10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100</w:t>
            </w:r>
          </w:p>
        </w:tc>
        <w:tc>
          <w:tcPr>
            <w:tcW w:w="888" w:type="dxa"/>
            <w:tcBorders>
              <w:top w:val="single" w:sz="6" w:space="0" w:color="101010"/>
              <w:left w:val="single" w:sz="6" w:space="0" w:color="101010"/>
              <w:bottom w:val="single" w:sz="6" w:space="0" w:color="101010"/>
              <w:right w:val="single" w:sz="6" w:space="0" w:color="101010"/>
            </w:tcBorders>
          </w:tcPr>
          <w:p>
            <w:pPr/>
          </w:p>
        </w:tc>
        <w:tc>
          <w:tcPr>
            <w:tcW w:w="560" w:type="dxa"/>
            <w:tcBorders>
              <w:top w:val="single" w:sz="6" w:space="0" w:color="101010"/>
              <w:left w:val="single" w:sz="6" w:space="0" w:color="101010"/>
              <w:bottom w:val="single" w:sz="6" w:space="0" w:color="101010"/>
              <w:right w:val="single" w:sz="6" w:space="0" w:color="101010"/>
            </w:tcBorders>
          </w:tcPr>
          <w:p>
            <w:pPr/>
          </w:p>
        </w:tc>
        <w:tc>
          <w:tcPr>
            <w:tcW w:w="1051" w:type="dxa"/>
            <w:tcBorders>
              <w:top w:val="single" w:sz="6" w:space="0" w:color="101010"/>
              <w:left w:val="single" w:sz="6" w:space="0" w:color="101010"/>
              <w:bottom w:val="single" w:sz="6" w:space="0" w:color="101010"/>
              <w:right w:val="single" w:sz="6" w:space="0" w:color="101010"/>
            </w:tcBorders>
          </w:tcPr>
          <w:p>
            <w:pPr/>
          </w:p>
        </w:tc>
        <w:tc>
          <w:tcPr>
            <w:tcW w:w="5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137,440,000.00</w:t>
            </w:r>
          </w:p>
        </w:tc>
        <w:tc>
          <w:tcPr>
            <w:tcW w:w="10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sz w:val="14"/>
          <w:szCs w:val="14"/>
        </w:rPr>
      </w:pPr>
    </w:p>
    <w:p>
      <w:pPr>
        <w:pStyle w:val="BodyText"/>
        <w:spacing w:line="282" w:lineRule="exact" w:before="35"/>
        <w:ind w:left="504" w:right="96"/>
        <w:jc w:val="left"/>
      </w:pPr>
      <w:r>
        <w:rPr>
          <w:rFonts w:ascii="Times New Roman" w:hAnsi="Times New Roman" w:cs="Times New Roman" w:eastAsia="Times New Roman" w:hint="default"/>
        </w:rPr>
        <w:t>22</w:t>
      </w:r>
      <w:r>
        <w:rPr/>
        <w:t>、资本公积</w:t>
      </w:r>
    </w:p>
    <w:p>
      <w:pPr>
        <w:pStyle w:val="BodyText"/>
        <w:tabs>
          <w:tab w:pos="1004" w:val="left" w:leader="none"/>
        </w:tabs>
        <w:spacing w:line="282" w:lineRule="exact"/>
        <w:ind w:left="0" w:right="21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5"/>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958"/>
        <w:gridCol w:w="2153"/>
        <w:gridCol w:w="1518"/>
        <w:gridCol w:w="1518"/>
        <w:gridCol w:w="2153"/>
      </w:tblGrid>
      <w:tr>
        <w:trPr>
          <w:trHeight w:val="404" w:hRule="exact"/>
        </w:trPr>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759"/>
              <w:jc w:val="right"/>
              <w:rPr>
                <w:rFonts w:ascii="宋体" w:hAnsi="宋体" w:cs="宋体" w:eastAsia="宋体" w:hint="default"/>
                <w:sz w:val="21"/>
                <w:szCs w:val="21"/>
              </w:rPr>
            </w:pPr>
            <w:r>
              <w:rPr>
                <w:rFonts w:ascii="宋体" w:hAnsi="宋体" w:cs="宋体" w:eastAsia="宋体" w:hint="default"/>
                <w:sz w:val="21"/>
                <w:szCs w:val="21"/>
              </w:rPr>
              <w:t>项目</w:t>
            </w:r>
          </w:p>
        </w:tc>
        <w:tc>
          <w:tcPr>
            <w:tcW w:w="21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75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3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3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75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21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724" w:right="0"/>
              <w:jc w:val="left"/>
              <w:rPr>
                <w:rFonts w:ascii="Times New Roman" w:hAnsi="Times New Roman" w:cs="Times New Roman" w:eastAsia="Times New Roman" w:hint="default"/>
                <w:sz w:val="21"/>
                <w:szCs w:val="21"/>
              </w:rPr>
            </w:pPr>
            <w:r>
              <w:rPr>
                <w:rFonts w:ascii="Times New Roman"/>
                <w:sz w:val="21"/>
              </w:rPr>
              <w:t>133,851,865.01</w:t>
            </w:r>
          </w:p>
        </w:tc>
        <w:tc>
          <w:tcPr>
            <w:tcW w:w="1518" w:type="dxa"/>
            <w:tcBorders>
              <w:top w:val="single" w:sz="6" w:space="0" w:color="101010"/>
              <w:left w:val="single" w:sz="6" w:space="0" w:color="101010"/>
              <w:bottom w:val="single" w:sz="6" w:space="0" w:color="101010"/>
              <w:right w:val="single" w:sz="6" w:space="0" w:color="101010"/>
            </w:tcBorders>
          </w:tcPr>
          <w:p>
            <w:pPr/>
          </w:p>
        </w:tc>
        <w:tc>
          <w:tcPr>
            <w:tcW w:w="1518" w:type="dxa"/>
            <w:tcBorders>
              <w:top w:val="single" w:sz="6" w:space="0" w:color="101010"/>
              <w:left w:val="single" w:sz="6" w:space="0" w:color="101010"/>
              <w:bottom w:val="single" w:sz="6" w:space="0" w:color="101010"/>
              <w:right w:val="single" w:sz="6" w:space="0" w:color="101010"/>
            </w:tcBorders>
          </w:tcPr>
          <w:p>
            <w:pPr/>
          </w:p>
        </w:tc>
        <w:tc>
          <w:tcPr>
            <w:tcW w:w="21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724" w:right="0"/>
              <w:jc w:val="left"/>
              <w:rPr>
                <w:rFonts w:ascii="Times New Roman" w:hAnsi="Times New Roman" w:cs="Times New Roman" w:eastAsia="Times New Roman" w:hint="default"/>
                <w:sz w:val="21"/>
                <w:szCs w:val="21"/>
              </w:rPr>
            </w:pPr>
            <w:r>
              <w:rPr>
                <w:rFonts w:ascii="Times New Roman"/>
                <w:sz w:val="21"/>
              </w:rPr>
              <w:t>133,851,865.01</w:t>
            </w:r>
          </w:p>
        </w:tc>
      </w:tr>
      <w:tr>
        <w:trPr>
          <w:trHeight w:val="305" w:hRule="exact"/>
        </w:trPr>
        <w:tc>
          <w:tcPr>
            <w:tcW w:w="1958" w:type="dxa"/>
            <w:tcBorders>
              <w:top w:val="single" w:sz="6" w:space="0" w:color="101010"/>
              <w:left w:val="single" w:sz="6" w:space="0" w:color="101010"/>
              <w:bottom w:val="single" w:sz="6" w:space="0" w:color="101010"/>
              <w:right w:val="single" w:sz="6" w:space="0" w:color="101010"/>
            </w:tcBorders>
          </w:tcPr>
          <w:p>
            <w:pPr/>
          </w:p>
        </w:tc>
        <w:tc>
          <w:tcPr>
            <w:tcW w:w="21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24" w:right="0"/>
              <w:jc w:val="left"/>
              <w:rPr>
                <w:rFonts w:ascii="Times New Roman" w:hAnsi="Times New Roman" w:cs="Times New Roman" w:eastAsia="Times New Roman" w:hint="default"/>
                <w:sz w:val="21"/>
                <w:szCs w:val="21"/>
              </w:rPr>
            </w:pPr>
            <w:r>
              <w:rPr>
                <w:rFonts w:ascii="Times New Roman"/>
                <w:sz w:val="21"/>
              </w:rPr>
              <w:t>133,851,865.01</w:t>
            </w:r>
          </w:p>
        </w:tc>
        <w:tc>
          <w:tcPr>
            <w:tcW w:w="1518" w:type="dxa"/>
            <w:tcBorders>
              <w:top w:val="single" w:sz="6" w:space="0" w:color="101010"/>
              <w:left w:val="single" w:sz="6" w:space="0" w:color="101010"/>
              <w:bottom w:val="single" w:sz="6" w:space="0" w:color="101010"/>
              <w:right w:val="single" w:sz="6" w:space="0" w:color="101010"/>
            </w:tcBorders>
          </w:tcPr>
          <w:p>
            <w:pPr/>
          </w:p>
        </w:tc>
        <w:tc>
          <w:tcPr>
            <w:tcW w:w="1518" w:type="dxa"/>
            <w:tcBorders>
              <w:top w:val="single" w:sz="6" w:space="0" w:color="101010"/>
              <w:left w:val="single" w:sz="6" w:space="0" w:color="101010"/>
              <w:bottom w:val="single" w:sz="6" w:space="0" w:color="101010"/>
              <w:right w:val="single" w:sz="6" w:space="0" w:color="101010"/>
            </w:tcBorders>
          </w:tcPr>
          <w:p>
            <w:pPr/>
          </w:p>
        </w:tc>
        <w:tc>
          <w:tcPr>
            <w:tcW w:w="21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24" w:right="0"/>
              <w:jc w:val="left"/>
              <w:rPr>
                <w:rFonts w:ascii="Times New Roman" w:hAnsi="Times New Roman" w:cs="Times New Roman" w:eastAsia="Times New Roman" w:hint="default"/>
                <w:sz w:val="21"/>
                <w:szCs w:val="21"/>
              </w:rPr>
            </w:pPr>
            <w:r>
              <w:rPr>
                <w:rFonts w:ascii="Times New Roman"/>
                <w:sz w:val="21"/>
              </w:rPr>
              <w:t>133,851,865.01</w:t>
            </w:r>
          </w:p>
        </w:tc>
      </w:tr>
      <w:tr>
        <w:trPr>
          <w:trHeight w:val="305" w:hRule="exact"/>
        </w:trPr>
        <w:tc>
          <w:tcPr>
            <w:tcW w:w="195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761"/>
              <w:jc w:val="right"/>
              <w:rPr>
                <w:rFonts w:ascii="宋体" w:hAnsi="宋体" w:cs="宋体" w:eastAsia="宋体" w:hint="default"/>
                <w:sz w:val="21"/>
                <w:szCs w:val="21"/>
              </w:rPr>
            </w:pPr>
            <w:r>
              <w:rPr>
                <w:rFonts w:ascii="宋体" w:hAnsi="宋体" w:cs="宋体" w:eastAsia="宋体" w:hint="default"/>
                <w:sz w:val="21"/>
                <w:szCs w:val="21"/>
              </w:rPr>
              <w:t>合计</w:t>
            </w:r>
          </w:p>
        </w:tc>
        <w:tc>
          <w:tcPr>
            <w:tcW w:w="21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24" w:right="0"/>
              <w:jc w:val="left"/>
              <w:rPr>
                <w:rFonts w:ascii="Times New Roman" w:hAnsi="Times New Roman" w:cs="Times New Roman" w:eastAsia="Times New Roman" w:hint="default"/>
                <w:sz w:val="21"/>
                <w:szCs w:val="21"/>
              </w:rPr>
            </w:pPr>
            <w:r>
              <w:rPr>
                <w:rFonts w:ascii="Times New Roman"/>
                <w:sz w:val="21"/>
              </w:rPr>
              <w:t>133,851,865.01</w:t>
            </w:r>
          </w:p>
        </w:tc>
        <w:tc>
          <w:tcPr>
            <w:tcW w:w="1518" w:type="dxa"/>
            <w:tcBorders>
              <w:top w:val="single" w:sz="6" w:space="0" w:color="101010"/>
              <w:left w:val="single" w:sz="6" w:space="0" w:color="101010"/>
              <w:bottom w:val="single" w:sz="6" w:space="0" w:color="101010"/>
              <w:right w:val="single" w:sz="6" w:space="0" w:color="101010"/>
            </w:tcBorders>
          </w:tcPr>
          <w:p>
            <w:pPr/>
          </w:p>
        </w:tc>
        <w:tc>
          <w:tcPr>
            <w:tcW w:w="1518" w:type="dxa"/>
            <w:tcBorders>
              <w:top w:val="single" w:sz="6" w:space="0" w:color="101010"/>
              <w:left w:val="single" w:sz="6" w:space="0" w:color="101010"/>
              <w:bottom w:val="single" w:sz="6" w:space="0" w:color="101010"/>
              <w:right w:val="single" w:sz="6" w:space="0" w:color="101010"/>
            </w:tcBorders>
          </w:tcPr>
          <w:p>
            <w:pPr/>
          </w:p>
        </w:tc>
        <w:tc>
          <w:tcPr>
            <w:tcW w:w="21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24" w:right="0"/>
              <w:jc w:val="left"/>
              <w:rPr>
                <w:rFonts w:ascii="Times New Roman" w:hAnsi="Times New Roman" w:cs="Times New Roman" w:eastAsia="Times New Roman" w:hint="default"/>
                <w:sz w:val="21"/>
                <w:szCs w:val="21"/>
              </w:rPr>
            </w:pPr>
            <w:r>
              <w:rPr>
                <w:rFonts w:ascii="Times New Roman"/>
                <w:sz w:val="21"/>
              </w:rPr>
              <w:t>133,851,865.01</w:t>
            </w:r>
          </w:p>
        </w:tc>
      </w:tr>
    </w:tbl>
    <w:p>
      <w:pPr>
        <w:pStyle w:val="BodyText"/>
        <w:spacing w:line="282" w:lineRule="exact" w:before="84"/>
        <w:ind w:left="504" w:right="96"/>
        <w:jc w:val="left"/>
      </w:pPr>
      <w:r>
        <w:rPr>
          <w:rFonts w:ascii="Times New Roman" w:hAnsi="Times New Roman" w:cs="Times New Roman" w:eastAsia="Times New Roman" w:hint="default"/>
        </w:rPr>
        <w:t>23</w:t>
      </w:r>
      <w:r>
        <w:rPr/>
        <w:t>、盈余公积：</w:t>
      </w:r>
    </w:p>
    <w:p>
      <w:pPr>
        <w:pStyle w:val="BodyText"/>
        <w:tabs>
          <w:tab w:pos="1004" w:val="left" w:leader="none"/>
        </w:tabs>
        <w:spacing w:line="282" w:lineRule="exact"/>
        <w:ind w:left="0" w:right="21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077"/>
        <w:gridCol w:w="1832"/>
        <w:gridCol w:w="1822"/>
        <w:gridCol w:w="1738"/>
        <w:gridCol w:w="1831"/>
      </w:tblGrid>
      <w:tr>
        <w:trPr>
          <w:trHeight w:val="406" w:hRule="exact"/>
        </w:trPr>
        <w:tc>
          <w:tcPr>
            <w:tcW w:w="20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05" w:hRule="exact"/>
        </w:trPr>
        <w:tc>
          <w:tcPr>
            <w:tcW w:w="207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21,705,786.59</w:t>
            </w:r>
          </w:p>
        </w:tc>
        <w:tc>
          <w:tcPr>
            <w:tcW w:w="18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4,797,037.07</w:t>
            </w:r>
          </w:p>
        </w:tc>
        <w:tc>
          <w:tcPr>
            <w:tcW w:w="1738" w:type="dxa"/>
            <w:tcBorders>
              <w:top w:val="single" w:sz="6" w:space="0" w:color="101010"/>
              <w:left w:val="single" w:sz="6" w:space="0" w:color="101010"/>
              <w:bottom w:val="single" w:sz="6" w:space="0" w:color="101010"/>
              <w:right w:val="single" w:sz="6" w:space="0" w:color="101010"/>
            </w:tcBorders>
          </w:tcPr>
          <w:p>
            <w:pPr/>
          </w:p>
        </w:tc>
        <w:tc>
          <w:tcPr>
            <w:tcW w:w="183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26,502,823.66</w:t>
            </w:r>
          </w:p>
        </w:tc>
      </w:tr>
      <w:tr>
        <w:trPr>
          <w:trHeight w:val="305" w:hRule="exact"/>
        </w:trPr>
        <w:tc>
          <w:tcPr>
            <w:tcW w:w="207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1,960.14</w:t>
            </w:r>
            <w:r>
              <w:rPr>
                <w:rFonts w:ascii="Times New Roman"/>
                <w:sz w:val="21"/>
              </w:rPr>
            </w:r>
          </w:p>
        </w:tc>
        <w:tc>
          <w:tcPr>
            <w:tcW w:w="1822"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83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1,960.14</w:t>
            </w:r>
            <w:r>
              <w:rPr>
                <w:rFonts w:ascii="Times New Roman"/>
                <w:sz w:val="21"/>
              </w:rPr>
            </w:r>
          </w:p>
        </w:tc>
      </w:tr>
      <w:tr>
        <w:trPr>
          <w:trHeight w:val="305" w:hRule="exact"/>
        </w:trPr>
        <w:tc>
          <w:tcPr>
            <w:tcW w:w="207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21,707,746.73</w:t>
            </w:r>
          </w:p>
        </w:tc>
        <w:tc>
          <w:tcPr>
            <w:tcW w:w="18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4,797,037.07</w:t>
            </w:r>
          </w:p>
        </w:tc>
        <w:tc>
          <w:tcPr>
            <w:tcW w:w="1738" w:type="dxa"/>
            <w:tcBorders>
              <w:top w:val="single" w:sz="6" w:space="0" w:color="101010"/>
              <w:left w:val="single" w:sz="6" w:space="0" w:color="101010"/>
              <w:bottom w:val="single" w:sz="6" w:space="0" w:color="101010"/>
              <w:right w:val="single" w:sz="6" w:space="0" w:color="101010"/>
            </w:tcBorders>
          </w:tcPr>
          <w:p>
            <w:pPr/>
          </w:p>
        </w:tc>
        <w:tc>
          <w:tcPr>
            <w:tcW w:w="183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26,504,783.80</w:t>
            </w:r>
          </w:p>
        </w:tc>
      </w:tr>
    </w:tbl>
    <w:p>
      <w:pPr>
        <w:pStyle w:val="BodyText"/>
        <w:spacing w:line="240" w:lineRule="auto" w:before="86"/>
        <w:ind w:left="504" w:right="96"/>
        <w:jc w:val="left"/>
      </w:pPr>
      <w:r>
        <w:rPr>
          <w:rFonts w:ascii="Times New Roman" w:hAnsi="Times New Roman" w:cs="Times New Roman" w:eastAsia="Times New Roman" w:hint="default"/>
        </w:rPr>
        <w:t>24</w:t>
      </w:r>
      <w:r>
        <w:rPr/>
        <w:t>、未分配利润</w:t>
      </w:r>
    </w:p>
    <w:p>
      <w:pPr>
        <w:pStyle w:val="BodyText"/>
        <w:tabs>
          <w:tab w:pos="1004" w:val="left" w:leader="none"/>
        </w:tabs>
        <w:spacing w:line="240" w:lineRule="auto" w:before="37"/>
        <w:ind w:left="0" w:right="21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560"/>
        <w:gridCol w:w="2897"/>
        <w:gridCol w:w="2843"/>
      </w:tblGrid>
      <w:tr>
        <w:trPr>
          <w:trHeight w:val="406" w:hRule="exact"/>
        </w:trPr>
        <w:tc>
          <w:tcPr>
            <w:tcW w:w="35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79"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59" w:hRule="exact"/>
        </w:trPr>
        <w:tc>
          <w:tcPr>
            <w:tcW w:w="3560" w:type="dxa"/>
            <w:tcBorders>
              <w:top w:val="single" w:sz="6" w:space="0" w:color="101010"/>
              <w:left w:val="single" w:sz="6" w:space="0" w:color="101010"/>
              <w:bottom w:val="single" w:sz="6" w:space="0" w:color="101010"/>
              <w:right w:val="single" w:sz="6" w:space="0" w:color="10101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 年初未分配利润（</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末数）</w:t>
            </w:r>
          </w:p>
        </w:tc>
        <w:tc>
          <w:tcPr>
            <w:tcW w:w="28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27,048,993.42</w:t>
            </w:r>
          </w:p>
        </w:tc>
        <w:tc>
          <w:tcPr>
            <w:tcW w:w="2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9" w:hRule="exact"/>
        </w:trPr>
        <w:tc>
          <w:tcPr>
            <w:tcW w:w="356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调整</w:t>
            </w:r>
            <w:r>
              <w:rPr>
                <w:rFonts w:ascii="宋体" w:hAnsi="宋体" w:cs="宋体" w:eastAsia="宋体" w:hint="default"/>
                <w:spacing w:val="22"/>
                <w:sz w:val="21"/>
                <w:szCs w:val="21"/>
              </w:rPr>
              <w:t> </w:t>
            </w:r>
            <w:r>
              <w:rPr>
                <w:rFonts w:ascii="宋体" w:hAnsi="宋体" w:cs="宋体" w:eastAsia="宋体" w:hint="default"/>
                <w:spacing w:val="5"/>
                <w:sz w:val="21"/>
                <w:szCs w:val="21"/>
              </w:rPr>
              <w:t>年初未分配利润合计数（调增</w:t>
            </w:r>
            <w:r>
              <w:rPr>
                <w:rFonts w:ascii="宋体" w:hAnsi="宋体" w:cs="宋体" w:eastAsia="宋体" w:hint="default"/>
                <w:sz w:val="21"/>
                <w:szCs w:val="21"/>
              </w:rPr>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5,432,528.39</w:t>
            </w:r>
          </w:p>
        </w:tc>
        <w:tc>
          <w:tcPr>
            <w:tcW w:w="2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05" w:hRule="exact"/>
        </w:trPr>
        <w:tc>
          <w:tcPr>
            <w:tcW w:w="356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8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32,481,521.81</w:t>
            </w:r>
          </w:p>
        </w:tc>
        <w:tc>
          <w:tcPr>
            <w:tcW w:w="2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05" w:hRule="exact"/>
        </w:trPr>
        <w:tc>
          <w:tcPr>
            <w:tcW w:w="356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28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34,282,858.66</w:t>
            </w:r>
          </w:p>
        </w:tc>
        <w:tc>
          <w:tcPr>
            <w:tcW w:w="2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05" w:hRule="exact"/>
        </w:trPr>
        <w:tc>
          <w:tcPr>
            <w:tcW w:w="356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4,797,037.07</w:t>
            </w:r>
          </w:p>
        </w:tc>
        <w:tc>
          <w:tcPr>
            <w:tcW w:w="2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10%</w:t>
            </w:r>
          </w:p>
        </w:tc>
      </w:tr>
      <w:tr>
        <w:trPr>
          <w:trHeight w:val="306" w:hRule="exact"/>
        </w:trPr>
        <w:tc>
          <w:tcPr>
            <w:tcW w:w="356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61,967,343.40</w:t>
            </w:r>
          </w:p>
        </w:tc>
        <w:tc>
          <w:tcPr>
            <w:tcW w:w="2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0" w:lineRule="auto" w:before="84"/>
        <w:ind w:left="504" w:right="96"/>
        <w:jc w:val="left"/>
      </w:pPr>
      <w:r>
        <w:rPr/>
        <w:t>调整年初未分配利润明细</w:t>
      </w:r>
    </w:p>
    <w:p>
      <w:pPr>
        <w:pStyle w:val="BodyText"/>
        <w:spacing w:line="240" w:lineRule="auto" w:before="117"/>
        <w:ind w:left="503" w:right="0"/>
        <w:jc w:val="left"/>
      </w:pPr>
      <w:r>
        <w:rPr>
          <w:rFonts w:ascii="Times New Roman" w:hAnsi="Times New Roman" w:cs="Times New Roman" w:eastAsia="Times New Roman" w:hint="default"/>
          <w:spacing w:val="-5"/>
        </w:rPr>
        <w:t>1)</w:t>
      </w:r>
      <w:r>
        <w:rPr>
          <w:spacing w:val="-5"/>
        </w:rPr>
        <w:t>、依据《企业会计准则》及其相关规定进行追溯调整，影响年初未分配利润合计</w:t>
      </w:r>
      <w:r>
        <w:rPr>
          <w:spacing w:val="-50"/>
        </w:rPr>
        <w:t> </w:t>
      </w:r>
      <w:r>
        <w:rPr>
          <w:rFonts w:ascii="Times New Roman" w:hAnsi="Times New Roman" w:cs="Times New Roman" w:eastAsia="Times New Roman" w:hint="default"/>
        </w:rPr>
        <w:t>5,432,528.39</w:t>
      </w:r>
      <w:r>
        <w:rPr>
          <w:rFonts w:ascii="Times New Roman" w:hAnsi="Times New Roman" w:cs="Times New Roman" w:eastAsia="Times New Roman" w:hint="default"/>
          <w:spacing w:val="3"/>
        </w:rPr>
        <w:t> </w:t>
      </w:r>
      <w:r>
        <w:rPr/>
        <w:t>元。</w:t>
      </w:r>
    </w:p>
    <w:p>
      <w:pPr>
        <w:spacing w:after="0" w:line="240" w:lineRule="auto"/>
        <w:jc w:val="left"/>
        <w:sectPr>
          <w:pgSz w:w="12240" w:h="15840"/>
          <w:pgMar w:header="747" w:footer="727" w:top="1040" w:bottom="920" w:left="1380" w:right="1260"/>
        </w:sect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2240" w:h="15840"/>
          <w:pgMar w:header="747" w:footer="727" w:top="1040" w:bottom="920" w:left="1380" w:right="1300"/>
        </w:sectPr>
      </w:pPr>
    </w:p>
    <w:p>
      <w:pPr>
        <w:pStyle w:val="BodyText"/>
        <w:spacing w:line="268" w:lineRule="auto" w:before="35"/>
        <w:ind w:left="503" w:right="-19"/>
        <w:jc w:val="left"/>
      </w:pPr>
      <w:r>
        <w:rPr>
          <w:rFonts w:ascii="Times New Roman" w:hAnsi="Times New Roman" w:cs="Times New Roman" w:eastAsia="Times New Roman" w:hint="default"/>
        </w:rPr>
        <w:t>25</w:t>
      </w:r>
      <w:r>
        <w:rPr/>
        <w:t>、营业收入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营业收入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9"/>
        <w:rPr>
          <w:rFonts w:ascii="宋体" w:hAnsi="宋体" w:cs="宋体" w:eastAsia="宋体" w:hint="default"/>
          <w:sz w:val="30"/>
          <w:szCs w:val="30"/>
        </w:rPr>
      </w:pPr>
    </w:p>
    <w:p>
      <w:pPr>
        <w:pStyle w:val="BodyText"/>
        <w:tabs>
          <w:tab w:pos="1508" w:val="left" w:leader="none"/>
        </w:tabs>
        <w:spacing w:line="240" w:lineRule="auto"/>
        <w:ind w:left="503"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660" w:bottom="280" w:left="1380" w:right="1300"/>
          <w:cols w:num="2" w:equalWidth="0">
            <w:col w:w="1765" w:space="4900"/>
            <w:col w:w="2895"/>
          </w:cols>
        </w:sectPr>
      </w:pP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029"/>
        <w:gridCol w:w="3136"/>
        <w:gridCol w:w="3136"/>
      </w:tblGrid>
      <w:tr>
        <w:trPr>
          <w:trHeight w:val="406" w:hRule="exact"/>
        </w:trPr>
        <w:tc>
          <w:tcPr>
            <w:tcW w:w="30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296"/>
              <w:jc w:val="right"/>
              <w:rPr>
                <w:rFonts w:ascii="宋体" w:hAnsi="宋体" w:cs="宋体" w:eastAsia="宋体" w:hint="default"/>
                <w:sz w:val="21"/>
                <w:szCs w:val="21"/>
              </w:rPr>
            </w:pPr>
            <w:r>
              <w:rPr>
                <w:rFonts w:ascii="宋体" w:hAnsi="宋体" w:cs="宋体" w:eastAsia="宋体" w:hint="default"/>
                <w:sz w:val="21"/>
                <w:szCs w:val="21"/>
              </w:rPr>
              <w:t>项目</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3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05" w:hRule="exact"/>
        </w:trPr>
        <w:tc>
          <w:tcPr>
            <w:tcW w:w="3029"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958,335,785.26</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932,495,918.35</w:t>
            </w:r>
          </w:p>
        </w:tc>
      </w:tr>
      <w:tr>
        <w:trPr>
          <w:trHeight w:val="287" w:hRule="exact"/>
        </w:trPr>
        <w:tc>
          <w:tcPr>
            <w:tcW w:w="30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36" w:type="dxa"/>
            <w:tcBorders>
              <w:top w:val="single" w:sz="6" w:space="0" w:color="101010"/>
              <w:left w:val="single" w:sz="6" w:space="0" w:color="101010"/>
              <w:bottom w:val="single" w:sz="6" w:space="0" w:color="101010"/>
              <w:right w:val="single" w:sz="6" w:space="0" w:color="101010"/>
            </w:tcBorders>
          </w:tcPr>
          <w:p>
            <w:pPr/>
          </w:p>
        </w:tc>
        <w:tc>
          <w:tcPr>
            <w:tcW w:w="3136"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3029"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296"/>
              <w:jc w:val="right"/>
              <w:rPr>
                <w:rFonts w:ascii="宋体" w:hAnsi="宋体" w:cs="宋体" w:eastAsia="宋体" w:hint="default"/>
                <w:sz w:val="21"/>
                <w:szCs w:val="21"/>
              </w:rPr>
            </w:pPr>
            <w:r>
              <w:rPr>
                <w:rFonts w:ascii="宋体" w:hAnsi="宋体" w:cs="宋体" w:eastAsia="宋体" w:hint="default"/>
                <w:sz w:val="21"/>
                <w:szCs w:val="21"/>
              </w:rPr>
              <w:t>合计</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958,335,785.26</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932,495,918.35</w:t>
            </w:r>
          </w:p>
        </w:tc>
      </w:tr>
    </w:tbl>
    <w:p>
      <w:pPr>
        <w:spacing w:line="240" w:lineRule="auto" w:before="2"/>
        <w:rPr>
          <w:rFonts w:ascii="宋体" w:hAnsi="宋体" w:cs="宋体" w:eastAsia="宋体" w:hint="default"/>
          <w:sz w:val="13"/>
          <w:szCs w:val="13"/>
        </w:rPr>
      </w:pPr>
    </w:p>
    <w:p>
      <w:pPr>
        <w:pStyle w:val="BodyText"/>
        <w:spacing w:line="282" w:lineRule="exact" w:before="35"/>
        <w:ind w:left="504" w:right="219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主营业务（分行业）</w:t>
      </w:r>
    </w:p>
    <w:p>
      <w:pPr>
        <w:pStyle w:val="BodyText"/>
        <w:tabs>
          <w:tab w:pos="1108" w:val="left" w:leader="none"/>
        </w:tabs>
        <w:spacing w:line="282" w:lineRule="exact"/>
        <w:ind w:left="0" w:right="171"/>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250"/>
        <w:gridCol w:w="1762"/>
        <w:gridCol w:w="1763"/>
        <w:gridCol w:w="1763"/>
        <w:gridCol w:w="1763"/>
      </w:tblGrid>
      <w:tr>
        <w:trPr>
          <w:trHeight w:val="404"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2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2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6" w:hRule="exact"/>
        </w:trPr>
        <w:tc>
          <w:tcPr>
            <w:tcW w:w="2250" w:type="dxa"/>
            <w:vMerge/>
            <w:tcBorders>
              <w:left w:val="single" w:sz="6" w:space="0" w:color="101010"/>
              <w:bottom w:val="single" w:sz="6" w:space="0" w:color="101010"/>
              <w:right w:val="single" w:sz="6" w:space="0" w:color="101010"/>
            </w:tcBorders>
          </w:tcPr>
          <w:p>
            <w:pP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05"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958,335,785.26</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798,292,451.00</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932,495,918.35</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805,384,152.81</w:t>
            </w:r>
          </w:p>
        </w:tc>
      </w:tr>
      <w:tr>
        <w:trPr>
          <w:trHeight w:val="305"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958,335,785.26</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798,292,451.00</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932,495,918.35</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805,384,152.81</w:t>
            </w:r>
          </w:p>
        </w:tc>
      </w:tr>
    </w:tbl>
    <w:p>
      <w:pPr>
        <w:pStyle w:val="BodyText"/>
        <w:spacing w:line="240" w:lineRule="auto" w:before="84"/>
        <w:ind w:left="504" w:right="219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主营业务（分产品）</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35"/>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6"/>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526"/>
        <w:gridCol w:w="1692"/>
        <w:gridCol w:w="1694"/>
        <w:gridCol w:w="1694"/>
        <w:gridCol w:w="1693"/>
      </w:tblGrid>
      <w:tr>
        <w:trPr>
          <w:trHeight w:val="404" w:hRule="exact"/>
        </w:trPr>
        <w:tc>
          <w:tcPr>
            <w:tcW w:w="2526"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8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6" w:hRule="exact"/>
        </w:trPr>
        <w:tc>
          <w:tcPr>
            <w:tcW w:w="2526" w:type="dxa"/>
            <w:vMerge/>
            <w:tcBorders>
              <w:left w:val="single" w:sz="6" w:space="0" w:color="101010"/>
              <w:bottom w:val="single" w:sz="6" w:space="0" w:color="101010"/>
              <w:right w:val="single" w:sz="6" w:space="0" w:color="101010"/>
            </w:tcBorders>
          </w:tcPr>
          <w:p>
            <w:pP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05"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自制软件销售收入</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3,674,660.74</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813,800.00</w:t>
            </w:r>
            <w:r>
              <w:rPr>
                <w:rFonts w:ascii="Times New Roman"/>
                <w:sz w:val="21"/>
              </w:rPr>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675,447.51</w:t>
            </w:r>
            <w:r>
              <w:rPr>
                <w:rFonts w:ascii="Times New Roman"/>
                <w:sz w:val="21"/>
              </w:rPr>
            </w:r>
          </w:p>
        </w:tc>
        <w:tc>
          <w:tcPr>
            <w:tcW w:w="1693"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156,869,900.10</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138,612,949.55</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99,410,558.89</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86,069,677.92</w:t>
            </w:r>
          </w:p>
        </w:tc>
      </w:tr>
      <w:tr>
        <w:trPr>
          <w:trHeight w:val="305"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定制软件收入</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60,213,067.47</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3,669,663.58</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38,508,317.85</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2,435,890.76</w:t>
            </w:r>
          </w:p>
        </w:tc>
      </w:tr>
      <w:tr>
        <w:trPr>
          <w:trHeight w:val="305"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系统维护、技术服务收入</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21,014,025.48</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2,826,796.41</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48,040,930.69</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11,624,078.64</w:t>
            </w:r>
          </w:p>
        </w:tc>
      </w:tr>
      <w:tr>
        <w:trPr>
          <w:trHeight w:val="305"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建安工程收入</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24,289,772.64</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18,979,197.13</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5,327,534.50</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3,393,503.67</w:t>
            </w:r>
          </w:p>
        </w:tc>
      </w:tr>
      <w:tr>
        <w:trPr>
          <w:trHeight w:val="305"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商品销售收入</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713,976,376.35</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660,394,683.63</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779,766,113.47</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741,093,986.38</w:t>
            </w:r>
          </w:p>
        </w:tc>
      </w:tr>
      <w:tr>
        <w:trPr>
          <w:trHeight w:val="305"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短信服务收入</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7,269,704.97</w:t>
            </w:r>
          </w:p>
        </w:tc>
        <w:tc>
          <w:tcPr>
            <w:tcW w:w="1694" w:type="dxa"/>
            <w:tcBorders>
              <w:top w:val="single" w:sz="6" w:space="0" w:color="101010"/>
              <w:left w:val="single" w:sz="6" w:space="0" w:color="101010"/>
              <w:bottom w:val="single" w:sz="6" w:space="0" w:color="101010"/>
              <w:right w:val="single" w:sz="6" w:space="0" w:color="101010"/>
            </w:tcBorders>
          </w:tcPr>
          <w:p>
            <w:pPr/>
          </w:p>
        </w:tc>
        <w:tc>
          <w:tcPr>
            <w:tcW w:w="1694" w:type="dxa"/>
            <w:tcBorders>
              <w:top w:val="single" w:sz="6" w:space="0" w:color="101010"/>
              <w:left w:val="single" w:sz="6" w:space="0" w:color="101010"/>
              <w:bottom w:val="single" w:sz="6" w:space="0" w:color="101010"/>
              <w:right w:val="single" w:sz="6" w:space="0" w:color="101010"/>
            </w:tcBorders>
          </w:tcPr>
          <w:p>
            <w:pPr/>
          </w:p>
        </w:tc>
        <w:tc>
          <w:tcPr>
            <w:tcW w:w="1693"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987,307,507.75</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825,297,090.30</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971,728,902.91</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844,617,137.37</w:t>
            </w:r>
          </w:p>
        </w:tc>
      </w:tr>
      <w:tr>
        <w:trPr>
          <w:trHeight w:val="304"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减：各业务分部间抵销</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28,971,722.49</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27,004,639.30</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39,232,984.56</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39,232,984.56</w:t>
            </w:r>
          </w:p>
        </w:tc>
      </w:tr>
      <w:tr>
        <w:trPr>
          <w:trHeight w:val="306" w:hRule="exact"/>
        </w:trPr>
        <w:tc>
          <w:tcPr>
            <w:tcW w:w="2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958,335,785.26</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798,292,451.00</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932,495,918.35</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805,384,152.81</w:t>
            </w:r>
          </w:p>
        </w:tc>
      </w:tr>
    </w:tbl>
    <w:p>
      <w:pPr>
        <w:pStyle w:val="BodyText"/>
        <w:spacing w:line="282" w:lineRule="exact" w:before="84"/>
        <w:ind w:left="504" w:right="219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主营业务（分地区）</w:t>
      </w:r>
    </w:p>
    <w:p>
      <w:pPr>
        <w:pStyle w:val="BodyText"/>
        <w:tabs>
          <w:tab w:pos="1108" w:val="left" w:leader="none"/>
        </w:tabs>
        <w:spacing w:line="282" w:lineRule="exact"/>
        <w:ind w:left="0" w:right="171"/>
        <w:jc w:val="righ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316"/>
        <w:gridCol w:w="1746"/>
        <w:gridCol w:w="1746"/>
        <w:gridCol w:w="1746"/>
        <w:gridCol w:w="1746"/>
      </w:tblGrid>
      <w:tr>
        <w:trPr>
          <w:trHeight w:val="406" w:hRule="exact"/>
        </w:trPr>
        <w:tc>
          <w:tcPr>
            <w:tcW w:w="2316"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3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4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9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2316" w:type="dxa"/>
            <w:vMerge/>
            <w:tcBorders>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05" w:hRule="exact"/>
        </w:trPr>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东北分部</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168,547.01</w:t>
            </w:r>
            <w:r>
              <w:rPr>
                <w:rFonts w:ascii="Times New Roman"/>
                <w:sz w:val="21"/>
              </w:rPr>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71,179.49</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616,062.83</w:t>
            </w:r>
            <w:r>
              <w:rPr>
                <w:rFonts w:ascii="Times New Roman"/>
                <w:sz w:val="21"/>
              </w:rPr>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241,540.41</w:t>
            </w:r>
            <w:r>
              <w:rPr>
                <w:rFonts w:ascii="Times New Roman"/>
                <w:sz w:val="21"/>
              </w:rPr>
            </w:r>
          </w:p>
        </w:tc>
      </w:tr>
      <w:tr>
        <w:trPr>
          <w:trHeight w:val="305" w:hRule="exact"/>
        </w:trPr>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32,007,046.51</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25,425,641.65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17,463,559.05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12,522,185.19</w:t>
            </w:r>
          </w:p>
        </w:tc>
      </w:tr>
      <w:tr>
        <w:trPr>
          <w:trHeight w:val="305" w:hRule="exact"/>
        </w:trPr>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27,510,189.01</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23,137,859.68</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10,715,510.54</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5,348,901.79</w:t>
            </w:r>
          </w:p>
        </w:tc>
      </w:tr>
      <w:tr>
        <w:trPr>
          <w:trHeight w:val="305" w:hRule="exact"/>
        </w:trPr>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915,604,960.71</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766,618,067.75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937,105,902.87</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822,239,017.27</w:t>
            </w:r>
          </w:p>
        </w:tc>
      </w:tr>
      <w:tr>
        <w:trPr>
          <w:trHeight w:val="305" w:hRule="exact"/>
        </w:trPr>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12,016,764.51</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10,044,341.73</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5,827,867.62</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4,265,492.71</w:t>
            </w:r>
          </w:p>
        </w:tc>
      </w:tr>
      <w:tr>
        <w:trPr>
          <w:trHeight w:val="306" w:hRule="exact"/>
        </w:trPr>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987,307,507.75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825,297,090.30</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971,728,902.91</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844,617,137.37</w:t>
            </w:r>
          </w:p>
        </w:tc>
      </w:tr>
    </w:tbl>
    <w:p>
      <w:pPr>
        <w:spacing w:after="0" w:line="241" w:lineRule="exact"/>
        <w:jc w:val="right"/>
        <w:rPr>
          <w:rFonts w:ascii="Times New Roman" w:hAnsi="Times New Roman" w:cs="Times New Roman" w:eastAsia="Times New Roman" w:hint="default"/>
          <w:sz w:val="21"/>
          <w:szCs w:val="21"/>
        </w:rPr>
        <w:sectPr>
          <w:type w:val="continuous"/>
          <w:pgSz w:w="12240" w:h="15840"/>
          <w:pgMar w:top="660" w:bottom="280" w:left="1380" w:right="13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316"/>
        <w:gridCol w:w="1746"/>
        <w:gridCol w:w="1746"/>
        <w:gridCol w:w="1746"/>
        <w:gridCol w:w="1746"/>
      </w:tblGrid>
      <w:tr>
        <w:trPr>
          <w:trHeight w:val="305" w:hRule="exact"/>
        </w:trPr>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减：各业务分部间抵销</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28,971,722.49</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27,004,639.30</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39,232,984.56</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39,232,984.56</w:t>
            </w:r>
          </w:p>
        </w:tc>
      </w:tr>
      <w:tr>
        <w:trPr>
          <w:trHeight w:val="305" w:hRule="exact"/>
        </w:trPr>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958,335,785.26</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798,292,451.00</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932,495,918.35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805,384,152.81</w:t>
            </w:r>
          </w:p>
        </w:tc>
      </w:tr>
    </w:tbl>
    <w:p>
      <w:pPr>
        <w:pStyle w:val="BodyText"/>
        <w:spacing w:line="282" w:lineRule="exact" w:before="84"/>
        <w:ind w:left="504" w:right="22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公司前五名客户的销售收入情况</w:t>
      </w:r>
    </w:p>
    <w:p>
      <w:pPr>
        <w:pStyle w:val="BodyText"/>
        <w:tabs>
          <w:tab w:pos="1004" w:val="left" w:leader="none"/>
        </w:tabs>
        <w:spacing w:line="282" w:lineRule="exact"/>
        <w:ind w:left="0" w:right="33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6"/>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384"/>
        <w:gridCol w:w="1979"/>
        <w:gridCol w:w="4087"/>
      </w:tblGrid>
      <w:tr>
        <w:trPr>
          <w:trHeight w:val="404" w:hRule="exact"/>
        </w:trPr>
        <w:tc>
          <w:tcPr>
            <w:tcW w:w="33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351"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40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6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占公司全部销售收入的比例</w:t>
            </w:r>
            <w:r>
              <w:rPr>
                <w:rFonts w:ascii="Times New Roman" w:hAnsi="Times New Roman" w:cs="Times New Roman" w:eastAsia="Times New Roman" w:hint="default"/>
                <w:sz w:val="21"/>
                <w:szCs w:val="21"/>
              </w:rPr>
              <w:t>(%)</w:t>
            </w:r>
          </w:p>
        </w:tc>
      </w:tr>
      <w:tr>
        <w:trPr>
          <w:trHeight w:val="305" w:hRule="exact"/>
        </w:trPr>
        <w:tc>
          <w:tcPr>
            <w:tcW w:w="338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销售收入前五名客户合计</w:t>
            </w:r>
          </w:p>
        </w:tc>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662" w:right="0"/>
              <w:jc w:val="left"/>
              <w:rPr>
                <w:rFonts w:ascii="Times New Roman" w:hAnsi="Times New Roman" w:cs="Times New Roman" w:eastAsia="Times New Roman" w:hint="default"/>
                <w:sz w:val="21"/>
                <w:szCs w:val="21"/>
              </w:rPr>
            </w:pPr>
            <w:r>
              <w:rPr>
                <w:rFonts w:ascii="Times New Roman"/>
                <w:sz w:val="21"/>
              </w:rPr>
              <w:t>56,930,110.46</w:t>
            </w:r>
          </w:p>
        </w:tc>
        <w:tc>
          <w:tcPr>
            <w:tcW w:w="40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5.94%</w:t>
            </w:r>
          </w:p>
        </w:tc>
      </w:tr>
      <w:tr>
        <w:trPr>
          <w:trHeight w:val="288" w:hRule="exact"/>
        </w:trPr>
        <w:tc>
          <w:tcPr>
            <w:tcW w:w="33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9" w:type="dxa"/>
            <w:tcBorders>
              <w:top w:val="single" w:sz="6" w:space="0" w:color="101010"/>
              <w:left w:val="single" w:sz="6" w:space="0" w:color="101010"/>
              <w:bottom w:val="single" w:sz="6" w:space="0" w:color="101010"/>
              <w:right w:val="single" w:sz="6" w:space="0" w:color="101010"/>
            </w:tcBorders>
          </w:tcPr>
          <w:p>
            <w:pPr/>
          </w:p>
        </w:tc>
        <w:tc>
          <w:tcPr>
            <w:tcW w:w="4087"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72" w:lineRule="exact" w:before="112"/>
        <w:ind w:right="332" w:firstLine="420"/>
        <w:jc w:val="both"/>
      </w:pPr>
      <w:r>
        <w:rPr/>
        <w:t>注：东北分部由沈阳金证构成；华北分部由北方金证构成；华东分部由上海金证构成；中南分部 由深圳本部、郑州金证、广州金证、金至典、金证卡尔、金慧盈通、金证软银、齐普生公司构成；西 南分部由成都分公司、成都金证构成。</w:t>
      </w:r>
    </w:p>
    <w:p>
      <w:pPr>
        <w:pStyle w:val="BodyText"/>
        <w:spacing w:line="240" w:lineRule="auto" w:before="93"/>
        <w:ind w:left="565" w:right="226"/>
        <w:jc w:val="left"/>
      </w:pPr>
      <w:r>
        <w:rPr>
          <w:rFonts w:ascii="Times New Roman" w:hAnsi="Times New Roman" w:cs="Times New Roman" w:eastAsia="Times New Roman" w:hint="default"/>
        </w:rPr>
        <w:t>26</w:t>
      </w:r>
      <w:r>
        <w:rPr/>
        <w:t>、营业税金及附加：</w:t>
      </w:r>
    </w:p>
    <w:p>
      <w:pPr>
        <w:pStyle w:val="BodyText"/>
        <w:tabs>
          <w:tab w:pos="1004" w:val="left" w:leader="none"/>
        </w:tabs>
        <w:spacing w:line="274" w:lineRule="exact"/>
        <w:ind w:left="0" w:right="33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791"/>
        <w:gridCol w:w="2174"/>
        <w:gridCol w:w="2174"/>
        <w:gridCol w:w="2160"/>
      </w:tblGrid>
      <w:tr>
        <w:trPr>
          <w:trHeight w:val="406" w:hRule="exact"/>
        </w:trPr>
        <w:tc>
          <w:tcPr>
            <w:tcW w:w="27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55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652"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529" w:hRule="exact"/>
        </w:trPr>
        <w:tc>
          <w:tcPr>
            <w:tcW w:w="27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4,380,262.45</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7"/>
              <w:jc w:val="right"/>
              <w:rPr>
                <w:rFonts w:ascii="Times New Roman" w:hAnsi="Times New Roman" w:cs="Times New Roman" w:eastAsia="Times New Roman" w:hint="default"/>
                <w:sz w:val="21"/>
                <w:szCs w:val="21"/>
              </w:rPr>
            </w:pPr>
            <w:r>
              <w:rPr>
                <w:rFonts w:ascii="Times New Roman"/>
                <w:spacing w:val="-1"/>
                <w:sz w:val="21"/>
              </w:rPr>
              <w:t>3,128,865.14</w:t>
            </w:r>
          </w:p>
        </w:tc>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before="6"/>
              <w:ind w:left="100" w:right="96"/>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按营业收入的</w:t>
            </w:r>
            <w:r>
              <w:rPr>
                <w:rFonts w:ascii="宋体" w:hAnsi="宋体" w:cs="宋体" w:eastAsia="宋体" w:hint="default"/>
                <w:spacing w:val="15"/>
                <w:sz w:val="21"/>
                <w:szCs w:val="21"/>
              </w:rPr>
              <w:t> </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5%</w:t>
            </w:r>
          </w:p>
        </w:tc>
      </w:tr>
      <w:tr>
        <w:trPr>
          <w:trHeight w:val="559" w:hRule="exact"/>
        </w:trPr>
        <w:tc>
          <w:tcPr>
            <w:tcW w:w="27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pacing w:val="-2"/>
                <w:sz w:val="21"/>
              </w:rPr>
              <w:t>211,650.88</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100"/>
              <w:jc w:val="right"/>
              <w:rPr>
                <w:rFonts w:ascii="Times New Roman" w:hAnsi="Times New Roman" w:cs="Times New Roman" w:eastAsia="Times New Roman" w:hint="default"/>
                <w:sz w:val="21"/>
                <w:szCs w:val="21"/>
              </w:rPr>
            </w:pPr>
            <w:r>
              <w:rPr>
                <w:rFonts w:ascii="Times New Roman"/>
                <w:spacing w:val="-1"/>
                <w:sz w:val="21"/>
              </w:rPr>
              <w:t>265,537.98</w:t>
            </w:r>
            <w:r>
              <w:rPr>
                <w:rFonts w:ascii="Times New Roman"/>
                <w:sz w:val="21"/>
              </w:rPr>
            </w:r>
          </w:p>
        </w:tc>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按应纳增值税、营业</w:t>
            </w:r>
            <w:r>
              <w:rPr>
                <w:rFonts w:ascii="宋体" w:hAnsi="宋体" w:cs="宋体" w:eastAsia="宋体" w:hint="default"/>
                <w:sz w:val="21"/>
                <w:szCs w:val="21"/>
              </w:rPr>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税的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559" w:hRule="exact"/>
        </w:trPr>
        <w:tc>
          <w:tcPr>
            <w:tcW w:w="27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100"/>
              <w:jc w:val="right"/>
              <w:rPr>
                <w:rFonts w:ascii="Times New Roman" w:hAnsi="Times New Roman" w:cs="Times New Roman" w:eastAsia="Times New Roman" w:hint="default"/>
                <w:sz w:val="21"/>
                <w:szCs w:val="21"/>
              </w:rPr>
            </w:pPr>
            <w:r>
              <w:rPr>
                <w:rFonts w:ascii="Times New Roman"/>
                <w:spacing w:val="-1"/>
                <w:sz w:val="21"/>
              </w:rPr>
              <w:t>352,997.36</w:t>
            </w:r>
            <w:r>
              <w:rPr>
                <w:rFonts w:ascii="Times New Roman"/>
                <w:sz w:val="21"/>
              </w:rPr>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100"/>
              <w:jc w:val="right"/>
              <w:rPr>
                <w:rFonts w:ascii="Times New Roman" w:hAnsi="Times New Roman" w:cs="Times New Roman" w:eastAsia="Times New Roman" w:hint="default"/>
                <w:sz w:val="21"/>
                <w:szCs w:val="21"/>
              </w:rPr>
            </w:pPr>
            <w:r>
              <w:rPr>
                <w:rFonts w:ascii="Times New Roman"/>
                <w:spacing w:val="-1"/>
                <w:sz w:val="21"/>
              </w:rPr>
              <w:t>251,494.04</w:t>
            </w:r>
            <w:r>
              <w:rPr>
                <w:rFonts w:ascii="Times New Roman"/>
                <w:sz w:val="21"/>
              </w:rPr>
            </w:r>
          </w:p>
        </w:tc>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按应纳增值税、营业</w:t>
            </w:r>
            <w:r>
              <w:rPr>
                <w:rFonts w:ascii="宋体" w:hAnsi="宋体" w:cs="宋体" w:eastAsia="宋体" w:hint="default"/>
                <w:sz w:val="21"/>
                <w:szCs w:val="21"/>
              </w:rPr>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税的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r>
      <w:tr>
        <w:trPr>
          <w:trHeight w:val="560" w:hRule="exact"/>
        </w:trPr>
        <w:tc>
          <w:tcPr>
            <w:tcW w:w="27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主要副食品价格调控基金</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pacing w:val="-1"/>
                <w:sz w:val="21"/>
              </w:rPr>
              <w:t>14,236.81</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100"/>
              <w:jc w:val="right"/>
              <w:rPr>
                <w:rFonts w:ascii="Times New Roman" w:hAnsi="Times New Roman" w:cs="Times New Roman" w:eastAsia="Times New Roman" w:hint="default"/>
                <w:sz w:val="21"/>
                <w:szCs w:val="21"/>
              </w:rPr>
            </w:pPr>
            <w:r>
              <w:rPr>
                <w:rFonts w:ascii="Times New Roman"/>
                <w:spacing w:val="-1"/>
                <w:sz w:val="21"/>
              </w:rPr>
              <w:t>6,545.99</w:t>
            </w:r>
            <w:r>
              <w:rPr>
                <w:rFonts w:ascii="Times New Roman"/>
                <w:sz w:val="21"/>
              </w:rPr>
            </w:r>
          </w:p>
        </w:tc>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按含税</w:t>
            </w:r>
            <w:r>
              <w:rPr>
                <w:rFonts w:ascii="宋体" w:hAnsi="宋体" w:cs="宋体" w:eastAsia="宋体" w:hint="default"/>
                <w:spacing w:val="-67"/>
                <w:sz w:val="21"/>
                <w:szCs w:val="21"/>
              </w:rPr>
              <w:t> </w:t>
            </w:r>
            <w:r>
              <w:rPr>
                <w:rFonts w:ascii="宋体" w:hAnsi="宋体" w:cs="宋体" w:eastAsia="宋体" w:hint="default"/>
                <w:sz w:val="21"/>
                <w:szCs w:val="21"/>
              </w:rPr>
              <w:t>营</w:t>
            </w:r>
            <w:r>
              <w:rPr>
                <w:rFonts w:ascii="宋体" w:hAnsi="宋体" w:cs="宋体" w:eastAsia="宋体" w:hint="default"/>
                <w:spacing w:val="-67"/>
                <w:sz w:val="21"/>
                <w:szCs w:val="21"/>
              </w:rPr>
              <w:t> </w:t>
            </w:r>
            <w:r>
              <w:rPr>
                <w:rFonts w:ascii="宋体" w:hAnsi="宋体" w:cs="宋体" w:eastAsia="宋体" w:hint="default"/>
                <w:spacing w:val="28"/>
                <w:sz w:val="21"/>
                <w:szCs w:val="21"/>
              </w:rPr>
              <w:t>业收入的</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05" w:hRule="exact"/>
        </w:trPr>
        <w:tc>
          <w:tcPr>
            <w:tcW w:w="2791"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1,762.24</w:t>
            </w:r>
            <w:r>
              <w:rPr>
                <w:rFonts w:ascii="Times New Roman"/>
                <w:sz w:val="21"/>
              </w:rPr>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6,888.85</w:t>
            </w:r>
            <w:r>
              <w:rPr>
                <w:rFonts w:ascii="Times New Roman"/>
                <w:sz w:val="21"/>
              </w:rPr>
            </w:r>
          </w:p>
        </w:tc>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按营业收入的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w:t>
            </w:r>
          </w:p>
        </w:tc>
      </w:tr>
      <w:tr>
        <w:trPr>
          <w:trHeight w:val="528" w:hRule="exact"/>
        </w:trPr>
        <w:tc>
          <w:tcPr>
            <w:tcW w:w="27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河道工程维护管理费</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7,350.90</w:t>
            </w:r>
            <w:r>
              <w:rPr>
                <w:rFonts w:ascii="Times New Roman"/>
                <w:sz w:val="21"/>
              </w:rPr>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2,515.48</w:t>
            </w:r>
            <w:r>
              <w:rPr>
                <w:rFonts w:ascii="Times New Roman"/>
                <w:sz w:val="21"/>
              </w:rPr>
            </w:r>
          </w:p>
        </w:tc>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7"/>
                <w:sz w:val="21"/>
                <w:szCs w:val="21"/>
              </w:rPr>
              <w:t>按应缴流转税的</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Times New Roman"/>
                <w:sz w:val="21"/>
              </w:rPr>
              <w:t>0.25%</w:t>
            </w:r>
          </w:p>
        </w:tc>
      </w:tr>
      <w:tr>
        <w:trPr>
          <w:trHeight w:val="306" w:hRule="exact"/>
        </w:trPr>
        <w:tc>
          <w:tcPr>
            <w:tcW w:w="2791"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4,968,260.64</w:t>
            </w:r>
          </w:p>
        </w:tc>
        <w:tc>
          <w:tcPr>
            <w:tcW w:w="21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3,661,847.48</w:t>
            </w:r>
          </w:p>
        </w:tc>
        <w:tc>
          <w:tcPr>
            <w:tcW w:w="2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84"/>
        <w:ind w:left="504" w:right="226"/>
        <w:jc w:val="left"/>
      </w:pPr>
      <w:r>
        <w:rPr>
          <w:rFonts w:ascii="Times New Roman" w:hAnsi="Times New Roman" w:cs="Times New Roman" w:eastAsia="Times New Roman" w:hint="default"/>
        </w:rPr>
        <w:t>27</w:t>
      </w:r>
      <w:r>
        <w:rPr/>
        <w:t>、公允价值变动收益</w:t>
      </w:r>
    </w:p>
    <w:p>
      <w:pPr>
        <w:pStyle w:val="BodyText"/>
        <w:tabs>
          <w:tab w:pos="899" w:val="left" w:leader="none"/>
        </w:tabs>
        <w:spacing w:line="240" w:lineRule="auto" w:before="103"/>
        <w:ind w:left="0" w:right="33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750"/>
        <w:gridCol w:w="2776"/>
        <w:gridCol w:w="2774"/>
      </w:tblGrid>
      <w:tr>
        <w:trPr>
          <w:trHeight w:val="406" w:hRule="exact"/>
        </w:trPr>
        <w:tc>
          <w:tcPr>
            <w:tcW w:w="37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0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7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85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05" w:hRule="exact"/>
        </w:trPr>
        <w:tc>
          <w:tcPr>
            <w:tcW w:w="37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金融工具公允价值变动收益</w:t>
            </w:r>
          </w:p>
        </w:tc>
        <w:tc>
          <w:tcPr>
            <w:tcW w:w="27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-400,932.50</w:t>
            </w:r>
          </w:p>
        </w:tc>
        <w:tc>
          <w:tcPr>
            <w:tcW w:w="2774"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37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-400,932.50</w:t>
            </w:r>
          </w:p>
        </w:tc>
        <w:tc>
          <w:tcPr>
            <w:tcW w:w="2774"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1040" w:bottom="920" w:left="1380" w:right="1140"/>
        </w:sectPr>
      </w:pPr>
    </w:p>
    <w:p>
      <w:pPr>
        <w:pStyle w:val="BodyText"/>
        <w:spacing w:line="240" w:lineRule="auto" w:before="84"/>
        <w:ind w:left="504" w:right="-16"/>
        <w:jc w:val="left"/>
      </w:pPr>
      <w:r>
        <w:rPr>
          <w:rFonts w:ascii="Times New Roman" w:hAnsi="Times New Roman" w:cs="Times New Roman" w:eastAsia="Times New Roman" w:hint="default"/>
        </w:rPr>
        <w:t>28</w:t>
      </w:r>
      <w:r>
        <w:rPr/>
        <w:t>、投资收益</w:t>
      </w:r>
    </w:p>
    <w:p>
      <w:pPr>
        <w:pStyle w:val="BodyText"/>
        <w:spacing w:line="240" w:lineRule="auto" w:before="101"/>
        <w:ind w:left="503"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按投资单位分项列示投资收益：</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2"/>
          <w:szCs w:val="22"/>
        </w:rPr>
      </w:pPr>
    </w:p>
    <w:p>
      <w:pPr>
        <w:pStyle w:val="BodyText"/>
        <w:tabs>
          <w:tab w:pos="1508" w:val="left" w:leader="none"/>
        </w:tabs>
        <w:spacing w:line="240" w:lineRule="auto"/>
        <w:ind w:left="503"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660" w:bottom="280" w:left="1380" w:right="1140"/>
          <w:cols w:num="2" w:equalWidth="0">
            <w:col w:w="3795" w:space="2975"/>
            <w:col w:w="2950"/>
          </w:cols>
        </w:sectPr>
      </w:pP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947"/>
        <w:gridCol w:w="1540"/>
        <w:gridCol w:w="1621"/>
        <w:gridCol w:w="3192"/>
      </w:tblGrid>
      <w:tr>
        <w:trPr>
          <w:trHeight w:val="406" w:hRule="exact"/>
        </w:trPr>
        <w:tc>
          <w:tcPr>
            <w:tcW w:w="29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94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42"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8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3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本期与上期增减变动的原因</w:t>
            </w:r>
          </w:p>
        </w:tc>
      </w:tr>
      <w:tr>
        <w:trPr>
          <w:trHeight w:val="305" w:hRule="exact"/>
        </w:trPr>
        <w:tc>
          <w:tcPr>
            <w:tcW w:w="294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交易性金融资产投资收益</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20" w:right="0"/>
              <w:jc w:val="left"/>
              <w:rPr>
                <w:rFonts w:ascii="Times New Roman" w:hAnsi="Times New Roman" w:cs="Times New Roman" w:eastAsia="Times New Roman" w:hint="default"/>
                <w:sz w:val="21"/>
                <w:szCs w:val="21"/>
              </w:rPr>
            </w:pPr>
            <w:r>
              <w:rPr>
                <w:rFonts w:ascii="Times New Roman"/>
                <w:sz w:val="21"/>
              </w:rPr>
              <w:t>6,169,340.89</w:t>
            </w:r>
          </w:p>
        </w:tc>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33" w:right="0"/>
              <w:jc w:val="left"/>
              <w:rPr>
                <w:rFonts w:ascii="Times New Roman" w:hAnsi="Times New Roman" w:cs="Times New Roman" w:eastAsia="Times New Roman" w:hint="default"/>
                <w:sz w:val="21"/>
                <w:szCs w:val="21"/>
              </w:rPr>
            </w:pPr>
            <w:r>
              <w:rPr>
                <w:rFonts w:ascii="Times New Roman"/>
                <w:sz w:val="21"/>
              </w:rPr>
              <w:t>-1,740,526.64</w:t>
            </w:r>
          </w:p>
        </w:tc>
        <w:tc>
          <w:tcPr>
            <w:tcW w:w="3192"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94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20" w:right="0"/>
              <w:jc w:val="left"/>
              <w:rPr>
                <w:rFonts w:ascii="Times New Roman" w:hAnsi="Times New Roman" w:cs="Times New Roman" w:eastAsia="Times New Roman" w:hint="default"/>
                <w:sz w:val="21"/>
                <w:szCs w:val="21"/>
              </w:rPr>
            </w:pPr>
            <w:r>
              <w:rPr>
                <w:rFonts w:ascii="Times New Roman"/>
                <w:sz w:val="21"/>
              </w:rPr>
              <w:t>6,169,340.89</w:t>
            </w:r>
          </w:p>
        </w:tc>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33" w:right="0"/>
              <w:jc w:val="left"/>
              <w:rPr>
                <w:rFonts w:ascii="Times New Roman" w:hAnsi="Times New Roman" w:cs="Times New Roman" w:eastAsia="Times New Roman" w:hint="default"/>
                <w:sz w:val="21"/>
                <w:szCs w:val="21"/>
              </w:rPr>
            </w:pPr>
            <w:r>
              <w:rPr>
                <w:rFonts w:ascii="Times New Roman"/>
                <w:sz w:val="21"/>
              </w:rPr>
              <w:t>-1,740,526.64</w:t>
            </w:r>
          </w:p>
        </w:tc>
        <w:tc>
          <w:tcPr>
            <w:tcW w:w="3192"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9" w:lineRule="exact"/>
        <w:jc w:val="center"/>
        <w:rPr>
          <w:rFonts w:ascii="宋体" w:hAnsi="宋体" w:cs="宋体" w:eastAsia="宋体" w:hint="default"/>
          <w:sz w:val="21"/>
          <w:szCs w:val="21"/>
        </w:rPr>
        <w:sectPr>
          <w:type w:val="continuous"/>
          <w:pgSz w:w="12240" w:h="15840"/>
          <w:pgMar w:top="660" w:bottom="280" w:left="1380" w:right="1140"/>
        </w:sectPr>
      </w:pPr>
    </w:p>
    <w:p>
      <w:pPr>
        <w:spacing w:line="240" w:lineRule="auto" w:before="3"/>
        <w:rPr>
          <w:rFonts w:ascii="宋体" w:hAnsi="宋体" w:cs="宋体" w:eastAsia="宋体" w:hint="default"/>
          <w:sz w:val="24"/>
          <w:szCs w:val="24"/>
        </w:rPr>
      </w:pPr>
    </w:p>
    <w:p>
      <w:pPr>
        <w:pStyle w:val="BodyText"/>
        <w:spacing w:line="240" w:lineRule="auto" w:before="35"/>
        <w:ind w:left="504" w:right="219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会计报表中的投资收益项目增加：</w:t>
      </w:r>
    </w:p>
    <w:p>
      <w:pPr>
        <w:pStyle w:val="BodyText"/>
        <w:spacing w:line="240" w:lineRule="auto" w:before="103"/>
        <w:ind w:left="0" w:right="171"/>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5544"/>
        <w:gridCol w:w="1926"/>
        <w:gridCol w:w="1830"/>
      </w:tblGrid>
      <w:tr>
        <w:trPr>
          <w:trHeight w:val="406" w:hRule="exact"/>
        </w:trPr>
        <w:tc>
          <w:tcPr>
            <w:tcW w:w="5544" w:type="dxa"/>
            <w:tcBorders>
              <w:top w:val="single" w:sz="6" w:space="0" w:color="101010"/>
              <w:left w:val="single" w:sz="6" w:space="0" w:color="101010"/>
              <w:bottom w:val="single" w:sz="6" w:space="0" w:color="101010"/>
              <w:right w:val="single" w:sz="6" w:space="0" w:color="101010"/>
            </w:tcBorders>
          </w:tcPr>
          <w:p>
            <w:pPr/>
          </w:p>
        </w:tc>
        <w:tc>
          <w:tcPr>
            <w:tcW w:w="19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3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8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5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926" w:type="dxa"/>
            <w:tcBorders>
              <w:top w:val="single" w:sz="6" w:space="0" w:color="101010"/>
              <w:left w:val="single" w:sz="6" w:space="0" w:color="101010"/>
              <w:bottom w:val="single" w:sz="6" w:space="0" w:color="101010"/>
              <w:right w:val="single" w:sz="6" w:space="0" w:color="101010"/>
            </w:tcBorders>
          </w:tcPr>
          <w:p>
            <w:pPr/>
          </w:p>
        </w:tc>
        <w:tc>
          <w:tcPr>
            <w:tcW w:w="183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5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26" w:type="dxa"/>
            <w:tcBorders>
              <w:top w:val="single" w:sz="6" w:space="0" w:color="101010"/>
              <w:left w:val="single" w:sz="6" w:space="0" w:color="101010"/>
              <w:bottom w:val="single" w:sz="6" w:space="0" w:color="101010"/>
              <w:right w:val="single" w:sz="6" w:space="0" w:color="101010"/>
            </w:tcBorders>
          </w:tcPr>
          <w:p>
            <w:pPr/>
          </w:p>
        </w:tc>
        <w:tc>
          <w:tcPr>
            <w:tcW w:w="183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5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926" w:type="dxa"/>
            <w:tcBorders>
              <w:top w:val="single" w:sz="6" w:space="0" w:color="101010"/>
              <w:left w:val="single" w:sz="6" w:space="0" w:color="101010"/>
              <w:bottom w:val="single" w:sz="6" w:space="0" w:color="101010"/>
              <w:right w:val="single" w:sz="6" w:space="0" w:color="101010"/>
            </w:tcBorders>
          </w:tcPr>
          <w:p>
            <w:pPr/>
          </w:p>
        </w:tc>
        <w:tc>
          <w:tcPr>
            <w:tcW w:w="183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554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持有交易性金融资产、持有至到期投资、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可供出售金融资产等期间取得的投资收益</w:t>
            </w:r>
          </w:p>
        </w:tc>
        <w:tc>
          <w:tcPr>
            <w:tcW w:w="1926" w:type="dxa"/>
            <w:tcBorders>
              <w:top w:val="single" w:sz="6" w:space="0" w:color="101010"/>
              <w:left w:val="single" w:sz="6" w:space="0" w:color="101010"/>
              <w:bottom w:val="single" w:sz="6" w:space="0" w:color="101010"/>
              <w:right w:val="single" w:sz="6" w:space="0" w:color="101010"/>
            </w:tcBorders>
          </w:tcPr>
          <w:p>
            <w:pPr/>
          </w:p>
        </w:tc>
        <w:tc>
          <w:tcPr>
            <w:tcW w:w="183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554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处置交易性金融资产、持有至到期投资、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9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-1,740,526.64</w:t>
            </w:r>
          </w:p>
        </w:tc>
        <w:tc>
          <w:tcPr>
            <w:tcW w:w="18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6,169,340.89</w:t>
            </w:r>
          </w:p>
        </w:tc>
      </w:tr>
      <w:tr>
        <w:trPr>
          <w:trHeight w:val="287" w:hRule="exact"/>
        </w:trPr>
        <w:tc>
          <w:tcPr>
            <w:tcW w:w="55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926" w:type="dxa"/>
            <w:tcBorders>
              <w:top w:val="single" w:sz="6" w:space="0" w:color="101010"/>
              <w:left w:val="single" w:sz="6" w:space="0" w:color="101010"/>
              <w:bottom w:val="single" w:sz="6" w:space="0" w:color="101010"/>
              <w:right w:val="single" w:sz="6" w:space="0" w:color="101010"/>
            </w:tcBorders>
          </w:tcPr>
          <w:p>
            <w:pPr/>
          </w:p>
        </w:tc>
        <w:tc>
          <w:tcPr>
            <w:tcW w:w="1830" w:type="dxa"/>
            <w:tcBorders>
              <w:top w:val="single" w:sz="6" w:space="0" w:color="101010"/>
              <w:left w:val="single" w:sz="6" w:space="0" w:color="101010"/>
              <w:bottom w:val="single" w:sz="6" w:space="0" w:color="101010"/>
              <w:right w:val="single" w:sz="6" w:space="0" w:color="101010"/>
            </w:tcBorders>
          </w:tcPr>
          <w:p>
            <w:pPr/>
          </w:p>
        </w:tc>
      </w:tr>
      <w:tr>
        <w:trPr>
          <w:trHeight w:val="306" w:hRule="exact"/>
        </w:trPr>
        <w:tc>
          <w:tcPr>
            <w:tcW w:w="554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-1,740,526.64</w:t>
            </w:r>
          </w:p>
        </w:tc>
        <w:tc>
          <w:tcPr>
            <w:tcW w:w="183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6,169,340.89</w:t>
            </w:r>
          </w:p>
        </w:tc>
      </w:tr>
    </w:tbl>
    <w:p>
      <w:pPr>
        <w:pStyle w:val="BodyText"/>
        <w:spacing w:line="282" w:lineRule="exact" w:before="84"/>
        <w:ind w:left="504" w:right="2197"/>
        <w:jc w:val="left"/>
      </w:pPr>
      <w:r>
        <w:rPr>
          <w:rFonts w:ascii="Times New Roman" w:hAnsi="Times New Roman" w:cs="Times New Roman" w:eastAsia="Times New Roman" w:hint="default"/>
        </w:rPr>
        <w:t>29</w:t>
      </w:r>
      <w:r>
        <w:rPr/>
        <w:t>、资产减值损失</w:t>
      </w:r>
    </w:p>
    <w:p>
      <w:pPr>
        <w:pStyle w:val="BodyText"/>
        <w:spacing w:line="282" w:lineRule="exact"/>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4778"/>
        <w:gridCol w:w="2261"/>
        <w:gridCol w:w="2261"/>
      </w:tblGrid>
      <w:tr>
        <w:trPr>
          <w:trHeight w:val="406"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05"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26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-13,600,385.9</w:t>
            </w:r>
            <w:r>
              <w:rPr>
                <w:rFonts w:ascii="Times New Roman"/>
                <w:sz w:val="21"/>
              </w:rPr>
            </w:r>
          </w:p>
        </w:tc>
        <w:tc>
          <w:tcPr>
            <w:tcW w:w="226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-31,998,741.84</w:t>
            </w:r>
            <w:r>
              <w:rPr>
                <w:rFonts w:ascii="Times New Roman"/>
                <w:sz w:val="21"/>
              </w:rPr>
            </w:r>
          </w:p>
        </w:tc>
      </w:tr>
      <w:tr>
        <w:trPr>
          <w:trHeight w:val="305"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26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82,756.41</w:t>
            </w: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261" w:type="dxa"/>
            <w:tcBorders>
              <w:top w:val="single" w:sz="6" w:space="0" w:color="101010"/>
              <w:left w:val="single" w:sz="6" w:space="0" w:color="101010"/>
              <w:bottom w:val="single" w:sz="6" w:space="0" w:color="101010"/>
              <w:right w:val="single" w:sz="6" w:space="0" w:color="101010"/>
            </w:tcBorders>
          </w:tcPr>
          <w:p>
            <w:pPr/>
          </w:p>
        </w:tc>
        <w:tc>
          <w:tcPr>
            <w:tcW w:w="2261" w:type="dxa"/>
            <w:tcBorders>
              <w:top w:val="single" w:sz="6" w:space="0" w:color="101010"/>
              <w:left w:val="single" w:sz="6" w:space="0" w:color="101010"/>
              <w:bottom w:val="single" w:sz="6" w:space="0" w:color="101010"/>
              <w:right w:val="single" w:sz="6" w:space="0" w:color="101010"/>
            </w:tcBorders>
          </w:tcPr>
          <w:p>
            <w:pPr/>
          </w:p>
        </w:tc>
      </w:tr>
      <w:tr>
        <w:trPr>
          <w:trHeight w:val="306" w:hRule="exact"/>
        </w:trPr>
        <w:tc>
          <w:tcPr>
            <w:tcW w:w="477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-13,517,629.49</w:t>
            </w:r>
            <w:r>
              <w:rPr>
                <w:rFonts w:ascii="Times New Roman"/>
                <w:sz w:val="21"/>
              </w:rPr>
            </w:r>
          </w:p>
        </w:tc>
        <w:tc>
          <w:tcPr>
            <w:tcW w:w="226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-31,998,741.84</w:t>
            </w:r>
            <w:r>
              <w:rPr>
                <w:rFonts w:ascii="Times New Roman"/>
                <w:sz w:val="21"/>
              </w:rPr>
            </w:r>
          </w:p>
        </w:tc>
      </w:tr>
    </w:tbl>
    <w:p>
      <w:pPr>
        <w:pStyle w:val="BodyText"/>
        <w:spacing w:line="282" w:lineRule="exact" w:before="84"/>
        <w:ind w:left="504" w:right="2197"/>
        <w:jc w:val="left"/>
      </w:pPr>
      <w:r>
        <w:rPr>
          <w:rFonts w:ascii="Times New Roman" w:hAnsi="Times New Roman" w:cs="Times New Roman" w:eastAsia="Times New Roman" w:hint="default"/>
        </w:rPr>
        <w:t>30</w:t>
      </w:r>
      <w:r>
        <w:rPr/>
        <w:t>、营业外收入</w:t>
      </w:r>
    </w:p>
    <w:p>
      <w:pPr>
        <w:pStyle w:val="BodyText"/>
        <w:spacing w:line="282" w:lineRule="exact"/>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4596"/>
        <w:gridCol w:w="2400"/>
        <w:gridCol w:w="2304"/>
      </w:tblGrid>
      <w:tr>
        <w:trPr>
          <w:trHeight w:val="404" w:hRule="exact"/>
        </w:trPr>
        <w:tc>
          <w:tcPr>
            <w:tcW w:w="45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2078"/>
              <w:jc w:val="right"/>
              <w:rPr>
                <w:rFonts w:ascii="宋体" w:hAnsi="宋体" w:cs="宋体" w:eastAsia="宋体" w:hint="default"/>
                <w:sz w:val="21"/>
                <w:szCs w:val="21"/>
              </w:rPr>
            </w:pPr>
            <w:r>
              <w:rPr>
                <w:rFonts w:ascii="宋体" w:hAnsi="宋体" w:cs="宋体" w:eastAsia="宋体" w:hint="default"/>
                <w:sz w:val="21"/>
                <w:szCs w:val="21"/>
              </w:rPr>
              <w:t>项目</w:t>
            </w:r>
          </w:p>
        </w:tc>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05" w:hRule="exact"/>
        </w:trPr>
        <w:tc>
          <w:tcPr>
            <w:tcW w:w="45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22,000.00</w:t>
            </w:r>
          </w:p>
        </w:tc>
        <w:tc>
          <w:tcPr>
            <w:tcW w:w="23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17,083.56</w:t>
            </w:r>
          </w:p>
        </w:tc>
      </w:tr>
      <w:tr>
        <w:trPr>
          <w:trHeight w:val="305" w:hRule="exact"/>
        </w:trPr>
        <w:tc>
          <w:tcPr>
            <w:tcW w:w="45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22,000.00</w:t>
            </w:r>
          </w:p>
        </w:tc>
        <w:tc>
          <w:tcPr>
            <w:tcW w:w="23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17,083.56</w:t>
            </w:r>
          </w:p>
        </w:tc>
      </w:tr>
      <w:tr>
        <w:trPr>
          <w:trHeight w:val="288" w:hRule="exact"/>
        </w:trPr>
        <w:tc>
          <w:tcPr>
            <w:tcW w:w="45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400" w:type="dxa"/>
            <w:tcBorders>
              <w:top w:val="single" w:sz="6" w:space="0" w:color="101010"/>
              <w:left w:val="single" w:sz="6" w:space="0" w:color="101010"/>
              <w:bottom w:val="single" w:sz="6" w:space="0" w:color="101010"/>
              <w:right w:val="single" w:sz="6" w:space="0" w:color="101010"/>
            </w:tcBorders>
          </w:tcPr>
          <w:p>
            <w:pPr/>
          </w:p>
        </w:tc>
        <w:tc>
          <w:tcPr>
            <w:tcW w:w="2304"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45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3,154,484.53</w:t>
            </w:r>
          </w:p>
        </w:tc>
        <w:tc>
          <w:tcPr>
            <w:tcW w:w="23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861,947.53</w:t>
            </w:r>
            <w:r>
              <w:rPr>
                <w:rFonts w:ascii="Times New Roman"/>
                <w:sz w:val="21"/>
              </w:rPr>
            </w:r>
          </w:p>
        </w:tc>
      </w:tr>
      <w:tr>
        <w:trPr>
          <w:trHeight w:val="305" w:hRule="exact"/>
        </w:trPr>
        <w:tc>
          <w:tcPr>
            <w:tcW w:w="45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罚款收入及其他</w:t>
            </w:r>
          </w:p>
        </w:tc>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71,755.71</w:t>
            </w:r>
          </w:p>
        </w:tc>
        <w:tc>
          <w:tcPr>
            <w:tcW w:w="23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26,399.21</w:t>
            </w:r>
          </w:p>
        </w:tc>
      </w:tr>
      <w:tr>
        <w:trPr>
          <w:trHeight w:val="305" w:hRule="exact"/>
        </w:trPr>
        <w:tc>
          <w:tcPr>
            <w:tcW w:w="459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2078"/>
              <w:jc w:val="right"/>
              <w:rPr>
                <w:rFonts w:ascii="宋体" w:hAnsi="宋体" w:cs="宋体" w:eastAsia="宋体" w:hint="default"/>
                <w:sz w:val="21"/>
                <w:szCs w:val="21"/>
              </w:rPr>
            </w:pPr>
            <w:r>
              <w:rPr>
                <w:rFonts w:ascii="宋体" w:hAnsi="宋体" w:cs="宋体" w:eastAsia="宋体" w:hint="default"/>
                <w:sz w:val="21"/>
                <w:szCs w:val="21"/>
              </w:rPr>
              <w:t>合计</w:t>
            </w:r>
          </w:p>
        </w:tc>
        <w:tc>
          <w:tcPr>
            <w:tcW w:w="24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3,248,240.24</w:t>
            </w:r>
          </w:p>
        </w:tc>
        <w:tc>
          <w:tcPr>
            <w:tcW w:w="23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905,430.30</w:t>
            </w:r>
            <w:r>
              <w:rPr>
                <w:rFonts w:ascii="Times New Roman"/>
                <w:sz w:val="21"/>
              </w:rPr>
            </w:r>
          </w:p>
        </w:tc>
      </w:tr>
    </w:tbl>
    <w:p>
      <w:pPr>
        <w:spacing w:after="0" w:line="241" w:lineRule="exact"/>
        <w:jc w:val="right"/>
        <w:rPr>
          <w:rFonts w:ascii="Times New Roman" w:hAnsi="Times New Roman" w:cs="Times New Roman" w:eastAsia="Times New Roman" w:hint="default"/>
          <w:sz w:val="21"/>
          <w:szCs w:val="21"/>
        </w:rPr>
        <w:sectPr>
          <w:pgSz w:w="12240" w:h="15840"/>
          <w:pgMar w:header="747" w:footer="727" w:top="1040" w:bottom="920" w:left="138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82" w:lineRule="exact"/>
        <w:ind w:left="504" w:right="96"/>
        <w:jc w:val="left"/>
      </w:pPr>
      <w:r>
        <w:rPr>
          <w:rFonts w:ascii="Times New Roman" w:hAnsi="Times New Roman" w:cs="Times New Roman" w:eastAsia="Times New Roman" w:hint="default"/>
        </w:rPr>
        <w:t>31</w:t>
      </w:r>
      <w:r>
        <w:rPr/>
        <w:t>、营业外支出</w:t>
      </w:r>
    </w:p>
    <w:p>
      <w:pPr>
        <w:pStyle w:val="BodyText"/>
        <w:spacing w:line="282" w:lineRule="exact"/>
        <w:ind w:left="0" w:right="21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4644"/>
        <w:gridCol w:w="2328"/>
        <w:gridCol w:w="2328"/>
      </w:tblGrid>
      <w:tr>
        <w:trPr>
          <w:trHeight w:val="406"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2102"/>
              <w:jc w:val="right"/>
              <w:rPr>
                <w:rFonts w:ascii="宋体" w:hAnsi="宋体" w:cs="宋体" w:eastAsia="宋体" w:hint="default"/>
                <w:sz w:val="21"/>
                <w:szCs w:val="21"/>
              </w:rPr>
            </w:pPr>
            <w:r>
              <w:rPr>
                <w:rFonts w:ascii="宋体" w:hAnsi="宋体" w:cs="宋体" w:eastAsia="宋体" w:hint="default"/>
                <w:sz w:val="21"/>
                <w:szCs w:val="21"/>
              </w:rPr>
              <w:t>项目</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05"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6,745.72</w:t>
            </w:r>
            <w:r>
              <w:rPr>
                <w:rFonts w:ascii="Times New Roman"/>
                <w:sz w:val="21"/>
              </w:rPr>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2"/>
                <w:sz w:val="21"/>
              </w:rPr>
              <w:t>211,409.43</w:t>
            </w:r>
          </w:p>
        </w:tc>
      </w:tr>
      <w:tr>
        <w:trPr>
          <w:trHeight w:val="305"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6,745.72</w:t>
            </w:r>
            <w:r>
              <w:rPr>
                <w:rFonts w:ascii="Times New Roman"/>
                <w:sz w:val="21"/>
              </w:rPr>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2"/>
                <w:sz w:val="21"/>
              </w:rPr>
              <w:t>211,409.43</w:t>
            </w:r>
          </w:p>
        </w:tc>
      </w:tr>
      <w:tr>
        <w:trPr>
          <w:trHeight w:val="287"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328" w:type="dxa"/>
            <w:tcBorders>
              <w:top w:val="single" w:sz="6" w:space="0" w:color="101010"/>
              <w:left w:val="single" w:sz="6" w:space="0" w:color="101010"/>
              <w:bottom w:val="single" w:sz="6" w:space="0" w:color="101010"/>
              <w:right w:val="single" w:sz="6" w:space="0" w:color="101010"/>
            </w:tcBorders>
          </w:tcPr>
          <w:p>
            <w:pPr/>
          </w:p>
        </w:tc>
        <w:tc>
          <w:tcPr>
            <w:tcW w:w="2328"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罚款支出及其他</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36,519.37</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6,193.60</w:t>
            </w:r>
            <w:r>
              <w:rPr>
                <w:rFonts w:ascii="Times New Roman"/>
                <w:sz w:val="21"/>
              </w:rPr>
            </w:r>
          </w:p>
        </w:tc>
      </w:tr>
      <w:tr>
        <w:trPr>
          <w:trHeight w:val="306"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2102"/>
              <w:jc w:val="right"/>
              <w:rPr>
                <w:rFonts w:ascii="宋体" w:hAnsi="宋体" w:cs="宋体" w:eastAsia="宋体" w:hint="default"/>
                <w:sz w:val="21"/>
                <w:szCs w:val="21"/>
              </w:rPr>
            </w:pPr>
            <w:r>
              <w:rPr>
                <w:rFonts w:ascii="宋体" w:hAnsi="宋体" w:cs="宋体" w:eastAsia="宋体" w:hint="default"/>
                <w:sz w:val="21"/>
                <w:szCs w:val="21"/>
              </w:rPr>
              <w:t>合计</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43,265.09</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217,603.03</w:t>
            </w:r>
            <w:r>
              <w:rPr>
                <w:rFonts w:ascii="Times New Roman"/>
                <w:sz w:val="21"/>
              </w:rPr>
            </w:r>
          </w:p>
        </w:tc>
      </w:tr>
    </w:tbl>
    <w:p>
      <w:pPr>
        <w:pStyle w:val="BodyText"/>
        <w:spacing w:line="282" w:lineRule="exact" w:before="84"/>
        <w:ind w:left="504" w:right="96"/>
        <w:jc w:val="left"/>
      </w:pPr>
      <w:r>
        <w:rPr>
          <w:rFonts w:ascii="Times New Roman" w:hAnsi="Times New Roman" w:cs="Times New Roman" w:eastAsia="Times New Roman" w:hint="default"/>
        </w:rPr>
        <w:t>32</w:t>
      </w:r>
      <w:r>
        <w:rPr/>
        <w:t>、所得税费用：</w:t>
      </w:r>
    </w:p>
    <w:p>
      <w:pPr>
        <w:pStyle w:val="BodyText"/>
        <w:spacing w:line="282" w:lineRule="exact"/>
        <w:ind w:left="0" w:right="21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527"/>
        <w:gridCol w:w="2887"/>
        <w:gridCol w:w="2886"/>
      </w:tblGrid>
      <w:tr>
        <w:trPr>
          <w:trHeight w:val="404" w:hRule="exact"/>
        </w:trPr>
        <w:tc>
          <w:tcPr>
            <w:tcW w:w="35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544"/>
              <w:jc w:val="right"/>
              <w:rPr>
                <w:rFonts w:ascii="宋体" w:hAnsi="宋体" w:cs="宋体" w:eastAsia="宋体" w:hint="default"/>
                <w:sz w:val="21"/>
                <w:szCs w:val="21"/>
              </w:rPr>
            </w:pPr>
            <w:r>
              <w:rPr>
                <w:rFonts w:ascii="宋体" w:hAnsi="宋体" w:cs="宋体" w:eastAsia="宋体" w:hint="default"/>
                <w:sz w:val="21"/>
                <w:szCs w:val="21"/>
              </w:rPr>
              <w:t>项目</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91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05" w:hRule="exact"/>
        </w:trPr>
        <w:tc>
          <w:tcPr>
            <w:tcW w:w="352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4,057,548.62</w:t>
            </w:r>
          </w:p>
        </w:tc>
        <w:tc>
          <w:tcPr>
            <w:tcW w:w="28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2"/>
                <w:sz w:val="21"/>
              </w:rPr>
              <w:t>4,714,114.30</w:t>
            </w:r>
            <w:r>
              <w:rPr>
                <w:rFonts w:ascii="Times New Roman"/>
                <w:sz w:val="21"/>
              </w:rPr>
            </w:r>
          </w:p>
        </w:tc>
      </w:tr>
      <w:tr>
        <w:trPr>
          <w:trHeight w:val="305" w:hRule="exact"/>
        </w:trPr>
        <w:tc>
          <w:tcPr>
            <w:tcW w:w="352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1,731,772.63</w:t>
            </w:r>
          </w:p>
        </w:tc>
        <w:tc>
          <w:tcPr>
            <w:tcW w:w="28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3,873,864.08</w:t>
            </w:r>
          </w:p>
        </w:tc>
      </w:tr>
      <w:tr>
        <w:trPr>
          <w:trHeight w:val="306" w:hRule="exact"/>
        </w:trPr>
        <w:tc>
          <w:tcPr>
            <w:tcW w:w="352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544"/>
              <w:jc w:val="right"/>
              <w:rPr>
                <w:rFonts w:ascii="宋体" w:hAnsi="宋体" w:cs="宋体" w:eastAsia="宋体" w:hint="default"/>
                <w:sz w:val="21"/>
                <w:szCs w:val="21"/>
              </w:rPr>
            </w:pPr>
            <w:r>
              <w:rPr>
                <w:rFonts w:ascii="宋体" w:hAnsi="宋体" w:cs="宋体" w:eastAsia="宋体" w:hint="default"/>
                <w:sz w:val="21"/>
                <w:szCs w:val="21"/>
              </w:rPr>
              <w:t>合计</w:t>
            </w:r>
          </w:p>
        </w:tc>
        <w:tc>
          <w:tcPr>
            <w:tcW w:w="28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5,789,321.25</w:t>
            </w:r>
          </w:p>
        </w:tc>
        <w:tc>
          <w:tcPr>
            <w:tcW w:w="28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8,587,978.38</w:t>
            </w:r>
          </w:p>
        </w:tc>
      </w:tr>
    </w:tbl>
    <w:p>
      <w:pPr>
        <w:pStyle w:val="BodyText"/>
        <w:spacing w:line="324" w:lineRule="auto" w:before="84"/>
        <w:ind w:left="862" w:right="4667" w:hanging="359"/>
        <w:jc w:val="left"/>
        <w:rPr>
          <w:rFonts w:ascii="Times New Roman" w:hAnsi="Times New Roman" w:cs="Times New Roman" w:eastAsia="Times New Roman" w:hint="default"/>
        </w:rPr>
      </w:pPr>
      <w:r>
        <w:rPr>
          <w:rFonts w:ascii="Times New Roman" w:hAnsi="Times New Roman" w:cs="Times New Roman" w:eastAsia="Times New Roman" w:hint="default"/>
        </w:rPr>
        <w:t>33</w:t>
      </w:r>
      <w:r>
        <w:rPr/>
        <w:t>、基本每股收益和稀释每股收益的计算过程： 基本每股收益</w:t>
      </w:r>
      <w:r>
        <w:rPr>
          <w:rFonts w:ascii="Times New Roman" w:hAnsi="Times New Roman" w:cs="Times New Roman" w:eastAsia="Times New Roman" w:hint="default"/>
        </w:rPr>
        <w:t>=P</w:t>
      </w:r>
      <w:r>
        <w:rPr/>
        <w:t>÷</w:t>
      </w:r>
      <w:r>
        <w:rPr>
          <w:rFonts w:ascii="Times New Roman" w:hAnsi="Times New Roman" w:cs="Times New Roman" w:eastAsia="Times New Roman" w:hint="default"/>
        </w:rPr>
        <w:t>S</w:t>
      </w:r>
    </w:p>
    <w:p>
      <w:pPr>
        <w:pStyle w:val="BodyText"/>
        <w:spacing w:line="240" w:lineRule="auto" w:before="20"/>
        <w:ind w:left="862" w:right="96"/>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2"/>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p>
    <w:p>
      <w:pPr>
        <w:pStyle w:val="BodyText"/>
        <w:spacing w:line="272" w:lineRule="exact" w:before="129"/>
        <w:ind w:right="161" w:firstLine="358"/>
        <w:jc w:val="left"/>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9"/>
        </w:rPr>
        <w:t> </w:t>
      </w:r>
      <w:r>
        <w:rPr/>
        <w:t>为归属于公司普通股股东的净利润或扣除非经常性损益后归属于普通股股东的净利润；</w:t>
      </w:r>
      <w:r>
        <w:rPr>
          <w:rFonts w:ascii="Times New Roman" w:hAnsi="Times New Roman" w:cs="Times New Roman" w:eastAsia="Times New Roman" w:hint="default"/>
        </w:rPr>
        <w:t>S</w:t>
      </w:r>
      <w:r>
        <w:rPr>
          <w:rFonts w:ascii="Times New Roman" w:hAnsi="Times New Roman" w:cs="Times New Roman" w:eastAsia="Times New Roman" w:hint="default"/>
          <w:w w:val="99"/>
        </w:rPr>
        <w:t> </w:t>
      </w:r>
      <w:r>
        <w:rPr/>
        <w:t>为发行在外的普通股加权平均数；</w:t>
      </w:r>
      <w:r>
        <w:rPr>
          <w:rFonts w:ascii="Times New Roman" w:hAnsi="Times New Roman" w:cs="Times New Roman" w:eastAsia="Times New Roman" w:hint="default"/>
        </w:rPr>
        <w:t>S0 </w:t>
      </w:r>
      <w:r>
        <w:rPr/>
        <w:t>为年初股份总数；</w:t>
      </w:r>
      <w:r>
        <w:rPr>
          <w:rFonts w:ascii="Times New Roman" w:hAnsi="Times New Roman" w:cs="Times New Roman" w:eastAsia="Times New Roman" w:hint="default"/>
        </w:rPr>
        <w:t>S1 </w:t>
      </w:r>
      <w:r>
        <w:rPr/>
        <w:t>为报告期因公积金转增股本或股票股利分 配等增加股份数；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2"/>
        </w:rPr>
        <w:t> </w:t>
      </w:r>
      <w:r>
        <w:rPr/>
        <w:t>为报告期因回购等减少股份数； </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 </w:t>
      </w:r>
      <w:r>
        <w:rPr/>
        <w:t>为增加股份下一月份起至报告期年末的月份数；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4"/>
        </w:rPr>
        <w:t> </w:t>
      </w:r>
      <w:r>
        <w:rPr/>
        <w:t>为减 少股份下一月份起至报告期年末的月份数。</w:t>
      </w:r>
    </w:p>
    <w:p>
      <w:pPr>
        <w:pStyle w:val="BodyText"/>
        <w:spacing w:line="240" w:lineRule="auto" w:before="93"/>
        <w:ind w:left="504" w:right="96"/>
        <w:jc w:val="left"/>
      </w:pPr>
      <w:r>
        <w:rPr/>
        <w:t>稀释每股收益</w:t>
      </w:r>
    </w:p>
    <w:p>
      <w:pPr>
        <w:pStyle w:val="BodyText"/>
        <w:spacing w:line="282" w:lineRule="exact" w:before="116"/>
        <w:ind w:left="504" w:right="96"/>
        <w:jc w:val="left"/>
        <w:rPr>
          <w:rFonts w:ascii="Times New Roman" w:hAnsi="Times New Roman" w:cs="Times New Roman" w:eastAsia="Times New Roman" w:hint="default"/>
        </w:rPr>
      </w:pPr>
      <w:r>
        <w:rPr/>
        <w:t>稀释每股收益</w:t>
      </w:r>
      <w:r>
        <w:rPr>
          <w:rFonts w:ascii="Times New Roman" w:hAnsi="Times New Roman" w:cs="Times New Roman" w:eastAsia="Times New Roman" w:hint="default"/>
        </w:rPr>
        <w:t>=[P+</w:t>
      </w:r>
      <w:r>
        <w:rPr/>
        <w:t>（已确认为费用的稀释性潜在普通股利息－转换费用）×（</w:t>
      </w:r>
      <w:r>
        <w:rPr>
          <w:rFonts w:ascii="Times New Roman" w:hAnsi="Times New Roman" w:cs="Times New Roman" w:eastAsia="Times New Roman" w:hint="default"/>
        </w:rPr>
        <w:t>1-</w:t>
      </w:r>
      <w:r>
        <w:rPr/>
        <w:t>所得税率）</w:t>
      </w:r>
      <w:r>
        <w:rPr>
          <w:rFonts w:ascii="Times New Roman" w:hAnsi="Times New Roman" w:cs="Times New Roman" w:eastAsia="Times New Roman" w:hint="default"/>
        </w:rPr>
        <w:t>]/</w:t>
      </w:r>
      <w:r>
        <w:rPr/>
        <w:t>（</w:t>
      </w:r>
      <w:r>
        <w:rPr>
          <w:rFonts w:ascii="Times New Roman" w:hAnsi="Times New Roman" w:cs="Times New Roman" w:eastAsia="Times New Roman" w:hint="default"/>
        </w:rPr>
        <w:t>S0</w:t>
      </w:r>
    </w:p>
    <w:p>
      <w:pPr>
        <w:pStyle w:val="BodyText"/>
        <w:spacing w:line="282" w:lineRule="exact"/>
        <w:ind w:right="0"/>
        <w:jc w:val="left"/>
      </w:pPr>
      <w:r>
        <w:rPr/>
        <w:t>＋</w:t>
      </w:r>
      <w:r>
        <w:rPr>
          <w:rFonts w:ascii="Times New Roman" w:hAnsi="Times New Roman" w:cs="Times New Roman" w:eastAsia="Times New Roman" w:hint="default"/>
          <w:spacing w:val="-1"/>
          <w:w w:val="99"/>
        </w:rPr>
        <w:t>S</w:t>
      </w:r>
      <w:r>
        <w:rPr>
          <w:rFonts w:ascii="Times New Roman" w:hAnsi="Times New Roman" w:cs="Times New Roman" w:eastAsia="Times New Roman" w:hint="default"/>
          <w:w w:val="99"/>
        </w:rPr>
        <w:t>1</w:t>
      </w:r>
      <w:r>
        <w:rPr/>
        <w:t>＋</w:t>
      </w:r>
      <w:r>
        <w:rPr>
          <w:rFonts w:ascii="Times New Roman" w:hAnsi="Times New Roman" w:cs="Times New Roman" w:eastAsia="Times New Roman" w:hint="default"/>
          <w:spacing w:val="-1"/>
          <w:w w:val="99"/>
        </w:rPr>
        <w:t>S</w:t>
      </w:r>
      <w:r>
        <w:rPr>
          <w:rFonts w:ascii="Times New Roman" w:hAnsi="Times New Roman" w:cs="Times New Roman" w:eastAsia="Times New Roman" w:hint="default"/>
          <w:w w:val="99"/>
        </w:rPr>
        <w:t>i</w:t>
      </w:r>
      <w:r>
        <w:rPr/>
        <w:t>×</w:t>
      </w:r>
      <w:r>
        <w:rPr>
          <w:rFonts w:ascii="Times New Roman" w:hAnsi="Times New Roman" w:cs="Times New Roman" w:eastAsia="Times New Roman" w:hint="default"/>
          <w:spacing w:val="-1"/>
          <w:w w:val="99"/>
        </w:rPr>
        <w:t>M</w:t>
      </w:r>
      <w:r>
        <w:rPr>
          <w:rFonts w:ascii="Times New Roman" w:hAnsi="Times New Roman" w:cs="Times New Roman" w:eastAsia="Times New Roman" w:hint="default"/>
          <w:w w:val="99"/>
        </w:rPr>
        <w:t>i</w:t>
      </w:r>
      <w:r>
        <w:rPr/>
        <w:t>÷</w:t>
      </w:r>
      <w:r>
        <w:rPr>
          <w:rFonts w:ascii="Times New Roman" w:hAnsi="Times New Roman" w:cs="Times New Roman" w:eastAsia="Times New Roman" w:hint="default"/>
          <w:w w:val="99"/>
        </w:rPr>
        <w:t>M0</w:t>
      </w:r>
      <w:r>
        <w:rPr/>
        <w:t>－</w:t>
      </w:r>
      <w:r>
        <w:rPr>
          <w:rFonts w:ascii="Times New Roman" w:hAnsi="Times New Roman" w:cs="Times New Roman" w:eastAsia="Times New Roman" w:hint="default"/>
          <w:spacing w:val="-1"/>
          <w:w w:val="99"/>
        </w:rPr>
        <w:t>S</w:t>
      </w:r>
      <w:r>
        <w:rPr>
          <w:rFonts w:ascii="Times New Roman" w:hAnsi="Times New Roman" w:cs="Times New Roman" w:eastAsia="Times New Roman" w:hint="default"/>
          <w:w w:val="99"/>
        </w:rPr>
        <w:t>j</w:t>
      </w:r>
      <w:r>
        <w:rPr>
          <w:spacing w:val="-2"/>
        </w:rPr>
        <w:t>×</w:t>
      </w:r>
      <w:r>
        <w:rPr>
          <w:rFonts w:ascii="Times New Roman" w:hAnsi="Times New Roman" w:cs="Times New Roman" w:eastAsia="Times New Roman" w:hint="default"/>
          <w:w w:val="99"/>
        </w:rPr>
        <w:t>Mj</w:t>
      </w:r>
      <w:r>
        <w:rPr/>
        <w:t>÷</w:t>
      </w:r>
      <w:r>
        <w:rPr>
          <w:rFonts w:ascii="Times New Roman" w:hAnsi="Times New Roman" w:cs="Times New Roman" w:eastAsia="Times New Roman" w:hint="default"/>
          <w:spacing w:val="-1"/>
          <w:w w:val="99"/>
        </w:rPr>
        <w:t>M</w:t>
      </w:r>
      <w:r>
        <w:rPr>
          <w:rFonts w:ascii="Times New Roman" w:hAnsi="Times New Roman" w:cs="Times New Roman" w:eastAsia="Times New Roman" w:hint="default"/>
          <w:w w:val="99"/>
        </w:rPr>
        <w:t>0</w:t>
      </w:r>
      <w:r>
        <w:rPr/>
        <w:t>—</w:t>
      </w:r>
      <w:r>
        <w:rPr>
          <w:rFonts w:ascii="Times New Roman" w:hAnsi="Times New Roman" w:cs="Times New Roman" w:eastAsia="Times New Roman" w:hint="default"/>
          <w:spacing w:val="-1"/>
        </w:rPr>
        <w:t>Sk</w:t>
      </w:r>
      <w:r>
        <w:rPr>
          <w:rFonts w:ascii="Times New Roman" w:hAnsi="Times New Roman" w:cs="Times New Roman" w:eastAsia="Times New Roman" w:hint="default"/>
        </w:rPr>
        <w:t>+</w:t>
      </w:r>
      <w:r>
        <w:rPr/>
        <w:t>认股权证</w:t>
      </w:r>
      <w:r>
        <w:rPr>
          <w:spacing w:val="-101"/>
        </w:rPr>
        <w:t>、</w:t>
      </w:r>
      <w:r>
        <w:rPr/>
        <w:t>股份期权</w:t>
      </w:r>
      <w:r>
        <w:rPr>
          <w:spacing w:val="-100"/>
        </w:rPr>
        <w:t>、</w:t>
      </w:r>
      <w:r>
        <w:rPr/>
        <w:t>可转换债券等增加的普通股加权平均数）</w:t>
      </w:r>
    </w:p>
    <w:p>
      <w:pPr>
        <w:pStyle w:val="BodyText"/>
        <w:spacing w:line="272" w:lineRule="exact" w:before="129"/>
        <w:ind w:right="96" w:firstLine="358"/>
        <w:jc w:val="left"/>
      </w:pPr>
      <w:r>
        <w:rPr/>
        <w:t>其中，</w:t>
      </w:r>
      <w:r>
        <w:rPr>
          <w:rFonts w:ascii="Times New Roman" w:hAnsi="Times New Roman" w:cs="Times New Roman" w:eastAsia="Times New Roman" w:hint="default"/>
        </w:rPr>
        <w:t>P </w:t>
      </w:r>
      <w:r>
        <w:rPr/>
        <w:t>为归属于公司普通股股东的净利润或扣除非经常性损益后归属于公司普通股股东的净利 </w:t>
      </w:r>
      <w:r>
        <w:rPr>
          <w:spacing w:val="-3"/>
        </w:rPr>
        <w:t>润。公司在计算稀释每股收益时，已考虑所有稀释性潜在普通股的影响，直至稀释每股收益达到最小。</w:t>
      </w:r>
    </w:p>
    <w:p>
      <w:pPr>
        <w:pStyle w:val="BodyText"/>
        <w:spacing w:line="240" w:lineRule="auto" w:before="94"/>
        <w:ind w:left="504" w:right="96"/>
        <w:jc w:val="left"/>
      </w:pPr>
      <w:r>
        <w:rPr>
          <w:rFonts w:ascii="Times New Roman" w:hAnsi="Times New Roman" w:cs="Times New Roman" w:eastAsia="Times New Roman" w:hint="default"/>
        </w:rPr>
        <w:t>34</w:t>
      </w:r>
      <w:r>
        <w:rPr/>
        <w:t>、收到的其他与经营活动有关的现金</w:t>
      </w:r>
    </w:p>
    <w:p>
      <w:pPr>
        <w:pStyle w:val="BodyText"/>
        <w:tabs>
          <w:tab w:pos="899" w:val="left" w:leader="none"/>
        </w:tabs>
        <w:spacing w:line="240" w:lineRule="auto" w:before="157"/>
        <w:ind w:left="0" w:right="21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4"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2406"/>
              <w:jc w:val="right"/>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05"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收到现金折扣和存款利息</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7,905,407.23</w:t>
            </w:r>
          </w:p>
        </w:tc>
      </w:tr>
      <w:tr>
        <w:trPr>
          <w:trHeight w:val="305"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财政补贴及资助资金</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7,080,000.00</w:t>
            </w:r>
          </w:p>
        </w:tc>
      </w:tr>
      <w:tr>
        <w:trPr>
          <w:trHeight w:val="305"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收到其他单位及个人往来款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8,438,588.29</w:t>
            </w:r>
          </w:p>
        </w:tc>
      </w:tr>
      <w:tr>
        <w:trPr>
          <w:trHeight w:val="306"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2406"/>
              <w:jc w:val="right"/>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23,423,995.52</w:t>
            </w:r>
          </w:p>
        </w:tc>
      </w:tr>
    </w:tbl>
    <w:p>
      <w:pPr>
        <w:spacing w:after="0" w:line="241" w:lineRule="exact"/>
        <w:jc w:val="right"/>
        <w:rPr>
          <w:rFonts w:ascii="Times New Roman" w:hAnsi="Times New Roman" w:cs="Times New Roman" w:eastAsia="Times New Roman" w:hint="default"/>
          <w:sz w:val="21"/>
          <w:szCs w:val="21"/>
        </w:rPr>
        <w:sectPr>
          <w:pgSz w:w="12240" w:h="15840"/>
          <w:pgMar w:header="747" w:footer="727" w:top="1040" w:bottom="920" w:left="1380" w:right="1260"/>
        </w:sectPr>
      </w:pPr>
    </w:p>
    <w:p>
      <w:pPr>
        <w:spacing w:line="240" w:lineRule="auto" w:before="5"/>
        <w:rPr>
          <w:rFonts w:ascii="宋体" w:hAnsi="宋体" w:cs="宋体" w:eastAsia="宋体" w:hint="default"/>
          <w:sz w:val="24"/>
          <w:szCs w:val="24"/>
        </w:rPr>
      </w:pPr>
    </w:p>
    <w:p>
      <w:pPr>
        <w:pStyle w:val="BodyText"/>
        <w:spacing w:line="240" w:lineRule="auto" w:before="35"/>
        <w:ind w:left="504" w:right="2197"/>
        <w:jc w:val="left"/>
      </w:pPr>
      <w:r>
        <w:rPr>
          <w:rFonts w:ascii="Times New Roman" w:hAnsi="Times New Roman" w:cs="Times New Roman" w:eastAsia="Times New Roman" w:hint="default"/>
        </w:rPr>
        <w:t>35</w:t>
      </w:r>
      <w:r>
        <w:rPr/>
        <w:t>、支付的其他与经营活动有关的现金</w:t>
      </w:r>
    </w:p>
    <w:p>
      <w:pPr>
        <w:spacing w:line="240" w:lineRule="auto" w:before="3"/>
        <w:rPr>
          <w:rFonts w:ascii="宋体" w:hAnsi="宋体" w:cs="宋体" w:eastAsia="宋体" w:hint="default"/>
          <w:sz w:val="9"/>
          <w:szCs w:val="9"/>
        </w:rPr>
      </w:pPr>
    </w:p>
    <w:p>
      <w:pPr>
        <w:pStyle w:val="BodyText"/>
        <w:spacing w:line="240" w:lineRule="auto" w:before="35"/>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5"/>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4"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05"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费用性支出</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58,716,287.58</w:t>
            </w:r>
          </w:p>
        </w:tc>
      </w:tr>
      <w:tr>
        <w:trPr>
          <w:trHeight w:val="305"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支付其他单位往来款及职工备用金</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704,898.89</w:t>
            </w:r>
            <w:r>
              <w:rPr>
                <w:rFonts w:ascii="Times New Roman"/>
                <w:sz w:val="21"/>
              </w:rPr>
            </w:r>
          </w:p>
        </w:tc>
      </w:tr>
      <w:tr>
        <w:trPr>
          <w:trHeight w:val="306"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59,421,186.47</w:t>
            </w:r>
          </w:p>
        </w:tc>
      </w:tr>
    </w:tbl>
    <w:p>
      <w:pPr>
        <w:pStyle w:val="BodyText"/>
        <w:spacing w:line="240" w:lineRule="auto" w:before="84"/>
        <w:ind w:left="504" w:right="2197"/>
        <w:jc w:val="left"/>
      </w:pPr>
      <w:r>
        <w:rPr>
          <w:rFonts w:ascii="Times New Roman" w:hAnsi="Times New Roman" w:cs="Times New Roman" w:eastAsia="Times New Roman" w:hint="default"/>
        </w:rPr>
        <w:t>36</w:t>
      </w:r>
      <w:r>
        <w:rPr/>
        <w:t>、现金流量表补充资料</w:t>
      </w:r>
    </w:p>
    <w:p>
      <w:pPr>
        <w:pStyle w:val="BodyText"/>
        <w:spacing w:line="240" w:lineRule="auto" w:before="103"/>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4229"/>
        <w:gridCol w:w="2536"/>
        <w:gridCol w:w="2536"/>
      </w:tblGrid>
      <w:tr>
        <w:trPr>
          <w:trHeight w:val="287"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3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63"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40,345,908.80</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63,054,526.26</w:t>
            </w:r>
          </w:p>
        </w:tc>
      </w:tr>
      <w:tr>
        <w:trPr>
          <w:trHeight w:val="26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-13,517,629.49</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-32,429,617.10</w:t>
            </w:r>
          </w:p>
        </w:tc>
      </w:tr>
      <w:tr>
        <w:trPr>
          <w:trHeight w:val="481"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旧</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3,016,826.14</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3,603,003.44</w:t>
            </w:r>
          </w:p>
        </w:tc>
      </w:tr>
      <w:tr>
        <w:trPr>
          <w:trHeight w:val="26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574,128.56</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295,326.92</w:t>
            </w:r>
          </w:p>
        </w:tc>
      </w:tr>
      <w:tr>
        <w:trPr>
          <w:trHeight w:val="263"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255,038.65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346,739.70</w:t>
            </w:r>
          </w:p>
        </w:tc>
      </w:tr>
      <w:tr>
        <w:trPr>
          <w:trHeight w:val="482"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处置固定资产、无形资产和其他长期资产的损失（收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95"/>
                <w:sz w:val="18"/>
              </w:rPr>
              <w:t>-15,254.28</w:t>
            </w:r>
            <w:r>
              <w:rPr>
                <w:rFonts w:ascii="Times New Roman"/>
                <w:sz w:val="18"/>
              </w:rPr>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194,325.87</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63"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400,932.50</w:t>
            </w: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6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1,917,277.97</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1,755,168.74</w:t>
            </w:r>
          </w:p>
        </w:tc>
      </w:tr>
      <w:tr>
        <w:trPr>
          <w:trHeight w:val="263"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1,740,526.64</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-6,169,340.89</w:t>
            </w:r>
          </w:p>
        </w:tc>
      </w:tr>
      <w:tr>
        <w:trPr>
          <w:trHeight w:val="26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1,731,772.63</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3,873,864.08</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63"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-100,336,688.83</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-43,835,371.25</w:t>
            </w:r>
          </w:p>
        </w:tc>
      </w:tr>
      <w:tr>
        <w:trPr>
          <w:trHeight w:val="26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9,756,097.78</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-64,784,994.05</w:t>
            </w:r>
          </w:p>
        </w:tc>
      </w:tr>
      <w:tr>
        <w:trPr>
          <w:trHeight w:val="263"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138,229,785.80</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70,214,864.56</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6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84,098,722.87</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-3,881,503.72</w:t>
            </w:r>
          </w:p>
        </w:tc>
      </w:tr>
      <w:tr>
        <w:trPr>
          <w:trHeight w:val="40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40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63"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255,193,500.15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190,118,274.74</w:t>
            </w:r>
          </w:p>
        </w:tc>
      </w:tr>
      <w:tr>
        <w:trPr>
          <w:trHeight w:val="26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145,983,031.09</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63"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190,118,274.74</w:t>
            </w: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6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65,075,225.41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44,135,243.65</w:t>
            </w:r>
          </w:p>
        </w:tc>
      </w:tr>
    </w:tbl>
    <w:p>
      <w:pPr>
        <w:pStyle w:val="BodyText"/>
        <w:spacing w:line="274" w:lineRule="exact" w:before="84"/>
        <w:ind w:left="504" w:right="0"/>
        <w:jc w:val="left"/>
      </w:pPr>
      <w:r>
        <w:rPr/>
        <w:t>现金流量表中反映的现金期初余额、期末余额较资产负债表中货币资金的期初数、期末数分别少</w:t>
      </w:r>
    </w:p>
    <w:p>
      <w:pPr>
        <w:pStyle w:val="BodyText"/>
        <w:spacing w:line="280"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8</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rPr>
        <w:t>46</w:t>
      </w:r>
      <w:r>
        <w:rPr>
          <w:rFonts w:ascii="Times New Roman" w:hAnsi="Times New Roman" w:cs="Times New Roman" w:eastAsia="Times New Roman" w:hint="default"/>
          <w:spacing w:val="-1"/>
        </w:rPr>
        <w:t>.0</w:t>
      </w:r>
      <w:r>
        <w:rPr>
          <w:rFonts w:ascii="Times New Roman" w:hAnsi="Times New Roman" w:cs="Times New Roman" w:eastAsia="Times New Roman" w:hint="default"/>
        </w:rPr>
        <w:t>1 </w:t>
      </w:r>
      <w:r>
        <w:rPr/>
        <w:t>元</w:t>
      </w:r>
      <w:r>
        <w:rPr>
          <w:spacing w:val="-98"/>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71</w:t>
      </w:r>
      <w:r>
        <w:rPr>
          <w:rFonts w:ascii="Times New Roman" w:hAnsi="Times New Roman" w:cs="Times New Roman" w:eastAsia="Times New Roman" w:hint="default"/>
          <w:spacing w:val="-1"/>
        </w:rPr>
        <w:t>,9</w:t>
      </w:r>
      <w:r>
        <w:rPr>
          <w:rFonts w:ascii="Times New Roman" w:hAnsi="Times New Roman" w:cs="Times New Roman" w:eastAsia="Times New Roman" w:hint="default"/>
        </w:rPr>
        <w:t>74</w:t>
      </w:r>
      <w:r>
        <w:rPr>
          <w:rFonts w:ascii="Times New Roman" w:hAnsi="Times New Roman" w:cs="Times New Roman" w:eastAsia="Times New Roman" w:hint="default"/>
          <w:spacing w:val="-1"/>
        </w:rPr>
        <w:t>.5</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元</w:t>
      </w:r>
      <w:r>
        <w:rPr>
          <w:spacing w:val="-98"/>
        </w:rPr>
        <w:t>，</w:t>
      </w:r>
      <w:r>
        <w:rPr/>
        <w:t>系资产负债表中货币资金的期初数含应付票据保证金</w:t>
      </w:r>
      <w:r>
        <w:rPr>
          <w:spacing w:val="-53"/>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
        </w:rPr>
        <w:t>6</w:t>
      </w:r>
      <w:r>
        <w:rPr>
          <w:rFonts w:ascii="Times New Roman" w:hAnsi="Times New Roman" w:cs="Times New Roman" w:eastAsia="Times New Roman" w:hint="default"/>
        </w:rPr>
        <w:t>46</w:t>
      </w:r>
      <w:r>
        <w:rPr>
          <w:rFonts w:ascii="Times New Roman" w:hAnsi="Times New Roman" w:cs="Times New Roman" w:eastAsia="Times New Roman" w:hint="default"/>
          <w:spacing w:val="-1"/>
        </w:rPr>
        <w:t>.</w:t>
      </w:r>
      <w:r>
        <w:rPr>
          <w:rFonts w:ascii="Times New Roman" w:hAnsi="Times New Roman" w:cs="Times New Roman" w:eastAsia="Times New Roman" w:hint="default"/>
        </w:rPr>
        <w:t>01</w:t>
      </w:r>
    </w:p>
    <w:p>
      <w:pPr>
        <w:pStyle w:val="BodyText"/>
        <w:spacing w:line="272" w:lineRule="exact" w:before="18"/>
        <w:ind w:right="158"/>
        <w:jc w:val="left"/>
      </w:pPr>
      <w:r>
        <w:rPr/>
        <w:t>元，期末数含应付票据保证金及保函保证金</w:t>
      </w:r>
      <w:r>
        <w:rPr>
          <w:spacing w:val="-80"/>
        </w:rPr>
        <w:t> </w:t>
      </w:r>
      <w:r>
        <w:rPr>
          <w:rFonts w:ascii="Times New Roman" w:hAnsi="Times New Roman" w:cs="Times New Roman" w:eastAsia="Times New Roman" w:hint="default"/>
        </w:rPr>
        <w:t>19,971,974.55</w:t>
      </w:r>
      <w:r>
        <w:rPr>
          <w:rFonts w:ascii="Times New Roman" w:hAnsi="Times New Roman" w:cs="Times New Roman" w:eastAsia="Times New Roman" w:hint="default"/>
          <w:spacing w:val="-28"/>
        </w:rPr>
        <w:t> </w:t>
      </w:r>
      <w:r>
        <w:rPr/>
        <w:t>元，在编制现金流量表时将其从期初现金及 现金等价物中剔除。</w:t>
      </w:r>
    </w:p>
    <w:p>
      <w:pPr>
        <w:spacing w:after="0" w:line="272" w:lineRule="exact"/>
        <w:jc w:val="left"/>
        <w:sectPr>
          <w:pgSz w:w="12240" w:h="15840"/>
          <w:pgMar w:header="747" w:footer="727" w:top="1040" w:bottom="920" w:left="1380" w:right="1300"/>
        </w:sect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2240" w:h="15840"/>
          <w:pgMar w:header="747" w:footer="727" w:top="1040" w:bottom="920" w:left="1380" w:right="1300"/>
        </w:sectPr>
      </w:pPr>
    </w:p>
    <w:p>
      <w:pPr>
        <w:pStyle w:val="BodyText"/>
        <w:spacing w:line="268" w:lineRule="auto" w:before="35"/>
        <w:ind w:left="503" w:right="-19"/>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母公司会计报表附注</w:t>
      </w:r>
      <w:r>
        <w:rPr>
          <w:w w:val="99"/>
        </w:rPr>
        <w:t> </w:t>
      </w:r>
      <w:r>
        <w:rPr>
          <w:rFonts w:ascii="Times New Roman" w:hAnsi="Times New Roman" w:cs="Times New Roman" w:eastAsia="Times New Roman" w:hint="default"/>
        </w:rPr>
        <w:t>1</w:t>
      </w:r>
      <w:r>
        <w:rPr/>
        <w:t>、应收账款</w:t>
      </w:r>
    </w:p>
    <w:p>
      <w:pPr>
        <w:pStyle w:val="BodyText"/>
        <w:spacing w:line="244" w:lineRule="exact"/>
        <w:ind w:left="503"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应收账款按种类披露</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BodyText"/>
        <w:spacing w:line="240" w:lineRule="auto"/>
        <w:ind w:left="50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660" w:bottom="280" w:left="1380" w:right="1300"/>
          <w:cols w:num="2" w:equalWidth="0">
            <w:col w:w="2745" w:space="4236"/>
            <w:col w:w="2579"/>
          </w:cols>
        </w:sectPr>
      </w:pPr>
    </w:p>
    <w:p>
      <w:pPr>
        <w:spacing w:line="240" w:lineRule="auto" w:before="5"/>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048"/>
        <w:gridCol w:w="1250"/>
        <w:gridCol w:w="1086"/>
        <w:gridCol w:w="1162"/>
        <w:gridCol w:w="781"/>
        <w:gridCol w:w="1250"/>
        <w:gridCol w:w="781"/>
        <w:gridCol w:w="1162"/>
        <w:gridCol w:w="780"/>
      </w:tblGrid>
      <w:tr>
        <w:trPr>
          <w:trHeight w:val="404" w:hRule="exact"/>
        </w:trPr>
        <w:tc>
          <w:tcPr>
            <w:tcW w:w="104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279"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1048" w:type="dxa"/>
            <w:vMerge/>
            <w:tcBorders>
              <w:left w:val="single" w:sz="6" w:space="0" w:color="101010"/>
              <w:right w:val="single" w:sz="6" w:space="0" w:color="101010"/>
            </w:tcBorders>
          </w:tcPr>
          <w:p>
            <w:pPr/>
          </w:p>
        </w:tc>
        <w:tc>
          <w:tcPr>
            <w:tcW w:w="233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43"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3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1" w:hRule="exact"/>
        </w:trPr>
        <w:tc>
          <w:tcPr>
            <w:tcW w:w="1048" w:type="dxa"/>
            <w:vMerge/>
            <w:tcBorders>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5" w:hRule="exact"/>
        </w:trPr>
        <w:tc>
          <w:tcPr>
            <w:tcW w:w="10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单项金额</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2" w:lineRule="exact" w:before="24"/>
              <w:ind w:left="100" w:right="61"/>
              <w:jc w:val="left"/>
              <w:rPr>
                <w:rFonts w:ascii="宋体" w:hAnsi="宋体" w:cs="宋体" w:eastAsia="宋体" w:hint="default"/>
                <w:sz w:val="18"/>
                <w:szCs w:val="18"/>
              </w:rPr>
            </w:pPr>
            <w:r>
              <w:rPr>
                <w:rFonts w:ascii="宋体" w:hAnsi="宋体" w:cs="宋体" w:eastAsia="宋体" w:hint="default"/>
                <w:spacing w:val="27"/>
                <w:sz w:val="18"/>
                <w:szCs w:val="18"/>
              </w:rPr>
              <w:t>重大的应</w:t>
            </w:r>
            <w:r>
              <w:rPr>
                <w:rFonts w:ascii="宋体" w:hAnsi="宋体" w:cs="宋体" w:eastAsia="宋体" w:hint="default"/>
                <w:spacing w:val="-88"/>
                <w:sz w:val="18"/>
                <w:szCs w:val="18"/>
              </w:rPr>
              <w:t> </w:t>
            </w:r>
            <w:r>
              <w:rPr>
                <w:rFonts w:ascii="宋体" w:hAnsi="宋体" w:cs="宋体" w:eastAsia="宋体" w:hint="default"/>
                <w:sz w:val="18"/>
                <w:szCs w:val="18"/>
              </w:rPr>
              <w:t>收账款</w:t>
            </w:r>
          </w:p>
        </w:tc>
        <w:tc>
          <w:tcPr>
            <w:tcW w:w="1250" w:type="dxa"/>
            <w:tcBorders>
              <w:top w:val="single" w:sz="6" w:space="0" w:color="101010"/>
              <w:left w:val="single" w:sz="6" w:space="0" w:color="101010"/>
              <w:bottom w:val="single" w:sz="6" w:space="0" w:color="101010"/>
              <w:right w:val="single" w:sz="6" w:space="0" w:color="101010"/>
            </w:tcBorders>
          </w:tcPr>
          <w:p>
            <w:pPr/>
          </w:p>
        </w:tc>
        <w:tc>
          <w:tcPr>
            <w:tcW w:w="1086" w:type="dxa"/>
            <w:tcBorders>
              <w:top w:val="single" w:sz="6" w:space="0" w:color="101010"/>
              <w:left w:val="single" w:sz="6" w:space="0" w:color="101010"/>
              <w:bottom w:val="single" w:sz="6" w:space="0" w:color="101010"/>
              <w:right w:val="single" w:sz="6" w:space="0" w:color="101010"/>
            </w:tcBorders>
          </w:tcPr>
          <w:p>
            <w:pPr/>
          </w:p>
        </w:tc>
        <w:tc>
          <w:tcPr>
            <w:tcW w:w="1162" w:type="dxa"/>
            <w:tcBorders>
              <w:top w:val="single" w:sz="6" w:space="0" w:color="101010"/>
              <w:left w:val="single" w:sz="6" w:space="0" w:color="101010"/>
              <w:bottom w:val="single" w:sz="6" w:space="0" w:color="101010"/>
              <w:right w:val="single" w:sz="6" w:space="0" w:color="101010"/>
            </w:tcBorders>
          </w:tcPr>
          <w:p>
            <w:pPr/>
          </w:p>
        </w:tc>
        <w:tc>
          <w:tcPr>
            <w:tcW w:w="781"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
        </w:tc>
        <w:tc>
          <w:tcPr>
            <w:tcW w:w="781" w:type="dxa"/>
            <w:tcBorders>
              <w:top w:val="single" w:sz="6" w:space="0" w:color="101010"/>
              <w:left w:val="single" w:sz="6" w:space="0" w:color="101010"/>
              <w:bottom w:val="single" w:sz="6" w:space="0" w:color="101010"/>
              <w:right w:val="single" w:sz="6" w:space="0" w:color="101010"/>
            </w:tcBorders>
          </w:tcPr>
          <w:p>
            <w:pPr/>
          </w:p>
        </w:tc>
        <w:tc>
          <w:tcPr>
            <w:tcW w:w="1162" w:type="dxa"/>
            <w:tcBorders>
              <w:top w:val="single" w:sz="6" w:space="0" w:color="101010"/>
              <w:left w:val="single" w:sz="6" w:space="0" w:color="101010"/>
              <w:bottom w:val="single" w:sz="6" w:space="0" w:color="101010"/>
              <w:right w:val="single" w:sz="6" w:space="0" w:color="101010"/>
            </w:tcBorders>
          </w:tcPr>
          <w:p>
            <w:pPr/>
          </w:p>
        </w:tc>
        <w:tc>
          <w:tcPr>
            <w:tcW w:w="780" w:type="dxa"/>
            <w:tcBorders>
              <w:top w:val="single" w:sz="6" w:space="0" w:color="101010"/>
              <w:left w:val="single" w:sz="6" w:space="0" w:color="101010"/>
              <w:bottom w:val="single" w:sz="6" w:space="0" w:color="101010"/>
              <w:right w:val="single" w:sz="6" w:space="0" w:color="101010"/>
            </w:tcBorders>
          </w:tcPr>
          <w:p>
            <w:pPr/>
          </w:p>
        </w:tc>
      </w:tr>
      <w:tr>
        <w:trPr>
          <w:trHeight w:val="1883" w:hRule="exact"/>
        </w:trPr>
        <w:tc>
          <w:tcPr>
            <w:tcW w:w="10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27"/>
                <w:sz w:val="18"/>
                <w:szCs w:val="18"/>
              </w:rPr>
              <w:t>单项金额</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7" w:lineRule="auto" w:before="1"/>
              <w:ind w:left="100" w:right="61"/>
              <w:jc w:val="both"/>
              <w:rPr>
                <w:rFonts w:ascii="宋体" w:hAnsi="宋体" w:cs="宋体" w:eastAsia="宋体" w:hint="default"/>
                <w:sz w:val="18"/>
                <w:szCs w:val="18"/>
              </w:rPr>
            </w:pPr>
            <w:r>
              <w:rPr>
                <w:rFonts w:ascii="宋体" w:hAnsi="宋体" w:cs="宋体" w:eastAsia="宋体" w:hint="default"/>
                <w:spacing w:val="27"/>
                <w:sz w:val="18"/>
                <w:szCs w:val="18"/>
              </w:rPr>
              <w:t>不重大但</w:t>
            </w:r>
            <w:r>
              <w:rPr>
                <w:rFonts w:ascii="宋体" w:hAnsi="宋体" w:cs="宋体" w:eastAsia="宋体" w:hint="default"/>
                <w:spacing w:val="-88"/>
                <w:sz w:val="18"/>
                <w:szCs w:val="18"/>
              </w:rPr>
              <w:t> </w:t>
            </w:r>
            <w:r>
              <w:rPr>
                <w:rFonts w:ascii="宋体" w:hAnsi="宋体" w:cs="宋体" w:eastAsia="宋体" w:hint="default"/>
                <w:spacing w:val="27"/>
                <w:sz w:val="18"/>
                <w:szCs w:val="18"/>
              </w:rPr>
              <w:t>按信用风</w:t>
            </w:r>
            <w:r>
              <w:rPr>
                <w:rFonts w:ascii="宋体" w:hAnsi="宋体" w:cs="宋体" w:eastAsia="宋体" w:hint="default"/>
                <w:spacing w:val="-88"/>
                <w:sz w:val="18"/>
                <w:szCs w:val="18"/>
              </w:rPr>
              <w:t> </w:t>
            </w:r>
            <w:r>
              <w:rPr>
                <w:rFonts w:ascii="宋体" w:hAnsi="宋体" w:cs="宋体" w:eastAsia="宋体" w:hint="default"/>
                <w:spacing w:val="27"/>
                <w:sz w:val="18"/>
                <w:szCs w:val="18"/>
              </w:rPr>
              <w:t>险特征组</w:t>
            </w:r>
            <w:r>
              <w:rPr>
                <w:rFonts w:ascii="宋体" w:hAnsi="宋体" w:cs="宋体" w:eastAsia="宋体" w:hint="default"/>
                <w:spacing w:val="-88"/>
                <w:sz w:val="18"/>
                <w:szCs w:val="18"/>
              </w:rPr>
              <w:t> </w:t>
            </w:r>
            <w:r>
              <w:rPr>
                <w:rFonts w:ascii="宋体" w:hAnsi="宋体" w:cs="宋体" w:eastAsia="宋体" w:hint="default"/>
                <w:spacing w:val="27"/>
                <w:sz w:val="18"/>
                <w:szCs w:val="18"/>
              </w:rPr>
              <w:t>合后该组</w:t>
            </w:r>
            <w:r>
              <w:rPr>
                <w:rFonts w:ascii="宋体" w:hAnsi="宋体" w:cs="宋体" w:eastAsia="宋体" w:hint="default"/>
                <w:spacing w:val="-88"/>
                <w:sz w:val="18"/>
                <w:szCs w:val="18"/>
              </w:rPr>
              <w:t> </w:t>
            </w:r>
            <w:r>
              <w:rPr>
                <w:rFonts w:ascii="宋体" w:hAnsi="宋体" w:cs="宋体" w:eastAsia="宋体" w:hint="default"/>
                <w:spacing w:val="27"/>
                <w:sz w:val="18"/>
                <w:szCs w:val="18"/>
              </w:rPr>
              <w:t>合的风险</w:t>
            </w:r>
            <w:r>
              <w:rPr>
                <w:rFonts w:ascii="宋体" w:hAnsi="宋体" w:cs="宋体" w:eastAsia="宋体" w:hint="default"/>
                <w:spacing w:val="-88"/>
                <w:sz w:val="18"/>
                <w:szCs w:val="18"/>
              </w:rPr>
              <w:t> </w:t>
            </w:r>
            <w:r>
              <w:rPr>
                <w:rFonts w:ascii="宋体" w:hAnsi="宋体" w:cs="宋体" w:eastAsia="宋体" w:hint="default"/>
                <w:spacing w:val="27"/>
                <w:sz w:val="18"/>
                <w:szCs w:val="18"/>
              </w:rPr>
              <w:t>较大的应</w:t>
            </w:r>
            <w:r>
              <w:rPr>
                <w:rFonts w:ascii="宋体" w:hAnsi="宋体" w:cs="宋体" w:eastAsia="宋体" w:hint="default"/>
                <w:spacing w:val="-88"/>
                <w:sz w:val="18"/>
                <w:szCs w:val="18"/>
              </w:rPr>
              <w:t> </w:t>
            </w:r>
            <w:r>
              <w:rPr>
                <w:rFonts w:ascii="宋体" w:hAnsi="宋体" w:cs="宋体" w:eastAsia="宋体" w:hint="default"/>
                <w:sz w:val="18"/>
                <w:szCs w:val="18"/>
              </w:rPr>
              <w:t>收账款</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1,893,407.00</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5.63</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1,893,407.00</w:t>
            </w:r>
          </w:p>
        </w:tc>
        <w:tc>
          <w:tcPr>
            <w:tcW w:w="7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100</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1,893,407.00</w:t>
            </w:r>
          </w:p>
        </w:tc>
        <w:tc>
          <w:tcPr>
            <w:tcW w:w="7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6.14</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1,893,407.00</w:t>
            </w:r>
          </w:p>
        </w:tc>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10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其他不重</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2" w:lineRule="exact" w:before="24"/>
              <w:ind w:left="100" w:right="61"/>
              <w:jc w:val="left"/>
              <w:rPr>
                <w:rFonts w:ascii="宋体" w:hAnsi="宋体" w:cs="宋体" w:eastAsia="宋体" w:hint="default"/>
                <w:sz w:val="18"/>
                <w:szCs w:val="18"/>
              </w:rPr>
            </w:pPr>
            <w:r>
              <w:rPr>
                <w:rFonts w:ascii="宋体" w:hAnsi="宋体" w:cs="宋体" w:eastAsia="宋体" w:hint="default"/>
                <w:spacing w:val="27"/>
                <w:sz w:val="18"/>
                <w:szCs w:val="18"/>
              </w:rPr>
              <w:t>大应收账</w:t>
            </w:r>
            <w:r>
              <w:rPr>
                <w:rFonts w:ascii="宋体" w:hAnsi="宋体" w:cs="宋体" w:eastAsia="宋体" w:hint="default"/>
                <w:spacing w:val="-88"/>
                <w:sz w:val="18"/>
                <w:szCs w:val="18"/>
              </w:rPr>
              <w:t> </w:t>
            </w:r>
            <w:r>
              <w:rPr>
                <w:rFonts w:ascii="宋体" w:hAnsi="宋体" w:cs="宋体" w:eastAsia="宋体" w:hint="default"/>
                <w:sz w:val="18"/>
                <w:szCs w:val="18"/>
              </w:rPr>
              <w:t>款</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31,719,787.54</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94.37</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1,732,333.01</w:t>
            </w:r>
          </w:p>
        </w:tc>
        <w:tc>
          <w:tcPr>
            <w:tcW w:w="781" w:type="dxa"/>
            <w:tcBorders>
              <w:top w:val="single" w:sz="6" w:space="0" w:color="101010"/>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28,961,669.05</w:t>
            </w:r>
          </w:p>
        </w:tc>
        <w:tc>
          <w:tcPr>
            <w:tcW w:w="7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93.86</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1,858,670.00</w:t>
            </w:r>
          </w:p>
        </w:tc>
        <w:tc>
          <w:tcPr>
            <w:tcW w:w="780" w:type="dxa"/>
            <w:tcBorders>
              <w:top w:val="single" w:sz="6" w:space="0" w:color="101010"/>
              <w:left w:val="single" w:sz="6" w:space="0" w:color="101010"/>
              <w:bottom w:val="single" w:sz="6" w:space="0" w:color="101010"/>
              <w:right w:val="single" w:sz="6" w:space="0" w:color="101010"/>
            </w:tcBorders>
          </w:tcPr>
          <w:p>
            <w:pPr/>
          </w:p>
        </w:tc>
      </w:tr>
      <w:tr>
        <w:trPr>
          <w:trHeight w:val="264" w:hRule="exact"/>
        </w:trPr>
        <w:tc>
          <w:tcPr>
            <w:tcW w:w="1048"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3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33,613,194.54</w:t>
            </w:r>
          </w:p>
        </w:tc>
        <w:tc>
          <w:tcPr>
            <w:tcW w:w="10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right="1"/>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3,625,740.01</w:t>
            </w:r>
          </w:p>
        </w:tc>
        <w:tc>
          <w:tcPr>
            <w:tcW w:w="7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left="1" w:right="0"/>
              <w:jc w:val="center"/>
              <w:rPr>
                <w:rFonts w:ascii="Times New Roman" w:hAnsi="Times New Roman" w:cs="Times New Roman" w:eastAsia="Times New Roman" w:hint="default"/>
                <w:sz w:val="18"/>
                <w:szCs w:val="18"/>
              </w:rPr>
            </w:pPr>
            <w:r>
              <w:rPr>
                <w:rFonts w:ascii="Times New Roman"/>
                <w:sz w:val="18"/>
              </w:rPr>
              <w:t>30,855,076.05</w:t>
            </w:r>
          </w:p>
        </w:tc>
        <w:tc>
          <w:tcPr>
            <w:tcW w:w="78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323"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3,752,077.00</w:t>
            </w:r>
          </w:p>
        </w:tc>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3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24" w:lineRule="auto" w:before="84"/>
        <w:ind w:left="503" w:right="1381"/>
        <w:jc w:val="left"/>
      </w:pPr>
      <w:r>
        <w:rPr>
          <w:rFonts w:ascii="Times New Roman" w:hAnsi="Times New Roman" w:cs="Times New Roman" w:eastAsia="Times New Roman" w:hint="default"/>
        </w:rPr>
        <w:t>(2) </w:t>
      </w:r>
      <w:r>
        <w:rPr/>
        <w:t>本报告期应收账款中无持有公司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以上表决权股份的股东单位的欠款。</w:t>
      </w:r>
      <w:r>
        <w:rPr>
          <w:w w:val="99"/>
        </w:rPr>
        <w:t> </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应收账款前五名欠款情况</w:t>
      </w:r>
    </w:p>
    <w:p>
      <w:pPr>
        <w:pStyle w:val="BodyText"/>
        <w:spacing w:line="240" w:lineRule="auto" w:before="74"/>
        <w:ind w:left="0" w:right="171"/>
        <w:jc w:val="right"/>
      </w:pPr>
      <w:r>
        <w:rPr/>
        <w:t>单位：元</w:t>
      </w:r>
      <w:r>
        <w:rPr>
          <w:spacing w:val="-2"/>
        </w:rPr>
        <w:t> </w:t>
      </w:r>
      <w:r>
        <w:rPr/>
        <w:t>币种：人民币</w:t>
      </w:r>
    </w:p>
    <w:p>
      <w:pPr>
        <w:spacing w:line="240" w:lineRule="auto" w:before="8"/>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698"/>
        <w:gridCol w:w="1860"/>
        <w:gridCol w:w="1952"/>
        <w:gridCol w:w="1488"/>
        <w:gridCol w:w="1302"/>
      </w:tblGrid>
      <w:tr>
        <w:trPr>
          <w:trHeight w:val="559"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549"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8"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8"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欠款金额前五名</w:t>
            </w:r>
          </w:p>
        </w:tc>
        <w:tc>
          <w:tcPr>
            <w:tcW w:w="1860" w:type="dxa"/>
            <w:tcBorders>
              <w:top w:val="single" w:sz="6" w:space="0" w:color="101010"/>
              <w:left w:val="single" w:sz="6" w:space="0" w:color="101010"/>
              <w:bottom w:val="single" w:sz="6" w:space="0" w:color="101010"/>
              <w:right w:val="single" w:sz="6" w:space="0" w:color="101010"/>
            </w:tcBorders>
          </w:tcPr>
          <w:p>
            <w:pPr/>
          </w:p>
        </w:tc>
        <w:tc>
          <w:tcPr>
            <w:tcW w:w="19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631" w:right="0"/>
              <w:jc w:val="left"/>
              <w:rPr>
                <w:rFonts w:ascii="Times New Roman" w:hAnsi="Times New Roman" w:cs="Times New Roman" w:eastAsia="Times New Roman" w:hint="default"/>
                <w:sz w:val="21"/>
                <w:szCs w:val="21"/>
              </w:rPr>
            </w:pPr>
            <w:r>
              <w:rPr>
                <w:rFonts w:ascii="Times New Roman"/>
                <w:sz w:val="21"/>
              </w:rPr>
              <w:t>10,268,154.66</w:t>
            </w:r>
          </w:p>
        </w:tc>
        <w:tc>
          <w:tcPr>
            <w:tcW w:w="1488"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538" w:right="0"/>
              <w:jc w:val="left"/>
              <w:rPr>
                <w:rFonts w:ascii="Times New Roman" w:hAnsi="Times New Roman" w:cs="Times New Roman" w:eastAsia="Times New Roman" w:hint="default"/>
                <w:sz w:val="21"/>
                <w:szCs w:val="21"/>
              </w:rPr>
            </w:pPr>
            <w:r>
              <w:rPr>
                <w:rFonts w:ascii="Times New Roman"/>
                <w:sz w:val="21"/>
              </w:rPr>
              <w:t>30.55%</w:t>
            </w:r>
          </w:p>
        </w:tc>
      </w:tr>
      <w:tr>
        <w:trPr>
          <w:trHeight w:val="288" w:hRule="exact"/>
        </w:trPr>
        <w:tc>
          <w:tcPr>
            <w:tcW w:w="26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52" w:type="dxa"/>
            <w:tcBorders>
              <w:top w:val="single" w:sz="6" w:space="0" w:color="101010"/>
              <w:left w:val="single" w:sz="6" w:space="0" w:color="101010"/>
              <w:bottom w:val="single" w:sz="6" w:space="0" w:color="101010"/>
              <w:right w:val="single" w:sz="6" w:space="0" w:color="101010"/>
            </w:tcBorders>
          </w:tcPr>
          <w:p>
            <w:pPr/>
          </w:p>
        </w:tc>
        <w:tc>
          <w:tcPr>
            <w:tcW w:w="14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02"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40" w:lineRule="auto" w:before="84"/>
        <w:ind w:left="504" w:right="2197"/>
        <w:jc w:val="left"/>
      </w:pPr>
      <w:r>
        <w:rPr>
          <w:rFonts w:ascii="Times New Roman" w:hAnsi="Times New Roman" w:cs="Times New Roman" w:eastAsia="Times New Roman" w:hint="default"/>
        </w:rPr>
        <w:t>2</w:t>
      </w:r>
      <w:r>
        <w:rPr/>
        <w:t>、其他应收款</w:t>
      </w:r>
    </w:p>
    <w:p>
      <w:pPr>
        <w:pStyle w:val="BodyText"/>
        <w:spacing w:line="240" w:lineRule="auto" w:before="100"/>
        <w:ind w:left="503" w:right="219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其他应收账款按种类披露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3"/>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048"/>
        <w:gridCol w:w="1250"/>
        <w:gridCol w:w="834"/>
        <w:gridCol w:w="1162"/>
        <w:gridCol w:w="835"/>
        <w:gridCol w:w="1250"/>
        <w:gridCol w:w="835"/>
        <w:gridCol w:w="1252"/>
        <w:gridCol w:w="834"/>
      </w:tblGrid>
      <w:tr>
        <w:trPr>
          <w:trHeight w:val="406" w:hRule="exact"/>
        </w:trPr>
        <w:tc>
          <w:tcPr>
            <w:tcW w:w="104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081"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71"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1048" w:type="dxa"/>
            <w:vMerge/>
            <w:tcBorders>
              <w:left w:val="single" w:sz="6" w:space="0" w:color="101010"/>
              <w:right w:val="single" w:sz="6" w:space="0" w:color="101010"/>
            </w:tcBorders>
          </w:tcPr>
          <w:p>
            <w:pPr/>
          </w:p>
        </w:tc>
        <w:tc>
          <w:tcPr>
            <w:tcW w:w="208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1048" w:type="dxa"/>
            <w:vMerge/>
            <w:tcBorders>
              <w:left w:val="single" w:sz="6" w:space="0" w:color="101010"/>
              <w:bottom w:val="single" w:sz="6" w:space="0" w:color="101010"/>
              <w:right w:val="single" w:sz="6" w:space="0" w:color="101010"/>
            </w:tcBorders>
          </w:tcPr>
          <w:p>
            <w:pP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2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0" w:hRule="exact"/>
        </w:trPr>
        <w:tc>
          <w:tcPr>
            <w:tcW w:w="1048"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单项金额</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tcBorders>
              <w:top w:val="single" w:sz="6" w:space="0" w:color="101010"/>
              <w:left w:val="single" w:sz="6" w:space="0" w:color="101010"/>
              <w:bottom w:val="nil" w:sz="6" w:space="0" w:color="auto"/>
              <w:right w:val="single" w:sz="6" w:space="0" w:color="101010"/>
            </w:tcBorders>
          </w:tcPr>
          <w:p>
            <w:pPr/>
          </w:p>
        </w:tc>
        <w:tc>
          <w:tcPr>
            <w:tcW w:w="834" w:type="dxa"/>
            <w:tcBorders>
              <w:top w:val="single" w:sz="6" w:space="0" w:color="101010"/>
              <w:left w:val="single" w:sz="6" w:space="0" w:color="101010"/>
              <w:bottom w:val="nil" w:sz="6" w:space="0" w:color="auto"/>
              <w:right w:val="single" w:sz="6" w:space="0" w:color="101010"/>
            </w:tcBorders>
          </w:tcPr>
          <w:p>
            <w:pPr/>
          </w:p>
        </w:tc>
        <w:tc>
          <w:tcPr>
            <w:tcW w:w="1162" w:type="dxa"/>
            <w:tcBorders>
              <w:top w:val="single" w:sz="6" w:space="0" w:color="101010"/>
              <w:left w:val="single" w:sz="6" w:space="0" w:color="101010"/>
              <w:bottom w:val="nil" w:sz="6" w:space="0" w:color="auto"/>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835" w:type="dxa"/>
            <w:tcBorders>
              <w:top w:val="single" w:sz="6" w:space="0" w:color="101010"/>
              <w:left w:val="single" w:sz="6" w:space="0" w:color="101010"/>
              <w:bottom w:val="nil" w:sz="6" w:space="0" w:color="auto"/>
              <w:right w:val="single" w:sz="6" w:space="0" w:color="101010"/>
            </w:tcBorders>
          </w:tcPr>
          <w:p>
            <w:pPr/>
          </w:p>
        </w:tc>
        <w:tc>
          <w:tcPr>
            <w:tcW w:w="1252" w:type="dxa"/>
            <w:tcBorders>
              <w:top w:val="single" w:sz="6" w:space="0" w:color="101010"/>
              <w:left w:val="single" w:sz="6" w:space="0" w:color="101010"/>
              <w:bottom w:val="nil" w:sz="6" w:space="0" w:color="auto"/>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r>
      <w:tr>
        <w:trPr>
          <w:trHeight w:val="467"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重大的其</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他应收款</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50,000,000.00</w:t>
            </w:r>
          </w:p>
        </w:tc>
        <w:tc>
          <w:tcPr>
            <w:tcW w:w="834" w:type="dxa"/>
            <w:tcBorders>
              <w:top w:val="nil" w:sz="6" w:space="0" w:color="auto"/>
              <w:left w:val="single" w:sz="6" w:space="0" w:color="101010"/>
              <w:bottom w:val="nil" w:sz="6" w:space="0" w:color="auto"/>
              <w:right w:val="single" w:sz="6" w:space="0" w:color="101010"/>
            </w:tcBorders>
          </w:tcPr>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91.31</w:t>
            </w:r>
          </w:p>
        </w:tc>
        <w:tc>
          <w:tcPr>
            <w:tcW w:w="1162" w:type="dxa"/>
            <w:tcBorders>
              <w:top w:val="nil" w:sz="6" w:space="0" w:color="auto"/>
              <w:left w:val="single" w:sz="6" w:space="0" w:color="101010"/>
              <w:bottom w:val="nil" w:sz="6" w:space="0" w:color="auto"/>
              <w:right w:val="single" w:sz="6" w:space="0" w:color="10101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5,000,000.00</w:t>
            </w:r>
          </w:p>
        </w:tc>
        <w:tc>
          <w:tcPr>
            <w:tcW w:w="835"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50,000,000.00</w:t>
            </w:r>
          </w:p>
        </w:tc>
        <w:tc>
          <w:tcPr>
            <w:tcW w:w="835" w:type="dxa"/>
            <w:tcBorders>
              <w:top w:val="nil" w:sz="6" w:space="0" w:color="auto"/>
              <w:left w:val="single" w:sz="6" w:space="0" w:color="101010"/>
              <w:bottom w:val="nil" w:sz="6" w:space="0" w:color="auto"/>
              <w:right w:val="single" w:sz="6" w:space="0" w:color="101010"/>
            </w:tcBorders>
          </w:tcPr>
          <w:p>
            <w:pPr>
              <w:pStyle w:val="TableParagraph"/>
              <w:spacing w:line="240" w:lineRule="auto" w:before="105"/>
              <w:ind w:left="314" w:right="0"/>
              <w:jc w:val="left"/>
              <w:rPr>
                <w:rFonts w:ascii="Times New Roman" w:hAnsi="Times New Roman" w:cs="Times New Roman" w:eastAsia="Times New Roman" w:hint="default"/>
                <w:sz w:val="18"/>
                <w:szCs w:val="18"/>
              </w:rPr>
            </w:pPr>
            <w:r>
              <w:rPr>
                <w:rFonts w:ascii="Times New Roman"/>
                <w:sz w:val="18"/>
              </w:rPr>
              <w:t>91.43</w:t>
            </w:r>
          </w:p>
        </w:tc>
        <w:tc>
          <w:tcPr>
            <w:tcW w:w="1252" w:type="dxa"/>
            <w:tcBorders>
              <w:top w:val="nil" w:sz="6" w:space="0" w:color="auto"/>
              <w:left w:val="single" w:sz="6" w:space="0" w:color="101010"/>
              <w:bottom w:val="nil" w:sz="6" w:space="0" w:color="auto"/>
              <w:right w:val="single" w:sz="6" w:space="0" w:color="10101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17,000,000.00</w:t>
            </w:r>
          </w:p>
        </w:tc>
        <w:tc>
          <w:tcPr>
            <w:tcW w:w="834" w:type="dxa"/>
            <w:vMerge/>
            <w:tcBorders>
              <w:left w:val="single" w:sz="6" w:space="0" w:color="101010"/>
              <w:right w:val="single" w:sz="6" w:space="0" w:color="101010"/>
            </w:tcBorders>
          </w:tcPr>
          <w:p>
            <w:pPr/>
          </w:p>
        </w:tc>
      </w:tr>
      <w:tr>
        <w:trPr>
          <w:trHeight w:val="241" w:hRule="exact"/>
        </w:trPr>
        <w:tc>
          <w:tcPr>
            <w:tcW w:w="1048"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250" w:type="dxa"/>
            <w:tcBorders>
              <w:top w:val="nil" w:sz="6" w:space="0" w:color="auto"/>
              <w:left w:val="single" w:sz="6" w:space="0" w:color="101010"/>
              <w:bottom w:val="single" w:sz="6" w:space="0" w:color="101010"/>
              <w:right w:val="single" w:sz="6" w:space="0" w:color="101010"/>
            </w:tcBorders>
          </w:tcPr>
          <w:p>
            <w:pPr/>
          </w:p>
        </w:tc>
        <w:tc>
          <w:tcPr>
            <w:tcW w:w="834" w:type="dxa"/>
            <w:tcBorders>
              <w:top w:val="nil" w:sz="6" w:space="0" w:color="auto"/>
              <w:left w:val="single" w:sz="6" w:space="0" w:color="101010"/>
              <w:bottom w:val="single" w:sz="6" w:space="0" w:color="101010"/>
              <w:right w:val="single" w:sz="6" w:space="0" w:color="101010"/>
            </w:tcBorders>
          </w:tcPr>
          <w:p>
            <w:pPr/>
          </w:p>
        </w:tc>
        <w:tc>
          <w:tcPr>
            <w:tcW w:w="1162" w:type="dxa"/>
            <w:tcBorders>
              <w:top w:val="nil" w:sz="6" w:space="0" w:color="auto"/>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835" w:type="dxa"/>
            <w:tcBorders>
              <w:top w:val="nil" w:sz="6" w:space="0" w:color="auto"/>
              <w:left w:val="single" w:sz="6" w:space="0" w:color="101010"/>
              <w:bottom w:val="single" w:sz="6" w:space="0" w:color="101010"/>
              <w:right w:val="single" w:sz="6" w:space="0" w:color="101010"/>
            </w:tcBorders>
          </w:tcPr>
          <w:p>
            <w:pPr/>
          </w:p>
        </w:tc>
        <w:tc>
          <w:tcPr>
            <w:tcW w:w="1252" w:type="dxa"/>
            <w:tcBorders>
              <w:top w:val="nil" w:sz="6" w:space="0" w:color="auto"/>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r>
      <w:tr>
        <w:trPr>
          <w:trHeight w:val="241" w:hRule="exact"/>
        </w:trPr>
        <w:tc>
          <w:tcPr>
            <w:tcW w:w="1048"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单项金额</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val="restart"/>
            <w:tcBorders>
              <w:top w:val="single" w:sz="6" w:space="0" w:color="101010"/>
              <w:left w:val="single" w:sz="6" w:space="0" w:color="101010"/>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c>
          <w:tcPr>
            <w:tcW w:w="1162" w:type="dxa"/>
            <w:vMerge w:val="restart"/>
            <w:tcBorders>
              <w:top w:val="single" w:sz="6" w:space="0" w:color="101010"/>
              <w:left w:val="single" w:sz="6" w:space="0" w:color="101010"/>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2" w:type="dxa"/>
            <w:vMerge w:val="restart"/>
            <w:tcBorders>
              <w:top w:val="single" w:sz="6" w:space="0" w:color="101010"/>
              <w:left w:val="single" w:sz="6" w:space="0" w:color="101010"/>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不重大但</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42" w:hRule="exact"/>
        </w:trPr>
        <w:tc>
          <w:tcPr>
            <w:tcW w:w="1048"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按信用风</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c>
          <w:tcPr>
            <w:tcW w:w="1162" w:type="dxa"/>
            <w:vMerge/>
            <w:tcBorders>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2" w:type="dxa"/>
            <w:vMerge/>
            <w:tcBorders>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r>
    </w:tbl>
    <w:p>
      <w:pPr>
        <w:spacing w:after="0"/>
        <w:sectPr>
          <w:type w:val="continuous"/>
          <w:pgSz w:w="12240" w:h="15840"/>
          <w:pgMar w:top="660" w:bottom="280" w:left="1380" w:right="130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1048"/>
        <w:gridCol w:w="1250"/>
        <w:gridCol w:w="834"/>
        <w:gridCol w:w="1162"/>
        <w:gridCol w:w="835"/>
        <w:gridCol w:w="1250"/>
        <w:gridCol w:w="835"/>
        <w:gridCol w:w="1252"/>
        <w:gridCol w:w="834"/>
      </w:tblGrid>
      <w:tr>
        <w:trPr>
          <w:trHeight w:val="241" w:hRule="exact"/>
        </w:trPr>
        <w:tc>
          <w:tcPr>
            <w:tcW w:w="1048"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险</w:t>
            </w:r>
          </w:p>
        </w:tc>
        <w:tc>
          <w:tcPr>
            <w:tcW w:w="1250" w:type="dxa"/>
            <w:vMerge w:val="restart"/>
            <w:tcBorders>
              <w:top w:val="single" w:sz="6" w:space="0" w:color="101010"/>
              <w:left w:val="single" w:sz="6" w:space="0" w:color="101010"/>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c>
          <w:tcPr>
            <w:tcW w:w="1162" w:type="dxa"/>
            <w:vMerge w:val="restart"/>
            <w:tcBorders>
              <w:top w:val="single" w:sz="6" w:space="0" w:color="101010"/>
              <w:left w:val="single" w:sz="6" w:space="0" w:color="101010"/>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0" w:type="dxa"/>
            <w:vMerge w:val="restart"/>
            <w:tcBorders>
              <w:top w:val="single" w:sz="6" w:space="0" w:color="101010"/>
              <w:left w:val="single" w:sz="6" w:space="0" w:color="101010"/>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2" w:type="dxa"/>
            <w:vMerge w:val="restart"/>
            <w:tcBorders>
              <w:top w:val="single" w:sz="6" w:space="0" w:color="101010"/>
              <w:left w:val="single" w:sz="6" w:space="0" w:color="101010"/>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特征组合</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后该组合</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的风险较</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w:t>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33"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的其他应</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c>
          <w:tcPr>
            <w:tcW w:w="1162"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0" w:type="dxa"/>
            <w:vMerge/>
            <w:tcBorders>
              <w:left w:val="single" w:sz="6" w:space="0" w:color="101010"/>
              <w:right w:val="single" w:sz="6" w:space="0" w:color="101010"/>
            </w:tcBorders>
          </w:tcPr>
          <w:p>
            <w:pPr/>
          </w:p>
        </w:tc>
        <w:tc>
          <w:tcPr>
            <w:tcW w:w="835" w:type="dxa"/>
            <w:vMerge/>
            <w:tcBorders>
              <w:left w:val="single" w:sz="6" w:space="0" w:color="101010"/>
              <w:right w:val="single" w:sz="6" w:space="0" w:color="101010"/>
            </w:tcBorders>
          </w:tcPr>
          <w:p>
            <w:pPr/>
          </w:p>
        </w:tc>
        <w:tc>
          <w:tcPr>
            <w:tcW w:w="1252" w:type="dxa"/>
            <w:vMerge/>
            <w:tcBorders>
              <w:left w:val="single" w:sz="6" w:space="0" w:color="101010"/>
              <w:right w:val="single" w:sz="6" w:space="0" w:color="101010"/>
            </w:tcBorders>
          </w:tcPr>
          <w:p>
            <w:pPr/>
          </w:p>
        </w:tc>
        <w:tc>
          <w:tcPr>
            <w:tcW w:w="834" w:type="dxa"/>
            <w:vMerge/>
            <w:tcBorders>
              <w:left w:val="single" w:sz="6" w:space="0" w:color="101010"/>
              <w:right w:val="single" w:sz="6" w:space="0" w:color="101010"/>
            </w:tcBorders>
          </w:tcPr>
          <w:p>
            <w:pPr/>
          </w:p>
        </w:tc>
      </w:tr>
      <w:tr>
        <w:trPr>
          <w:trHeight w:val="241" w:hRule="exact"/>
        </w:trPr>
        <w:tc>
          <w:tcPr>
            <w:tcW w:w="1048"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收款项</w:t>
            </w:r>
          </w:p>
        </w:tc>
        <w:tc>
          <w:tcPr>
            <w:tcW w:w="1250" w:type="dxa"/>
            <w:vMerge/>
            <w:tcBorders>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c>
          <w:tcPr>
            <w:tcW w:w="1162" w:type="dxa"/>
            <w:vMerge/>
            <w:tcBorders>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0" w:type="dxa"/>
            <w:vMerge/>
            <w:tcBorders>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2" w:type="dxa"/>
            <w:vMerge/>
            <w:tcBorders>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r>
      <w:tr>
        <w:trPr>
          <w:trHeight w:val="233" w:hRule="exact"/>
        </w:trPr>
        <w:tc>
          <w:tcPr>
            <w:tcW w:w="1048"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其他不重</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tcBorders>
              <w:top w:val="single" w:sz="6" w:space="0" w:color="101010"/>
              <w:left w:val="single" w:sz="6" w:space="0" w:color="101010"/>
              <w:bottom w:val="nil" w:sz="6" w:space="0" w:color="auto"/>
              <w:right w:val="single" w:sz="6" w:space="0" w:color="101010"/>
            </w:tcBorders>
          </w:tcPr>
          <w:p>
            <w:pPr/>
          </w:p>
        </w:tc>
        <w:tc>
          <w:tcPr>
            <w:tcW w:w="834" w:type="dxa"/>
            <w:tcBorders>
              <w:top w:val="single" w:sz="6" w:space="0" w:color="101010"/>
              <w:left w:val="single" w:sz="6" w:space="0" w:color="101010"/>
              <w:bottom w:val="nil" w:sz="6" w:space="0" w:color="auto"/>
              <w:right w:val="single" w:sz="6" w:space="0" w:color="101010"/>
            </w:tcBorders>
          </w:tcPr>
          <w:p>
            <w:pPr/>
          </w:p>
        </w:tc>
        <w:tc>
          <w:tcPr>
            <w:tcW w:w="1162" w:type="dxa"/>
            <w:tcBorders>
              <w:top w:val="single" w:sz="6" w:space="0" w:color="101010"/>
              <w:left w:val="single" w:sz="6" w:space="0" w:color="101010"/>
              <w:bottom w:val="nil" w:sz="6" w:space="0" w:color="auto"/>
              <w:right w:val="single" w:sz="6" w:space="0" w:color="101010"/>
            </w:tcBorders>
          </w:tcPr>
          <w:p>
            <w:pPr/>
          </w:p>
        </w:tc>
        <w:tc>
          <w:tcPr>
            <w:tcW w:w="835" w:type="dxa"/>
            <w:vMerge w:val="restart"/>
            <w:tcBorders>
              <w:top w:val="single" w:sz="6" w:space="0" w:color="101010"/>
              <w:left w:val="single" w:sz="6" w:space="0" w:color="101010"/>
              <w:right w:val="single" w:sz="6" w:space="0" w:color="101010"/>
            </w:tcBorders>
          </w:tcPr>
          <w:p>
            <w:pPr/>
          </w:p>
        </w:tc>
        <w:tc>
          <w:tcPr>
            <w:tcW w:w="1250" w:type="dxa"/>
            <w:tcBorders>
              <w:top w:val="single" w:sz="6" w:space="0" w:color="101010"/>
              <w:left w:val="single" w:sz="6" w:space="0" w:color="101010"/>
              <w:bottom w:val="nil" w:sz="6" w:space="0" w:color="auto"/>
              <w:right w:val="single" w:sz="6" w:space="0" w:color="101010"/>
            </w:tcBorders>
          </w:tcPr>
          <w:p>
            <w:pPr/>
          </w:p>
        </w:tc>
        <w:tc>
          <w:tcPr>
            <w:tcW w:w="835" w:type="dxa"/>
            <w:tcBorders>
              <w:top w:val="single" w:sz="6" w:space="0" w:color="101010"/>
              <w:left w:val="single" w:sz="6" w:space="0" w:color="101010"/>
              <w:bottom w:val="nil" w:sz="6" w:space="0" w:color="auto"/>
              <w:right w:val="single" w:sz="6" w:space="0" w:color="101010"/>
            </w:tcBorders>
          </w:tcPr>
          <w:p>
            <w:pPr/>
          </w:p>
        </w:tc>
        <w:tc>
          <w:tcPr>
            <w:tcW w:w="1252" w:type="dxa"/>
            <w:tcBorders>
              <w:top w:val="single" w:sz="6" w:space="0" w:color="101010"/>
              <w:left w:val="single" w:sz="6" w:space="0" w:color="101010"/>
              <w:bottom w:val="nil" w:sz="6" w:space="0" w:color="auto"/>
              <w:right w:val="single" w:sz="6" w:space="0" w:color="101010"/>
            </w:tcBorders>
          </w:tcPr>
          <w:p>
            <w:pPr/>
          </w:p>
        </w:tc>
        <w:tc>
          <w:tcPr>
            <w:tcW w:w="834" w:type="dxa"/>
            <w:vMerge w:val="restart"/>
            <w:tcBorders>
              <w:top w:val="single" w:sz="6" w:space="0" w:color="101010"/>
              <w:left w:val="single" w:sz="6" w:space="0" w:color="101010"/>
              <w:right w:val="single" w:sz="6" w:space="0" w:color="101010"/>
            </w:tcBorders>
          </w:tcPr>
          <w:p>
            <w:pPr/>
          </w:p>
        </w:tc>
      </w:tr>
      <w:tr>
        <w:trPr>
          <w:trHeight w:val="241" w:hRule="exact"/>
        </w:trPr>
        <w:tc>
          <w:tcPr>
            <w:tcW w:w="1048" w:type="dxa"/>
            <w:tcBorders>
              <w:top w:val="nil" w:sz="6" w:space="0" w:color="auto"/>
              <w:left w:val="single" w:sz="6" w:space="0" w:color="101010"/>
              <w:bottom w:val="nil" w:sz="6" w:space="0" w:color="auto"/>
              <w:right w:val="single" w:sz="6" w:space="0" w:color="101010"/>
            </w:tcBorders>
          </w:tcPr>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大其他应</w:t>
            </w:r>
            <w:r>
              <w:rPr>
                <w:rFonts w:ascii="宋体" w:hAnsi="宋体" w:cs="宋体" w:eastAsia="宋体" w:hint="default"/>
                <w:spacing w:val="-53"/>
                <w:sz w:val="18"/>
                <w:szCs w:val="18"/>
              </w:rPr>
              <w:t> </w:t>
            </w:r>
            <w:r>
              <w:rPr>
                <w:rFonts w:ascii="宋体" w:hAnsi="宋体" w:cs="宋体" w:eastAsia="宋体" w:hint="default"/>
                <w:sz w:val="18"/>
                <w:szCs w:val="18"/>
              </w:rPr>
            </w: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4,755,824.06</w:t>
            </w:r>
          </w:p>
        </w:tc>
        <w:tc>
          <w:tcPr>
            <w:tcW w:w="834" w:type="dxa"/>
            <w:tcBorders>
              <w:top w:val="nil" w:sz="6" w:space="0" w:color="auto"/>
              <w:left w:val="single" w:sz="6" w:space="0" w:color="101010"/>
              <w:bottom w:val="nil" w:sz="6" w:space="0" w:color="auto"/>
              <w:right w:val="single" w:sz="6" w:space="0" w:color="101010"/>
            </w:tcBorders>
          </w:tcPr>
          <w:p>
            <w:pPr>
              <w:pStyle w:val="TableParagraph"/>
              <w:spacing w:line="203" w:lineRule="exact"/>
              <w:ind w:left="403" w:right="0"/>
              <w:jc w:val="left"/>
              <w:rPr>
                <w:rFonts w:ascii="Times New Roman" w:hAnsi="Times New Roman" w:cs="Times New Roman" w:eastAsia="Times New Roman" w:hint="default"/>
                <w:sz w:val="18"/>
                <w:szCs w:val="18"/>
              </w:rPr>
            </w:pPr>
            <w:r>
              <w:rPr>
                <w:rFonts w:ascii="Times New Roman"/>
                <w:sz w:val="18"/>
              </w:rPr>
              <w:t>8.69</w:t>
            </w:r>
          </w:p>
        </w:tc>
        <w:tc>
          <w:tcPr>
            <w:tcW w:w="1162" w:type="dxa"/>
            <w:tcBorders>
              <w:top w:val="nil" w:sz="6" w:space="0" w:color="auto"/>
              <w:left w:val="single" w:sz="6" w:space="0" w:color="101010"/>
              <w:bottom w:val="nil" w:sz="6" w:space="0" w:color="auto"/>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414,977.58</w:t>
            </w:r>
          </w:p>
        </w:tc>
        <w:tc>
          <w:tcPr>
            <w:tcW w:w="835" w:type="dxa"/>
            <w:vMerge/>
            <w:tcBorders>
              <w:left w:val="single" w:sz="6" w:space="0" w:color="101010"/>
              <w:right w:val="single" w:sz="6" w:space="0" w:color="101010"/>
            </w:tcBorders>
          </w:tcPr>
          <w:p>
            <w:pPr/>
          </w:p>
        </w:tc>
        <w:tc>
          <w:tcPr>
            <w:tcW w:w="1250" w:type="dxa"/>
            <w:tcBorders>
              <w:top w:val="nil" w:sz="6" w:space="0" w:color="auto"/>
              <w:left w:val="single" w:sz="6" w:space="0" w:color="101010"/>
              <w:bottom w:val="nil" w:sz="6" w:space="0" w:color="auto"/>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4,685,494.94</w:t>
            </w:r>
          </w:p>
        </w:tc>
        <w:tc>
          <w:tcPr>
            <w:tcW w:w="835" w:type="dxa"/>
            <w:tcBorders>
              <w:top w:val="nil" w:sz="6" w:space="0" w:color="auto"/>
              <w:left w:val="single" w:sz="6" w:space="0" w:color="101010"/>
              <w:bottom w:val="nil" w:sz="6" w:space="0" w:color="auto"/>
              <w:right w:val="single" w:sz="6" w:space="0" w:color="101010"/>
            </w:tcBorders>
          </w:tcPr>
          <w:p>
            <w:pPr>
              <w:pStyle w:val="TableParagraph"/>
              <w:spacing w:line="203" w:lineRule="exact"/>
              <w:ind w:left="404" w:right="0"/>
              <w:jc w:val="left"/>
              <w:rPr>
                <w:rFonts w:ascii="Times New Roman" w:hAnsi="Times New Roman" w:cs="Times New Roman" w:eastAsia="Times New Roman" w:hint="default"/>
                <w:sz w:val="18"/>
                <w:szCs w:val="18"/>
              </w:rPr>
            </w:pPr>
            <w:r>
              <w:rPr>
                <w:rFonts w:ascii="Times New Roman"/>
                <w:sz w:val="18"/>
              </w:rPr>
              <w:t>8.57</w:t>
            </w:r>
          </w:p>
        </w:tc>
        <w:tc>
          <w:tcPr>
            <w:tcW w:w="1252" w:type="dxa"/>
            <w:tcBorders>
              <w:top w:val="nil" w:sz="6" w:space="0" w:color="auto"/>
              <w:left w:val="single" w:sz="6" w:space="0" w:color="101010"/>
              <w:bottom w:val="nil" w:sz="6" w:space="0" w:color="auto"/>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297,404.56</w:t>
            </w:r>
          </w:p>
        </w:tc>
        <w:tc>
          <w:tcPr>
            <w:tcW w:w="834" w:type="dxa"/>
            <w:vMerge/>
            <w:tcBorders>
              <w:left w:val="single" w:sz="6" w:space="0" w:color="101010"/>
              <w:right w:val="single" w:sz="6" w:space="0" w:color="101010"/>
            </w:tcBorders>
          </w:tcPr>
          <w:p>
            <w:pPr/>
          </w:p>
        </w:tc>
      </w:tr>
      <w:tr>
        <w:trPr>
          <w:trHeight w:val="241" w:hRule="exact"/>
        </w:trPr>
        <w:tc>
          <w:tcPr>
            <w:tcW w:w="1048"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收款项</w:t>
            </w:r>
          </w:p>
        </w:tc>
        <w:tc>
          <w:tcPr>
            <w:tcW w:w="1250" w:type="dxa"/>
            <w:tcBorders>
              <w:top w:val="nil" w:sz="6" w:space="0" w:color="auto"/>
              <w:left w:val="single" w:sz="6" w:space="0" w:color="101010"/>
              <w:bottom w:val="single" w:sz="6" w:space="0" w:color="101010"/>
              <w:right w:val="single" w:sz="6" w:space="0" w:color="101010"/>
            </w:tcBorders>
          </w:tcPr>
          <w:p>
            <w:pPr/>
          </w:p>
        </w:tc>
        <w:tc>
          <w:tcPr>
            <w:tcW w:w="834" w:type="dxa"/>
            <w:tcBorders>
              <w:top w:val="nil" w:sz="6" w:space="0" w:color="auto"/>
              <w:left w:val="single" w:sz="6" w:space="0" w:color="101010"/>
              <w:bottom w:val="single" w:sz="6" w:space="0" w:color="101010"/>
              <w:right w:val="single" w:sz="6" w:space="0" w:color="101010"/>
            </w:tcBorders>
          </w:tcPr>
          <w:p>
            <w:pPr/>
          </w:p>
        </w:tc>
        <w:tc>
          <w:tcPr>
            <w:tcW w:w="1162" w:type="dxa"/>
            <w:tcBorders>
              <w:top w:val="nil" w:sz="6" w:space="0" w:color="auto"/>
              <w:left w:val="single" w:sz="6" w:space="0" w:color="101010"/>
              <w:bottom w:val="single" w:sz="6" w:space="0" w:color="101010"/>
              <w:right w:val="single" w:sz="6" w:space="0" w:color="101010"/>
            </w:tcBorders>
          </w:tcPr>
          <w:p>
            <w:pPr/>
          </w:p>
        </w:tc>
        <w:tc>
          <w:tcPr>
            <w:tcW w:w="835" w:type="dxa"/>
            <w:vMerge/>
            <w:tcBorders>
              <w:left w:val="single" w:sz="6" w:space="0" w:color="101010"/>
              <w:bottom w:val="single" w:sz="6" w:space="0" w:color="101010"/>
              <w:right w:val="single" w:sz="6" w:space="0" w:color="101010"/>
            </w:tcBorders>
          </w:tcPr>
          <w:p>
            <w:pPr/>
          </w:p>
        </w:tc>
        <w:tc>
          <w:tcPr>
            <w:tcW w:w="1250" w:type="dxa"/>
            <w:tcBorders>
              <w:top w:val="nil" w:sz="6" w:space="0" w:color="auto"/>
              <w:left w:val="single" w:sz="6" w:space="0" w:color="101010"/>
              <w:bottom w:val="single" w:sz="6" w:space="0" w:color="101010"/>
              <w:right w:val="single" w:sz="6" w:space="0" w:color="101010"/>
            </w:tcBorders>
          </w:tcPr>
          <w:p>
            <w:pPr/>
          </w:p>
        </w:tc>
        <w:tc>
          <w:tcPr>
            <w:tcW w:w="835" w:type="dxa"/>
            <w:tcBorders>
              <w:top w:val="nil" w:sz="6" w:space="0" w:color="auto"/>
              <w:left w:val="single" w:sz="6" w:space="0" w:color="101010"/>
              <w:bottom w:val="single" w:sz="6" w:space="0" w:color="101010"/>
              <w:right w:val="single" w:sz="6" w:space="0" w:color="101010"/>
            </w:tcBorders>
          </w:tcPr>
          <w:p>
            <w:pPr/>
          </w:p>
        </w:tc>
        <w:tc>
          <w:tcPr>
            <w:tcW w:w="1252" w:type="dxa"/>
            <w:tcBorders>
              <w:top w:val="nil" w:sz="6" w:space="0" w:color="auto"/>
              <w:left w:val="single" w:sz="6" w:space="0" w:color="101010"/>
              <w:bottom w:val="single" w:sz="6" w:space="0" w:color="101010"/>
              <w:right w:val="single" w:sz="6" w:space="0" w:color="101010"/>
            </w:tcBorders>
          </w:tcPr>
          <w:p>
            <w:pPr/>
          </w:p>
        </w:tc>
        <w:tc>
          <w:tcPr>
            <w:tcW w:w="834" w:type="dxa"/>
            <w:vMerge/>
            <w:tcBorders>
              <w:left w:val="single" w:sz="6" w:space="0" w:color="101010"/>
              <w:bottom w:val="single" w:sz="6" w:space="0" w:color="101010"/>
              <w:right w:val="single" w:sz="6" w:space="0" w:color="101010"/>
            </w:tcBorders>
          </w:tcPr>
          <w:p>
            <w:pPr/>
          </w:p>
        </w:tc>
      </w:tr>
      <w:tr>
        <w:trPr>
          <w:trHeight w:val="264" w:hRule="exact"/>
        </w:trPr>
        <w:tc>
          <w:tcPr>
            <w:tcW w:w="1048" w:type="dxa"/>
            <w:tcBorders>
              <w:top w:val="single" w:sz="6" w:space="0" w:color="101010"/>
              <w:left w:val="single" w:sz="6" w:space="0" w:color="101010"/>
              <w:bottom w:val="single" w:sz="6" w:space="0" w:color="101010"/>
              <w:right w:val="single" w:sz="6" w:space="0" w:color="101010"/>
            </w:tcBorders>
          </w:tcPr>
          <w:p>
            <w:pPr>
              <w:pStyle w:val="TableParagraph"/>
              <w:spacing w:line="213" w:lineRule="exact"/>
              <w:ind w:left="3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54,755,824.06</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349"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5,414,977.58</w:t>
            </w:r>
          </w:p>
        </w:tc>
        <w:tc>
          <w:tcPr>
            <w:tcW w:w="8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w:t>
            </w:r>
          </w:p>
        </w:tc>
        <w:tc>
          <w:tcPr>
            <w:tcW w:w="1250"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54,685,494.94</w:t>
            </w:r>
          </w:p>
        </w:tc>
        <w:tc>
          <w:tcPr>
            <w:tcW w:w="8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350" w:right="0"/>
              <w:jc w:val="lef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17,297,404.56</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6"/>
        <w:ind w:left="685" w:right="22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期末单项金额重大的其他应收款项计提：</w:t>
      </w:r>
    </w:p>
    <w:p>
      <w:pPr>
        <w:pStyle w:val="BodyText"/>
        <w:spacing w:line="240" w:lineRule="auto" w:before="37"/>
        <w:ind w:left="0" w:right="331"/>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512"/>
        <w:gridCol w:w="1766"/>
        <w:gridCol w:w="1582"/>
        <w:gridCol w:w="1302"/>
        <w:gridCol w:w="2138"/>
      </w:tblGrid>
      <w:tr>
        <w:trPr>
          <w:trHeight w:val="287"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其他应收款项内容</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833" w:hRule="exact"/>
        </w:trPr>
        <w:tc>
          <w:tcPr>
            <w:tcW w:w="2512" w:type="dxa"/>
            <w:tcBorders>
              <w:top w:val="single" w:sz="6" w:space="0" w:color="101010"/>
              <w:left w:val="single" w:sz="6" w:space="0" w:color="101010"/>
              <w:bottom w:val="single" w:sz="6" w:space="0" w:color="101010"/>
              <w:right w:val="single" w:sz="6" w:space="0" w:color="101010"/>
            </w:tcBorders>
          </w:tcPr>
          <w:p>
            <w:pPr/>
          </w:p>
        </w:tc>
        <w:tc>
          <w:tcPr>
            <w:tcW w:w="1766"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单项金额重大的其他</w:t>
            </w:r>
            <w:r>
              <w:rPr>
                <w:rFonts w:ascii="宋体" w:hAnsi="宋体" w:cs="宋体" w:eastAsia="宋体" w:hint="default"/>
                <w:sz w:val="21"/>
                <w:szCs w:val="21"/>
              </w:rPr>
            </w:r>
          </w:p>
          <w:p>
            <w:pPr>
              <w:pStyle w:val="TableParagraph"/>
              <w:spacing w:line="272" w:lineRule="exact" w:before="26"/>
              <w:ind w:left="100" w:right="62"/>
              <w:jc w:val="left"/>
              <w:rPr>
                <w:rFonts w:ascii="宋体" w:hAnsi="宋体" w:cs="宋体" w:eastAsia="宋体" w:hint="default"/>
                <w:sz w:val="21"/>
                <w:szCs w:val="21"/>
              </w:rPr>
            </w:pPr>
            <w:r>
              <w:rPr>
                <w:rFonts w:ascii="宋体" w:hAnsi="宋体" w:cs="宋体" w:eastAsia="宋体" w:hint="default"/>
                <w:spacing w:val="29"/>
                <w:sz w:val="21"/>
                <w:szCs w:val="21"/>
              </w:rPr>
              <w:t>应收款详见本附注</w:t>
            </w:r>
            <w:r>
              <w:rPr>
                <w:rFonts w:ascii="宋体" w:hAnsi="宋体" w:cs="宋体" w:eastAsia="宋体" w:hint="default"/>
                <w:spacing w:val="-100"/>
                <w:sz w:val="21"/>
                <w:szCs w:val="21"/>
              </w:rPr>
              <w:t> </w:t>
            </w:r>
            <w:r>
              <w:rPr>
                <w:rFonts w:ascii="宋体" w:hAnsi="宋体" w:cs="宋体" w:eastAsia="宋体" w:hint="default"/>
                <w:sz w:val="21"/>
                <w:szCs w:val="21"/>
              </w:rPr>
              <w:t>七、</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tc>
      </w:tr>
      <w:tr>
        <w:trPr>
          <w:trHeight w:val="288" w:hRule="exact"/>
        </w:trPr>
        <w:tc>
          <w:tcPr>
            <w:tcW w:w="25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445" w:right="0"/>
              <w:jc w:val="left"/>
              <w:rPr>
                <w:rFonts w:ascii="Times New Roman" w:hAnsi="Times New Roman" w:cs="Times New Roman" w:eastAsia="Times New Roman" w:hint="default"/>
                <w:sz w:val="21"/>
                <w:szCs w:val="21"/>
              </w:rPr>
            </w:pPr>
            <w:r>
              <w:rPr>
                <w:rFonts w:ascii="Times New Roman"/>
                <w:sz w:val="21"/>
              </w:rPr>
              <w:t>50,000,000.00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363" w:right="0"/>
              <w:jc w:val="left"/>
              <w:rPr>
                <w:rFonts w:ascii="Times New Roman" w:hAnsi="Times New Roman" w:cs="Times New Roman" w:eastAsia="Times New Roman" w:hint="default"/>
                <w:sz w:val="21"/>
                <w:szCs w:val="21"/>
              </w:rPr>
            </w:pPr>
            <w:r>
              <w:rPr>
                <w:rFonts w:ascii="Times New Roman"/>
                <w:sz w:val="21"/>
              </w:rPr>
              <w:t>5,000,000.00</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13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324" w:lineRule="auto" w:before="84"/>
        <w:ind w:left="685" w:right="937"/>
        <w:jc w:val="left"/>
      </w:pPr>
      <w:r>
        <w:rPr>
          <w:rFonts w:ascii="Times New Roman" w:hAnsi="Times New Roman" w:cs="Times New Roman" w:eastAsia="Times New Roman" w:hint="default"/>
        </w:rPr>
        <w:t>(3) </w:t>
      </w:r>
      <w:r>
        <w:rPr/>
        <w:t>本报告期其他应收账款中无持有公司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以上表决权股份的股东单位的欠款。</w:t>
      </w:r>
      <w:r>
        <w:rPr>
          <w:w w:val="99"/>
        </w:rPr>
        <w:t> </w:t>
      </w:r>
      <w:r>
        <w:rPr>
          <w:rFonts w:ascii="Times New Roman" w:hAnsi="Times New Roman" w:cs="Times New Roman" w:eastAsia="Times New Roman" w:hint="default"/>
        </w:rPr>
        <w:t>3</w:t>
      </w:r>
      <w:r>
        <w:rPr/>
        <w:t>、预付账款</w:t>
      </w:r>
    </w:p>
    <w:p>
      <w:pPr>
        <w:pStyle w:val="BodyText"/>
        <w:spacing w:line="324" w:lineRule="auto" w:before="20"/>
        <w:ind w:left="685" w:right="1569"/>
        <w:jc w:val="left"/>
      </w:pPr>
      <w:r>
        <w:rPr>
          <w:rFonts w:ascii="Times New Roman" w:hAnsi="Times New Roman" w:cs="Times New Roman" w:eastAsia="Times New Roman" w:hint="default"/>
        </w:rPr>
        <w:t>(1) </w:t>
      </w:r>
      <w:r>
        <w:rPr/>
        <w:t>本报告期预付账款中无持有公司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以上表决权股份的股东单位的欠款</w:t>
      </w:r>
      <w:r>
        <w:rPr>
          <w:w w:val="99"/>
        </w:rPr>
        <w:t> </w:t>
      </w:r>
      <w:r>
        <w:rPr>
          <w:rFonts w:ascii="Times New Roman" w:hAnsi="Times New Roman" w:cs="Times New Roman" w:eastAsia="Times New Roman" w:hint="default"/>
        </w:rPr>
        <w:t>4</w:t>
      </w:r>
      <w:r>
        <w:rPr/>
        <w:t>、长期股权投资</w:t>
      </w:r>
    </w:p>
    <w:p>
      <w:pPr>
        <w:pStyle w:val="BodyText"/>
        <w:spacing w:line="240" w:lineRule="auto" w:before="20"/>
        <w:ind w:left="685" w:right="226"/>
        <w:jc w:val="left"/>
      </w:pPr>
      <w:r>
        <w:rPr>
          <w:rFonts w:ascii="Times New Roman" w:hAnsi="Times New Roman" w:cs="Times New Roman" w:eastAsia="Times New Roman" w:hint="default"/>
        </w:rPr>
        <w:t>(1)</w:t>
      </w:r>
      <w:r>
        <w:rPr/>
        <w:t>按成本法核算</w:t>
      </w:r>
    </w:p>
    <w:p>
      <w:pPr>
        <w:pStyle w:val="BodyText"/>
        <w:tabs>
          <w:tab w:pos="1004" w:val="left" w:leader="none"/>
        </w:tabs>
        <w:spacing w:line="274" w:lineRule="exact"/>
        <w:ind w:left="0" w:right="33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764"/>
        <w:gridCol w:w="1763"/>
        <w:gridCol w:w="1700"/>
        <w:gridCol w:w="1261"/>
        <w:gridCol w:w="1702"/>
        <w:gridCol w:w="1260"/>
      </w:tblGrid>
      <w:tr>
        <w:trPr>
          <w:trHeight w:val="404" w:hRule="exact"/>
        </w:trPr>
        <w:tc>
          <w:tcPr>
            <w:tcW w:w="17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right="348"/>
              <w:jc w:val="right"/>
              <w:rPr>
                <w:rFonts w:ascii="宋体" w:hAnsi="宋体" w:cs="宋体" w:eastAsia="宋体" w:hint="default"/>
                <w:sz w:val="21"/>
                <w:szCs w:val="21"/>
              </w:rPr>
            </w:pPr>
            <w:r>
              <w:rPr>
                <w:rFonts w:ascii="宋体" w:hAnsi="宋体" w:cs="宋体" w:eastAsia="宋体" w:hint="default"/>
                <w:sz w:val="21"/>
                <w:szCs w:val="21"/>
              </w:rPr>
              <w:t>被投资单位</w:t>
            </w:r>
          </w:p>
        </w:tc>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243"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4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202"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7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4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202" w:right="0"/>
              <w:jc w:val="left"/>
              <w:rPr>
                <w:rFonts w:ascii="宋体" w:hAnsi="宋体" w:cs="宋体" w:eastAsia="宋体" w:hint="default"/>
                <w:sz w:val="21"/>
                <w:szCs w:val="21"/>
              </w:rPr>
            </w:pPr>
            <w:r>
              <w:rPr>
                <w:rFonts w:ascii="宋体" w:hAnsi="宋体" w:cs="宋体" w:eastAsia="宋体" w:hint="default"/>
                <w:sz w:val="21"/>
                <w:szCs w:val="21"/>
              </w:rPr>
              <w:t>减值准备</w:t>
            </w:r>
          </w:p>
        </w:tc>
      </w:tr>
      <w:tr>
        <w:trPr>
          <w:trHeight w:val="305" w:hRule="exact"/>
        </w:trPr>
        <w:tc>
          <w:tcPr>
            <w:tcW w:w="176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386"/>
              <w:jc w:val="right"/>
              <w:rPr>
                <w:rFonts w:ascii="宋体" w:hAnsi="宋体" w:cs="宋体" w:eastAsia="宋体" w:hint="default"/>
                <w:sz w:val="21"/>
                <w:szCs w:val="21"/>
              </w:rPr>
            </w:pPr>
            <w:r>
              <w:rPr>
                <w:rFonts w:ascii="宋体" w:hAnsi="宋体" w:cs="宋体" w:eastAsia="宋体" w:hint="default"/>
                <w:sz w:val="21"/>
                <w:szCs w:val="21"/>
              </w:rPr>
              <w:t>对子公司投资</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62,885,000.00</w:t>
            </w:r>
          </w:p>
        </w:tc>
        <w:tc>
          <w:tcPr>
            <w:tcW w:w="1261" w:type="dxa"/>
            <w:tcBorders>
              <w:top w:val="single" w:sz="6" w:space="0" w:color="101010"/>
              <w:left w:val="single" w:sz="6" w:space="0" w:color="101010"/>
              <w:bottom w:val="single" w:sz="6" w:space="0" w:color="101010"/>
              <w:right w:val="single" w:sz="6" w:space="0" w:color="101010"/>
            </w:tcBorders>
          </w:tcPr>
          <w:p>
            <w:pPr/>
          </w:p>
        </w:tc>
        <w:tc>
          <w:tcPr>
            <w:tcW w:w="17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62,885,000.00</w:t>
            </w:r>
          </w:p>
        </w:tc>
        <w:tc>
          <w:tcPr>
            <w:tcW w:w="1260" w:type="dxa"/>
            <w:tcBorders>
              <w:top w:val="single" w:sz="6" w:space="0" w:color="101010"/>
              <w:left w:val="single" w:sz="6" w:space="0" w:color="101010"/>
              <w:bottom w:val="single" w:sz="6" w:space="0" w:color="101010"/>
              <w:right w:val="single" w:sz="6" w:space="0" w:color="101010"/>
            </w:tcBorders>
          </w:tcPr>
          <w:p>
            <w:pPr/>
          </w:p>
        </w:tc>
      </w:tr>
      <w:tr>
        <w:trPr>
          <w:trHeight w:val="306" w:hRule="exact"/>
        </w:trPr>
        <w:tc>
          <w:tcPr>
            <w:tcW w:w="1764"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386"/>
              <w:jc w:val="right"/>
              <w:rPr>
                <w:rFonts w:ascii="宋体" w:hAnsi="宋体" w:cs="宋体" w:eastAsia="宋体" w:hint="default"/>
                <w:sz w:val="21"/>
                <w:szCs w:val="21"/>
              </w:rPr>
            </w:pPr>
            <w:r>
              <w:rPr>
                <w:rFonts w:ascii="宋体" w:hAnsi="宋体" w:cs="宋体" w:eastAsia="宋体" w:hint="default"/>
                <w:sz w:val="21"/>
                <w:szCs w:val="21"/>
              </w:rPr>
              <w:t>其他股权投资</w:t>
            </w:r>
          </w:p>
        </w:tc>
        <w:tc>
          <w:tcPr>
            <w:tcW w:w="1763" w:type="dxa"/>
            <w:tcBorders>
              <w:top w:val="single" w:sz="6" w:space="0" w:color="101010"/>
              <w:left w:val="single" w:sz="6" w:space="0" w:color="101010"/>
              <w:bottom w:val="single" w:sz="6" w:space="0" w:color="101010"/>
              <w:right w:val="single" w:sz="6" w:space="0" w:color="101010"/>
            </w:tcBorders>
          </w:tcPr>
          <w:p>
            <w:pP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261" w:type="dxa"/>
            <w:tcBorders>
              <w:top w:val="single" w:sz="6" w:space="0" w:color="101010"/>
              <w:left w:val="single" w:sz="6" w:space="0" w:color="101010"/>
              <w:bottom w:val="single" w:sz="6" w:space="0" w:color="101010"/>
              <w:right w:val="single" w:sz="6" w:space="0" w:color="101010"/>
            </w:tcBorders>
          </w:tcPr>
          <w:p>
            <w:pPr/>
          </w:p>
        </w:tc>
        <w:tc>
          <w:tcPr>
            <w:tcW w:w="17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260"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82" w:lineRule="exact" w:before="84"/>
        <w:ind w:left="504" w:right="226"/>
        <w:jc w:val="left"/>
      </w:pPr>
      <w:r>
        <w:rPr/>
        <w:t>根据《企业会计准则解释第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号》的规定，本公司本年度对控股子公司的长期股权投资进行了追</w:t>
      </w:r>
    </w:p>
    <w:p>
      <w:pPr>
        <w:pStyle w:val="BodyText"/>
        <w:spacing w:line="272" w:lineRule="exact"/>
        <w:ind w:right="226"/>
        <w:jc w:val="left"/>
        <w:rPr>
          <w:rFonts w:ascii="Times New Roman" w:hAnsi="Times New Roman" w:cs="Times New Roman" w:eastAsia="Times New Roman" w:hint="default"/>
        </w:rPr>
      </w:pPr>
      <w:r>
        <w:rPr/>
        <w:t>溯调整</w:t>
      </w:r>
      <w:r>
        <w:rPr>
          <w:spacing w:val="-88"/>
        </w:rPr>
        <w:t>，</w:t>
      </w:r>
      <w:r>
        <w:rPr/>
        <w:t>共调减长期股权投资</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5,</w:t>
      </w:r>
      <w:r>
        <w:rPr>
          <w:rFonts w:ascii="Times New Roman" w:hAnsi="Times New Roman" w:cs="Times New Roman" w:eastAsia="Times New Roman" w:hint="default"/>
          <w:spacing w:val="-1"/>
        </w:rPr>
        <w:t>34</w:t>
      </w:r>
      <w:r>
        <w:rPr>
          <w:rFonts w:ascii="Times New Roman" w:hAnsi="Times New Roman" w:cs="Times New Roman" w:eastAsia="Times New Roman" w:hint="default"/>
        </w:rPr>
        <w:t>6.</w:t>
      </w:r>
      <w:r>
        <w:rPr>
          <w:rFonts w:ascii="Times New Roman" w:hAnsi="Times New Roman" w:cs="Times New Roman" w:eastAsia="Times New Roman" w:hint="default"/>
          <w:spacing w:val="-1"/>
        </w:rPr>
        <w:t>6</w:t>
      </w:r>
      <w:r>
        <w:rPr>
          <w:rFonts w:ascii="Times New Roman" w:hAnsi="Times New Roman" w:cs="Times New Roman" w:eastAsia="Times New Roman" w:hint="default"/>
        </w:rPr>
        <w:t>0 </w:t>
      </w:r>
      <w:r>
        <w:rPr/>
        <w:t>元</w:t>
      </w:r>
      <w:r>
        <w:rPr>
          <w:spacing w:val="-88"/>
        </w:rPr>
        <w:t>，</w:t>
      </w:r>
      <w:r>
        <w:rPr/>
        <w:t>调</w:t>
      </w:r>
      <w:r>
        <w:rPr>
          <w:spacing w:val="-2"/>
        </w:rPr>
        <w:t>减</w:t>
      </w:r>
      <w:r>
        <w:rPr/>
        <w:t>留存收益</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,9</w:t>
      </w:r>
      <w:r>
        <w:rPr>
          <w:rFonts w:ascii="Times New Roman" w:hAnsi="Times New Roman" w:cs="Times New Roman" w:eastAsia="Times New Roman" w:hint="default"/>
        </w:rPr>
        <w:t>34</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7</w:t>
      </w:r>
      <w:r>
        <w:rPr>
          <w:rFonts w:ascii="Times New Roman" w:hAnsi="Times New Roman" w:cs="Times New Roman" w:eastAsia="Times New Roman" w:hint="default"/>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56 </w:t>
      </w:r>
      <w:r>
        <w:rPr/>
        <w:t>元</w:t>
      </w:r>
      <w:r>
        <w:rPr>
          <w:spacing w:val="-89"/>
        </w:rPr>
        <w:t>、</w:t>
      </w:r>
      <w:r>
        <w:rPr/>
        <w:t>调减资本公积</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7</w:t>
      </w:r>
      <w:r>
        <w:rPr>
          <w:rFonts w:ascii="Times New Roman" w:hAnsi="Times New Roman" w:cs="Times New Roman" w:eastAsia="Times New Roman" w:hint="default"/>
        </w:rPr>
        <w:t>2.04</w:t>
      </w:r>
    </w:p>
    <w:p>
      <w:pPr>
        <w:pStyle w:val="BodyText"/>
        <w:spacing w:line="266" w:lineRule="exact"/>
        <w:ind w:right="226"/>
        <w:jc w:val="left"/>
      </w:pPr>
      <w:r>
        <w:rPr/>
        <w:t>元。</w:t>
      </w:r>
    </w:p>
    <w:p>
      <w:pPr>
        <w:pStyle w:val="BodyText"/>
        <w:spacing w:line="240" w:lineRule="auto" w:before="117"/>
        <w:ind w:left="685" w:right="226"/>
        <w:jc w:val="left"/>
      </w:pPr>
      <w:r>
        <w:rPr>
          <w:rFonts w:ascii="Times New Roman" w:hAnsi="Times New Roman" w:cs="Times New Roman" w:eastAsia="Times New Roman" w:hint="default"/>
        </w:rPr>
        <w:t>5</w:t>
      </w:r>
      <w:r>
        <w:rPr/>
        <w:t>、应付账款</w:t>
      </w:r>
    </w:p>
    <w:p>
      <w:pPr>
        <w:pStyle w:val="BodyText"/>
        <w:spacing w:line="282" w:lineRule="exact" w:before="101"/>
        <w:ind w:left="685" w:right="226"/>
        <w:jc w:val="left"/>
      </w:pPr>
      <w:r>
        <w:rPr>
          <w:rFonts w:ascii="Times New Roman" w:hAnsi="Times New Roman" w:cs="Times New Roman" w:eastAsia="Times New Roman" w:hint="default"/>
        </w:rPr>
        <w:t>(1) </w:t>
      </w:r>
      <w:r>
        <w:rPr/>
        <w:t>本报告期应付账款中无应付持有公司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以上表决权股份的股东单位或关联方的款</w:t>
      </w:r>
    </w:p>
    <w:p>
      <w:pPr>
        <w:pStyle w:val="BodyText"/>
        <w:spacing w:line="266" w:lineRule="exact"/>
        <w:ind w:right="226"/>
        <w:jc w:val="left"/>
      </w:pPr>
      <w:r>
        <w:rPr/>
        <w:t>项。</w:t>
      </w:r>
    </w:p>
    <w:p>
      <w:pPr>
        <w:pStyle w:val="BodyText"/>
        <w:spacing w:line="240" w:lineRule="auto" w:before="117"/>
        <w:ind w:left="685" w:right="226"/>
        <w:jc w:val="left"/>
      </w:pPr>
      <w:r>
        <w:rPr>
          <w:rFonts w:ascii="Times New Roman" w:hAnsi="Times New Roman" w:cs="Times New Roman" w:eastAsia="Times New Roman" w:hint="default"/>
        </w:rPr>
        <w:t>6</w:t>
      </w:r>
      <w:r>
        <w:rPr/>
        <w:t>、预收账款</w:t>
      </w:r>
    </w:p>
    <w:p>
      <w:pPr>
        <w:pStyle w:val="BodyText"/>
        <w:spacing w:line="282" w:lineRule="exact" w:before="100"/>
        <w:ind w:left="685" w:right="226"/>
        <w:jc w:val="left"/>
      </w:pPr>
      <w:r>
        <w:rPr>
          <w:rFonts w:ascii="Times New Roman" w:hAnsi="Times New Roman" w:cs="Times New Roman" w:eastAsia="Times New Roman" w:hint="default"/>
        </w:rPr>
        <w:t>(1) </w:t>
      </w:r>
      <w:r>
        <w:rPr/>
        <w:t>本报告期预收账款中无预收持有公司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以上表决权股份的股东单位或关联方的款</w:t>
      </w:r>
    </w:p>
    <w:p>
      <w:pPr>
        <w:pStyle w:val="BodyText"/>
        <w:spacing w:line="266" w:lineRule="exact"/>
        <w:ind w:right="226"/>
        <w:jc w:val="left"/>
      </w:pPr>
      <w:r>
        <w:rPr/>
        <w:t>项。</w:t>
      </w:r>
    </w:p>
    <w:p>
      <w:pPr>
        <w:pStyle w:val="BodyText"/>
        <w:spacing w:line="240" w:lineRule="auto" w:before="117"/>
        <w:ind w:left="685" w:right="226"/>
        <w:jc w:val="left"/>
      </w:pPr>
      <w:r>
        <w:rPr>
          <w:rFonts w:ascii="Times New Roman" w:hAnsi="Times New Roman" w:cs="Times New Roman" w:eastAsia="Times New Roman" w:hint="default"/>
        </w:rPr>
        <w:t>7</w:t>
      </w:r>
      <w:r>
        <w:rPr/>
        <w:t>、其他应付款</w:t>
      </w:r>
    </w:p>
    <w:p>
      <w:pPr>
        <w:pStyle w:val="BodyText"/>
        <w:spacing w:line="282" w:lineRule="exact" w:before="101"/>
        <w:ind w:left="685" w:right="226"/>
        <w:jc w:val="left"/>
      </w:pPr>
      <w:r>
        <w:rPr>
          <w:rFonts w:ascii="Times New Roman" w:hAnsi="Times New Roman" w:cs="Times New Roman" w:eastAsia="Times New Roman" w:hint="default"/>
        </w:rPr>
        <w:t>(1) </w:t>
      </w:r>
      <w:r>
        <w:rPr/>
        <w:t>本报告期其他应付款中无应付持有公司 </w:t>
      </w:r>
      <w:r>
        <w:rPr>
          <w:rFonts w:ascii="Times New Roman" w:hAnsi="Times New Roman" w:cs="Times New Roman" w:eastAsia="Times New Roman" w:hint="default"/>
        </w:rPr>
        <w:t>5%(</w:t>
      </w:r>
      <w:r>
        <w:rPr/>
        <w:t>含</w:t>
      </w:r>
      <w:r>
        <w:rPr>
          <w:spacing w:val="-72"/>
        </w:rPr>
        <w:t> </w:t>
      </w:r>
      <w:r>
        <w:rPr>
          <w:rFonts w:ascii="Times New Roman" w:hAnsi="Times New Roman" w:cs="Times New Roman" w:eastAsia="Times New Roman" w:hint="default"/>
        </w:rPr>
        <w:t>5%)</w:t>
      </w:r>
      <w:r>
        <w:rPr/>
        <w:t>以上表决权股份的股东单位或关联方的款</w:t>
      </w:r>
    </w:p>
    <w:p>
      <w:pPr>
        <w:pStyle w:val="BodyText"/>
        <w:spacing w:line="266" w:lineRule="exact"/>
        <w:ind w:right="226"/>
        <w:jc w:val="left"/>
      </w:pPr>
      <w:r>
        <w:rPr/>
        <w:t>项。</w:t>
      </w:r>
    </w:p>
    <w:p>
      <w:pPr>
        <w:pStyle w:val="BodyText"/>
        <w:spacing w:line="282" w:lineRule="exact" w:before="117"/>
        <w:ind w:left="685" w:right="226"/>
        <w:jc w:val="left"/>
      </w:pPr>
      <w:r>
        <w:rPr>
          <w:rFonts w:ascii="Times New Roman" w:hAnsi="Times New Roman" w:cs="Times New Roman" w:eastAsia="Times New Roman" w:hint="default"/>
        </w:rPr>
        <w:t>8</w:t>
      </w:r>
      <w:r>
        <w:rPr/>
        <w:t>、资本公积：</w:t>
      </w:r>
    </w:p>
    <w:p>
      <w:pPr>
        <w:pStyle w:val="BodyText"/>
        <w:tabs>
          <w:tab w:pos="1004" w:val="left" w:leader="none"/>
        </w:tabs>
        <w:spacing w:line="282" w:lineRule="exact"/>
        <w:ind w:left="0" w:right="33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after="0" w:line="282" w:lineRule="exact"/>
        <w:jc w:val="right"/>
        <w:sectPr>
          <w:pgSz w:w="12240" w:h="15840"/>
          <w:pgMar w:header="747" w:footer="727" w:top="1040" w:bottom="920" w:left="1380" w:right="1140"/>
        </w:sectPr>
      </w:pPr>
    </w:p>
    <w:p>
      <w:pPr>
        <w:spacing w:line="240" w:lineRule="auto" w:before="8"/>
        <w:rPr>
          <w:rFonts w:ascii="宋体" w:hAnsi="宋体" w:cs="宋体" w:eastAsia="宋体" w:hint="default"/>
          <w:sz w:val="29"/>
          <w:szCs w:val="29"/>
        </w:rPr>
      </w:pPr>
    </w:p>
    <w:tbl>
      <w:tblPr>
        <w:tblW w:w="0" w:type="auto"/>
        <w:jc w:val="left"/>
        <w:tblInd w:w="129" w:type="dxa"/>
        <w:tblLayout w:type="fixed"/>
        <w:tblCellMar>
          <w:top w:w="0" w:type="dxa"/>
          <w:left w:w="0" w:type="dxa"/>
          <w:bottom w:w="0" w:type="dxa"/>
          <w:right w:w="0" w:type="dxa"/>
        </w:tblCellMar>
        <w:tblLook w:val="01E0"/>
      </w:tblPr>
      <w:tblGrid>
        <w:gridCol w:w="2099"/>
        <w:gridCol w:w="1846"/>
        <w:gridCol w:w="1756"/>
        <w:gridCol w:w="1754"/>
        <w:gridCol w:w="1846"/>
      </w:tblGrid>
      <w:tr>
        <w:trPr>
          <w:trHeight w:val="406" w:hRule="exact"/>
        </w:trPr>
        <w:tc>
          <w:tcPr>
            <w:tcW w:w="20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34" w:right="0"/>
              <w:jc w:val="left"/>
              <w:rPr>
                <w:rFonts w:ascii="宋体" w:hAnsi="宋体" w:cs="宋体" w:eastAsia="宋体" w:hint="default"/>
                <w:sz w:val="21"/>
                <w:szCs w:val="21"/>
              </w:rPr>
            </w:pPr>
            <w:r>
              <w:rPr>
                <w:rFonts w:ascii="宋体" w:hAnsi="宋体" w:cs="宋体" w:eastAsia="宋体" w:hint="default"/>
                <w:sz w:val="21"/>
                <w:szCs w:val="21"/>
              </w:rPr>
              <w:t>母公司本期增加</w:t>
            </w:r>
          </w:p>
        </w:tc>
        <w:tc>
          <w:tcPr>
            <w:tcW w:w="17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34" w:right="0"/>
              <w:jc w:val="left"/>
              <w:rPr>
                <w:rFonts w:ascii="宋体" w:hAnsi="宋体" w:cs="宋体" w:eastAsia="宋体" w:hint="default"/>
                <w:sz w:val="21"/>
                <w:szCs w:val="21"/>
              </w:rPr>
            </w:pPr>
            <w:r>
              <w:rPr>
                <w:rFonts w:ascii="宋体" w:hAnsi="宋体" w:cs="宋体" w:eastAsia="宋体" w:hint="default"/>
                <w:sz w:val="21"/>
                <w:szCs w:val="21"/>
              </w:rPr>
              <w:t>母公司本期减少</w:t>
            </w:r>
          </w:p>
        </w:tc>
        <w:tc>
          <w:tcPr>
            <w:tcW w:w="1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9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05" w:hRule="exact"/>
        </w:trPr>
        <w:tc>
          <w:tcPr>
            <w:tcW w:w="2099" w:type="dxa"/>
            <w:tcBorders>
              <w:top w:val="single" w:sz="6" w:space="0" w:color="101010"/>
              <w:left w:val="single" w:sz="6" w:space="0" w:color="101010"/>
              <w:bottom w:val="single" w:sz="6" w:space="0" w:color="101010"/>
              <w:right w:val="single" w:sz="6" w:space="0" w:color="10101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7" w:right="0"/>
              <w:jc w:val="left"/>
              <w:rPr>
                <w:rFonts w:ascii="Times New Roman" w:hAnsi="Times New Roman" w:cs="Times New Roman" w:eastAsia="Times New Roman" w:hint="default"/>
                <w:sz w:val="21"/>
                <w:szCs w:val="21"/>
              </w:rPr>
            </w:pPr>
            <w:r>
              <w:rPr>
                <w:rFonts w:ascii="Times New Roman"/>
                <w:sz w:val="21"/>
              </w:rPr>
              <w:t>133,851,865.01</w:t>
            </w:r>
          </w:p>
        </w:tc>
        <w:tc>
          <w:tcPr>
            <w:tcW w:w="1756" w:type="dxa"/>
            <w:tcBorders>
              <w:top w:val="single" w:sz="6" w:space="0" w:color="101010"/>
              <w:left w:val="single" w:sz="6" w:space="0" w:color="101010"/>
              <w:bottom w:val="single" w:sz="6" w:space="0" w:color="101010"/>
              <w:right w:val="single" w:sz="6" w:space="0" w:color="101010"/>
            </w:tcBorders>
          </w:tcPr>
          <w:p>
            <w:pPr/>
          </w:p>
        </w:tc>
        <w:tc>
          <w:tcPr>
            <w:tcW w:w="1754" w:type="dxa"/>
            <w:tcBorders>
              <w:top w:val="single" w:sz="6" w:space="0" w:color="101010"/>
              <w:left w:val="single" w:sz="6" w:space="0" w:color="101010"/>
              <w:bottom w:val="single" w:sz="6" w:space="0" w:color="101010"/>
              <w:right w:val="single" w:sz="6" w:space="0" w:color="101010"/>
            </w:tcBorders>
          </w:tcPr>
          <w:p>
            <w:pPr/>
          </w:p>
        </w:tc>
        <w:tc>
          <w:tcPr>
            <w:tcW w:w="18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17" w:right="0"/>
              <w:jc w:val="left"/>
              <w:rPr>
                <w:rFonts w:ascii="Times New Roman" w:hAnsi="Times New Roman" w:cs="Times New Roman" w:eastAsia="Times New Roman" w:hint="default"/>
                <w:sz w:val="21"/>
                <w:szCs w:val="21"/>
              </w:rPr>
            </w:pPr>
            <w:r>
              <w:rPr>
                <w:rFonts w:ascii="Times New Roman"/>
                <w:sz w:val="21"/>
              </w:rPr>
              <w:t>133,851,865.01</w:t>
            </w:r>
          </w:p>
        </w:tc>
      </w:tr>
    </w:tbl>
    <w:p>
      <w:pPr>
        <w:spacing w:line="240" w:lineRule="auto" w:before="11"/>
        <w:rPr>
          <w:rFonts w:ascii="宋体" w:hAnsi="宋体" w:cs="宋体" w:eastAsia="宋体" w:hint="default"/>
          <w:sz w:val="16"/>
          <w:szCs w:val="16"/>
        </w:rPr>
      </w:pPr>
    </w:p>
    <w:p>
      <w:pPr>
        <w:pStyle w:val="BodyText"/>
        <w:spacing w:line="240" w:lineRule="auto" w:before="35"/>
        <w:ind w:left="685" w:right="279"/>
        <w:jc w:val="left"/>
      </w:pPr>
      <w:r>
        <w:rPr>
          <w:rFonts w:ascii="Times New Roman" w:hAnsi="Times New Roman" w:cs="Times New Roman" w:eastAsia="Times New Roman" w:hint="default"/>
        </w:rPr>
        <w:t>9</w:t>
      </w:r>
      <w:r>
        <w:rPr/>
        <w:t>、未分配利润</w:t>
      </w:r>
    </w:p>
    <w:p>
      <w:pPr>
        <w:pStyle w:val="BodyText"/>
        <w:spacing w:line="240" w:lineRule="auto" w:before="37"/>
        <w:ind w:left="0" w:right="411"/>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565"/>
        <w:gridCol w:w="2899"/>
        <w:gridCol w:w="2836"/>
      </w:tblGrid>
      <w:tr>
        <w:trPr>
          <w:trHeight w:val="406" w:hRule="exact"/>
        </w:trPr>
        <w:tc>
          <w:tcPr>
            <w:tcW w:w="35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59" w:hRule="exact"/>
        </w:trPr>
        <w:tc>
          <w:tcPr>
            <w:tcW w:w="3565" w:type="dxa"/>
            <w:tcBorders>
              <w:top w:val="single" w:sz="6" w:space="0" w:color="101010"/>
              <w:left w:val="single" w:sz="6" w:space="0" w:color="101010"/>
              <w:bottom w:val="single" w:sz="6" w:space="0" w:color="101010"/>
              <w:right w:val="single" w:sz="6" w:space="0" w:color="10101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 年初未分配利润（</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末数）</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30,914,397.90</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05" w:hRule="exact"/>
        </w:trPr>
        <w:tc>
          <w:tcPr>
            <w:tcW w:w="3565"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28,601,807.59</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06" w:hRule="exact"/>
        </w:trPr>
        <w:tc>
          <w:tcPr>
            <w:tcW w:w="3565"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64,488,646.32</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2240" w:h="15840"/>
          <w:pgMar w:header="747" w:footer="727" w:top="1040" w:bottom="920" w:left="1380" w:right="1060"/>
        </w:sectPr>
      </w:pPr>
    </w:p>
    <w:p>
      <w:pPr>
        <w:pStyle w:val="BodyText"/>
        <w:spacing w:line="324" w:lineRule="auto" w:before="84"/>
        <w:ind w:left="685" w:right="-20"/>
        <w:jc w:val="left"/>
      </w:pPr>
      <w:r>
        <w:rPr>
          <w:rFonts w:ascii="Times New Roman" w:hAnsi="Times New Roman" w:cs="Times New Roman" w:eastAsia="Times New Roman" w:hint="default"/>
        </w:rPr>
        <w:t>10</w:t>
      </w:r>
      <w:r>
        <w:rPr/>
        <w:t>、营业收入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营业收入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BodyText"/>
        <w:spacing w:line="240" w:lineRule="auto"/>
        <w:ind w:left="6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660" w:bottom="280" w:left="1380" w:right="1060"/>
          <w:cols w:num="2" w:equalWidth="0">
            <w:col w:w="1946" w:space="4854"/>
            <w:col w:w="3000"/>
          </w:cols>
        </w:sectPr>
      </w:pPr>
    </w:p>
    <w:p>
      <w:pPr>
        <w:spacing w:line="240" w:lineRule="auto" w:before="6"/>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029"/>
        <w:gridCol w:w="3136"/>
        <w:gridCol w:w="3136"/>
      </w:tblGrid>
      <w:tr>
        <w:trPr>
          <w:trHeight w:val="404" w:hRule="exact"/>
        </w:trPr>
        <w:tc>
          <w:tcPr>
            <w:tcW w:w="30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296"/>
              <w:jc w:val="right"/>
              <w:rPr>
                <w:rFonts w:ascii="宋体" w:hAnsi="宋体" w:cs="宋体" w:eastAsia="宋体" w:hint="default"/>
                <w:sz w:val="21"/>
                <w:szCs w:val="21"/>
              </w:rPr>
            </w:pPr>
            <w:r>
              <w:rPr>
                <w:rFonts w:ascii="宋体" w:hAnsi="宋体" w:cs="宋体" w:eastAsia="宋体" w:hint="default"/>
                <w:sz w:val="21"/>
                <w:szCs w:val="21"/>
              </w:rPr>
              <w:t>项目</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3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05" w:hRule="exact"/>
        </w:trPr>
        <w:tc>
          <w:tcPr>
            <w:tcW w:w="3029"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201,942,107.18</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144,042,694.08</w:t>
            </w:r>
          </w:p>
        </w:tc>
      </w:tr>
      <w:tr>
        <w:trPr>
          <w:trHeight w:val="288" w:hRule="exact"/>
        </w:trPr>
        <w:tc>
          <w:tcPr>
            <w:tcW w:w="30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36" w:type="dxa"/>
            <w:tcBorders>
              <w:top w:val="single" w:sz="6" w:space="0" w:color="101010"/>
              <w:left w:val="single" w:sz="6" w:space="0" w:color="101010"/>
              <w:bottom w:val="single" w:sz="6" w:space="0" w:color="101010"/>
              <w:right w:val="single" w:sz="6" w:space="0" w:color="101010"/>
            </w:tcBorders>
          </w:tcPr>
          <w:p>
            <w:pPr/>
          </w:p>
        </w:tc>
        <w:tc>
          <w:tcPr>
            <w:tcW w:w="3136"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3029"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1296"/>
              <w:jc w:val="right"/>
              <w:rPr>
                <w:rFonts w:ascii="宋体" w:hAnsi="宋体" w:cs="宋体" w:eastAsia="宋体" w:hint="default"/>
                <w:sz w:val="21"/>
                <w:szCs w:val="21"/>
              </w:rPr>
            </w:pPr>
            <w:r>
              <w:rPr>
                <w:rFonts w:ascii="宋体" w:hAnsi="宋体" w:cs="宋体" w:eastAsia="宋体" w:hint="default"/>
                <w:sz w:val="21"/>
                <w:szCs w:val="21"/>
              </w:rPr>
              <w:t>合计</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201,942,107.18</w:t>
            </w:r>
          </w:p>
        </w:tc>
        <w:tc>
          <w:tcPr>
            <w:tcW w:w="31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144,042,694.08</w:t>
            </w:r>
          </w:p>
        </w:tc>
      </w:tr>
    </w:tbl>
    <w:p>
      <w:pPr>
        <w:pStyle w:val="BodyText"/>
        <w:spacing w:line="282" w:lineRule="exact" w:before="84"/>
        <w:ind w:left="685" w:right="27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主营业务（分行业）</w:t>
      </w:r>
    </w:p>
    <w:p>
      <w:pPr>
        <w:pStyle w:val="BodyText"/>
        <w:spacing w:line="282" w:lineRule="exact"/>
        <w:ind w:left="0" w:right="41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251"/>
        <w:gridCol w:w="1793"/>
        <w:gridCol w:w="1794"/>
        <w:gridCol w:w="1793"/>
        <w:gridCol w:w="1669"/>
      </w:tblGrid>
      <w:tr>
        <w:trPr>
          <w:trHeight w:val="406" w:hRule="exact"/>
        </w:trPr>
        <w:tc>
          <w:tcPr>
            <w:tcW w:w="2251"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6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2251" w:type="dxa"/>
            <w:vMerge/>
            <w:tcBorders>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0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06" w:hRule="exact"/>
        </w:trPr>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201,942,107.18</w:t>
            </w:r>
          </w:p>
        </w:tc>
        <w:tc>
          <w:tcPr>
            <w:tcW w:w="17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154,432,341.67</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144,042,694.08</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47" w:right="0"/>
              <w:jc w:val="left"/>
              <w:rPr>
                <w:rFonts w:ascii="Times New Roman" w:hAnsi="Times New Roman" w:cs="Times New Roman" w:eastAsia="Times New Roman" w:hint="default"/>
                <w:sz w:val="21"/>
                <w:szCs w:val="21"/>
              </w:rPr>
            </w:pPr>
            <w:r>
              <w:rPr>
                <w:rFonts w:ascii="Times New Roman"/>
                <w:sz w:val="21"/>
              </w:rPr>
              <w:t>98,654,343.74</w:t>
            </w:r>
          </w:p>
        </w:tc>
      </w:tr>
    </w:tbl>
    <w:p>
      <w:pPr>
        <w:pStyle w:val="BodyText"/>
        <w:spacing w:line="282" w:lineRule="exact" w:before="84"/>
        <w:ind w:left="685" w:right="27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主营业务（分产品）</w:t>
      </w:r>
    </w:p>
    <w:p>
      <w:pPr>
        <w:pStyle w:val="BodyText"/>
        <w:spacing w:line="282" w:lineRule="exact"/>
        <w:ind w:left="0" w:right="41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526"/>
        <w:gridCol w:w="1529"/>
        <w:gridCol w:w="1529"/>
        <w:gridCol w:w="1529"/>
        <w:gridCol w:w="1424"/>
      </w:tblGrid>
      <w:tr>
        <w:trPr>
          <w:trHeight w:val="406" w:hRule="exact"/>
        </w:trPr>
        <w:tc>
          <w:tcPr>
            <w:tcW w:w="3526"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305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953"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94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3526" w:type="dxa"/>
            <w:vMerge/>
            <w:tcBorders>
              <w:left w:val="single" w:sz="6" w:space="0" w:color="101010"/>
              <w:bottom w:val="single" w:sz="6" w:space="0" w:color="101010"/>
              <w:right w:val="single" w:sz="6" w:space="0" w:color="101010"/>
            </w:tcBorders>
          </w:tcPr>
          <w:p>
            <w:pP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3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8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05" w:hRule="exact"/>
        </w:trPr>
        <w:tc>
          <w:tcPr>
            <w:tcW w:w="3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自行开发研制的软件产品销售收入</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243,247.86</w:t>
            </w:r>
            <w:r>
              <w:rPr>
                <w:rFonts w:ascii="Times New Roman"/>
                <w:sz w:val="21"/>
              </w:rPr>
            </w:r>
          </w:p>
        </w:tc>
        <w:tc>
          <w:tcPr>
            <w:tcW w:w="1529" w:type="dxa"/>
            <w:tcBorders>
              <w:top w:val="single" w:sz="6" w:space="0" w:color="101010"/>
              <w:left w:val="single" w:sz="6" w:space="0" w:color="101010"/>
              <w:bottom w:val="single" w:sz="6" w:space="0" w:color="101010"/>
              <w:right w:val="single" w:sz="6" w:space="0" w:color="101010"/>
            </w:tcBorders>
          </w:tcPr>
          <w:p>
            <w:pP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85,470.09</w:t>
            </w:r>
          </w:p>
        </w:tc>
        <w:tc>
          <w:tcPr>
            <w:tcW w:w="1424"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3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109,842,438.97</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97,285,847.33</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71,924,757.12</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62,644,128.03</w:t>
            </w:r>
          </w:p>
        </w:tc>
      </w:tr>
      <w:tr>
        <w:trPr>
          <w:trHeight w:val="305" w:hRule="exact"/>
        </w:trPr>
        <w:tc>
          <w:tcPr>
            <w:tcW w:w="3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定制软件收入</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18,859,280.00</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3,656,764.87</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22,070,791.85</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1,509,782.74</w:t>
            </w:r>
          </w:p>
        </w:tc>
      </w:tr>
      <w:tr>
        <w:trPr>
          <w:trHeight w:val="305" w:hRule="exact"/>
        </w:trPr>
        <w:tc>
          <w:tcPr>
            <w:tcW w:w="3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系统维护、技术服务收入</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7,792,400.39</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997,606.19</w:t>
            </w:r>
            <w:r>
              <w:rPr>
                <w:rFonts w:ascii="Times New Roman"/>
                <w:sz w:val="21"/>
              </w:rPr>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12,466,546.79</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1,279,688.25</w:t>
            </w:r>
          </w:p>
        </w:tc>
      </w:tr>
      <w:tr>
        <w:trPr>
          <w:trHeight w:val="305" w:hRule="exact"/>
        </w:trPr>
        <w:tc>
          <w:tcPr>
            <w:tcW w:w="3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建安工程收入</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23,730,076.29</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18,567,518.24</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4,332,139.90</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3,235,270.98</w:t>
            </w:r>
          </w:p>
        </w:tc>
      </w:tr>
      <w:tr>
        <w:trPr>
          <w:trHeight w:val="305" w:hRule="exact"/>
        </w:trPr>
        <w:tc>
          <w:tcPr>
            <w:tcW w:w="3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商品销售收入</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41,474,663.67</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33,924,605.04</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33,162,988.33</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29,985,473.74</w:t>
            </w:r>
          </w:p>
        </w:tc>
      </w:tr>
      <w:tr>
        <w:trPr>
          <w:trHeight w:val="306" w:hRule="exact"/>
        </w:trPr>
        <w:tc>
          <w:tcPr>
            <w:tcW w:w="352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201,942,107.18</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154,432,341.67</w:t>
            </w:r>
          </w:p>
        </w:tc>
        <w:tc>
          <w:tcPr>
            <w:tcW w:w="15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144,042,694.08</w:t>
            </w:r>
          </w:p>
        </w:tc>
        <w:tc>
          <w:tcPr>
            <w:tcW w:w="142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98,654,343.74</w:t>
            </w:r>
          </w:p>
        </w:tc>
      </w:tr>
    </w:tbl>
    <w:p>
      <w:pPr>
        <w:pStyle w:val="BodyText"/>
        <w:spacing w:line="282" w:lineRule="exact" w:before="84"/>
        <w:ind w:left="685" w:right="27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主营业务（分地区）</w:t>
      </w:r>
    </w:p>
    <w:p>
      <w:pPr>
        <w:pStyle w:val="BodyText"/>
        <w:tabs>
          <w:tab w:pos="1004" w:val="left" w:leader="none"/>
        </w:tabs>
        <w:spacing w:line="282" w:lineRule="exact"/>
        <w:ind w:left="0" w:right="411"/>
        <w:jc w:val="right"/>
      </w:pPr>
      <w:r>
        <w:rPr/>
        <w:t>单位</w:t>
      </w:r>
      <w:r>
        <w:rPr>
          <w:rFonts w:ascii="Times New Roman" w:hAnsi="Times New Roman" w:cs="Times New Roman" w:eastAsia="Times New Roman" w:hint="default"/>
        </w:rPr>
        <w:t>:</w:t>
      </w:r>
      <w:r>
        <w:rPr/>
        <w:t>元</w:t>
        <w:tab/>
      </w:r>
      <w:r>
        <w:rPr>
          <w:spacing w:val="-1"/>
        </w:rPr>
        <w:t>币种</w:t>
      </w:r>
      <w:r>
        <w:rPr>
          <w:rFonts w:ascii="Times New Roman" w:hAnsi="Times New Roman" w:cs="Times New Roman" w:eastAsia="Times New Roman" w:hint="default"/>
          <w:spacing w:val="-1"/>
        </w:rPr>
        <w:t>:</w:t>
      </w:r>
      <w:r>
        <w:rPr>
          <w:spacing w:val="-1"/>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251"/>
        <w:gridCol w:w="1793"/>
        <w:gridCol w:w="1794"/>
        <w:gridCol w:w="1793"/>
        <w:gridCol w:w="1669"/>
      </w:tblGrid>
      <w:tr>
        <w:trPr>
          <w:trHeight w:val="404" w:hRule="exact"/>
        </w:trPr>
        <w:tc>
          <w:tcPr>
            <w:tcW w:w="2251"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8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6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6" w:hRule="exact"/>
        </w:trPr>
        <w:tc>
          <w:tcPr>
            <w:tcW w:w="2251" w:type="dxa"/>
            <w:vMerge/>
            <w:tcBorders>
              <w:left w:val="single" w:sz="6" w:space="0" w:color="101010"/>
              <w:bottom w:val="single" w:sz="6" w:space="0" w:color="101010"/>
              <w:right w:val="single" w:sz="6" w:space="0" w:color="101010"/>
            </w:tcBorders>
          </w:tcPr>
          <w:p>
            <w:pP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0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05" w:hRule="exact"/>
        </w:trPr>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201,942,107.18</w:t>
            </w:r>
          </w:p>
        </w:tc>
        <w:tc>
          <w:tcPr>
            <w:tcW w:w="17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154,432,341.67</w:t>
            </w:r>
          </w:p>
        </w:tc>
        <w:tc>
          <w:tcPr>
            <w:tcW w:w="179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144,042,694.08</w:t>
            </w:r>
          </w:p>
        </w:tc>
        <w:tc>
          <w:tcPr>
            <w:tcW w:w="166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47" w:right="0"/>
              <w:jc w:val="left"/>
              <w:rPr>
                <w:rFonts w:ascii="Times New Roman" w:hAnsi="Times New Roman" w:cs="Times New Roman" w:eastAsia="Times New Roman" w:hint="default"/>
                <w:sz w:val="21"/>
                <w:szCs w:val="21"/>
              </w:rPr>
            </w:pPr>
            <w:r>
              <w:rPr>
                <w:rFonts w:ascii="Times New Roman"/>
                <w:sz w:val="21"/>
              </w:rPr>
              <w:t>98,654,343.74</w:t>
            </w:r>
          </w:p>
        </w:tc>
      </w:tr>
    </w:tbl>
    <w:p>
      <w:pPr>
        <w:spacing w:after="0" w:line="241" w:lineRule="exact"/>
        <w:jc w:val="left"/>
        <w:rPr>
          <w:rFonts w:ascii="Times New Roman" w:hAnsi="Times New Roman" w:cs="Times New Roman" w:eastAsia="Times New Roman" w:hint="default"/>
          <w:sz w:val="21"/>
          <w:szCs w:val="21"/>
        </w:rPr>
        <w:sectPr>
          <w:type w:val="continuous"/>
          <w:pgSz w:w="12240" w:h="15840"/>
          <w:pgMar w:top="660" w:bottom="280" w:left="1380" w:right="1060"/>
        </w:sectPr>
      </w:pP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2240" w:h="15840"/>
          <w:pgMar w:header="747" w:footer="727" w:top="1040" w:bottom="920" w:left="1380" w:right="1140"/>
        </w:sectPr>
      </w:pPr>
    </w:p>
    <w:p>
      <w:pPr>
        <w:pStyle w:val="BodyText"/>
        <w:spacing w:line="240" w:lineRule="auto" w:before="35"/>
        <w:ind w:left="504" w:right="-17"/>
        <w:jc w:val="left"/>
      </w:pPr>
      <w:r>
        <w:rPr>
          <w:rFonts w:ascii="Times New Roman" w:hAnsi="Times New Roman" w:cs="Times New Roman" w:eastAsia="Times New Roman" w:hint="default"/>
        </w:rPr>
        <w:t>11</w:t>
      </w:r>
      <w:r>
        <w:rPr/>
        <w:t>、投资收益</w:t>
      </w:r>
    </w:p>
    <w:p>
      <w:pPr>
        <w:pStyle w:val="BodyText"/>
        <w:spacing w:line="240" w:lineRule="auto" w:before="101"/>
        <w:ind w:left="504"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会计报表中的投资收益项目增加：</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31"/>
          <w:szCs w:val="31"/>
        </w:rPr>
      </w:pPr>
    </w:p>
    <w:p>
      <w:pPr>
        <w:pStyle w:val="BodyText"/>
        <w:tabs>
          <w:tab w:pos="1508" w:val="left" w:leader="none"/>
        </w:tabs>
        <w:spacing w:line="240" w:lineRule="auto"/>
        <w:ind w:left="503" w:right="0"/>
        <w:jc w:val="left"/>
      </w:pPr>
      <w:r>
        <w:rPr/>
        <w:t>单位</w:t>
      </w:r>
      <w:r>
        <w:rPr>
          <w:rFonts w:ascii="Times New Roman" w:hAnsi="Times New Roman" w:cs="Times New Roman" w:eastAsia="Times New Roman" w:hint="default"/>
        </w:rPr>
        <w:t>:</w:t>
      </w:r>
      <w:r>
        <w:rPr/>
        <w:t>元</w:t>
        <w:tab/>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660" w:bottom="280" w:left="1380" w:right="1140"/>
          <w:cols w:num="2" w:equalWidth="0">
            <w:col w:w="4005" w:space="2765"/>
            <w:col w:w="2950"/>
          </w:cols>
        </w:sectPr>
      </w:pP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5603"/>
        <w:gridCol w:w="1849"/>
        <w:gridCol w:w="1848"/>
      </w:tblGrid>
      <w:tr>
        <w:trPr>
          <w:trHeight w:val="406" w:hRule="exact"/>
        </w:trPr>
        <w:tc>
          <w:tcPr>
            <w:tcW w:w="5603" w:type="dxa"/>
            <w:tcBorders>
              <w:top w:val="single" w:sz="6" w:space="0" w:color="101010"/>
              <w:left w:val="single" w:sz="6" w:space="0" w:color="101010"/>
              <w:bottom w:val="single" w:sz="6" w:space="0" w:color="101010"/>
              <w:right w:val="single" w:sz="6" w:space="0" w:color="101010"/>
            </w:tcBorders>
          </w:tcPr>
          <w:p>
            <w:pPr/>
          </w:p>
        </w:tc>
        <w:tc>
          <w:tcPr>
            <w:tcW w:w="18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49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5"/>
              <w:ind w:left="49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05" w:hRule="exact"/>
        </w:trPr>
        <w:tc>
          <w:tcPr>
            <w:tcW w:w="560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7,458,447.62</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4,653,346.76</w:t>
            </w:r>
          </w:p>
        </w:tc>
      </w:tr>
      <w:tr>
        <w:trPr>
          <w:trHeight w:val="287" w:hRule="exact"/>
        </w:trPr>
        <w:tc>
          <w:tcPr>
            <w:tcW w:w="56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49" w:type="dxa"/>
            <w:tcBorders>
              <w:top w:val="single" w:sz="6" w:space="0" w:color="101010"/>
              <w:left w:val="single" w:sz="6" w:space="0" w:color="101010"/>
              <w:bottom w:val="single" w:sz="6" w:space="0" w:color="101010"/>
              <w:right w:val="single" w:sz="6" w:space="0" w:color="101010"/>
            </w:tcBorders>
          </w:tcPr>
          <w:p>
            <w:pPr/>
          </w:p>
        </w:tc>
        <w:tc>
          <w:tcPr>
            <w:tcW w:w="1848"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6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49" w:type="dxa"/>
            <w:tcBorders>
              <w:top w:val="single" w:sz="6" w:space="0" w:color="101010"/>
              <w:left w:val="single" w:sz="6" w:space="0" w:color="101010"/>
              <w:bottom w:val="single" w:sz="6" w:space="0" w:color="101010"/>
              <w:right w:val="single" w:sz="6" w:space="0" w:color="101010"/>
            </w:tcBorders>
          </w:tcPr>
          <w:p>
            <w:pPr/>
          </w:p>
        </w:tc>
        <w:tc>
          <w:tcPr>
            <w:tcW w:w="1848"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560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持有交易性金融资产、持有至到期投资、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可供出售金融资产等期间取得的投资收益</w:t>
            </w:r>
          </w:p>
        </w:tc>
        <w:tc>
          <w:tcPr>
            <w:tcW w:w="1849" w:type="dxa"/>
            <w:tcBorders>
              <w:top w:val="single" w:sz="6" w:space="0" w:color="101010"/>
              <w:left w:val="single" w:sz="6" w:space="0" w:color="101010"/>
              <w:bottom w:val="single" w:sz="6" w:space="0" w:color="101010"/>
              <w:right w:val="single" w:sz="6" w:space="0" w:color="101010"/>
            </w:tcBorders>
          </w:tcPr>
          <w:p>
            <w:pPr/>
          </w:p>
        </w:tc>
        <w:tc>
          <w:tcPr>
            <w:tcW w:w="1848"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560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处置交易性金融资产、持有至到期投资、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49" w:type="dxa"/>
            <w:tcBorders>
              <w:top w:val="single" w:sz="6" w:space="0" w:color="101010"/>
              <w:left w:val="single" w:sz="6" w:space="0" w:color="101010"/>
              <w:bottom w:val="single" w:sz="6" w:space="0" w:color="101010"/>
              <w:right w:val="single" w:sz="6" w:space="0" w:color="101010"/>
            </w:tcBorders>
          </w:tcPr>
          <w:p>
            <w:pP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6"/>
              <w:jc w:val="right"/>
              <w:rPr>
                <w:rFonts w:ascii="Times New Roman" w:hAnsi="Times New Roman" w:cs="Times New Roman" w:eastAsia="Times New Roman" w:hint="default"/>
                <w:sz w:val="21"/>
                <w:szCs w:val="21"/>
              </w:rPr>
            </w:pPr>
            <w:r>
              <w:rPr>
                <w:rFonts w:ascii="Times New Roman"/>
                <w:spacing w:val="-1"/>
                <w:sz w:val="21"/>
              </w:rPr>
              <w:t>4,477,026.76</w:t>
            </w:r>
          </w:p>
        </w:tc>
      </w:tr>
      <w:tr>
        <w:trPr>
          <w:trHeight w:val="288" w:hRule="exact"/>
        </w:trPr>
        <w:tc>
          <w:tcPr>
            <w:tcW w:w="56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1849" w:type="dxa"/>
            <w:tcBorders>
              <w:top w:val="single" w:sz="6" w:space="0" w:color="101010"/>
              <w:left w:val="single" w:sz="6" w:space="0" w:color="101010"/>
              <w:bottom w:val="single" w:sz="6" w:space="0" w:color="101010"/>
              <w:right w:val="single" w:sz="6" w:space="0" w:color="101010"/>
            </w:tcBorders>
          </w:tcPr>
          <w:p>
            <w:pPr/>
          </w:p>
        </w:tc>
        <w:tc>
          <w:tcPr>
            <w:tcW w:w="1848"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5603"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7,458,447.62</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9,130,373.52</w:t>
            </w:r>
          </w:p>
        </w:tc>
      </w:tr>
    </w:tbl>
    <w:p>
      <w:pPr>
        <w:spacing w:line="240" w:lineRule="auto" w:before="9"/>
        <w:rPr>
          <w:rFonts w:ascii="宋体" w:hAnsi="宋体" w:cs="宋体" w:eastAsia="宋体" w:hint="default"/>
          <w:sz w:val="24"/>
          <w:szCs w:val="24"/>
        </w:rPr>
      </w:pPr>
    </w:p>
    <w:p>
      <w:pPr>
        <w:pStyle w:val="BodyText"/>
        <w:spacing w:line="240" w:lineRule="auto" w:before="35"/>
        <w:ind w:left="504" w:right="226"/>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关联方及关联交易</w:t>
      </w:r>
    </w:p>
    <w:p>
      <w:pPr>
        <w:spacing w:line="240" w:lineRule="auto" w:before="4"/>
        <w:rPr>
          <w:rFonts w:ascii="宋体" w:hAnsi="宋体" w:cs="宋体" w:eastAsia="宋体" w:hint="default"/>
          <w:sz w:val="9"/>
          <w:szCs w:val="9"/>
        </w:rPr>
      </w:pPr>
    </w:p>
    <w:p>
      <w:pPr>
        <w:pStyle w:val="BodyText"/>
        <w:spacing w:line="240" w:lineRule="auto" w:before="35"/>
        <w:ind w:left="503" w:right="226"/>
        <w:jc w:val="left"/>
      </w:pPr>
      <w:r>
        <w:rPr>
          <w:rFonts w:ascii="Times New Roman" w:hAnsi="Times New Roman" w:cs="Times New Roman" w:eastAsia="Times New Roman" w:hint="default"/>
        </w:rPr>
        <w:t>1</w:t>
      </w:r>
      <w:r>
        <w:rPr/>
        <w:t>、本企业的子公司情况</w:t>
      </w:r>
    </w:p>
    <w:p>
      <w:pPr>
        <w:pStyle w:val="BodyText"/>
        <w:spacing w:line="240" w:lineRule="auto" w:before="35"/>
        <w:ind w:left="0" w:right="331"/>
        <w:jc w:val="righ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5"/>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818"/>
        <w:gridCol w:w="767"/>
        <w:gridCol w:w="940"/>
        <w:gridCol w:w="988"/>
        <w:gridCol w:w="1244"/>
        <w:gridCol w:w="1415"/>
        <w:gridCol w:w="1279"/>
      </w:tblGrid>
      <w:tr>
        <w:trPr>
          <w:trHeight w:val="560"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875"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地</w:t>
            </w:r>
          </w:p>
        </w:tc>
        <w:tc>
          <w:tcPr>
            <w:tcW w:w="94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31"/>
              <w:ind w:right="1"/>
              <w:jc w:val="center"/>
              <w:rPr>
                <w:rFonts w:ascii="Times New Roman" w:hAnsi="Times New Roman" w:cs="Times New Roman" w:eastAsia="Times New Roman" w:hint="default"/>
                <w:sz w:val="21"/>
                <w:szCs w:val="21"/>
              </w:rPr>
            </w:pPr>
            <w:r>
              <w:rPr>
                <w:rFonts w:ascii="Times New Roman"/>
                <w:sz w:val="21"/>
              </w:rPr>
              <w:t>(%)</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40" w:lineRule="auto" w:before="31"/>
              <w:ind w:right="1"/>
              <w:jc w:val="center"/>
              <w:rPr>
                <w:rFonts w:ascii="Times New Roman" w:hAnsi="Times New Roman" w:cs="Times New Roman" w:eastAsia="Times New Roman" w:hint="default"/>
                <w:sz w:val="21"/>
                <w:szCs w:val="21"/>
              </w:rPr>
            </w:pPr>
            <w:r>
              <w:rPr>
                <w:rFonts w:ascii="Times New Roman"/>
                <w:sz w:val="21"/>
              </w:rPr>
              <w:t>(%)</w:t>
            </w:r>
          </w:p>
        </w:tc>
        <w:tc>
          <w:tcPr>
            <w:tcW w:w="127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305"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99.50</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99.50</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深圳市金至典科技有限公司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80</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80</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80</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80</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成都市金证科技有限责任公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z w:val="21"/>
              </w:rPr>
              <w:t>90</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z w:val="21"/>
              </w:rPr>
              <w:t>90</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沈阳市金证科技有限公司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90</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90</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广州市金证科技有限公司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90</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90</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郑州市金证科技有限公司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90</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90</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深圳市金慧盈通数据服务有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1,100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pacing w:val="-1"/>
                <w:sz w:val="21"/>
              </w:rPr>
              <w:t>85.45</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pacing w:val="-1"/>
                <w:sz w:val="21"/>
              </w:rPr>
              <w:t>85.45</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深圳市齐普生信息科技有限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5,000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z w:val="21"/>
              </w:rPr>
              <w:t>53</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z w:val="21"/>
              </w:rPr>
              <w:t>53</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深圳市金证卡尔电子有限公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1,000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z w:val="21"/>
              </w:rPr>
              <w:t>70</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z w:val="21"/>
              </w:rPr>
              <w:t>70</w:t>
            </w:r>
          </w:p>
        </w:tc>
        <w:tc>
          <w:tcPr>
            <w:tcW w:w="1279"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深圳市金证软银科技有限公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940" w:type="dxa"/>
            <w:tcBorders>
              <w:top w:val="single" w:sz="6" w:space="0" w:color="101010"/>
              <w:left w:val="single" w:sz="6" w:space="0" w:color="101010"/>
              <w:bottom w:val="single" w:sz="6" w:space="0" w:color="101010"/>
              <w:right w:val="single" w:sz="6" w:space="0" w:color="101010"/>
            </w:tcBorders>
          </w:tcPr>
          <w:p>
            <w:pPr/>
          </w:p>
        </w:tc>
        <w:tc>
          <w:tcPr>
            <w:tcW w:w="9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12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4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279"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40" w:lineRule="auto" w:before="84"/>
        <w:ind w:left="504" w:right="226"/>
        <w:jc w:val="left"/>
      </w:pPr>
      <w:r>
        <w:rPr>
          <w:rFonts w:ascii="Times New Roman" w:hAnsi="Times New Roman" w:cs="Times New Roman" w:eastAsia="Times New Roman" w:hint="default"/>
        </w:rPr>
        <w:t>2</w:t>
      </w:r>
      <w:r>
        <w:rPr/>
        <w:t>、本企业的其他关联方情况</w:t>
      </w:r>
    </w:p>
    <w:p>
      <w:pPr>
        <w:spacing w:line="240" w:lineRule="auto" w:before="6"/>
        <w:rPr>
          <w:rFonts w:ascii="宋体" w:hAnsi="宋体" w:cs="宋体" w:eastAsia="宋体" w:hint="default"/>
          <w:sz w:val="10"/>
          <w:szCs w:val="10"/>
        </w:rPr>
      </w:pPr>
    </w:p>
    <w:tbl>
      <w:tblPr>
        <w:tblW w:w="0" w:type="auto"/>
        <w:jc w:val="left"/>
        <w:tblInd w:w="129" w:type="dxa"/>
        <w:tblLayout w:type="fixed"/>
        <w:tblCellMar>
          <w:top w:w="0" w:type="dxa"/>
          <w:left w:w="0" w:type="dxa"/>
          <w:bottom w:w="0" w:type="dxa"/>
          <w:right w:w="0" w:type="dxa"/>
        </w:tblCellMar>
        <w:tblLook w:val="01E0"/>
      </w:tblPr>
      <w:tblGrid>
        <w:gridCol w:w="3943"/>
        <w:gridCol w:w="3382"/>
        <w:gridCol w:w="1975"/>
      </w:tblGrid>
      <w:tr>
        <w:trPr>
          <w:trHeight w:val="436"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228"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27"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c>
          <w:tcPr>
            <w:tcW w:w="19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5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8" w:hRule="exact"/>
        </w:trPr>
        <w:tc>
          <w:tcPr>
            <w:tcW w:w="39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33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5" w:type="dxa"/>
            <w:tcBorders>
              <w:top w:val="single" w:sz="6" w:space="0" w:color="101010"/>
              <w:left w:val="single" w:sz="6" w:space="0" w:color="101010"/>
              <w:bottom w:val="single" w:sz="6" w:space="0" w:color="101010"/>
              <w:right w:val="single" w:sz="6" w:space="0" w:color="101010"/>
            </w:tcBorders>
          </w:tcPr>
          <w:p>
            <w:pPr/>
          </w:p>
        </w:tc>
      </w:tr>
    </w:tbl>
    <w:p>
      <w:pPr>
        <w:pStyle w:val="BodyText"/>
        <w:spacing w:line="324" w:lineRule="auto" w:before="84"/>
        <w:ind w:left="503" w:right="6257"/>
        <w:jc w:val="left"/>
      </w:pPr>
      <w:r>
        <w:rPr>
          <w:rFonts w:ascii="Times New Roman" w:hAnsi="Times New Roman" w:cs="Times New Roman" w:eastAsia="Times New Roman" w:hint="default"/>
        </w:rPr>
        <w:t>3</w:t>
      </w:r>
      <w:r>
        <w:rPr/>
        <w:t>、关联交易情况 本报告期公司无关联交易事项。</w:t>
      </w:r>
    </w:p>
    <w:p>
      <w:pPr>
        <w:spacing w:after="0" w:line="324" w:lineRule="auto"/>
        <w:jc w:val="left"/>
        <w:sectPr>
          <w:type w:val="continuous"/>
          <w:pgSz w:w="12240" w:h="15840"/>
          <w:pgMar w:top="660" w:bottom="280" w:left="1380" w:right="1140"/>
        </w:sectPr>
      </w:pPr>
    </w:p>
    <w:p>
      <w:pPr>
        <w:spacing w:line="240" w:lineRule="auto" w:before="3"/>
        <w:rPr>
          <w:rFonts w:ascii="宋体" w:hAnsi="宋体" w:cs="宋体" w:eastAsia="宋体" w:hint="default"/>
          <w:sz w:val="24"/>
          <w:szCs w:val="24"/>
        </w:rPr>
      </w:pPr>
    </w:p>
    <w:p>
      <w:pPr>
        <w:pStyle w:val="BodyText"/>
        <w:spacing w:line="331" w:lineRule="auto" w:before="35"/>
        <w:ind w:left="503" w:right="7677"/>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t>股份支付：</w:t>
      </w:r>
      <w:r>
        <w:rPr>
          <w:w w:val="99"/>
        </w:rPr>
        <w:t> </w:t>
      </w:r>
      <w:r>
        <w:rPr/>
        <w:t>无</w:t>
      </w:r>
      <w:r>
        <w:rPr>
          <w:w w:val="99"/>
        </w:rPr>
        <w:t> </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或有事项：</w:t>
      </w:r>
      <w:r>
        <w:rPr>
          <w:w w:val="99"/>
        </w:rPr>
        <w:t> </w:t>
      </w:r>
      <w:r>
        <w:rPr/>
        <w:t>无</w:t>
      </w:r>
    </w:p>
    <w:p>
      <w:pPr>
        <w:pStyle w:val="BodyText"/>
        <w:spacing w:line="240" w:lineRule="auto" w:before="36"/>
        <w:ind w:left="503" w:right="96"/>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承诺事项：</w:t>
      </w:r>
    </w:p>
    <w:p>
      <w:pPr>
        <w:pStyle w:val="BodyText"/>
        <w:spacing w:line="240" w:lineRule="auto" w:before="101"/>
        <w:ind w:left="503" w:right="96"/>
        <w:jc w:val="left"/>
      </w:pPr>
      <w:r>
        <w:rPr/>
        <w:t>截止</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日，本公司无需要披露的承诺事项。</w:t>
      </w:r>
    </w:p>
    <w:p>
      <w:pPr>
        <w:pStyle w:val="BodyText"/>
        <w:spacing w:line="240" w:lineRule="auto" w:before="101"/>
        <w:ind w:left="502" w:right="96"/>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t>资产负债表日后事项：</w:t>
      </w:r>
    </w:p>
    <w:p>
      <w:pPr>
        <w:pStyle w:val="BodyText"/>
        <w:spacing w:line="282" w:lineRule="exact" w:before="103"/>
        <w:ind w:left="502" w:right="0"/>
        <w:jc w:val="left"/>
      </w:pPr>
      <w:r>
        <w:rPr>
          <w:rFonts w:ascii="Times New Roman" w:hAnsi="Times New Roman" w:cs="Times New Roman" w:eastAsia="Times New Roman" w:hint="default"/>
          <w:spacing w:val="-11"/>
        </w:rPr>
        <w:t>1</w:t>
      </w:r>
      <w:r>
        <w:rPr>
          <w:spacing w:val="-11"/>
        </w:rPr>
        <w:t>）</w:t>
      </w:r>
      <w:r>
        <w:rPr>
          <w:rFonts w:ascii="Times New Roman" w:hAnsi="Times New Roman" w:cs="Times New Roman" w:eastAsia="Times New Roman" w:hint="default"/>
          <w:spacing w:val="-11"/>
        </w:rPr>
        <w:t>2008</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4 </w:t>
      </w:r>
      <w:r>
        <w:rPr/>
        <w:t>月</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spacing w:val="-7"/>
        </w:rPr>
        <w:t>日，本公司第三届董事会</w:t>
      </w:r>
      <w:r>
        <w:rPr>
          <w:spacing w:val="-52"/>
        </w:rPr>
        <w:t> </w:t>
      </w:r>
      <w:r>
        <w:rPr>
          <w:rFonts w:ascii="Times New Roman" w:hAnsi="Times New Roman" w:cs="Times New Roman" w:eastAsia="Times New Roman" w:hint="default"/>
        </w:rPr>
        <w:t>2008 </w:t>
      </w:r>
      <w:r>
        <w:rPr>
          <w:spacing w:val="-3"/>
        </w:rPr>
        <w:t>年第三次会议就利润分配作出了预案，会议决议：</w:t>
      </w:r>
    </w:p>
    <w:p>
      <w:pPr>
        <w:pStyle w:val="BodyText"/>
        <w:spacing w:line="282" w:lineRule="exact"/>
        <w:ind w:left="143" w:right="0"/>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年度不分配利润，也不进行资本公积金转增股本。</w:t>
      </w:r>
    </w:p>
    <w:p>
      <w:pPr>
        <w:pStyle w:val="BodyText"/>
        <w:spacing w:line="282" w:lineRule="exact" w:before="101"/>
        <w:ind w:left="502" w:right="96"/>
        <w:jc w:val="left"/>
      </w:pPr>
      <w:r>
        <w:rPr>
          <w:rFonts w:ascii="Times New Roman" w:hAnsi="Times New Roman" w:cs="Times New Roman" w:eastAsia="Times New Roman" w:hint="default"/>
          <w:spacing w:val="-4"/>
        </w:rPr>
        <w:t>2</w:t>
      </w:r>
      <w:r>
        <w:rPr>
          <w:spacing w:val="-4"/>
        </w:rPr>
        <w:t>）本公司于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日与中国建设银行股份有限公司深圳分行签订了《综合融资额度保证</w:t>
      </w:r>
    </w:p>
    <w:p>
      <w:pPr>
        <w:pStyle w:val="BodyText"/>
        <w:spacing w:line="272" w:lineRule="exact"/>
        <w:ind w:left="143" w:right="0"/>
        <w:jc w:val="both"/>
      </w:pPr>
      <w:r>
        <w:rPr/>
        <w:t>合同</w:t>
      </w:r>
      <w:r>
        <w:rPr>
          <w:spacing w:val="-105"/>
        </w:rPr>
        <w:t>》</w:t>
      </w:r>
      <w:r>
        <w:rPr/>
        <w:t>（保</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7"/>
        </w:rPr>
        <w:t> </w:t>
      </w:r>
      <w:r>
        <w:rPr/>
        <w:t>综</w:t>
      </w:r>
      <w:r>
        <w:rPr>
          <w:spacing w:val="-47"/>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08</w:t>
      </w:r>
      <w:r>
        <w:rPr>
          <w:rFonts w:ascii="Times New Roman" w:hAnsi="Times New Roman" w:cs="Times New Roman" w:eastAsia="Times New Roman" w:hint="default"/>
        </w:rPr>
        <w:t>6</w:t>
      </w:r>
      <w:r>
        <w:rPr>
          <w:rFonts w:ascii="Times New Roman" w:hAnsi="Times New Roman" w:cs="Times New Roman" w:eastAsia="Times New Roman" w:hint="default"/>
          <w:spacing w:val="-1"/>
        </w:rPr>
        <w:t>R-1</w:t>
      </w:r>
      <w:r>
        <w:rPr>
          <w:spacing w:val="-105"/>
        </w:rPr>
        <w:t>）</w:t>
      </w:r>
      <w:r>
        <w:rPr/>
        <w:t>，为</w:t>
      </w:r>
      <w:r>
        <w:rPr>
          <w:spacing w:val="-2"/>
        </w:rPr>
        <w:t>控</w:t>
      </w:r>
      <w:r>
        <w:rPr/>
        <w:t>股子公司</w:t>
      </w:r>
      <w:r>
        <w:rPr>
          <w:rFonts w:ascii="Times New Roman" w:hAnsi="Times New Roman" w:cs="Times New Roman" w:eastAsia="Times New Roman" w:hint="default"/>
        </w:rPr>
        <w:t>—</w:t>
      </w:r>
      <w:r>
        <w:rPr/>
        <w:t>深圳市齐普生信息科技有限公司</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w:t>
      </w:r>
    </w:p>
    <w:p>
      <w:pPr>
        <w:pStyle w:val="BodyText"/>
        <w:spacing w:line="281" w:lineRule="exact"/>
        <w:ind w:left="143" w:right="0"/>
        <w:jc w:val="both"/>
      </w:pPr>
      <w:r>
        <w:rPr/>
        <w:t>至</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日期间内总额在</w:t>
      </w:r>
      <w:r>
        <w:rPr>
          <w:spacing w:val="-55"/>
        </w:rPr>
        <w:t> </w:t>
      </w:r>
      <w:r>
        <w:rPr>
          <w:rFonts w:ascii="Times New Roman" w:hAnsi="Times New Roman" w:cs="Times New Roman" w:eastAsia="Times New Roman" w:hint="default"/>
        </w:rPr>
        <w:t>3500</w:t>
      </w:r>
      <w:r>
        <w:rPr>
          <w:rFonts w:ascii="Times New Roman" w:hAnsi="Times New Roman" w:cs="Times New Roman" w:eastAsia="Times New Roman" w:hint="default"/>
          <w:spacing w:val="-2"/>
        </w:rPr>
        <w:t> </w:t>
      </w:r>
      <w:r>
        <w:rPr/>
        <w:t>万元内的借款提供连带责任保证。</w:t>
      </w:r>
    </w:p>
    <w:p>
      <w:pPr>
        <w:pStyle w:val="BodyText"/>
        <w:spacing w:line="281" w:lineRule="exact" w:before="103"/>
        <w:ind w:left="502" w:right="96"/>
        <w:jc w:val="left"/>
      </w:pPr>
      <w:r>
        <w:rPr>
          <w:rFonts w:ascii="Times New Roman" w:hAnsi="Times New Roman" w:cs="Times New Roman" w:eastAsia="Times New Roman" w:hint="default"/>
        </w:rPr>
        <w:t>3</w:t>
      </w:r>
      <w:r>
        <w:rPr/>
        <w:t>）公司于</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日以通讯表决方式召开第三届董事会</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年第二次会议，会议审议通</w:t>
      </w:r>
    </w:p>
    <w:p>
      <w:pPr>
        <w:pStyle w:val="BodyText"/>
        <w:spacing w:line="272" w:lineRule="exact"/>
        <w:ind w:left="143" w:right="0"/>
        <w:jc w:val="both"/>
      </w:pPr>
      <w:r>
        <w:rPr/>
        <w:t>过如下决议</w:t>
      </w:r>
      <w:r>
        <w:rPr>
          <w:spacing w:val="-133"/>
        </w:rPr>
        <w:t>：</w:t>
      </w:r>
      <w:r>
        <w:rPr/>
        <w:t>（</w:t>
      </w:r>
      <w:r>
        <w:rPr>
          <w:rFonts w:ascii="Times New Roman" w:hAnsi="Times New Roman" w:cs="Times New Roman" w:eastAsia="Times New Roman" w:hint="default"/>
        </w:rPr>
        <w:t>1</w:t>
      </w:r>
      <w:r>
        <w:rPr>
          <w:spacing w:val="-27"/>
        </w:rPr>
        <w:t>）</w:t>
      </w:r>
      <w:r>
        <w:rPr/>
        <w:t>同意公司用不超过</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万元自</w:t>
      </w:r>
      <w:r>
        <w:rPr>
          <w:spacing w:val="-2"/>
        </w:rPr>
        <w:t>有</w:t>
      </w:r>
      <w:r>
        <w:rPr/>
        <w:t>资金投资银行现金增值产品</w:t>
      </w:r>
      <w:r>
        <w:rPr>
          <w:spacing w:val="-131"/>
        </w:rPr>
        <w:t>；</w:t>
      </w:r>
      <w:r>
        <w:rPr/>
        <w:t>（</w:t>
      </w:r>
      <w:r>
        <w:rPr>
          <w:rFonts w:ascii="Times New Roman" w:hAnsi="Times New Roman" w:cs="Times New Roman" w:eastAsia="Times New Roman" w:hint="default"/>
        </w:rPr>
        <w:t>2</w:t>
      </w:r>
      <w:r>
        <w:rPr>
          <w:spacing w:val="-27"/>
        </w:rPr>
        <w:t>）</w:t>
      </w:r>
      <w:r>
        <w:rPr/>
        <w:t>通过关于运用不</w:t>
      </w:r>
    </w:p>
    <w:p>
      <w:pPr>
        <w:pStyle w:val="BodyText"/>
        <w:spacing w:line="272" w:lineRule="exact"/>
        <w:ind w:right="0"/>
        <w:jc w:val="both"/>
      </w:pPr>
      <w:r>
        <w:rPr/>
        <w:t>超过人民币</w:t>
      </w:r>
      <w:r>
        <w:rPr>
          <w:spacing w:val="-53"/>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万元闲</w:t>
      </w:r>
      <w:r>
        <w:rPr>
          <w:spacing w:val="-2"/>
        </w:rPr>
        <w:t>置</w:t>
      </w:r>
      <w:r>
        <w:rPr/>
        <w:t>资金申购新股的议案</w:t>
      </w:r>
      <w:r>
        <w:rPr>
          <w:spacing w:val="-157"/>
        </w:rPr>
        <w:t>。</w:t>
      </w:r>
      <w:r>
        <w:rPr/>
        <w:t>（</w:t>
      </w:r>
      <w:r>
        <w:rPr>
          <w:rFonts w:ascii="Times New Roman" w:hAnsi="Times New Roman" w:cs="Times New Roman" w:eastAsia="Times New Roman" w:hint="default"/>
          <w:spacing w:val="-1"/>
        </w:rPr>
        <w:t>3</w:t>
      </w:r>
      <w:r>
        <w:rPr>
          <w:spacing w:val="-52"/>
        </w:rPr>
        <w:t>）</w:t>
      </w:r>
      <w:r>
        <w:rPr/>
        <w:t>公司将向兴业银行深圳福田支行申请累计不超过</w:t>
      </w:r>
    </w:p>
    <w:p>
      <w:pPr>
        <w:pStyle w:val="BodyText"/>
        <w:spacing w:line="272" w:lineRule="exact" w:before="18"/>
        <w:ind w:left="144" w:right="211"/>
        <w:jc w:val="both"/>
      </w:pPr>
      <w:r>
        <w:rPr/>
        <w:t>人民币</w:t>
      </w:r>
      <w:r>
        <w:rPr>
          <w:spacing w:val="-50"/>
        </w:rPr>
        <w:t> </w:t>
      </w:r>
      <w:r>
        <w:rPr>
          <w:rFonts w:ascii="Times New Roman" w:hAnsi="Times New Roman" w:cs="Times New Roman" w:eastAsia="Times New Roman" w:hint="default"/>
        </w:rPr>
        <w:t>2857</w:t>
      </w:r>
      <w:r>
        <w:rPr>
          <w:rFonts w:ascii="Times New Roman" w:hAnsi="Times New Roman" w:cs="Times New Roman" w:eastAsia="Times New Roman" w:hint="default"/>
          <w:spacing w:val="2"/>
        </w:rPr>
        <w:t> </w:t>
      </w:r>
      <w:r>
        <w:rPr>
          <w:spacing w:val="-3"/>
        </w:rPr>
        <w:t>万元整的综合授信业务，业务品种为银行承兑汇票、保函，额度项下可融通使用，开立银</w:t>
      </w:r>
      <w:r>
        <w:rPr/>
        <w:t> 行承兑和保函各收取</w:t>
      </w:r>
      <w:r>
        <w:rPr>
          <w:spacing w:val="-70"/>
        </w:rPr>
        <w:t> </w:t>
      </w:r>
      <w:r>
        <w:rPr>
          <w:rFonts w:ascii="Times New Roman" w:hAnsi="Times New Roman" w:cs="Times New Roman" w:eastAsia="Times New Roman" w:hint="default"/>
        </w:rPr>
        <w:t>30%</w:t>
      </w:r>
      <w:r>
        <w:rPr/>
        <w:t>保证金，并由深圳市齐普生信息科技有限公司提供保证担保。日期间内总额 在</w:t>
      </w:r>
      <w:r>
        <w:rPr>
          <w:spacing w:val="-55"/>
        </w:rPr>
        <w:t> </w:t>
      </w:r>
      <w:r>
        <w:rPr>
          <w:rFonts w:ascii="Times New Roman" w:hAnsi="Times New Roman" w:cs="Times New Roman" w:eastAsia="Times New Roman" w:hint="default"/>
        </w:rPr>
        <w:t>3500</w:t>
      </w:r>
      <w:r>
        <w:rPr>
          <w:rFonts w:ascii="Times New Roman" w:hAnsi="Times New Roman" w:cs="Times New Roman" w:eastAsia="Times New Roman" w:hint="default"/>
          <w:spacing w:val="-2"/>
        </w:rPr>
        <w:t> </w:t>
      </w:r>
      <w:r>
        <w:rPr/>
        <w:t>万元内的借款提供连带责任保证。</w:t>
      </w:r>
    </w:p>
    <w:p>
      <w:pPr>
        <w:pStyle w:val="BodyText"/>
        <w:spacing w:line="240" w:lineRule="auto" w:before="93"/>
        <w:ind w:left="503" w:right="96"/>
        <w:jc w:val="left"/>
      </w:pPr>
      <w:r>
        <w:rPr/>
        <w:t>除上述事项外，截止</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日，本公司无需要披露的重大资产负债表日后事项。</w:t>
      </w:r>
    </w:p>
    <w:p>
      <w:pPr>
        <w:pStyle w:val="BodyText"/>
        <w:spacing w:line="324" w:lineRule="auto" w:before="32"/>
        <w:ind w:left="502" w:right="7040"/>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其他重要事项：</w:t>
      </w:r>
      <w:r>
        <w:rPr>
          <w:w w:val="99"/>
        </w:rPr>
        <w:t> </w:t>
      </w:r>
      <w:r>
        <w:rPr>
          <w:rFonts w:ascii="Times New Roman" w:hAnsi="Times New Roman" w:cs="Times New Roman" w:eastAsia="Times New Roman" w:hint="default"/>
        </w:rPr>
        <w:t>1</w:t>
      </w:r>
      <w:r>
        <w:rPr/>
        <w:t>）</w:t>
      </w:r>
      <w:r>
        <w:rPr>
          <w:spacing w:val="-62"/>
        </w:rPr>
        <w:t> </w:t>
      </w:r>
      <w:r>
        <w:rPr/>
        <w:t>委托理财诉讼事项</w:t>
      </w:r>
    </w:p>
    <w:p>
      <w:pPr>
        <w:pStyle w:val="BodyText"/>
        <w:spacing w:line="282" w:lineRule="exact" w:before="20"/>
        <w:ind w:left="501" w:right="96"/>
        <w:jc w:val="left"/>
      </w:pPr>
      <w:r>
        <w:rPr/>
        <w:t>本公司与天一证券有限责任公司于</w:t>
      </w:r>
      <w:r>
        <w:rPr>
          <w:spacing w:val="-54"/>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日和</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3"/>
        </w:rPr>
        <w:t>日分别签订两份《国债委托管理及</w:t>
      </w:r>
    </w:p>
    <w:p>
      <w:pPr>
        <w:pStyle w:val="BodyText"/>
        <w:spacing w:line="272" w:lineRule="exact" w:before="18"/>
        <w:ind w:left="143" w:right="213" w:hanging="1"/>
        <w:jc w:val="both"/>
      </w:pPr>
      <w:r>
        <w:rPr>
          <w:spacing w:val="-8"/>
        </w:rPr>
        <w:t>买卖协议》，约定由本公司将自有资金</w:t>
      </w:r>
      <w:r>
        <w:rPr>
          <w:spacing w:val="-40"/>
        </w:rPr>
        <w:t> </w:t>
      </w:r>
      <w:r>
        <w:rPr>
          <w:rFonts w:ascii="Times New Roman" w:hAnsi="Times New Roman" w:cs="Times New Roman" w:eastAsia="Times New Roman" w:hint="default"/>
          <w:spacing w:val="-1"/>
        </w:rPr>
        <w:t>5,000</w:t>
      </w:r>
      <w:r>
        <w:rPr>
          <w:rFonts w:ascii="Times New Roman" w:hAnsi="Times New Roman" w:cs="Times New Roman" w:eastAsia="Times New Roman" w:hint="default"/>
          <w:spacing w:val="13"/>
        </w:rPr>
        <w:t> </w:t>
      </w:r>
      <w:r>
        <w:rPr>
          <w:spacing w:val="-2"/>
        </w:rPr>
        <w:t>万元委托天一证券有限责任公司进行国债买卖及管理。协</w:t>
      </w:r>
      <w:r>
        <w:rPr>
          <w:spacing w:val="-103"/>
        </w:rPr>
        <w:t> </w:t>
      </w:r>
      <w:r>
        <w:rPr>
          <w:spacing w:val="-103"/>
        </w:rPr>
      </w:r>
      <w:r>
        <w:rPr/>
        <w:t>议到期后，天一证券有限责任公司未向本公司支付委托资金及收益，并提出资金困难，请求继续延长 委托期限。本公司同意延长委托期限，双方就其中</w:t>
      </w:r>
      <w:r>
        <w:rPr>
          <w:spacing w:val="-5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t>万元委托资金本金于</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日签订</w:t>
      </w:r>
    </w:p>
    <w:p>
      <w:pPr>
        <w:pStyle w:val="BodyText"/>
        <w:spacing w:line="253" w:lineRule="exact"/>
        <w:ind w:left="143" w:right="0"/>
        <w:jc w:val="both"/>
      </w:pPr>
      <w:r>
        <w:rPr/>
        <w:t>《委托理财协议</w:t>
      </w:r>
      <w:r>
        <w:rPr>
          <w:spacing w:val="-105"/>
        </w:rPr>
        <w:t>》</w:t>
      </w:r>
      <w:r>
        <w:rPr/>
        <w:t>，约</w:t>
      </w:r>
      <w:r>
        <w:rPr>
          <w:spacing w:val="-2"/>
        </w:rPr>
        <w:t>定</w:t>
      </w:r>
      <w:r>
        <w:rPr/>
        <w:t>本公司将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00 </w:t>
      </w:r>
      <w:r>
        <w:rPr/>
        <w:t>万元委</w:t>
      </w:r>
      <w:r>
        <w:rPr>
          <w:spacing w:val="-2"/>
        </w:rPr>
        <w:t>托</w:t>
      </w:r>
      <w:r>
        <w:rPr/>
        <w:t>天一证券有限责任公司进行国债买卖，委托期限从</w:t>
      </w:r>
    </w:p>
    <w:p>
      <w:pPr>
        <w:pStyle w:val="BodyText"/>
        <w:spacing w:line="272" w:lineRule="exact"/>
        <w:ind w:left="143" w:right="0"/>
        <w:jc w:val="both"/>
      </w:pP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日止，天一证券有限责任公司以其有处分权的</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万股宁波富达</w:t>
      </w:r>
    </w:p>
    <w:p>
      <w:pPr>
        <w:pStyle w:val="BodyText"/>
        <w:spacing w:line="272" w:lineRule="exact"/>
        <w:ind w:left="143" w:right="0"/>
        <w:jc w:val="both"/>
      </w:pPr>
      <w:r>
        <w:rPr/>
        <w:t>股票作为质押。就其中</w:t>
      </w:r>
      <w:r>
        <w:rPr>
          <w:spacing w:val="-55"/>
        </w:rPr>
        <w:t> </w:t>
      </w:r>
      <w:r>
        <w:rPr>
          <w:rFonts w:ascii="Times New Roman" w:hAnsi="Times New Roman" w:cs="Times New Roman" w:eastAsia="Times New Roman" w:hint="default"/>
        </w:rPr>
        <w:t>3,500</w:t>
      </w:r>
      <w:r>
        <w:rPr>
          <w:rFonts w:ascii="Times New Roman" w:hAnsi="Times New Roman" w:cs="Times New Roman" w:eastAsia="Times New Roman" w:hint="default"/>
          <w:spacing w:val="-2"/>
        </w:rPr>
        <w:t> </w:t>
      </w:r>
      <w:r>
        <w:rPr/>
        <w:t>万元委托资金本金延长委托期限，双方于</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日签订《委托</w:t>
      </w:r>
    </w:p>
    <w:p>
      <w:pPr>
        <w:pStyle w:val="BodyText"/>
        <w:spacing w:line="272" w:lineRule="exact"/>
        <w:ind w:left="143" w:right="0"/>
        <w:jc w:val="both"/>
        <w:rPr>
          <w:rFonts w:ascii="Times New Roman" w:hAnsi="Times New Roman" w:cs="Times New Roman" w:eastAsia="Times New Roman" w:hint="default"/>
        </w:rPr>
      </w:pPr>
      <w:r>
        <w:rPr/>
        <w:t>理财协议</w:t>
      </w:r>
      <w:r>
        <w:rPr>
          <w:spacing w:val="-105"/>
        </w:rPr>
        <w:t>》</w:t>
      </w:r>
      <w:r>
        <w:rPr>
          <w:spacing w:val="-53"/>
        </w:rPr>
        <w:t>，</w:t>
      </w:r>
      <w:r>
        <w:rPr/>
        <w:t>约定本公司将</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w:t>
      </w:r>
      <w:r>
        <w:rPr>
          <w:spacing w:val="-2"/>
        </w:rPr>
        <w:t>元</w:t>
      </w:r>
      <w:r>
        <w:rPr/>
        <w:t>委托天一证券有限责任公司进行国债买卖</w:t>
      </w:r>
      <w:r>
        <w:rPr>
          <w:spacing w:val="-52"/>
        </w:rPr>
        <w:t>，</w:t>
      </w:r>
      <w:r>
        <w:rPr/>
        <w:t>委托期限从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p>
    <w:p>
      <w:pPr>
        <w:pStyle w:val="BodyText"/>
        <w:spacing w:line="272" w:lineRule="exact" w:before="18"/>
        <w:ind w:right="212" w:hanging="2"/>
        <w:jc w:val="both"/>
      </w:pPr>
      <w:r>
        <w:rPr/>
        <w:t>月</w:t>
      </w:r>
      <w:r>
        <w:rPr>
          <w:spacing w:val="-51"/>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2"/>
        </w:rPr>
        <w:t> </w:t>
      </w:r>
      <w:r>
        <w:rPr/>
        <w:t>日至</w:t>
      </w:r>
      <w:r>
        <w:rPr>
          <w:spacing w:val="-51"/>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4"/>
        </w:rPr>
        <w:t> </w:t>
      </w:r>
      <w:r>
        <w:rPr>
          <w:spacing w:val="-6"/>
        </w:rPr>
        <w:t>日止，天一证券有限责任公司以其有处分权的</w:t>
      </w:r>
      <w:r>
        <w:rPr>
          <w:spacing w:val="-51"/>
        </w:rPr>
        <w:t> </w:t>
      </w:r>
      <w:r>
        <w:rPr>
          <w:rFonts w:ascii="Times New Roman" w:hAnsi="Times New Roman" w:cs="Times New Roman" w:eastAsia="Times New Roman" w:hint="default"/>
          <w:spacing w:val="-1"/>
        </w:rPr>
        <w:t>400</w:t>
      </w:r>
      <w:r>
        <w:rPr>
          <w:rFonts w:ascii="Times New Roman" w:hAnsi="Times New Roman" w:cs="Times New Roman" w:eastAsia="Times New Roman" w:hint="default"/>
          <w:spacing w:val="2"/>
        </w:rPr>
        <w:t> </w:t>
      </w:r>
      <w:r>
        <w:rPr>
          <w:spacing w:val="-1"/>
        </w:rPr>
        <w:t>万股宁波富达股票作为质</w:t>
      </w:r>
      <w:r>
        <w:rPr/>
        <w:t> 押。</w:t>
      </w:r>
    </w:p>
    <w:p>
      <w:pPr>
        <w:pStyle w:val="BodyText"/>
        <w:spacing w:line="272" w:lineRule="exact" w:before="120"/>
        <w:ind w:left="144" w:right="211" w:firstLine="357"/>
        <w:jc w:val="both"/>
        <w:rPr>
          <w:rFonts w:ascii="Times New Roman" w:hAnsi="Times New Roman" w:cs="Times New Roman" w:eastAsia="Times New Roman" w:hint="default"/>
        </w:rPr>
      </w:pPr>
      <w:r>
        <w:rPr/>
        <w:t>协议签订后，天一证券有限责任公司一直不予办理股票质押手续，亦不向本公司支付委托资金本 金及收益，其行为已构成违约。</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日，天一证券有限责任公司致函本公司称财务困难的 状况未得到根本性改善，不能归还本公司委托资金。为保护自身权益，本公司向深圳市中级人民法院 </w:t>
      </w:r>
      <w:r>
        <w:rPr>
          <w:spacing w:val="-3"/>
        </w:rPr>
        <w:t>提起诉讼，同时递交了财产保全申请书。诉讼请求为：（</w:t>
      </w:r>
      <w:r>
        <w:rPr>
          <w:rFonts w:ascii="Times New Roman" w:hAnsi="Times New Roman" w:cs="Times New Roman" w:eastAsia="Times New Roman" w:hint="default"/>
          <w:spacing w:val="-3"/>
        </w:rPr>
        <w:t>1</w:t>
      </w:r>
      <w:r>
        <w:rPr>
          <w:spacing w:val="-3"/>
        </w:rPr>
        <w:t>）依法判令解除本公司、天一证券有限责任</w:t>
      </w:r>
      <w:r>
        <w:rPr>
          <w:spacing w:val="-76"/>
        </w:rPr>
        <w:t> </w:t>
      </w:r>
      <w:r>
        <w:rPr>
          <w:spacing w:val="-7"/>
        </w:rPr>
        <w:t>公司所签订的尚未期满的《委托理财协议》；（</w:t>
      </w:r>
      <w:r>
        <w:rPr>
          <w:rFonts w:ascii="Times New Roman" w:hAnsi="Times New Roman" w:cs="Times New Roman" w:eastAsia="Times New Roman" w:hint="default"/>
          <w:spacing w:val="-7"/>
        </w:rPr>
        <w:t>2</w:t>
      </w:r>
      <w:r>
        <w:rPr>
          <w:spacing w:val="-7"/>
        </w:rPr>
        <w:t>）依法判令天一证券有限责任公司向本公司返还委托资</w:t>
      </w:r>
      <w:r>
        <w:rPr>
          <w:spacing w:val="-99"/>
        </w:rPr>
        <w:t> </w:t>
      </w:r>
      <w:r>
        <w:rPr>
          <w:spacing w:val="-99"/>
        </w:rPr>
      </w:r>
      <w:r>
        <w:rPr/>
        <w:t>金本金人民币</w:t>
      </w:r>
      <w:r>
        <w:rPr>
          <w:spacing w:val="-47"/>
        </w:rPr>
        <w:t> </w:t>
      </w:r>
      <w:r>
        <w:rPr>
          <w:rFonts w:ascii="Times New Roman" w:hAnsi="Times New Roman" w:cs="Times New Roman" w:eastAsia="Times New Roman" w:hint="default"/>
          <w:spacing w:val="-1"/>
        </w:rPr>
        <w:t>5000</w:t>
      </w:r>
      <w:r>
        <w:rPr>
          <w:rFonts w:ascii="Times New Roman" w:hAnsi="Times New Roman" w:cs="Times New Roman" w:eastAsia="Times New Roman" w:hint="default"/>
          <w:spacing w:val="6"/>
        </w:rPr>
        <w:t> </w:t>
      </w:r>
      <w:r>
        <w:rPr>
          <w:spacing w:val="-5"/>
        </w:rPr>
        <w:t>万元；（</w:t>
      </w:r>
      <w:r>
        <w:rPr>
          <w:rFonts w:ascii="Times New Roman" w:hAnsi="Times New Roman" w:cs="Times New Roman" w:eastAsia="Times New Roman" w:hint="default"/>
          <w:spacing w:val="-5"/>
        </w:rPr>
        <w:t>3</w:t>
      </w:r>
      <w:r>
        <w:rPr>
          <w:spacing w:val="-5"/>
        </w:rPr>
        <w:t>）依法判令天一证券有限责任公司向本公司支付委托资金收益人民币</w:t>
      </w:r>
      <w:r>
        <w:rPr>
          <w:spacing w:val="-47"/>
        </w:rPr>
        <w:t> </w:t>
      </w:r>
      <w:r>
        <w:rPr>
          <w:rFonts w:ascii="Times New Roman" w:hAnsi="Times New Roman" w:cs="Times New Roman" w:eastAsia="Times New Roman" w:hint="default"/>
          <w:spacing w:val="-1"/>
        </w:rPr>
        <w:t>318</w:t>
      </w:r>
    </w:p>
    <w:p>
      <w:pPr>
        <w:pStyle w:val="BodyText"/>
        <w:spacing w:line="254" w:lineRule="exact"/>
        <w:ind w:left="144" w:right="0"/>
        <w:jc w:val="both"/>
        <w:rPr>
          <w:rFonts w:ascii="Times New Roman" w:hAnsi="Times New Roman" w:cs="Times New Roman" w:eastAsia="Times New Roman" w:hint="default"/>
        </w:rPr>
      </w:pPr>
      <w:r>
        <w:rPr/>
        <w:t>万元</w:t>
      </w:r>
      <w:r>
        <w:rPr>
          <w:spacing w:val="-140"/>
        </w:rPr>
        <w:t>；</w:t>
      </w:r>
      <w:r>
        <w:rPr/>
        <w:t>（</w:t>
      </w:r>
      <w:r>
        <w:rPr>
          <w:rFonts w:ascii="Times New Roman" w:hAnsi="Times New Roman" w:cs="Times New Roman" w:eastAsia="Times New Roman" w:hint="default"/>
        </w:rPr>
        <w:t>4</w:t>
      </w:r>
      <w:r>
        <w:rPr>
          <w:spacing w:val="-35"/>
        </w:rPr>
        <w:t>）</w:t>
      </w:r>
      <w:r>
        <w:rPr/>
        <w:t>依法判令天一证券有限责任公司向本公司支付逾期付款违约金</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4</w:t>
      </w:r>
      <w:r>
        <w:rPr>
          <w:rFonts w:ascii="Times New Roman" w:hAnsi="Times New Roman" w:cs="Times New Roman" w:eastAsia="Times New Roman" w:hint="default"/>
        </w:rPr>
        <w:t>6,</w:t>
      </w:r>
      <w:r>
        <w:rPr>
          <w:rFonts w:ascii="Times New Roman" w:hAnsi="Times New Roman" w:cs="Times New Roman" w:eastAsia="Times New Roman" w:hint="default"/>
          <w:spacing w:val="-1"/>
        </w:rPr>
        <w:t>6</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spacing w:val="-1"/>
        </w:rPr>
        <w:t>(</w:t>
      </w:r>
      <w:r>
        <w:rPr/>
        <w:t>暂计至</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p>
    <w:p>
      <w:pPr>
        <w:pStyle w:val="BodyText"/>
        <w:spacing w:line="282" w:lineRule="exact"/>
        <w:ind w:left="144" w:right="0"/>
        <w:jc w:val="both"/>
      </w:pPr>
      <w:r>
        <w:rPr/>
        <w:t>年</w:t>
      </w:r>
      <w:r>
        <w:rPr>
          <w:spacing w:val="-53"/>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rFonts w:ascii="Times New Roman" w:hAnsi="Times New Roman" w:cs="Times New Roman" w:eastAsia="Times New Roman" w:hint="default"/>
          <w:spacing w:val="-1"/>
        </w:rPr>
        <w:t>)</w:t>
      </w:r>
      <w:r>
        <w:rPr>
          <w:spacing w:val="-105"/>
        </w:rPr>
        <w:t>；</w:t>
      </w:r>
      <w:r>
        <w:rPr/>
        <w:t>（</w:t>
      </w:r>
      <w:r>
        <w:rPr>
          <w:rFonts w:ascii="Times New Roman" w:hAnsi="Times New Roman" w:cs="Times New Roman" w:eastAsia="Times New Roman" w:hint="default"/>
        </w:rPr>
        <w:t>5</w:t>
      </w:r>
      <w:r>
        <w:rPr/>
        <w:t>）依</w:t>
      </w:r>
      <w:r>
        <w:rPr>
          <w:spacing w:val="-2"/>
        </w:rPr>
        <w:t>法</w:t>
      </w:r>
      <w:r>
        <w:rPr/>
        <w:t>判令由天一证券有限责任公司承担本案全部诉讼费及财产保全费。</w:t>
      </w:r>
    </w:p>
    <w:p>
      <w:pPr>
        <w:pStyle w:val="BodyText"/>
        <w:spacing w:line="272" w:lineRule="exact" w:before="129"/>
        <w:ind w:left="144" w:right="210" w:firstLine="357"/>
        <w:jc w:val="both"/>
      </w:pP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7"/>
        </w:rPr>
        <w:t>日，深圳市中级人民法院予以立案，案号为：</w:t>
      </w:r>
      <w:r>
        <w:rPr>
          <w:rFonts w:ascii="Times New Roman" w:hAnsi="Times New Roman" w:cs="Times New Roman" w:eastAsia="Times New Roman" w:hint="default"/>
          <w:spacing w:val="-7"/>
        </w:rPr>
        <w:t>[2005]</w:t>
      </w:r>
      <w:r>
        <w:rPr>
          <w:spacing w:val="-7"/>
        </w:rPr>
        <w:t>深中法民二初字</w:t>
      </w:r>
      <w:r>
        <w:rPr>
          <w:rFonts w:ascii="Times New Roman" w:hAnsi="Times New Roman" w:cs="Times New Roman" w:eastAsia="Times New Roman" w:hint="default"/>
          <w:spacing w:val="-7"/>
        </w:rPr>
        <w:t>(493)</w:t>
      </w:r>
      <w:r>
        <w:rPr>
          <w:spacing w:val="-7"/>
        </w:rPr>
        <w:t>号、</w:t>
      </w:r>
      <w:r>
        <w:rPr>
          <w:rFonts w:ascii="Times New Roman" w:hAnsi="Times New Roman" w:cs="Times New Roman" w:eastAsia="Times New Roman" w:hint="default"/>
          <w:spacing w:val="-7"/>
        </w:rPr>
        <w:t>[2005]</w:t>
      </w:r>
      <w:r>
        <w:rPr>
          <w:rFonts w:ascii="Times New Roman" w:hAnsi="Times New Roman" w:cs="Times New Roman" w:eastAsia="Times New Roman" w:hint="default"/>
        </w:rPr>
        <w:t> </w:t>
      </w:r>
      <w:r>
        <w:rPr>
          <w:spacing w:val="-1"/>
        </w:rPr>
        <w:t>深中法民二初字</w:t>
      </w:r>
      <w:r>
        <w:rPr>
          <w:rFonts w:ascii="Times New Roman" w:hAnsi="Times New Roman" w:cs="Times New Roman" w:eastAsia="Times New Roman" w:hint="default"/>
          <w:spacing w:val="-1"/>
        </w:rPr>
        <w:t>(494)</w:t>
      </w:r>
      <w:r>
        <w:rPr>
          <w:spacing w:val="-1"/>
        </w:rPr>
        <w:t>号，并在立案当日向本公司送达案件受理通知书。法院在担保人杜宣、赵剑、李</w:t>
      </w:r>
      <w:r>
        <w:rPr>
          <w:spacing w:val="-97"/>
        </w:rPr>
        <w:t> </w:t>
      </w:r>
      <w:r>
        <w:rPr>
          <w:spacing w:val="-97"/>
        </w:rPr>
      </w:r>
      <w:r>
        <w:rPr/>
        <w:t>结义、徐岷波以其自有财产提供担保的前提下已按照本公司的申请对天一证券有限责任公司采取了下</w:t>
      </w:r>
    </w:p>
    <w:p>
      <w:pPr>
        <w:spacing w:after="0" w:line="272" w:lineRule="exact"/>
        <w:jc w:val="both"/>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282" w:lineRule="exact" w:before="35"/>
        <w:ind w:right="96"/>
        <w:jc w:val="left"/>
      </w:pPr>
      <w:r>
        <w:rPr/>
        <w:t>列财产保全措施：</w:t>
      </w:r>
      <w:r>
        <w:rPr>
          <w:rFonts w:ascii="Times New Roman" w:hAnsi="Times New Roman" w:cs="Times New Roman" w:eastAsia="Times New Roman" w:hint="default"/>
        </w:rPr>
        <w:t>A</w:t>
      </w:r>
      <w:r>
        <w:rPr/>
        <w:t>、总计冻结天一证券有限责任公司持有的宁波富达股份</w:t>
      </w:r>
      <w:r>
        <w:rPr>
          <w:spacing w:val="-69"/>
        </w:rPr>
        <w:t> </w:t>
      </w:r>
      <w:r>
        <w:rPr>
          <w:rFonts w:ascii="Times New Roman" w:hAnsi="Times New Roman" w:cs="Times New Roman" w:eastAsia="Times New Roman" w:hint="default"/>
        </w:rPr>
        <w:t>3,407,100</w:t>
      </w:r>
      <w:r>
        <w:rPr>
          <w:rFonts w:ascii="Times New Roman" w:hAnsi="Times New Roman" w:cs="Times New Roman" w:eastAsia="Times New Roman" w:hint="default"/>
          <w:spacing w:val="-16"/>
        </w:rPr>
        <w:t> </w:t>
      </w:r>
      <w:r>
        <w:rPr>
          <w:spacing w:val="-3"/>
        </w:rPr>
        <w:t>股，冻结期限为</w:t>
      </w:r>
    </w:p>
    <w:p>
      <w:pPr>
        <w:pStyle w:val="BodyText"/>
        <w:spacing w:line="272" w:lineRule="exact" w:before="18"/>
        <w:ind w:left="144" w:right="196"/>
        <w:jc w:val="left"/>
      </w:pPr>
      <w:r>
        <w:rPr>
          <w:spacing w:val="-2"/>
        </w:rPr>
        <w:t>一年，自</w:t>
      </w:r>
      <w:r>
        <w:rPr>
          <w:spacing w:val="-52"/>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16 </w:t>
      </w:r>
      <w:r>
        <w:rPr/>
        <w:t>日至</w:t>
      </w:r>
      <w:r>
        <w:rPr>
          <w:spacing w:val="-52"/>
        </w:rPr>
        <w:t> </w:t>
      </w:r>
      <w:r>
        <w:rPr>
          <w:rFonts w:ascii="Times New Roman" w:hAnsi="Times New Roman" w:cs="Times New Roman" w:eastAsia="Times New Roman" w:hint="default"/>
          <w:spacing w:val="-1"/>
        </w:rPr>
        <w:t>2006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9"/>
        </w:rPr>
        <w:t>日止。具体如下：（</w:t>
      </w: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2005</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rPr>
        <w:t> </w:t>
      </w:r>
      <w:r>
        <w:rPr>
          <w:spacing w:val="-2"/>
        </w:rPr>
        <w:t>日，深圳市中</w:t>
      </w:r>
      <w:r>
        <w:rPr/>
        <w:t> 级人民法院向申银万国证券股份有限公司发出协助执行通知书，要求协助轮候冻结天一证券有限责任 公司持有的</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r>
        <w:rPr/>
        <w:t>证券普通股</w:t>
      </w:r>
      <w:r>
        <w:rPr>
          <w:spacing w:val="-50"/>
        </w:rPr>
        <w:t> </w:t>
      </w:r>
      <w:r>
        <w:rPr>
          <w:rFonts w:ascii="Times New Roman" w:hAnsi="Times New Roman" w:cs="Times New Roman" w:eastAsia="Times New Roman" w:hint="default"/>
          <w:spacing w:val="-1"/>
        </w:rPr>
        <w:t>468,900</w:t>
      </w:r>
      <w:r>
        <w:rPr>
          <w:rFonts w:ascii="Times New Roman" w:hAnsi="Times New Roman" w:cs="Times New Roman" w:eastAsia="Times New Roman" w:hint="default"/>
          <w:spacing w:val="4"/>
        </w:rPr>
        <w:t> </w:t>
      </w:r>
      <w:r>
        <w:rPr>
          <w:spacing w:val="-13"/>
        </w:rPr>
        <w:t>股；（</w:t>
      </w:r>
      <w:r>
        <w:rPr>
          <w:rFonts w:ascii="Times New Roman" w:hAnsi="Times New Roman" w:cs="Times New Roman" w:eastAsia="Times New Roman" w:hint="default"/>
          <w:spacing w:val="-13"/>
        </w:rPr>
        <w:t>2</w:t>
      </w:r>
      <w:r>
        <w:rPr>
          <w:spacing w:val="-13"/>
        </w:rPr>
        <w:t>）</w:t>
      </w:r>
      <w:r>
        <w:rPr>
          <w:rFonts w:ascii="Times New Roman" w:hAnsi="Times New Roman" w:cs="Times New Roman" w:eastAsia="Times New Roman" w:hint="default"/>
          <w:spacing w:val="-13"/>
        </w:rPr>
        <w:t>2005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3"/>
        </w:rPr>
        <w:t> </w:t>
      </w:r>
      <w:r>
        <w:rPr>
          <w:spacing w:val="-1"/>
        </w:rPr>
        <w:t>日，深圳市中级人民法院向天一</w:t>
      </w:r>
      <w:r>
        <w:rPr>
          <w:spacing w:val="-102"/>
        </w:rPr>
        <w:t> </w:t>
      </w:r>
      <w:r>
        <w:rPr>
          <w:spacing w:val="-102"/>
        </w:rPr>
      </w:r>
      <w:r>
        <w:rPr/>
        <w:t>证券有限责任公司宁波开明街证券营业部发出协助执行通知书，要求协助轮候冻结天一证券有限责任 公司名下的</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r>
        <w:rPr/>
        <w:t>证券</w:t>
      </w:r>
      <w:r>
        <w:rPr>
          <w:spacing w:val="-51"/>
        </w:rPr>
        <w:t> </w:t>
      </w:r>
      <w:r>
        <w:rPr>
          <w:rFonts w:ascii="Times New Roman" w:hAnsi="Times New Roman" w:cs="Times New Roman" w:eastAsia="Times New Roman" w:hint="default"/>
          <w:spacing w:val="-1"/>
        </w:rPr>
        <w:t>192</w:t>
      </w:r>
      <w:r>
        <w:rPr>
          <w:rFonts w:ascii="Times New Roman" w:hAnsi="Times New Roman" w:cs="Times New Roman" w:eastAsia="Times New Roman" w:hint="default"/>
          <w:spacing w:val="2"/>
        </w:rPr>
        <w:t> </w:t>
      </w:r>
      <w:r>
        <w:rPr>
          <w:spacing w:val="-13"/>
        </w:rPr>
        <w:t>万股；（</w:t>
      </w:r>
      <w:r>
        <w:rPr>
          <w:rFonts w:ascii="Times New Roman" w:hAnsi="Times New Roman" w:cs="Times New Roman" w:eastAsia="Times New Roman" w:hint="default"/>
          <w:spacing w:val="-13"/>
        </w:rPr>
        <w:t>3</w:t>
      </w:r>
      <w:r>
        <w:rPr>
          <w:spacing w:val="-13"/>
        </w:rPr>
        <w:t>）</w:t>
      </w:r>
      <w:r>
        <w:rPr>
          <w:rFonts w:ascii="Times New Roman" w:hAnsi="Times New Roman" w:cs="Times New Roman" w:eastAsia="Times New Roman" w:hint="default"/>
          <w:spacing w:val="-13"/>
        </w:rPr>
        <w:t>2005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1"/>
        </w:rPr>
        <w:t> </w:t>
      </w:r>
      <w:r>
        <w:rPr>
          <w:spacing w:val="-1"/>
        </w:rPr>
        <w:t>日，深圳市中级人民法院向天一证券有限</w:t>
      </w:r>
      <w:r>
        <w:rPr/>
        <w:t> 责任公司发出协助执行通知书，要求协助轮候冻结天一证券有限责任公司名下的</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r>
        <w:rPr/>
        <w:t>证券 </w:t>
      </w:r>
      <w:r>
        <w:rPr>
          <w:rFonts w:ascii="Times New Roman" w:hAnsi="Times New Roman" w:cs="Times New Roman" w:eastAsia="Times New Roman" w:hint="default"/>
        </w:rPr>
        <w:t>1,018,200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B</w:t>
      </w:r>
      <w:r>
        <w:rPr/>
        <w:t>、查封天一证券有限责任公司交易席位</w:t>
      </w:r>
      <w:r>
        <w:rPr>
          <w:spacing w:val="-55"/>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个，查封期限一年，自</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w:t>
      </w:r>
    </w:p>
    <w:p>
      <w:pPr>
        <w:pStyle w:val="BodyText"/>
        <w:spacing w:line="254" w:lineRule="exact"/>
        <w:ind w:left="144" w:right="96"/>
        <w:jc w:val="left"/>
      </w:pPr>
      <w:r>
        <w:rPr/>
        <w:t>起至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17 </w:t>
      </w:r>
      <w:r>
        <w:rPr/>
        <w:t>日</w:t>
      </w:r>
      <w:r>
        <w:rPr>
          <w:spacing w:val="-2"/>
        </w:rPr>
        <w:t>止</w:t>
      </w:r>
      <w:r>
        <w:rPr/>
        <w:t>。具体如下</w:t>
      </w:r>
      <w:r>
        <w:rPr>
          <w:spacing w:val="-106"/>
        </w:rPr>
        <w:t>：</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日，深圳市中级人民法院向上海证券交</w:t>
      </w:r>
    </w:p>
    <w:p>
      <w:pPr>
        <w:pStyle w:val="BodyText"/>
        <w:spacing w:line="273" w:lineRule="exact"/>
        <w:ind w:left="144" w:right="0"/>
        <w:jc w:val="left"/>
      </w:pPr>
      <w:r>
        <w:rPr/>
        <w:t>易所发出协助执行通知书</w:t>
      </w:r>
      <w:r>
        <w:rPr>
          <w:spacing w:val="-105"/>
        </w:rPr>
        <w:t>，</w:t>
      </w:r>
      <w:r>
        <w:rPr/>
        <w:t>要求协助查封天一证券有限责任公司在上海证券交易的</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个交易席</w:t>
      </w:r>
      <w:r>
        <w:rPr>
          <w:spacing w:val="-2"/>
        </w:rPr>
        <w:t>位</w:t>
      </w:r>
      <w:r>
        <w:rPr>
          <w:spacing w:val="-209"/>
        </w:rPr>
        <w:t>；</w:t>
      </w:r>
      <w:r>
        <w:rPr/>
        <w:t>（</w:t>
      </w:r>
      <w:r>
        <w:rPr>
          <w:rFonts w:ascii="Times New Roman" w:hAnsi="Times New Roman" w:cs="Times New Roman" w:eastAsia="Times New Roman" w:hint="default"/>
          <w:spacing w:val="-1"/>
        </w:rPr>
        <w:t>2</w:t>
      </w:r>
      <w:r>
        <w:rPr/>
        <w:t>）</w:t>
      </w:r>
    </w:p>
    <w:p>
      <w:pPr>
        <w:pStyle w:val="BodyText"/>
        <w:spacing w:line="223" w:lineRule="auto" w:before="8"/>
        <w:ind w:left="144" w:right="211" w:hanging="1"/>
        <w:jc w:val="both"/>
      </w:pPr>
      <w:r>
        <w:rPr>
          <w:rFonts w:ascii="Times New Roman" w:hAnsi="Times New Roman" w:cs="Times New Roman" w:eastAsia="Times New Roman" w:hint="default"/>
        </w:rPr>
        <w:t>2005</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日，深圳市中级人民法院向深圳证券交易所发出协助执行通知书，要求协助查封天一 证券有限责任公司在深圳证券交易的</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个交易席位。</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年度本公司对此委托理财全额计提了减值 准备。</w:t>
      </w:r>
    </w:p>
    <w:p>
      <w:pPr>
        <w:pStyle w:val="BodyText"/>
        <w:spacing w:line="282" w:lineRule="exact" w:before="119"/>
        <w:ind w:left="502" w:right="9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30 </w:t>
      </w:r>
      <w:r>
        <w:rPr/>
        <w:t>日</w:t>
      </w:r>
      <w:r>
        <w:rPr>
          <w:spacing w:val="-94"/>
        </w:rPr>
        <w:t>，</w:t>
      </w:r>
      <w:r>
        <w:rPr/>
        <w:t>本公</w:t>
      </w:r>
      <w:r>
        <w:rPr>
          <w:spacing w:val="-2"/>
        </w:rPr>
        <w:t>司</w:t>
      </w:r>
      <w:r>
        <w:rPr/>
        <w:t>与天一证券有限责任公司就案件的部分事实于庭外自愿达成和解协议并</w:t>
      </w:r>
    </w:p>
    <w:p>
      <w:pPr>
        <w:pStyle w:val="BodyText"/>
        <w:spacing w:line="282" w:lineRule="exact"/>
        <w:ind w:left="144" w:right="0"/>
        <w:jc w:val="left"/>
      </w:pPr>
      <w:r>
        <w:rPr/>
        <w:t>经深圳市中级人民法院民事调解书确</w:t>
      </w:r>
      <w:r>
        <w:rPr>
          <w:spacing w:val="-23"/>
        </w:rPr>
        <w:t>认</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05</w:t>
      </w:r>
      <w:r>
        <w:rPr>
          <w:spacing w:val="-23"/>
        </w:rPr>
        <w:t>）</w:t>
      </w:r>
      <w:r>
        <w:rPr/>
        <w:t>深中法民二初字第</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93-</w:t>
      </w:r>
      <w:r>
        <w:rPr>
          <w:rFonts w:ascii="Times New Roman" w:hAnsi="Times New Roman" w:cs="Times New Roman" w:eastAsia="Times New Roman" w:hint="default"/>
        </w:rPr>
        <w:t>494</w:t>
      </w:r>
      <w:r>
        <w:rPr>
          <w:rFonts w:ascii="Times New Roman" w:hAnsi="Times New Roman" w:cs="Times New Roman" w:eastAsia="Times New Roman" w:hint="default"/>
          <w:spacing w:val="1"/>
        </w:rPr>
        <w:t> </w:t>
      </w:r>
      <w:r>
        <w:rPr>
          <w:spacing w:val="-2"/>
        </w:rPr>
        <w:t>号</w:t>
      </w:r>
      <w:r>
        <w:rPr/>
        <w:t>之一</w:t>
      </w:r>
      <w:r>
        <w:rPr>
          <w:spacing w:val="-106"/>
        </w:rPr>
        <w:t>）</w:t>
      </w:r>
      <w:r>
        <w:rPr>
          <w:spacing w:val="-23"/>
        </w:rPr>
        <w:t>，</w:t>
      </w:r>
      <w:r>
        <w:rPr/>
        <w:t>双方协议如下：</w:t>
      </w:r>
    </w:p>
    <w:p>
      <w:pPr>
        <w:pStyle w:val="BodyText"/>
        <w:spacing w:line="272" w:lineRule="exact" w:before="129"/>
        <w:ind w:left="144" w:right="214" w:firstLine="357"/>
        <w:jc w:val="both"/>
      </w:pPr>
      <w:r>
        <w:rPr/>
        <w:t>（</w:t>
      </w:r>
      <w:r>
        <w:rPr>
          <w:rFonts w:ascii="Times New Roman" w:hAnsi="Times New Roman" w:cs="Times New Roman" w:eastAsia="Times New Roman" w:hint="default"/>
        </w:rPr>
        <w:t>1</w:t>
      </w:r>
      <w:r>
        <w:rPr/>
        <w:t>）被告天一证券有限责任公司对拖欠本公司委托理财本金</w:t>
      </w:r>
      <w:r>
        <w:rPr>
          <w:spacing w:val="-5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万元的债务无异议。对于本公 </w:t>
      </w:r>
      <w:r>
        <w:rPr>
          <w:spacing w:val="-3"/>
        </w:rPr>
        <w:t>司提出的其他诉讼请求，尚有争议，双方同意协商处理。（</w:t>
      </w:r>
      <w:r>
        <w:rPr>
          <w:rFonts w:ascii="Times New Roman" w:hAnsi="Times New Roman" w:cs="Times New Roman" w:eastAsia="Times New Roman" w:hint="default"/>
          <w:spacing w:val="-3"/>
        </w:rPr>
        <w:t>2</w:t>
      </w:r>
      <w:r>
        <w:rPr>
          <w:spacing w:val="-3"/>
        </w:rPr>
        <w:t>）被告同意在调解书生效后，当日内立即</w:t>
      </w:r>
      <w:r>
        <w:rPr>
          <w:spacing w:val="-79"/>
        </w:rPr>
        <w:t> </w:t>
      </w:r>
      <w:r>
        <w:rPr>
          <w:spacing w:val="-79"/>
        </w:rPr>
      </w:r>
      <w:r>
        <w:rPr/>
        <w:t>履行还款义务，否则法院立即启动执行程序。</w:t>
      </w:r>
    </w:p>
    <w:p>
      <w:pPr>
        <w:pStyle w:val="BodyText"/>
        <w:spacing w:line="282" w:lineRule="exact" w:before="93"/>
        <w:ind w:left="502" w:right="96"/>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日，本公司收到广东省深圳市中级人民法院（</w:t>
      </w:r>
      <w:r>
        <w:rPr>
          <w:rFonts w:ascii="Times New Roman" w:hAnsi="Times New Roman" w:cs="Times New Roman" w:eastAsia="Times New Roman" w:hint="default"/>
        </w:rPr>
        <w:t>2006</w:t>
      </w:r>
      <w:r>
        <w:rPr/>
        <w:t>）深中法执字第</w:t>
      </w:r>
      <w:r>
        <w:rPr>
          <w:spacing w:val="-55"/>
        </w:rPr>
        <w:t> </w:t>
      </w:r>
      <w:r>
        <w:rPr>
          <w:rFonts w:ascii="Times New Roman" w:hAnsi="Times New Roman" w:cs="Times New Roman" w:eastAsia="Times New Roman" w:hint="default"/>
        </w:rPr>
        <w:t>648</w:t>
      </w:r>
      <w:r>
        <w:rPr/>
        <w:t>、</w:t>
      </w:r>
      <w:r>
        <w:rPr>
          <w:rFonts w:ascii="Times New Roman" w:hAnsi="Times New Roman" w:cs="Times New Roman" w:eastAsia="Times New Roman" w:hint="default"/>
        </w:rPr>
        <w:t>649</w:t>
      </w:r>
      <w:r>
        <w:rPr>
          <w:rFonts w:ascii="Times New Roman" w:hAnsi="Times New Roman" w:cs="Times New Roman" w:eastAsia="Times New Roman" w:hint="default"/>
          <w:spacing w:val="-2"/>
        </w:rPr>
        <w:t> </w:t>
      </w:r>
      <w:r>
        <w:rPr/>
        <w:t>号之</w:t>
      </w:r>
    </w:p>
    <w:p>
      <w:pPr>
        <w:pStyle w:val="BodyText"/>
        <w:spacing w:line="272" w:lineRule="exact"/>
        <w:ind w:left="144" w:right="96"/>
        <w:jc w:val="left"/>
        <w:rPr>
          <w:rFonts w:ascii="Times New Roman" w:hAnsi="Times New Roman" w:cs="Times New Roman" w:eastAsia="Times New Roman" w:hint="default"/>
        </w:rPr>
      </w:pPr>
      <w:r>
        <w:rPr/>
        <w:t>三号通知书，深圳市中级人民法院于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日已将天一证券有限责任公司名下的</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p>
    <w:p>
      <w:pPr>
        <w:pStyle w:val="BodyText"/>
        <w:spacing w:line="272" w:lineRule="exact"/>
        <w:ind w:left="144" w:right="96"/>
        <w:jc w:val="left"/>
      </w:pPr>
      <w:r>
        <w:rPr/>
        <w:t>股票</w:t>
      </w:r>
      <w:r>
        <w:rPr>
          <w:spacing w:val="-56"/>
        </w:rPr>
        <w:t> </w:t>
      </w:r>
      <w:r>
        <w:rPr>
          <w:rFonts w:ascii="Times New Roman" w:hAnsi="Times New Roman" w:cs="Times New Roman" w:eastAsia="Times New Roman" w:hint="default"/>
        </w:rPr>
        <w:t>3,597,793</w:t>
      </w:r>
      <w:r>
        <w:rPr>
          <w:rFonts w:ascii="Times New Roman" w:hAnsi="Times New Roman" w:cs="Times New Roman" w:eastAsia="Times New Roman" w:hint="default"/>
          <w:spacing w:val="-3"/>
        </w:rPr>
        <w:t> </w:t>
      </w:r>
      <w:r>
        <w:rPr/>
        <w:t>股扣划到本公司证券账户中。并通知本公司在接到通知之日起</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个工作日内将上述股</w:t>
      </w:r>
    </w:p>
    <w:p>
      <w:pPr>
        <w:pStyle w:val="BodyText"/>
        <w:spacing w:line="272" w:lineRule="exact" w:before="18"/>
        <w:ind w:left="144" w:right="197"/>
        <w:jc w:val="left"/>
      </w:pPr>
      <w:r>
        <w:rPr/>
        <w:t>票抛售变现，变现款暂不得处分，并在股票全部抛售后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日内将抛售情况书面报告广东省深圳市中级 人民法院。</w:t>
      </w:r>
    </w:p>
    <w:p>
      <w:pPr>
        <w:pStyle w:val="BodyText"/>
        <w:spacing w:line="282" w:lineRule="exact" w:before="93"/>
        <w:ind w:left="501" w:right="96"/>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日，本公司收到广东省深圳市中级人民法院（</w:t>
      </w:r>
      <w:r>
        <w:rPr>
          <w:rFonts w:ascii="Times New Roman" w:hAnsi="Times New Roman" w:cs="Times New Roman" w:eastAsia="Times New Roman" w:hint="default"/>
        </w:rPr>
        <w:t>2006</w:t>
      </w:r>
      <w:r>
        <w:rPr/>
        <w:t>）深中法执字第</w:t>
      </w:r>
      <w:r>
        <w:rPr>
          <w:spacing w:val="-55"/>
        </w:rPr>
        <w:t> </w:t>
      </w:r>
      <w:r>
        <w:rPr>
          <w:rFonts w:ascii="Times New Roman" w:hAnsi="Times New Roman" w:cs="Times New Roman" w:eastAsia="Times New Roman" w:hint="default"/>
        </w:rPr>
        <w:t>648</w:t>
      </w:r>
      <w:r>
        <w:rPr/>
        <w:t>、</w:t>
      </w:r>
      <w:r>
        <w:rPr>
          <w:rFonts w:ascii="Times New Roman" w:hAnsi="Times New Roman" w:cs="Times New Roman" w:eastAsia="Times New Roman" w:hint="default"/>
        </w:rPr>
        <w:t>649</w:t>
      </w:r>
      <w:r>
        <w:rPr>
          <w:rFonts w:ascii="Times New Roman" w:hAnsi="Times New Roman" w:cs="Times New Roman" w:eastAsia="Times New Roman" w:hint="default"/>
          <w:spacing w:val="-2"/>
        </w:rPr>
        <w:t> </w:t>
      </w:r>
      <w:r>
        <w:rPr/>
        <w:t>号之</w:t>
      </w:r>
    </w:p>
    <w:p>
      <w:pPr>
        <w:pStyle w:val="BodyText"/>
        <w:spacing w:line="272" w:lineRule="exact"/>
        <w:ind w:left="144" w:right="96"/>
        <w:jc w:val="left"/>
        <w:rPr>
          <w:rFonts w:ascii="Times New Roman" w:hAnsi="Times New Roman" w:cs="Times New Roman" w:eastAsia="Times New Roman" w:hint="default"/>
        </w:rPr>
      </w:pPr>
      <w:r>
        <w:rPr/>
        <w:t>六号通知书，深圳市中级人民法院于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日已将天一证券有限责任公司名下的</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p>
    <w:p>
      <w:pPr>
        <w:pStyle w:val="BodyText"/>
        <w:spacing w:line="272" w:lineRule="exact"/>
        <w:ind w:left="143" w:right="96"/>
        <w:jc w:val="left"/>
      </w:pPr>
      <w:r>
        <w:rPr/>
        <w:t>股票</w:t>
      </w:r>
      <w:r>
        <w:rPr>
          <w:spacing w:val="-68"/>
        </w:rPr>
        <w:t> </w:t>
      </w:r>
      <w:r>
        <w:rPr>
          <w:rFonts w:ascii="Times New Roman" w:hAnsi="Times New Roman" w:cs="Times New Roman" w:eastAsia="Times New Roman" w:hint="default"/>
        </w:rPr>
        <w:t>833,500</w:t>
      </w:r>
      <w:r>
        <w:rPr>
          <w:rFonts w:ascii="Times New Roman" w:hAnsi="Times New Roman" w:cs="Times New Roman" w:eastAsia="Times New Roman" w:hint="default"/>
          <w:spacing w:val="-16"/>
        </w:rPr>
        <w:t> </w:t>
      </w:r>
      <w:r>
        <w:rPr/>
        <w:t>股扣划到本公司证券账户中。并通知本公司在接到通知之日起</w:t>
      </w:r>
      <w:r>
        <w:rPr>
          <w:spacing w:val="-68"/>
        </w:rPr>
        <w:t> </w:t>
      </w:r>
      <w:r>
        <w:rPr>
          <w:rFonts w:ascii="Times New Roman" w:hAnsi="Times New Roman" w:cs="Times New Roman" w:eastAsia="Times New Roman" w:hint="default"/>
        </w:rPr>
        <w:t>20</w:t>
      </w:r>
      <w:r>
        <w:rPr>
          <w:rFonts w:ascii="Times New Roman" w:hAnsi="Times New Roman" w:cs="Times New Roman" w:eastAsia="Times New Roman" w:hint="default"/>
          <w:spacing w:val="-15"/>
        </w:rPr>
        <w:t> </w:t>
      </w:r>
      <w:r>
        <w:rPr/>
        <w:t>个工作日内将上述股票</w:t>
      </w:r>
    </w:p>
    <w:p>
      <w:pPr>
        <w:pStyle w:val="BodyText"/>
        <w:spacing w:line="272" w:lineRule="exact" w:before="18"/>
        <w:ind w:left="143" w:right="199"/>
        <w:jc w:val="left"/>
      </w:pPr>
      <w:r>
        <w:rPr/>
        <w:t>抛售变现，变现款暂不得处分，并在股票全部抛售后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日内将抛售情况书面报告广东省深圳市中级人 民法院。</w:t>
      </w:r>
    </w:p>
    <w:p>
      <w:pPr>
        <w:pStyle w:val="BodyText"/>
        <w:spacing w:line="282" w:lineRule="exact" w:before="93"/>
        <w:ind w:left="502" w:right="96"/>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日，本公司收到广东省深圳市中级人民法院（</w:t>
      </w:r>
      <w:r>
        <w:rPr>
          <w:rFonts w:ascii="Times New Roman" w:hAnsi="Times New Roman" w:cs="Times New Roman" w:eastAsia="Times New Roman" w:hint="default"/>
        </w:rPr>
        <w:t>2006</w:t>
      </w:r>
      <w:r>
        <w:rPr/>
        <w:t>）深中法执字第</w:t>
      </w:r>
      <w:r>
        <w:rPr>
          <w:spacing w:val="-55"/>
        </w:rPr>
        <w:t> </w:t>
      </w:r>
      <w:r>
        <w:rPr>
          <w:rFonts w:ascii="Times New Roman" w:hAnsi="Times New Roman" w:cs="Times New Roman" w:eastAsia="Times New Roman" w:hint="default"/>
        </w:rPr>
        <w:t>648</w:t>
      </w:r>
      <w:r>
        <w:rPr/>
        <w:t>、</w:t>
      </w:r>
      <w:r>
        <w:rPr>
          <w:rFonts w:ascii="Times New Roman" w:hAnsi="Times New Roman" w:cs="Times New Roman" w:eastAsia="Times New Roman" w:hint="default"/>
        </w:rPr>
        <w:t>649</w:t>
      </w:r>
      <w:r>
        <w:rPr>
          <w:rFonts w:ascii="Times New Roman" w:hAnsi="Times New Roman" w:cs="Times New Roman" w:eastAsia="Times New Roman" w:hint="default"/>
          <w:spacing w:val="-2"/>
        </w:rPr>
        <w:t> </w:t>
      </w:r>
      <w:r>
        <w:rPr/>
        <w:t>号之</w:t>
      </w:r>
    </w:p>
    <w:p>
      <w:pPr>
        <w:pStyle w:val="BodyText"/>
        <w:spacing w:line="272" w:lineRule="exact"/>
        <w:ind w:right="96"/>
        <w:jc w:val="left"/>
        <w:rPr>
          <w:rFonts w:ascii="Times New Roman" w:hAnsi="Times New Roman" w:cs="Times New Roman" w:eastAsia="Times New Roman" w:hint="default"/>
        </w:rPr>
      </w:pPr>
      <w:r>
        <w:rPr/>
        <w:t>七号通知书，深圳市中级人民法院于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日已将天一证券有限责任公司名下的</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p>
    <w:p>
      <w:pPr>
        <w:pStyle w:val="BodyText"/>
        <w:spacing w:line="272" w:lineRule="exact"/>
        <w:ind w:left="144" w:right="96"/>
        <w:jc w:val="left"/>
      </w:pPr>
      <w:r>
        <w:rPr/>
        <w:t>股票</w:t>
      </w:r>
      <w:r>
        <w:rPr>
          <w:spacing w:val="-68"/>
        </w:rPr>
        <w:t> </w:t>
      </w:r>
      <w:r>
        <w:rPr>
          <w:rFonts w:ascii="Times New Roman" w:hAnsi="Times New Roman" w:cs="Times New Roman" w:eastAsia="Times New Roman" w:hint="default"/>
        </w:rPr>
        <w:t>468,900</w:t>
      </w:r>
      <w:r>
        <w:rPr>
          <w:rFonts w:ascii="Times New Roman" w:hAnsi="Times New Roman" w:cs="Times New Roman" w:eastAsia="Times New Roman" w:hint="default"/>
          <w:spacing w:val="-16"/>
        </w:rPr>
        <w:t> </w:t>
      </w:r>
      <w:r>
        <w:rPr/>
        <w:t>股扣划到本公司证券账户中。并通知本公司在接到通知之日起</w:t>
      </w:r>
      <w:r>
        <w:rPr>
          <w:spacing w:val="-68"/>
        </w:rPr>
        <w:t> </w:t>
      </w:r>
      <w:r>
        <w:rPr>
          <w:rFonts w:ascii="Times New Roman" w:hAnsi="Times New Roman" w:cs="Times New Roman" w:eastAsia="Times New Roman" w:hint="default"/>
        </w:rPr>
        <w:t>20</w:t>
      </w:r>
      <w:r>
        <w:rPr>
          <w:rFonts w:ascii="Times New Roman" w:hAnsi="Times New Roman" w:cs="Times New Roman" w:eastAsia="Times New Roman" w:hint="default"/>
          <w:spacing w:val="-15"/>
        </w:rPr>
        <w:t> </w:t>
      </w:r>
      <w:r>
        <w:rPr/>
        <w:t>个工作日内将上述股票</w:t>
      </w:r>
    </w:p>
    <w:p>
      <w:pPr>
        <w:pStyle w:val="BodyText"/>
        <w:spacing w:line="272" w:lineRule="exact" w:before="18"/>
        <w:ind w:left="144" w:right="198"/>
        <w:jc w:val="left"/>
      </w:pPr>
      <w:r>
        <w:rPr/>
        <w:t>抛售变现，变现款暂不得处分，并在股票全部抛售后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日内将抛售情况书面报告广东省深圳市中级人 民法院。</w:t>
      </w:r>
    </w:p>
    <w:p>
      <w:pPr>
        <w:pStyle w:val="BodyText"/>
        <w:spacing w:line="282" w:lineRule="exact" w:before="91"/>
        <w:ind w:left="502" w:right="96"/>
        <w:jc w:val="left"/>
      </w:pPr>
      <w:r>
        <w:rPr/>
        <w:t>即截止</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日，本公司已累计收到深圳市中级人民法院扣划到本公司账户下的天一证</w:t>
      </w:r>
    </w:p>
    <w:p>
      <w:pPr>
        <w:pStyle w:val="BodyText"/>
        <w:spacing w:line="282" w:lineRule="exact"/>
        <w:ind w:left="144" w:right="96"/>
        <w:jc w:val="left"/>
      </w:pPr>
      <w:r>
        <w:rPr/>
        <w:t>券有限责任公司名下的</w:t>
      </w:r>
      <w:r>
        <w:rPr>
          <w:rFonts w:ascii="Times New Roman" w:hAnsi="Times New Roman" w:cs="Times New Roman" w:eastAsia="Times New Roman" w:hint="default"/>
        </w:rPr>
        <w:t>“</w:t>
      </w:r>
      <w:r>
        <w:rPr/>
        <w:t>宁波富达</w:t>
      </w:r>
      <w:r>
        <w:rPr>
          <w:rFonts w:ascii="Times New Roman" w:hAnsi="Times New Roman" w:cs="Times New Roman" w:eastAsia="Times New Roman" w:hint="default"/>
        </w:rPr>
        <w:t>”</w:t>
      </w:r>
      <w:r>
        <w:rPr/>
        <w:t>股票</w:t>
      </w:r>
      <w:r>
        <w:rPr>
          <w:spacing w:val="-55"/>
        </w:rPr>
        <w:t> </w:t>
      </w:r>
      <w:r>
        <w:rPr>
          <w:rFonts w:ascii="Times New Roman" w:hAnsi="Times New Roman" w:cs="Times New Roman" w:eastAsia="Times New Roman" w:hint="default"/>
        </w:rPr>
        <w:t>4,900,193</w:t>
      </w:r>
      <w:r>
        <w:rPr>
          <w:rFonts w:ascii="Times New Roman" w:hAnsi="Times New Roman" w:cs="Times New Roman" w:eastAsia="Times New Roman" w:hint="default"/>
          <w:spacing w:val="-3"/>
        </w:rPr>
        <w:t> </w:t>
      </w:r>
      <w:r>
        <w:rPr/>
        <w:t>股。</w:t>
      </w:r>
    </w:p>
    <w:p>
      <w:pPr>
        <w:pStyle w:val="BodyText"/>
        <w:spacing w:line="282" w:lineRule="exact" w:before="101"/>
        <w:ind w:left="501" w:right="96"/>
        <w:jc w:val="left"/>
      </w:pPr>
      <w:r>
        <w:rPr/>
        <w:t>截止</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3"/>
        </w:rPr>
        <w:t>日，上述股票（含宁波富达股份有限公司股权分置改革送股</w:t>
      </w:r>
      <w:r>
        <w:rPr>
          <w:spacing w:val="-52"/>
        </w:rPr>
        <w:t> </w:t>
      </w:r>
      <w:r>
        <w:rPr>
          <w:rFonts w:ascii="Times New Roman" w:hAnsi="Times New Roman" w:cs="Times New Roman" w:eastAsia="Times New Roman" w:hint="default"/>
        </w:rPr>
        <w:t>794,464</w:t>
      </w:r>
      <w:r>
        <w:rPr>
          <w:rFonts w:ascii="Times New Roman" w:hAnsi="Times New Roman" w:cs="Times New Roman" w:eastAsia="Times New Roman" w:hint="default"/>
          <w:spacing w:val="2"/>
        </w:rPr>
        <w:t> </w:t>
      </w:r>
      <w:r>
        <w:rPr>
          <w:spacing w:val="-9"/>
        </w:rPr>
        <w:t>股）已全</w:t>
      </w:r>
    </w:p>
    <w:p>
      <w:pPr>
        <w:pStyle w:val="BodyText"/>
        <w:spacing w:line="272" w:lineRule="exact"/>
        <w:ind w:left="144" w:right="96"/>
        <w:jc w:val="left"/>
        <w:rPr>
          <w:rFonts w:ascii="Times New Roman" w:hAnsi="Times New Roman" w:cs="Times New Roman" w:eastAsia="Times New Roman" w:hint="default"/>
        </w:rPr>
      </w:pPr>
      <w:r>
        <w:rPr/>
        <w:t>部抛售完毕，变现款为</w:t>
      </w:r>
      <w:r>
        <w:rPr>
          <w:spacing w:val="-55"/>
        </w:rPr>
        <w:t> </w:t>
      </w:r>
      <w:r>
        <w:rPr>
          <w:rFonts w:ascii="Times New Roman" w:hAnsi="Times New Roman" w:cs="Times New Roman" w:eastAsia="Times New Roman" w:hint="default"/>
        </w:rPr>
        <w:t>39,658,869.95</w:t>
      </w:r>
      <w:r>
        <w:rPr>
          <w:rFonts w:ascii="Times New Roman" w:hAnsi="Times New Roman" w:cs="Times New Roman" w:eastAsia="Times New Roman" w:hint="default"/>
          <w:spacing w:val="-3"/>
        </w:rPr>
        <w:t> </w:t>
      </w:r>
      <w:r>
        <w:rPr/>
        <w:t>元；同时本公司利用股票变现款进行新股申购，截止</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p>
    <w:p>
      <w:pPr>
        <w:pStyle w:val="BodyText"/>
        <w:spacing w:line="282" w:lineRule="exact"/>
        <w:ind w:left="144" w:right="96"/>
        <w:jc w:val="left"/>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日取得收益及期间利息收入合计</w:t>
      </w:r>
      <w:r>
        <w:rPr>
          <w:spacing w:val="-55"/>
        </w:rPr>
        <w:t> </w:t>
      </w:r>
      <w:r>
        <w:rPr>
          <w:rFonts w:ascii="Times New Roman" w:hAnsi="Times New Roman" w:cs="Times New Roman" w:eastAsia="Times New Roman" w:hint="default"/>
        </w:rPr>
        <w:t>6,175,714.53</w:t>
      </w:r>
      <w:r>
        <w:rPr>
          <w:rFonts w:ascii="Times New Roman" w:hAnsi="Times New Roman" w:cs="Times New Roman" w:eastAsia="Times New Roman" w:hint="default"/>
          <w:spacing w:val="-2"/>
        </w:rPr>
        <w:t> </w:t>
      </w:r>
      <w:r>
        <w:rPr/>
        <w:t>元。</w:t>
      </w:r>
    </w:p>
    <w:p>
      <w:pPr>
        <w:pStyle w:val="BodyText"/>
        <w:spacing w:line="282" w:lineRule="exact" w:before="101"/>
        <w:ind w:left="501" w:right="9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 </w:t>
      </w:r>
      <w:r>
        <w:rPr/>
        <w:t>日，本</w:t>
      </w:r>
      <w:r>
        <w:rPr>
          <w:spacing w:val="-2"/>
        </w:rPr>
        <w:t>公</w:t>
      </w:r>
      <w:r>
        <w:rPr/>
        <w:t>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25 </w:t>
      </w:r>
      <w:r>
        <w:rPr/>
        <w:t>日</w:t>
      </w:r>
      <w:r>
        <w:rPr>
          <w:spacing w:val="-2"/>
        </w:rPr>
        <w:t>向</w:t>
      </w:r>
      <w:r>
        <w:rPr/>
        <w:t>深圳市中级人民法院递交了《结案申请书</w:t>
      </w:r>
      <w:r>
        <w:rPr>
          <w:spacing w:val="-105"/>
        </w:rPr>
        <w:t>》</w:t>
      </w:r>
      <w:r>
        <w:rPr/>
        <w:t>，并</w:t>
      </w:r>
    </w:p>
    <w:p>
      <w:pPr>
        <w:pStyle w:val="BodyText"/>
        <w:spacing w:line="272" w:lineRule="exact"/>
        <w:ind w:left="143" w:right="96"/>
        <w:jc w:val="left"/>
      </w:pPr>
      <w:r>
        <w:rPr/>
        <w:t>交纳案件执行费</w:t>
      </w:r>
      <w:r>
        <w:rPr>
          <w:spacing w:val="-52"/>
        </w:rPr>
        <w:t> </w:t>
      </w:r>
      <w:r>
        <w:rPr>
          <w:rFonts w:ascii="Times New Roman" w:hAnsi="Times New Roman" w:cs="Times New Roman" w:eastAsia="Times New Roman" w:hint="default"/>
        </w:rPr>
        <w:t>41,659.00</w:t>
      </w:r>
      <w:r>
        <w:rPr>
          <w:rFonts w:ascii="Times New Roman" w:hAnsi="Times New Roman" w:cs="Times New Roman" w:eastAsia="Times New Roman" w:hint="default"/>
          <w:spacing w:val="1"/>
        </w:rPr>
        <w:t> </w:t>
      </w:r>
      <w:r>
        <w:rPr>
          <w:spacing w:val="-10"/>
        </w:rPr>
        <w:t>元。公司于</w:t>
      </w:r>
      <w:r>
        <w:rPr>
          <w:spacing w:val="-53"/>
        </w:rPr>
        <w:t> </w:t>
      </w:r>
      <w:r>
        <w:rPr>
          <w:rFonts w:ascii="Times New Roman" w:hAnsi="Times New Roman" w:cs="Times New Roman" w:eastAsia="Times New Roman" w:hint="default"/>
        </w:rPr>
        <w:t>2008 </w:t>
      </w:r>
      <w:r>
        <w:rPr/>
        <w:t>年</w:t>
      </w:r>
      <w:r>
        <w:rPr>
          <w:spacing w:val="-52"/>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spacing w:val="-3"/>
        </w:rPr>
        <w:t>日收到深圳中院有关结案通知书，深圳中院对公</w:t>
      </w:r>
    </w:p>
    <w:p>
      <w:pPr>
        <w:pStyle w:val="BodyText"/>
        <w:spacing w:line="272" w:lineRule="exact"/>
        <w:ind w:left="143" w:right="96"/>
        <w:jc w:val="left"/>
      </w:pPr>
      <w:r>
        <w:rPr/>
        <w:t>司提出的结案申请予以同意，至此，</w:t>
      </w:r>
      <w:r>
        <w:rPr>
          <w:rFonts w:ascii="Times New Roman" w:hAnsi="Times New Roman" w:cs="Times New Roman" w:eastAsia="Times New Roman" w:hint="default"/>
        </w:rPr>
        <w:t>(2005)</w:t>
      </w:r>
      <w:r>
        <w:rPr/>
        <w:t>深中法民二初字第</w:t>
      </w:r>
      <w:r>
        <w:rPr>
          <w:spacing w:val="-56"/>
        </w:rPr>
        <w:t> </w:t>
      </w:r>
      <w:r>
        <w:rPr>
          <w:rFonts w:ascii="Times New Roman" w:hAnsi="Times New Roman" w:cs="Times New Roman" w:eastAsia="Times New Roman" w:hint="default"/>
        </w:rPr>
        <w:t>493-494</w:t>
      </w:r>
      <w:r>
        <w:rPr>
          <w:rFonts w:ascii="Times New Roman" w:hAnsi="Times New Roman" w:cs="Times New Roman" w:eastAsia="Times New Roman" w:hint="default"/>
          <w:spacing w:val="-3"/>
        </w:rPr>
        <w:t> </w:t>
      </w:r>
      <w:r>
        <w:rPr/>
        <w:t>号之一民事调解书执行完毕。</w:t>
      </w:r>
    </w:p>
    <w:p>
      <w:pPr>
        <w:pStyle w:val="BodyText"/>
        <w:spacing w:line="272" w:lineRule="exact"/>
        <w:ind w:left="143" w:right="96"/>
        <w:jc w:val="left"/>
      </w:pPr>
      <w:r>
        <w:rPr/>
        <w:t>截止</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日，由于上述股票抛售款及申购新股取得的收益本公司暂不得处分、抵偿欠本公</w:t>
      </w:r>
    </w:p>
    <w:p>
      <w:pPr>
        <w:pStyle w:val="BodyText"/>
        <w:spacing w:line="272" w:lineRule="exact" w:before="18"/>
        <w:ind w:right="204"/>
        <w:jc w:val="left"/>
      </w:pPr>
      <w:r>
        <w:rPr>
          <w:spacing w:val="-3"/>
        </w:rPr>
        <w:t>司委托理财的本金也不能具体确定，因此</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spacing w:val="-3"/>
        </w:rPr>
        <w:t>日，本公司暂未对上述股票及委托理财本金</w:t>
      </w:r>
      <w:r>
        <w:rPr/>
        <w:t> 进行账务处理，财务部门作备查登记。</w:t>
      </w:r>
    </w:p>
    <w:p>
      <w:pPr>
        <w:pStyle w:val="BodyText"/>
        <w:spacing w:line="240" w:lineRule="auto" w:before="93"/>
        <w:ind w:left="484" w:right="365"/>
        <w:jc w:val="center"/>
      </w:pPr>
      <w:r>
        <w:rPr/>
        <w:t>根据本公司第三届董事会</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年第三次会议决定，本公司对上述委托理财的减值准备由年初的</w:t>
      </w:r>
    </w:p>
    <w:p>
      <w:pPr>
        <w:spacing w:after="0" w:line="240" w:lineRule="auto"/>
        <w:jc w:val="center"/>
        <w:sectPr>
          <w:pgSz w:w="12240" w:h="15840"/>
          <w:pgMar w:header="747" w:footer="727" w:top="1040" w:bottom="920" w:left="1380" w:right="1260"/>
        </w:sectPr>
      </w:pPr>
    </w:p>
    <w:p>
      <w:pPr>
        <w:spacing w:line="240" w:lineRule="auto" w:before="3"/>
        <w:rPr>
          <w:rFonts w:ascii="宋体" w:hAnsi="宋体" w:cs="宋体" w:eastAsia="宋体" w:hint="default"/>
          <w:sz w:val="24"/>
          <w:szCs w:val="24"/>
        </w:rPr>
      </w:pPr>
    </w:p>
    <w:p>
      <w:pPr>
        <w:pStyle w:val="BodyText"/>
        <w:spacing w:line="240" w:lineRule="auto" w:before="35"/>
        <w:ind w:right="96"/>
        <w:jc w:val="left"/>
      </w:pPr>
      <w:r>
        <w:rPr>
          <w:rFonts w:ascii="Times New Roman" w:hAnsi="Times New Roman" w:cs="Times New Roman" w:eastAsia="Times New Roman" w:hint="default"/>
        </w:rPr>
        <w:t>1,700</w:t>
      </w:r>
      <w:r>
        <w:rPr>
          <w:rFonts w:ascii="Times New Roman" w:hAnsi="Times New Roman" w:cs="Times New Roman" w:eastAsia="Times New Roman" w:hint="default"/>
          <w:spacing w:val="-2"/>
        </w:rPr>
        <w:t> </w:t>
      </w:r>
      <w:r>
        <w:rPr/>
        <w:t>万元调整至年末的</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w:t>
      </w:r>
    </w:p>
    <w:p>
      <w:pPr>
        <w:pStyle w:val="BodyText"/>
        <w:spacing w:line="240" w:lineRule="auto" w:before="101"/>
        <w:ind w:left="502" w:right="96"/>
        <w:jc w:val="left"/>
      </w:pPr>
      <w:r>
        <w:rPr>
          <w:rFonts w:ascii="Times New Roman" w:hAnsi="Times New Roman" w:cs="Times New Roman" w:eastAsia="Times New Roman" w:hint="default"/>
        </w:rPr>
        <w:t>2</w:t>
      </w:r>
      <w:r>
        <w:rPr/>
        <w:t>）担保事项</w:t>
      </w:r>
    </w:p>
    <w:p>
      <w:pPr>
        <w:pStyle w:val="BodyText"/>
        <w:spacing w:line="282" w:lineRule="exact" w:before="101"/>
        <w:ind w:left="502" w:right="96"/>
        <w:jc w:val="left"/>
      </w:pPr>
      <w:r>
        <w:rPr/>
        <w:t>（</w:t>
      </w:r>
      <w:r>
        <w:rPr>
          <w:rFonts w:ascii="Times New Roman" w:hAnsi="Times New Roman" w:cs="Times New Roman" w:eastAsia="Times New Roman" w:hint="default"/>
        </w:rPr>
        <w:t>1</w:t>
      </w:r>
      <w:r>
        <w:rPr/>
        <w:t>）本公司于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日与中国建设银行股份有限公司深圳分行签订了《人民币额度借</w:t>
      </w:r>
    </w:p>
    <w:p>
      <w:pPr>
        <w:pStyle w:val="BodyText"/>
        <w:spacing w:line="272" w:lineRule="exact"/>
        <w:ind w:right="96"/>
        <w:jc w:val="left"/>
        <w:rPr>
          <w:rFonts w:ascii="Times New Roman" w:hAnsi="Times New Roman" w:cs="Times New Roman" w:eastAsia="Times New Roman" w:hint="default"/>
        </w:rPr>
      </w:pPr>
      <w:r>
        <w:rPr/>
        <w:t>款保证合同</w:t>
      </w:r>
      <w:r>
        <w:rPr>
          <w:spacing w:val="-106"/>
        </w:rPr>
        <w:t>》</w:t>
      </w:r>
      <w:r>
        <w:rPr/>
        <w:t>（保</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流</w:t>
      </w:r>
      <w:r>
        <w:rPr>
          <w:spacing w:val="-54"/>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86R</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spacing w:val="-106"/>
        </w:rPr>
        <w:t>）</w:t>
      </w:r>
      <w:r>
        <w:rPr/>
        <w:t>，为控股子公司</w:t>
      </w:r>
      <w:r>
        <w:rPr>
          <w:rFonts w:ascii="Times New Roman" w:hAnsi="Times New Roman" w:cs="Times New Roman" w:eastAsia="Times New Roman" w:hint="default"/>
        </w:rPr>
        <w:t>—</w:t>
      </w:r>
      <w:r>
        <w:rPr/>
        <w:t>深圳市齐普生信息科技有限公司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pStyle w:val="BodyText"/>
        <w:spacing w:line="272" w:lineRule="exact"/>
        <w:ind w:left="144" w:right="96"/>
        <w:jc w:val="left"/>
        <w:rPr>
          <w:rFonts w:ascii="Times New Roman" w:hAnsi="Times New Roman" w:cs="Times New Roman" w:eastAsia="Times New Roman" w:hint="default"/>
        </w:rPr>
      </w:pP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日期间内总额在</w:t>
      </w:r>
      <w:r>
        <w:rPr>
          <w:spacing w:val="-54"/>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万元内的借款提供连带责任保证。截止</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p>
    <w:p>
      <w:pPr>
        <w:pStyle w:val="BodyText"/>
        <w:spacing w:line="272" w:lineRule="exact" w:before="18"/>
        <w:ind w:left="144" w:right="205"/>
        <w:jc w:val="left"/>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日，深圳市齐普生信息科技有限公司在中国建设银行股份有限公司深圳分行借款金额为</w:t>
      </w:r>
      <w:r>
        <w:rPr>
          <w:spacing w:val="-55"/>
        </w:rPr>
        <w:t> </w:t>
      </w:r>
      <w:r>
        <w:rPr>
          <w:rFonts w:ascii="Times New Roman" w:hAnsi="Times New Roman" w:cs="Times New Roman" w:eastAsia="Times New Roman" w:hint="default"/>
        </w:rPr>
        <w:t>1985</w:t>
      </w:r>
      <w:r>
        <w:rPr>
          <w:rFonts w:ascii="Times New Roman" w:hAnsi="Times New Roman" w:cs="Times New Roman" w:eastAsia="Times New Roman" w:hint="default"/>
          <w:spacing w:val="-2"/>
        </w:rPr>
        <w:t> </w:t>
      </w:r>
      <w:r>
        <w:rPr/>
        <w:t>万 元。</w:t>
      </w:r>
    </w:p>
    <w:p>
      <w:pPr>
        <w:pStyle w:val="BodyText"/>
        <w:spacing w:line="282" w:lineRule="exact" w:before="93"/>
        <w:ind w:left="501" w:right="96"/>
        <w:jc w:val="left"/>
      </w:pPr>
      <w:r>
        <w:rPr/>
        <w:t>（</w:t>
      </w:r>
      <w:r>
        <w:rPr>
          <w:rFonts w:ascii="Times New Roman" w:hAnsi="Times New Roman" w:cs="Times New Roman" w:eastAsia="Times New Roman" w:hint="default"/>
        </w:rPr>
        <w:t>2</w:t>
      </w:r>
      <w:r>
        <w:rPr/>
        <w:t>）本公司于</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日与广东发展银行股份有限公司深圳城市广场支行签订了</w:t>
      </w:r>
    </w:p>
    <w:p>
      <w:pPr>
        <w:pStyle w:val="BodyText"/>
        <w:spacing w:line="272" w:lineRule="exact"/>
        <w:ind w:left="144" w:right="9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7</w:t>
      </w:r>
      <w:r>
        <w:rPr>
          <w:rFonts w:ascii="Times New Roman" w:hAnsi="Times New Roman" w:cs="Times New Roman" w:eastAsia="Times New Roman" w:hint="default"/>
        </w:rPr>
        <w:t>2</w:t>
      </w:r>
      <w:r>
        <w:rPr>
          <w:rFonts w:ascii="Times New Roman" w:hAnsi="Times New Roman" w:cs="Times New Roman" w:eastAsia="Times New Roman" w:hint="default"/>
          <w:spacing w:val="-1"/>
        </w:rPr>
        <w:t>7</w:t>
      </w:r>
      <w:r>
        <w:rPr>
          <w:rFonts w:ascii="Times New Roman" w:hAnsi="Times New Roman" w:cs="Times New Roman" w:eastAsia="Times New Roman" w:hint="default"/>
        </w:rPr>
        <w:t>6-01</w:t>
      </w:r>
      <w:r>
        <w:rPr/>
        <w:t>《最高</w:t>
      </w:r>
      <w:r>
        <w:rPr>
          <w:spacing w:val="-2"/>
        </w:rPr>
        <w:t>额</w:t>
      </w:r>
      <w:r>
        <w:rPr/>
        <w:t>保证合同</w:t>
      </w:r>
      <w:r>
        <w:rPr>
          <w:spacing w:val="-105"/>
        </w:rPr>
        <w:t>》</w:t>
      </w:r>
      <w:r>
        <w:rPr>
          <w:spacing w:val="-2"/>
        </w:rPr>
        <w:t>，</w:t>
      </w:r>
      <w:r>
        <w:rPr/>
        <w:t>为控股子公司</w:t>
      </w:r>
      <w:r>
        <w:rPr>
          <w:rFonts w:ascii="Times New Roman" w:hAnsi="Times New Roman" w:cs="Times New Roman" w:eastAsia="Times New Roman" w:hint="default"/>
        </w:rPr>
        <w:t>—</w:t>
      </w:r>
      <w:r>
        <w:rPr/>
        <w:t>深圳市齐普生信息科技有限公司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p>
    <w:p>
      <w:pPr>
        <w:pStyle w:val="BodyText"/>
        <w:spacing w:line="272" w:lineRule="exact"/>
        <w:ind w:left="143" w:right="96"/>
        <w:jc w:val="left"/>
        <w:rPr>
          <w:rFonts w:ascii="Times New Roman" w:hAnsi="Times New Roman" w:cs="Times New Roman" w:eastAsia="Times New Roman" w:hint="default"/>
        </w:rPr>
      </w:pPr>
      <w:r>
        <w:rPr>
          <w:rFonts w:ascii="Times New Roman" w:hAnsi="Times New Roman" w:cs="Times New Roman" w:eastAsia="Times New Roman" w:hint="default"/>
        </w:rPr>
        <w:t>18 </w:t>
      </w:r>
      <w:r>
        <w:rPr>
          <w:spacing w:val="-2"/>
        </w:rPr>
        <w:t>日</w:t>
      </w:r>
      <w:r>
        <w:rPr/>
        <w:t>至</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日期间总额在</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75</w:t>
      </w:r>
      <w:r>
        <w:rPr>
          <w:rFonts w:ascii="Times New Roman" w:hAnsi="Times New Roman" w:cs="Times New Roman" w:eastAsia="Times New Roman" w:hint="default"/>
        </w:rPr>
        <w:t>0 </w:t>
      </w:r>
      <w:r>
        <w:rPr/>
        <w:t>万</w:t>
      </w:r>
      <w:r>
        <w:rPr>
          <w:spacing w:val="-2"/>
        </w:rPr>
        <w:t>元</w:t>
      </w:r>
      <w:r>
        <w:rPr/>
        <w:t>内的银行承兑汇票借款提供连带责任保证</w:t>
      </w:r>
      <w:r>
        <w:rPr>
          <w:spacing w:val="-105"/>
        </w:rPr>
        <w:t>。</w:t>
      </w:r>
      <w:r>
        <w:rPr/>
        <w:t>截止</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p>
    <w:p>
      <w:pPr>
        <w:pStyle w:val="BodyText"/>
        <w:spacing w:line="272" w:lineRule="exact"/>
        <w:ind w:left="143" w:right="96"/>
        <w:jc w:val="left"/>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日深圳市齐普生信息科技有限公司在广东发展银行银行股份有限公司深圳城市广场支行已</w:t>
      </w:r>
    </w:p>
    <w:p>
      <w:pPr>
        <w:pStyle w:val="BodyText"/>
        <w:spacing w:line="281" w:lineRule="exact"/>
        <w:ind w:left="143" w:right="96"/>
        <w:jc w:val="left"/>
      </w:pPr>
      <w:r>
        <w:rPr/>
        <w:t>出票未到期的银行承兑汇票金额为</w:t>
      </w:r>
      <w:r>
        <w:rPr>
          <w:spacing w:val="-54"/>
        </w:rPr>
        <w:t> </w:t>
      </w:r>
      <w:r>
        <w:rPr>
          <w:rFonts w:ascii="Times New Roman" w:hAnsi="Times New Roman" w:cs="Times New Roman" w:eastAsia="Times New Roman" w:hint="default"/>
        </w:rPr>
        <w:t>776</w:t>
      </w:r>
      <w:r>
        <w:rPr>
          <w:rFonts w:ascii="Times New Roman" w:hAnsi="Times New Roman" w:cs="Times New Roman" w:eastAsia="Times New Roman" w:hint="default"/>
          <w:spacing w:val="-1"/>
        </w:rPr>
        <w:t> </w:t>
      </w:r>
      <w:r>
        <w:rPr/>
        <w:t>万元。</w:t>
      </w:r>
    </w:p>
    <w:p>
      <w:pPr>
        <w:pStyle w:val="BodyText"/>
        <w:spacing w:line="272" w:lineRule="exact" w:before="129"/>
        <w:ind w:left="142" w:right="212" w:firstLine="357"/>
        <w:jc w:val="both"/>
      </w:pPr>
      <w:r>
        <w:rPr/>
        <w:t>（</w:t>
      </w:r>
      <w:r>
        <w:rPr>
          <w:rFonts w:ascii="Times New Roman" w:hAnsi="Times New Roman" w:cs="Times New Roman" w:eastAsia="Times New Roman" w:hint="default"/>
        </w:rPr>
        <w:t>3</w:t>
      </w:r>
      <w:r>
        <w:rPr/>
        <w:t>）本公司于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日与深圳市商业银行营业部（已更名为：深圳平安银行股份有限公 </w:t>
      </w:r>
      <w:r>
        <w:rPr>
          <w:spacing w:val="-1"/>
        </w:rPr>
        <w:t>司营业部）签订了深商银（营）授信保字（</w:t>
      </w:r>
      <w:r>
        <w:rPr>
          <w:rFonts w:ascii="Times New Roman" w:hAnsi="Times New Roman" w:cs="Times New Roman" w:eastAsia="Times New Roman" w:hint="default"/>
          <w:spacing w:val="-1"/>
        </w:rPr>
        <w:t>2007</w:t>
      </w:r>
      <w:r>
        <w:rPr>
          <w:spacing w:val="-1"/>
        </w:rPr>
        <w:t>）第</w:t>
      </w:r>
      <w:r>
        <w:rPr>
          <w:spacing w:val="-39"/>
        </w:rPr>
        <w:t> </w:t>
      </w:r>
      <w:r>
        <w:rPr>
          <w:rFonts w:ascii="Times New Roman" w:hAnsi="Times New Roman" w:cs="Times New Roman" w:eastAsia="Times New Roman" w:hint="default"/>
          <w:spacing w:val="-2"/>
          <w:w w:val="99"/>
        </w:rPr>
        <w:t>A110010700025</w:t>
      </w:r>
      <w:r>
        <w:rPr>
          <w:rFonts w:ascii="Times New Roman" w:hAnsi="Times New Roman" w:cs="Times New Roman" w:eastAsia="Times New Roman" w:hint="default"/>
          <w:spacing w:val="10"/>
          <w:w w:val="99"/>
        </w:rPr>
        <w:t> </w:t>
      </w:r>
      <w:r>
        <w:rPr>
          <w:spacing w:val="-8"/>
        </w:rPr>
        <w:t>号《最高额保证合同》，为控股</w:t>
      </w:r>
      <w:r>
        <w:rPr>
          <w:spacing w:val="-89"/>
        </w:rPr>
        <w:t> </w:t>
      </w:r>
      <w:r>
        <w:rPr>
          <w:spacing w:val="-89"/>
        </w:rPr>
      </w:r>
      <w:r>
        <w:rPr/>
        <w:t>子公司</w:t>
      </w:r>
      <w:r>
        <w:rPr>
          <w:rFonts w:ascii="Times New Roman" w:hAnsi="Times New Roman" w:cs="Times New Roman" w:eastAsia="Times New Roman" w:hint="default"/>
        </w:rPr>
        <w:t>—</w:t>
      </w:r>
      <w:r>
        <w:rPr/>
        <w:t>深圳市齐普生信息科技有限公司</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日至</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日期间总额在</w:t>
      </w:r>
      <w:r>
        <w:rPr>
          <w:spacing w:val="-61"/>
        </w:rPr>
        <w:t> </w:t>
      </w:r>
      <w:r>
        <w:rPr>
          <w:rFonts w:ascii="Times New Roman" w:hAnsi="Times New Roman" w:cs="Times New Roman" w:eastAsia="Times New Roman" w:hint="default"/>
        </w:rPr>
        <w:t>4000</w:t>
      </w:r>
      <w:r>
        <w:rPr>
          <w:rFonts w:ascii="Times New Roman" w:hAnsi="Times New Roman" w:cs="Times New Roman" w:eastAsia="Times New Roman" w:hint="default"/>
          <w:spacing w:val="-9"/>
        </w:rPr>
        <w:t> </w:t>
      </w:r>
      <w:r>
        <w:rPr/>
        <w:t>万元内 的银行承兑汇票借款提供连带责任保证（保证期间从《最高额保证合同》生效之日起至主合同项下所 </w:t>
      </w:r>
      <w:r>
        <w:rPr>
          <w:spacing w:val="-5"/>
        </w:rPr>
        <w:t>有融资中最后到期的融资期限届满日另加两年）。截止</w:t>
      </w:r>
      <w:r>
        <w:rPr>
          <w:spacing w:val="-50"/>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t>日深圳市齐普生信息科技有限</w:t>
      </w:r>
    </w:p>
    <w:p>
      <w:pPr>
        <w:pStyle w:val="BodyText"/>
        <w:spacing w:line="263" w:lineRule="exact"/>
        <w:ind w:left="144" w:right="96"/>
        <w:jc w:val="left"/>
      </w:pPr>
      <w:r>
        <w:rPr/>
        <w:t>公司在深圳市商业银行营业部已出票未到期的银行承兑汇票金额为</w:t>
      </w:r>
      <w:r>
        <w:rPr>
          <w:spacing w:val="-54"/>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w:t>
      </w:r>
    </w:p>
    <w:p>
      <w:pPr>
        <w:pStyle w:val="BodyText"/>
        <w:spacing w:line="272" w:lineRule="exact" w:before="129"/>
        <w:ind w:left="143" w:right="107" w:firstLine="357"/>
        <w:jc w:val="left"/>
      </w:pPr>
      <w:r>
        <w:rPr>
          <w:spacing w:val="-16"/>
        </w:rPr>
        <w:t>（</w:t>
      </w:r>
      <w:r>
        <w:rPr>
          <w:rFonts w:ascii="Times New Roman" w:hAnsi="Times New Roman" w:cs="Times New Roman" w:eastAsia="Times New Roman" w:hint="default"/>
          <w:spacing w:val="-16"/>
        </w:rPr>
        <w:t>4</w:t>
      </w:r>
      <w:r>
        <w:rPr>
          <w:spacing w:val="-16"/>
        </w:rPr>
        <w:t>）本公司于</w:t>
      </w:r>
      <w:r>
        <w:rPr>
          <w:spacing w:val="-7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1"/>
        </w:rPr>
        <w:t> </w:t>
      </w:r>
      <w:r>
        <w:rPr/>
        <w:t>年</w:t>
      </w:r>
      <w:r>
        <w:rPr>
          <w:spacing w:val="-74"/>
        </w:rPr>
        <w:t> </w:t>
      </w: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t>月</w:t>
      </w:r>
      <w:r>
        <w:rPr>
          <w:spacing w:val="-74"/>
        </w:rPr>
        <w:t> </w:t>
      </w:r>
      <w:r>
        <w:rPr>
          <w:rFonts w:ascii="Times New Roman" w:hAnsi="Times New Roman" w:cs="Times New Roman" w:eastAsia="Times New Roman" w:hint="default"/>
        </w:rPr>
        <w:t>27</w:t>
      </w:r>
      <w:r>
        <w:rPr>
          <w:rFonts w:ascii="Times New Roman" w:hAnsi="Times New Roman" w:cs="Times New Roman" w:eastAsia="Times New Roman" w:hint="default"/>
          <w:spacing w:val="-21"/>
        </w:rPr>
        <w:t> </w:t>
      </w:r>
      <w:r>
        <w:rPr>
          <w:spacing w:val="-4"/>
        </w:rPr>
        <w:t>日与兴业银行股份有限公司深圳中心区支行签订了兴银深中字（</w:t>
      </w:r>
      <w:r>
        <w:rPr>
          <w:rFonts w:ascii="Times New Roman" w:hAnsi="Times New Roman" w:cs="Times New Roman" w:eastAsia="Times New Roman" w:hint="default"/>
          <w:spacing w:val="-4"/>
        </w:rPr>
        <w:t>2007</w:t>
      </w:r>
      <w:r>
        <w:rPr>
          <w:spacing w:val="-4"/>
        </w:rPr>
        <w:t>）</w:t>
      </w:r>
      <w:r>
        <w:rPr/>
        <w:t> 第</w:t>
      </w:r>
      <w:r>
        <w:rPr>
          <w:spacing w:val="-50"/>
        </w:rPr>
        <w:t> </w:t>
      </w:r>
      <w:r>
        <w:rPr>
          <w:rFonts w:ascii="Times New Roman" w:hAnsi="Times New Roman" w:cs="Times New Roman" w:eastAsia="Times New Roman" w:hint="default"/>
          <w:spacing w:val="-1"/>
        </w:rPr>
        <w:t>009</w:t>
      </w:r>
      <w:r>
        <w:rPr>
          <w:rFonts w:ascii="Times New Roman" w:hAnsi="Times New Roman" w:cs="Times New Roman" w:eastAsia="Times New Roman" w:hint="default"/>
          <w:spacing w:val="3"/>
        </w:rPr>
        <w:t> </w:t>
      </w:r>
      <w:r>
        <w:rPr>
          <w:spacing w:val="-6"/>
        </w:rPr>
        <w:t>号《保证合同》，为控股子公司</w:t>
      </w:r>
      <w:r>
        <w:rPr>
          <w:rFonts w:ascii="Times New Roman" w:hAnsi="Times New Roman" w:cs="Times New Roman" w:eastAsia="Times New Roman" w:hint="default"/>
          <w:spacing w:val="-6"/>
        </w:rPr>
        <w:t>—</w:t>
      </w:r>
      <w:r>
        <w:rPr>
          <w:spacing w:val="-6"/>
        </w:rPr>
        <w:t>深圳市金证卡尔电子有限公司短期借款</w:t>
      </w:r>
      <w:r>
        <w:rPr>
          <w:spacing w:val="-50"/>
        </w:rPr>
        <w:t> </w:t>
      </w:r>
      <w:r>
        <w:rPr>
          <w:rFonts w:ascii="Times New Roman" w:hAnsi="Times New Roman" w:cs="Times New Roman" w:eastAsia="Times New Roman" w:hint="default"/>
          <w:spacing w:val="-1"/>
        </w:rPr>
        <w:t>500</w:t>
      </w:r>
      <w:r>
        <w:rPr>
          <w:rFonts w:ascii="Times New Roman" w:hAnsi="Times New Roman" w:cs="Times New Roman" w:eastAsia="Times New Roman" w:hint="default"/>
          <w:spacing w:val="2"/>
        </w:rPr>
        <w:t> </w:t>
      </w:r>
      <w:r>
        <w:rPr>
          <w:spacing w:val="-5"/>
        </w:rPr>
        <w:t>万元（借款期限为</w:t>
      </w:r>
      <w:r>
        <w:rPr>
          <w:spacing w:val="-97"/>
        </w:rPr>
        <w:t> </w:t>
      </w:r>
      <w:r>
        <w:rPr>
          <w:spacing w:val="-97"/>
        </w:rPr>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日）提供担保。</w:t>
      </w:r>
    </w:p>
    <w:p>
      <w:pPr>
        <w:pStyle w:val="BodyText"/>
        <w:spacing w:line="240" w:lineRule="auto" w:before="93"/>
        <w:ind w:left="501" w:right="96"/>
        <w:jc w:val="left"/>
      </w:pPr>
      <w:r>
        <w:rPr>
          <w:rFonts w:ascii="Times New Roman" w:hAnsi="Times New Roman" w:cs="Times New Roman" w:eastAsia="Times New Roman" w:hint="default"/>
        </w:rPr>
        <w:t>3</w:t>
      </w:r>
      <w:r>
        <w:rPr/>
        <w:t>）关于监管部门对本公司的立案调查事项</w:t>
      </w:r>
    </w:p>
    <w:p>
      <w:pPr>
        <w:pStyle w:val="BodyText"/>
        <w:spacing w:line="282" w:lineRule="exact" w:before="101"/>
        <w:ind w:left="501" w:right="96"/>
        <w:jc w:val="left"/>
      </w:pPr>
      <w:r>
        <w:rPr/>
        <w:t>本公司于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日收到中国证券监督管理委员会深圳稽查局立案调查通知书（</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深稽</w:t>
      </w:r>
    </w:p>
    <w:p>
      <w:pPr>
        <w:pStyle w:val="BodyText"/>
        <w:spacing w:line="272" w:lineRule="exact"/>
        <w:ind w:left="143" w:right="96"/>
        <w:jc w:val="left"/>
      </w:pPr>
      <w:r>
        <w:rPr/>
        <w:t>立通字</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spacing w:val="-105"/>
        </w:rPr>
        <w:t>）</w:t>
      </w:r>
      <w:r>
        <w:rPr>
          <w:spacing w:val="-35"/>
        </w:rPr>
        <w:t>，</w:t>
      </w:r>
      <w:r>
        <w:rPr/>
        <w:t>因涉嫌虚假陈述</w:t>
      </w:r>
      <w:r>
        <w:rPr>
          <w:spacing w:val="-35"/>
        </w:rPr>
        <w:t>，</w:t>
      </w:r>
      <w:r>
        <w:rPr/>
        <w:t>中国证券监督管理委员会深圳稽查局决定对本公司立案调查</w:t>
      </w:r>
      <w:r>
        <w:rPr>
          <w:spacing w:val="-35"/>
        </w:rPr>
        <w:t>。</w:t>
      </w:r>
      <w:r>
        <w:rPr/>
        <w:t>截止</w:t>
      </w:r>
    </w:p>
    <w:p>
      <w:pPr>
        <w:pStyle w:val="BodyText"/>
        <w:spacing w:line="282" w:lineRule="exact"/>
        <w:ind w:left="143" w:right="96"/>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日调查尚未结束。</w:t>
      </w:r>
    </w:p>
    <w:p>
      <w:pPr>
        <w:pStyle w:val="BodyText"/>
        <w:spacing w:line="240" w:lineRule="auto" w:before="101"/>
        <w:ind w:left="142" w:right="96"/>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新旧会计准则股东权益差异调节表对比披露表</w:t>
      </w:r>
    </w:p>
    <w:p>
      <w:pPr>
        <w:spacing w:after="0" w:line="240" w:lineRule="auto"/>
        <w:jc w:val="left"/>
        <w:sectPr>
          <w:pgSz w:w="12240" w:h="15840"/>
          <w:pgMar w:header="747" w:footer="727" w:top="1040" w:bottom="920" w:left="1380" w:right="1260"/>
        </w:sect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2240" w:h="15840"/>
          <w:pgMar w:header="747" w:footer="727" w:top="1040" w:bottom="920" w:left="1380" w:right="1300"/>
        </w:sectPr>
      </w:pPr>
    </w:p>
    <w:p>
      <w:pPr>
        <w:pStyle w:val="BodyText"/>
        <w:spacing w:line="285" w:lineRule="auto" w:before="35"/>
        <w:ind w:left="2665" w:right="0" w:firstLine="1"/>
        <w:jc w:val="center"/>
      </w:pPr>
      <w:r>
        <w:rPr/>
        <w:t>深圳市金证科技股份有限公司 新旧会计准则股东权益差异调节表对比披露表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2"/>
        <w:ind w:left="57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660" w:bottom="280" w:left="1380" w:right="1300"/>
          <w:cols w:num="2" w:equalWidth="0">
            <w:col w:w="6866" w:space="40"/>
            <w:col w:w="2654"/>
          </w:cols>
        </w:sectPr>
      </w:pP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540"/>
        <w:gridCol w:w="4236"/>
        <w:gridCol w:w="1643"/>
        <w:gridCol w:w="1756"/>
        <w:gridCol w:w="1126"/>
      </w:tblGrid>
      <w:tr>
        <w:trPr>
          <w:trHeight w:val="560"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56"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43" w:type="dxa"/>
            <w:tcBorders>
              <w:top w:val="single" w:sz="6" w:space="0" w:color="101010"/>
              <w:left w:val="single" w:sz="6" w:space="0" w:color="101010"/>
              <w:bottom w:val="single" w:sz="6" w:space="0" w:color="101010"/>
              <w:right w:val="single" w:sz="6" w:space="0" w:color="101010"/>
            </w:tcBorders>
          </w:tcPr>
          <w:p>
            <w:pPr>
              <w:pStyle w:val="TableParagraph"/>
              <w:spacing w:line="24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年报披露</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756" w:type="dxa"/>
            <w:tcBorders>
              <w:top w:val="single" w:sz="6" w:space="0" w:color="101010"/>
              <w:left w:val="single" w:sz="6" w:space="0" w:color="101010"/>
              <w:bottom w:val="single" w:sz="6" w:space="0" w:color="101010"/>
              <w:right w:val="single" w:sz="6" w:space="0" w:color="101010"/>
            </w:tcBorders>
          </w:tcPr>
          <w:p>
            <w:pPr>
              <w:pStyle w:val="TableParagraph"/>
              <w:spacing w:line="24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年报原披露</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45" w:right="0"/>
              <w:jc w:val="left"/>
              <w:rPr>
                <w:rFonts w:ascii="宋体" w:hAnsi="宋体" w:cs="宋体" w:eastAsia="宋体" w:hint="default"/>
                <w:sz w:val="21"/>
                <w:szCs w:val="21"/>
              </w:rPr>
            </w:pPr>
            <w:r>
              <w:rPr>
                <w:rFonts w:ascii="宋体" w:hAnsi="宋体" w:cs="宋体" w:eastAsia="宋体" w:hint="default"/>
                <w:sz w:val="21"/>
                <w:szCs w:val="21"/>
              </w:rPr>
              <w:t>差异</w:t>
            </w:r>
          </w:p>
        </w:tc>
      </w:tr>
      <w:tr>
        <w:trPr>
          <w:trHeight w:val="305" w:hRule="exact"/>
        </w:trPr>
        <w:tc>
          <w:tcPr>
            <w:tcW w:w="540" w:type="dxa"/>
            <w:tcBorders>
              <w:top w:val="single" w:sz="6" w:space="0" w:color="101010"/>
              <w:left w:val="single" w:sz="6" w:space="0" w:color="101010"/>
              <w:bottom w:val="single" w:sz="6" w:space="0" w:color="101010"/>
              <w:right w:val="single" w:sz="6" w:space="0" w:color="101010"/>
            </w:tcBorders>
          </w:tcPr>
          <w:p>
            <w:pP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6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日股东权益（原会计准则）</w:t>
            </w:r>
          </w:p>
        </w:tc>
        <w:tc>
          <w:tcPr>
            <w:tcW w:w="16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320,433,112.29</w:t>
            </w:r>
          </w:p>
        </w:tc>
        <w:tc>
          <w:tcPr>
            <w:tcW w:w="17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320,396,766.96</w:t>
            </w:r>
          </w:p>
        </w:tc>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36,345.33</w:t>
            </w:r>
          </w:p>
        </w:tc>
      </w:tr>
      <w:tr>
        <w:trPr>
          <w:trHeight w:val="287"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1</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540" w:type="dxa"/>
            <w:tcBorders>
              <w:top w:val="single" w:sz="6" w:space="0" w:color="101010"/>
              <w:left w:val="single" w:sz="6" w:space="0" w:color="101010"/>
              <w:bottom w:val="single" w:sz="6" w:space="0" w:color="101010"/>
              <w:right w:val="single" w:sz="6" w:space="0" w:color="101010"/>
            </w:tcBorders>
          </w:tcPr>
          <w:p>
            <w:pP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其中：同一控制下企业合并形成的长期股权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投资差额</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540" w:type="dxa"/>
            <w:tcBorders>
              <w:top w:val="single" w:sz="6" w:space="0" w:color="101010"/>
              <w:left w:val="single" w:sz="6" w:space="0" w:color="101010"/>
              <w:bottom w:val="single" w:sz="6" w:space="0" w:color="101010"/>
              <w:right w:val="single" w:sz="6" w:space="0" w:color="101010"/>
            </w:tcBorders>
          </w:tcPr>
          <w:p>
            <w:pP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贷方差额</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2</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拟以公允价值模式计量的投资性房地产</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208" w:right="0"/>
              <w:jc w:val="left"/>
              <w:rPr>
                <w:rFonts w:ascii="Times New Roman" w:hAnsi="Times New Roman" w:cs="Times New Roman" w:eastAsia="Times New Roman" w:hint="default"/>
                <w:sz w:val="21"/>
                <w:szCs w:val="21"/>
              </w:rPr>
            </w:pPr>
            <w:r>
              <w:rPr>
                <w:rFonts w:ascii="Times New Roman"/>
                <w:sz w:val="21"/>
              </w:rPr>
              <w:t>3</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因预计资产弃置费用应补提的以前年度折旧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4</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5</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6</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7</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40" w:type="dxa"/>
            <w:tcBorders>
              <w:top w:val="single" w:sz="6" w:space="0" w:color="101010"/>
              <w:left w:val="single" w:sz="6" w:space="0" w:color="101010"/>
              <w:bottom w:val="single" w:sz="6" w:space="0" w:color="101010"/>
              <w:right w:val="single" w:sz="6" w:space="0" w:color="101010"/>
            </w:tcBorders>
          </w:tcPr>
          <w:p>
            <w:pP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其中：同一控制下企业合并商誉的账面价值</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40" w:type="dxa"/>
            <w:tcBorders>
              <w:top w:val="single" w:sz="6" w:space="0" w:color="101010"/>
              <w:left w:val="single" w:sz="6" w:space="0" w:color="101010"/>
              <w:bottom w:val="single" w:sz="6" w:space="0" w:color="101010"/>
              <w:right w:val="single" w:sz="6" w:space="0" w:color="101010"/>
            </w:tcBorders>
          </w:tcPr>
          <w:p>
            <w:pP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208" w:right="0"/>
              <w:jc w:val="left"/>
              <w:rPr>
                <w:rFonts w:ascii="Times New Roman" w:hAnsi="Times New Roman" w:cs="Times New Roman" w:eastAsia="Times New Roman" w:hint="default"/>
                <w:sz w:val="21"/>
                <w:szCs w:val="21"/>
              </w:rPr>
            </w:pPr>
            <w:r>
              <w:rPr>
                <w:rFonts w:ascii="Times New Roman"/>
                <w:sz w:val="21"/>
              </w:rPr>
              <w:t>8</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融资产以及可供出售金融资产</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208" w:right="0"/>
              <w:jc w:val="left"/>
              <w:rPr>
                <w:rFonts w:ascii="Times New Roman" w:hAnsi="Times New Roman" w:cs="Times New Roman" w:eastAsia="Times New Roman" w:hint="default"/>
                <w:sz w:val="21"/>
                <w:szCs w:val="21"/>
              </w:rPr>
            </w:pPr>
            <w:r>
              <w:rPr>
                <w:rFonts w:ascii="Times New Roman"/>
                <w:sz w:val="21"/>
              </w:rPr>
              <w:t>9</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融负债</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55" w:right="0"/>
              <w:jc w:val="left"/>
              <w:rPr>
                <w:rFonts w:ascii="Times New Roman" w:hAnsi="Times New Roman" w:cs="Times New Roman" w:eastAsia="Times New Roman" w:hint="default"/>
                <w:sz w:val="21"/>
                <w:szCs w:val="21"/>
              </w:rPr>
            </w:pPr>
            <w:r>
              <w:rPr>
                <w:rFonts w:ascii="Times New Roman"/>
                <w:sz w:val="21"/>
              </w:rPr>
              <w:t>10</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金融工具分拆增加的收益</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6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55" w:right="0"/>
              <w:jc w:val="left"/>
              <w:rPr>
                <w:rFonts w:ascii="Times New Roman" w:hAnsi="Times New Roman" w:cs="Times New Roman" w:eastAsia="Times New Roman" w:hint="default"/>
                <w:sz w:val="21"/>
                <w:szCs w:val="21"/>
              </w:rPr>
            </w:pPr>
            <w:r>
              <w:rPr>
                <w:rFonts w:ascii="Times New Roman"/>
                <w:sz w:val="21"/>
              </w:rPr>
              <w:t>12</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7"/>
              <w:jc w:val="right"/>
              <w:rPr>
                <w:rFonts w:ascii="Times New Roman" w:hAnsi="Times New Roman" w:cs="Times New Roman" w:eastAsia="Times New Roman" w:hint="default"/>
                <w:sz w:val="21"/>
                <w:szCs w:val="21"/>
              </w:rPr>
            </w:pPr>
            <w:r>
              <w:rPr>
                <w:rFonts w:ascii="Times New Roman"/>
                <w:spacing w:val="-1"/>
                <w:sz w:val="21"/>
              </w:rPr>
              <w:t>5,317,908.26</w:t>
            </w:r>
          </w:p>
        </w:tc>
        <w:tc>
          <w:tcPr>
            <w:tcW w:w="1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
              <w:ind w:right="97"/>
              <w:jc w:val="right"/>
              <w:rPr>
                <w:rFonts w:ascii="Times New Roman" w:hAnsi="Times New Roman" w:cs="Times New Roman" w:eastAsia="Times New Roman" w:hint="default"/>
                <w:sz w:val="21"/>
                <w:szCs w:val="21"/>
              </w:rPr>
            </w:pPr>
            <w:r>
              <w:rPr>
                <w:rFonts w:ascii="Times New Roman"/>
                <w:spacing w:val="-1"/>
                <w:sz w:val="21"/>
              </w:rPr>
              <w:t>5,317,908.26</w:t>
            </w:r>
          </w:p>
        </w:tc>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305"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155" w:right="0"/>
              <w:jc w:val="left"/>
              <w:rPr>
                <w:rFonts w:ascii="Times New Roman" w:hAnsi="Times New Roman" w:cs="Times New Roman" w:eastAsia="Times New Roman" w:hint="default"/>
                <w:sz w:val="21"/>
                <w:szCs w:val="21"/>
              </w:rPr>
            </w:pPr>
            <w:r>
              <w:rPr>
                <w:rFonts w:ascii="Times New Roman"/>
                <w:sz w:val="21"/>
              </w:rPr>
              <w:t>13</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36,106,455.32</w:t>
            </w:r>
          </w:p>
        </w:tc>
        <w:tc>
          <w:tcPr>
            <w:tcW w:w="17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36,142,800.65</w:t>
            </w:r>
          </w:p>
        </w:tc>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-36,345.33</w:t>
            </w:r>
            <w:r>
              <w:rPr>
                <w:rFonts w:ascii="Times New Roman"/>
                <w:sz w:val="21"/>
              </w:rPr>
            </w:r>
          </w:p>
        </w:tc>
      </w:tr>
      <w:tr>
        <w:trPr>
          <w:trHeight w:val="288"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55" w:right="0"/>
              <w:jc w:val="left"/>
              <w:rPr>
                <w:rFonts w:ascii="Times New Roman" w:hAnsi="Times New Roman" w:cs="Times New Roman" w:eastAsia="Times New Roman" w:hint="default"/>
                <w:sz w:val="21"/>
                <w:szCs w:val="21"/>
              </w:rPr>
            </w:pPr>
            <w:r>
              <w:rPr>
                <w:rFonts w:ascii="Times New Roman"/>
                <w:sz w:val="21"/>
              </w:rPr>
              <w:t>14</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股等上市公司特别追溯调整</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55" w:right="0"/>
              <w:jc w:val="left"/>
              <w:rPr>
                <w:rFonts w:ascii="Times New Roman" w:hAnsi="Times New Roman" w:cs="Times New Roman" w:eastAsia="Times New Roman" w:hint="default"/>
                <w:sz w:val="21"/>
                <w:szCs w:val="21"/>
              </w:rPr>
            </w:pPr>
            <w:r>
              <w:rPr>
                <w:rFonts w:ascii="Times New Roman"/>
                <w:sz w:val="21"/>
              </w:rPr>
              <w:t>15</w:t>
            </w: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43" w:type="dxa"/>
            <w:tcBorders>
              <w:top w:val="single" w:sz="6" w:space="0" w:color="101010"/>
              <w:left w:val="single" w:sz="6" w:space="0" w:color="101010"/>
              <w:bottom w:val="single" w:sz="6" w:space="0" w:color="101010"/>
              <w:right w:val="single" w:sz="6" w:space="0" w:color="101010"/>
            </w:tcBorders>
          </w:tcPr>
          <w:p>
            <w:pPr/>
          </w:p>
        </w:tc>
        <w:tc>
          <w:tcPr>
            <w:tcW w:w="1756"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r>
      <w:tr>
        <w:trPr>
          <w:trHeight w:val="306" w:hRule="exact"/>
        </w:trPr>
        <w:tc>
          <w:tcPr>
            <w:tcW w:w="540" w:type="dxa"/>
            <w:tcBorders>
              <w:top w:val="single" w:sz="6" w:space="0" w:color="101010"/>
              <w:left w:val="single" w:sz="6" w:space="0" w:color="101010"/>
              <w:bottom w:val="single" w:sz="6" w:space="0" w:color="101010"/>
              <w:right w:val="single" w:sz="6" w:space="0" w:color="101010"/>
            </w:tcBorders>
          </w:tcPr>
          <w:p>
            <w:pPr/>
          </w:p>
        </w:tc>
        <w:tc>
          <w:tcPr>
            <w:tcW w:w="4236" w:type="dxa"/>
            <w:tcBorders>
              <w:top w:val="single" w:sz="6" w:space="0" w:color="101010"/>
              <w:left w:val="single" w:sz="6" w:space="0" w:color="101010"/>
              <w:bottom w:val="single" w:sz="6" w:space="0" w:color="101010"/>
              <w:right w:val="single" w:sz="6" w:space="0" w:color="101010"/>
            </w:tcBorders>
          </w:tcPr>
          <w:p>
            <w:pPr>
              <w:pStyle w:val="TableParagraph"/>
              <w:spacing w:line="26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日股东权益（新会计准则）</w:t>
            </w:r>
          </w:p>
        </w:tc>
        <w:tc>
          <w:tcPr>
            <w:tcW w:w="16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361,857,475.87</w:t>
            </w:r>
          </w:p>
        </w:tc>
        <w:tc>
          <w:tcPr>
            <w:tcW w:w="175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361,857,475.87</w:t>
            </w:r>
          </w:p>
        </w:tc>
        <w:tc>
          <w:tcPr>
            <w:tcW w:w="1126" w:type="dxa"/>
            <w:tcBorders>
              <w:top w:val="single" w:sz="6" w:space="0" w:color="101010"/>
              <w:left w:val="single" w:sz="6" w:space="0" w:color="101010"/>
              <w:bottom w:val="single" w:sz="6" w:space="0" w:color="101010"/>
              <w:right w:val="single" w:sz="6" w:space="0" w:color="101010"/>
            </w:tcBorders>
          </w:tcPr>
          <w:p>
            <w:pPr/>
          </w:p>
        </w:tc>
      </w:tr>
    </w:tbl>
    <w:p>
      <w:pPr>
        <w:pStyle w:val="BodyText"/>
        <w:spacing w:line="240" w:lineRule="auto" w:before="84"/>
        <w:ind w:left="504" w:right="2197"/>
        <w:jc w:val="left"/>
      </w:pPr>
      <w:r>
        <w:rPr/>
        <w:t>两次披露数出现差异的原因说明：</w:t>
      </w:r>
    </w:p>
    <w:p>
      <w:pPr>
        <w:pStyle w:val="BodyText"/>
        <w:spacing w:line="240" w:lineRule="auto" w:before="116"/>
        <w:ind w:left="503" w:right="219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日股</w:t>
      </w:r>
      <w:r>
        <w:rPr>
          <w:spacing w:val="-2"/>
        </w:rPr>
        <w:t>东</w:t>
      </w:r>
      <w:r>
        <w:rPr/>
        <w:t>权益（原会计准则</w:t>
      </w:r>
      <w:r>
        <w:rPr>
          <w:spacing w:val="-105"/>
        </w:rPr>
        <w:t>）</w:t>
      </w:r>
      <w:r>
        <w:rPr/>
        <w:t>：</w:t>
      </w:r>
    </w:p>
    <w:p>
      <w:pPr>
        <w:pStyle w:val="BodyText"/>
        <w:spacing w:line="282" w:lineRule="exact" w:before="101"/>
        <w:ind w:left="503" w:right="0"/>
        <w:jc w:val="left"/>
      </w:pPr>
      <w:r>
        <w:rPr/>
        <w:t>此部分差异系根据《企业会计准则解释第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号》的规定，对合并范围内公司间的长期股权投资进</w:t>
      </w:r>
    </w:p>
    <w:p>
      <w:pPr>
        <w:pStyle w:val="BodyText"/>
        <w:spacing w:line="272" w:lineRule="exact"/>
        <w:ind w:left="144" w:right="0"/>
        <w:jc w:val="left"/>
        <w:rPr>
          <w:rFonts w:ascii="Times New Roman" w:hAnsi="Times New Roman" w:cs="Times New Roman" w:eastAsia="Times New Roman" w:hint="default"/>
        </w:rPr>
      </w:pPr>
      <w:r>
        <w:rPr/>
        <w:t>行追溯调整，使少数股东权益减少</w:t>
      </w:r>
      <w:r>
        <w:rPr>
          <w:spacing w:val="-60"/>
        </w:rPr>
        <w:t> </w:t>
      </w:r>
      <w:r>
        <w:rPr>
          <w:rFonts w:ascii="Times New Roman" w:hAnsi="Times New Roman" w:cs="Times New Roman" w:eastAsia="Times New Roman" w:hint="default"/>
        </w:rPr>
        <w:t>36,345.33</w:t>
      </w:r>
      <w:r>
        <w:rPr>
          <w:rFonts w:ascii="Times New Roman" w:hAnsi="Times New Roman" w:cs="Times New Roman" w:eastAsia="Times New Roman" w:hint="default"/>
          <w:spacing w:val="-8"/>
        </w:rPr>
        <w:t> </w:t>
      </w:r>
      <w:r>
        <w:rPr/>
        <w:t>元、归属母公司股东权益增加</w:t>
      </w:r>
      <w:r>
        <w:rPr>
          <w:spacing w:val="-60"/>
        </w:rPr>
        <w:t> </w:t>
      </w:r>
      <w:r>
        <w:rPr>
          <w:rFonts w:ascii="Times New Roman" w:hAnsi="Times New Roman" w:cs="Times New Roman" w:eastAsia="Times New Roman" w:hint="default"/>
        </w:rPr>
        <w:t>36,345.33</w:t>
      </w:r>
      <w:r>
        <w:rPr>
          <w:rFonts w:ascii="Times New Roman" w:hAnsi="Times New Roman" w:cs="Times New Roman" w:eastAsia="Times New Roman" w:hint="default"/>
          <w:spacing w:val="-8"/>
        </w:rPr>
        <w:t> </w:t>
      </w:r>
      <w:r>
        <w:rPr>
          <w:spacing w:val="-6"/>
        </w:rPr>
        <w:t>元，但</w:t>
      </w:r>
      <w:r>
        <w:rPr>
          <w:spacing w:val="-6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1</w:t>
      </w:r>
    </w:p>
    <w:p>
      <w:pPr>
        <w:pStyle w:val="BodyText"/>
        <w:spacing w:line="282" w:lineRule="exact"/>
        <w:ind w:left="144" w:right="2197"/>
        <w:jc w:val="left"/>
        <w:rPr>
          <w:rFonts w:ascii="Times New Roman" w:hAnsi="Times New Roman" w:cs="Times New Roman" w:eastAsia="Times New Roman" w:hint="default"/>
        </w:rPr>
      </w:pP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日新准则下股东权益总额未发生变化。注</w:t>
      </w:r>
      <w:r>
        <w:rPr>
          <w:spacing w:val="-54"/>
        </w:rPr>
        <w:t> </w:t>
      </w:r>
      <w:r>
        <w:rPr>
          <w:rFonts w:ascii="Times New Roman" w:hAnsi="Times New Roman" w:cs="Times New Roman" w:eastAsia="Times New Roman" w:hint="default"/>
        </w:rPr>
        <w:t>1</w:t>
      </w:r>
    </w:p>
    <w:p>
      <w:pPr>
        <w:pStyle w:val="BodyText"/>
        <w:spacing w:line="240" w:lineRule="auto" w:before="101"/>
        <w:ind w:left="503" w:right="2197"/>
        <w:jc w:val="left"/>
      </w:pPr>
      <w:r>
        <w:rPr/>
        <w:t>少数股东权益：</w:t>
      </w:r>
    </w:p>
    <w:p>
      <w:pPr>
        <w:pStyle w:val="BodyText"/>
        <w:spacing w:line="282" w:lineRule="exact" w:before="117"/>
        <w:ind w:left="503" w:right="0"/>
        <w:jc w:val="left"/>
      </w:pPr>
      <w:r>
        <w:rPr/>
        <w:t>此部分差异系根据《企业会计准则解释第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号》的规定，对合并范围内公司间的长期股权投资进</w:t>
      </w:r>
    </w:p>
    <w:p>
      <w:pPr>
        <w:pStyle w:val="BodyText"/>
        <w:spacing w:line="272" w:lineRule="exact"/>
        <w:ind w:left="144" w:right="0"/>
        <w:jc w:val="left"/>
        <w:rPr>
          <w:rFonts w:ascii="Times New Roman" w:hAnsi="Times New Roman" w:cs="Times New Roman" w:eastAsia="Times New Roman" w:hint="default"/>
        </w:rPr>
      </w:pPr>
      <w:r>
        <w:rPr/>
        <w:t>行追溯调整，使少数股东权益减少</w:t>
      </w:r>
      <w:r>
        <w:rPr>
          <w:spacing w:val="-60"/>
        </w:rPr>
        <w:t> </w:t>
      </w:r>
      <w:r>
        <w:rPr>
          <w:rFonts w:ascii="Times New Roman" w:hAnsi="Times New Roman" w:cs="Times New Roman" w:eastAsia="Times New Roman" w:hint="default"/>
        </w:rPr>
        <w:t>36,345.33</w:t>
      </w:r>
      <w:r>
        <w:rPr>
          <w:rFonts w:ascii="Times New Roman" w:hAnsi="Times New Roman" w:cs="Times New Roman" w:eastAsia="Times New Roman" w:hint="default"/>
          <w:spacing w:val="-8"/>
        </w:rPr>
        <w:t> </w:t>
      </w:r>
      <w:r>
        <w:rPr/>
        <w:t>元、归属母公司股东权益增加</w:t>
      </w:r>
      <w:r>
        <w:rPr>
          <w:spacing w:val="-60"/>
        </w:rPr>
        <w:t> </w:t>
      </w:r>
      <w:r>
        <w:rPr>
          <w:rFonts w:ascii="Times New Roman" w:hAnsi="Times New Roman" w:cs="Times New Roman" w:eastAsia="Times New Roman" w:hint="default"/>
        </w:rPr>
        <w:t>36,345.33</w:t>
      </w:r>
      <w:r>
        <w:rPr>
          <w:rFonts w:ascii="Times New Roman" w:hAnsi="Times New Roman" w:cs="Times New Roman" w:eastAsia="Times New Roman" w:hint="default"/>
          <w:spacing w:val="-8"/>
        </w:rPr>
        <w:t> </w:t>
      </w:r>
      <w:r>
        <w:rPr>
          <w:spacing w:val="-6"/>
        </w:rPr>
        <w:t>元，但</w:t>
      </w:r>
      <w:r>
        <w:rPr>
          <w:spacing w:val="-6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1</w:t>
      </w:r>
    </w:p>
    <w:p>
      <w:pPr>
        <w:pStyle w:val="BodyText"/>
        <w:spacing w:line="282" w:lineRule="exact"/>
        <w:ind w:left="144" w:right="2197"/>
        <w:jc w:val="left"/>
        <w:rPr>
          <w:rFonts w:ascii="Times New Roman" w:hAnsi="Times New Roman" w:cs="Times New Roman" w:eastAsia="Times New Roman" w:hint="default"/>
        </w:rPr>
      </w:pP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日新准则下股东权益总额未发生变化。注</w:t>
      </w:r>
      <w:r>
        <w:rPr>
          <w:spacing w:val="-54"/>
        </w:rPr>
        <w:t> </w:t>
      </w:r>
      <w:r>
        <w:rPr>
          <w:rFonts w:ascii="Times New Roman" w:hAnsi="Times New Roman" w:cs="Times New Roman" w:eastAsia="Times New Roman" w:hint="default"/>
        </w:rPr>
        <w:t>1</w:t>
      </w:r>
    </w:p>
    <w:p>
      <w:pPr>
        <w:spacing w:after="0" w:line="282" w:lineRule="exact"/>
        <w:jc w:val="left"/>
        <w:rPr>
          <w:rFonts w:ascii="Times New Roman" w:hAnsi="Times New Roman" w:cs="Times New Roman" w:eastAsia="Times New Roman" w:hint="default"/>
        </w:rPr>
        <w:sectPr>
          <w:type w:val="continuous"/>
          <w:pgSz w:w="12240" w:h="15840"/>
          <w:pgMar w:top="660" w:bottom="280" w:left="1380" w:right="1300"/>
        </w:sectPr>
      </w:pPr>
    </w:p>
    <w:p>
      <w:pPr>
        <w:spacing w:line="240" w:lineRule="auto" w:before="7"/>
        <w:rPr>
          <w:rFonts w:ascii="Times New Roman" w:hAnsi="Times New Roman" w:cs="Times New Roman" w:eastAsia="Times New Roman" w:hint="default"/>
          <w:sz w:val="27"/>
          <w:szCs w:val="27"/>
        </w:rPr>
      </w:pPr>
    </w:p>
    <w:p>
      <w:pPr>
        <w:pStyle w:val="BodyText"/>
        <w:spacing w:line="240" w:lineRule="auto" w:before="35"/>
        <w:ind w:left="504" w:right="2197"/>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t>补充资料：</w:t>
      </w:r>
    </w:p>
    <w:p>
      <w:pPr>
        <w:pStyle w:val="BodyText"/>
        <w:spacing w:line="272" w:lineRule="exact" w:before="129"/>
        <w:ind w:right="155" w:firstLine="358"/>
        <w:jc w:val="left"/>
      </w:pPr>
      <w:r>
        <w:rPr>
          <w:rFonts w:ascii="Times New Roman" w:hAnsi="Times New Roman" w:cs="Times New Roman" w:eastAsia="Times New Roman" w:hint="default"/>
        </w:rPr>
        <w:t>1</w:t>
      </w:r>
      <w:r>
        <w:rPr/>
        <w:t>、按中国证监会发布的《公开发行证券公司信息披露编报规则》第</w:t>
      </w:r>
      <w:r>
        <w:rPr>
          <w:spacing w:val="-74"/>
        </w:rPr>
        <w:t>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t>号的要求计算的净资产收益 率及每股收益：</w:t>
      </w:r>
    </w:p>
    <w:p>
      <w:pPr>
        <w:spacing w:line="240" w:lineRule="auto" w:before="10"/>
        <w:rPr>
          <w:rFonts w:ascii="宋体" w:hAnsi="宋体" w:cs="宋体" w:eastAsia="宋体" w:hint="default"/>
          <w:sz w:val="9"/>
          <w:szCs w:val="9"/>
        </w:rPr>
      </w:pPr>
    </w:p>
    <w:tbl>
      <w:tblPr>
        <w:tblW w:w="0" w:type="auto"/>
        <w:jc w:val="left"/>
        <w:tblInd w:w="129" w:type="dxa"/>
        <w:tblLayout w:type="fixed"/>
        <w:tblCellMar>
          <w:top w:w="0" w:type="dxa"/>
          <w:left w:w="0" w:type="dxa"/>
          <w:bottom w:w="0" w:type="dxa"/>
          <w:right w:w="0" w:type="dxa"/>
        </w:tblCellMar>
        <w:tblLook w:val="01E0"/>
      </w:tblPr>
      <w:tblGrid>
        <w:gridCol w:w="4530"/>
        <w:gridCol w:w="1003"/>
        <w:gridCol w:w="1015"/>
        <w:gridCol w:w="1376"/>
        <w:gridCol w:w="1375"/>
      </w:tblGrid>
      <w:tr>
        <w:trPr>
          <w:trHeight w:val="434" w:hRule="exact"/>
        </w:trPr>
        <w:tc>
          <w:tcPr>
            <w:tcW w:w="4530" w:type="dxa"/>
            <w:vMerge w:val="restart"/>
            <w:tcBorders>
              <w:top w:val="single" w:sz="6" w:space="0" w:color="101010"/>
              <w:left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0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5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60" w:hRule="exact"/>
        </w:trPr>
        <w:tc>
          <w:tcPr>
            <w:tcW w:w="4530" w:type="dxa"/>
            <w:vMerge/>
            <w:tcBorders>
              <w:left w:val="single" w:sz="6" w:space="0" w:color="101010"/>
              <w:bottom w:val="single" w:sz="6" w:space="0" w:color="101010"/>
              <w:right w:val="single" w:sz="6" w:space="0" w:color="101010"/>
            </w:tcBorders>
          </w:tcPr>
          <w:p>
            <w:pPr/>
          </w:p>
        </w:tc>
        <w:tc>
          <w:tcPr>
            <w:tcW w:w="100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全面摊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薄</w:t>
            </w:r>
          </w:p>
        </w:tc>
        <w:tc>
          <w:tcPr>
            <w:tcW w:w="101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加权平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均</w:t>
            </w:r>
          </w:p>
        </w:tc>
        <w:tc>
          <w:tcPr>
            <w:tcW w:w="137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37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05" w:hRule="exact"/>
        </w:trPr>
        <w:tc>
          <w:tcPr>
            <w:tcW w:w="4530"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78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00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9.53</w:t>
            </w:r>
          </w:p>
        </w:tc>
        <w:tc>
          <w:tcPr>
            <w:tcW w:w="101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10.01</w:t>
            </w:r>
          </w:p>
        </w:tc>
        <w:tc>
          <w:tcPr>
            <w:tcW w:w="13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0.25</w:t>
            </w:r>
          </w:p>
        </w:tc>
        <w:tc>
          <w:tcPr>
            <w:tcW w:w="13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0.25</w:t>
            </w:r>
          </w:p>
        </w:tc>
      </w:tr>
      <w:tr>
        <w:trPr>
          <w:trHeight w:val="560" w:hRule="exact"/>
        </w:trPr>
        <w:tc>
          <w:tcPr>
            <w:tcW w:w="453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0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21"/>
                <w:szCs w:val="21"/>
              </w:rPr>
            </w:pPr>
            <w:r>
              <w:rPr>
                <w:rFonts w:ascii="Times New Roman"/>
                <w:spacing w:val="-1"/>
                <w:sz w:val="21"/>
              </w:rPr>
              <w:t>4.54</w:t>
            </w:r>
          </w:p>
        </w:tc>
        <w:tc>
          <w:tcPr>
            <w:tcW w:w="10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21"/>
                <w:szCs w:val="21"/>
              </w:rPr>
            </w:pPr>
            <w:r>
              <w:rPr>
                <w:rFonts w:ascii="Times New Roman"/>
                <w:spacing w:val="-1"/>
                <w:sz w:val="21"/>
              </w:rPr>
              <w:t>4.77</w:t>
            </w:r>
          </w:p>
        </w:tc>
        <w:tc>
          <w:tcPr>
            <w:tcW w:w="13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13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0.12</w:t>
            </w:r>
          </w:p>
        </w:tc>
      </w:tr>
    </w:tbl>
    <w:p>
      <w:pPr>
        <w:pStyle w:val="BodyText"/>
        <w:spacing w:line="240" w:lineRule="auto" w:before="84"/>
        <w:ind w:left="504" w:right="219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年度净利润差异调节表</w:t>
      </w:r>
    </w:p>
    <w:p>
      <w:pPr>
        <w:pStyle w:val="BodyText"/>
        <w:spacing w:line="240" w:lineRule="auto" w:before="103"/>
        <w:ind w:left="0" w:right="17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6535"/>
        <w:gridCol w:w="2765"/>
      </w:tblGrid>
      <w:tr>
        <w:trPr>
          <w:trHeight w:val="404"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6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年度净利润（原会计准则）</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66,928,390.34</w:t>
            </w: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-3,873,864.08</w:t>
            </w:r>
          </w:p>
        </w:tc>
      </w:tr>
      <w:tr>
        <w:trPr>
          <w:trHeight w:val="288"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765"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-4,055,075.52</w:t>
            </w: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2"/>
                <w:sz w:val="21"/>
              </w:rPr>
              <w:t>181,211.44</w:t>
            </w: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6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年度净利润（新会计准则）</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63,054,526.26</w:t>
            </w:r>
          </w:p>
        </w:tc>
      </w:tr>
      <w:tr>
        <w:trPr>
          <w:trHeight w:val="287" w:hRule="exact"/>
        </w:trPr>
        <w:tc>
          <w:tcPr>
            <w:tcW w:w="9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962"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其他项目影响数合计</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2,959,609.74</w:t>
            </w:r>
          </w:p>
        </w:tc>
      </w:tr>
      <w:tr>
        <w:trPr>
          <w:trHeight w:val="288"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765" w:type="dxa"/>
            <w:tcBorders>
              <w:top w:val="single" w:sz="6" w:space="0" w:color="101010"/>
              <w:left w:val="single" w:sz="6" w:space="0" w:color="101010"/>
              <w:bottom w:val="single" w:sz="6" w:space="0" w:color="101010"/>
              <w:right w:val="single" w:sz="6" w:space="0" w:color="101010"/>
            </w:tcBorders>
          </w:tcPr>
          <w:p>
            <w:pP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6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．应付福利费余额冲回</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2,959,609.74</w:t>
            </w: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其中：归属于母公司股东的净利润</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2,752,984.28</w:t>
            </w: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206,625.46</w:t>
            </w:r>
            <w:r>
              <w:rPr>
                <w:rFonts w:ascii="Times New Roman"/>
                <w:sz w:val="21"/>
              </w:rPr>
            </w:r>
          </w:p>
        </w:tc>
      </w:tr>
      <w:tr>
        <w:trPr>
          <w:trHeight w:val="305" w:hRule="exact"/>
        </w:trPr>
        <w:tc>
          <w:tcPr>
            <w:tcW w:w="6535" w:type="dxa"/>
            <w:tcBorders>
              <w:top w:val="single" w:sz="6" w:space="0" w:color="101010"/>
              <w:left w:val="single" w:sz="6" w:space="0" w:color="101010"/>
              <w:bottom w:val="single" w:sz="6" w:space="0" w:color="101010"/>
              <w:right w:val="single" w:sz="6" w:space="0" w:color="101010"/>
            </w:tcBorders>
          </w:tcPr>
          <w:p>
            <w:pPr>
              <w:pStyle w:val="TableParagraph"/>
              <w:spacing w:line="26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年度模拟净利润</w:t>
            </w:r>
          </w:p>
        </w:tc>
        <w:tc>
          <w:tcPr>
            <w:tcW w:w="27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66,014,136.00</w:t>
            </w:r>
          </w:p>
        </w:tc>
      </w:tr>
    </w:tbl>
    <w:p>
      <w:pPr>
        <w:pStyle w:val="BodyText"/>
        <w:spacing w:line="282" w:lineRule="exact" w:before="84"/>
        <w:ind w:left="504" w:right="0"/>
        <w:jc w:val="left"/>
      </w:pPr>
      <w:r>
        <w:rPr>
          <w:rFonts w:ascii="Times New Roman" w:hAnsi="Times New Roman" w:cs="Times New Roman" w:eastAsia="Times New Roman" w:hint="default"/>
        </w:rPr>
        <w:t>1</w:t>
      </w:r>
      <w:r>
        <w:rPr/>
        <w:t>）“上述追溯调整项目影响数”系递延所得税追溯调整调增</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年度“所得税费用”及对合并</w:t>
      </w:r>
    </w:p>
    <w:p>
      <w:pPr>
        <w:pStyle w:val="BodyText"/>
        <w:spacing w:line="272" w:lineRule="exact"/>
        <w:ind w:right="0"/>
        <w:jc w:val="left"/>
      </w:pPr>
      <w:r>
        <w:rPr/>
        <w:t>范围内公司间的投资由权益法变更为成本法核算并进行追溯调整</w:t>
      </w:r>
      <w:r>
        <w:rPr>
          <w:spacing w:val="-105"/>
        </w:rPr>
        <w:t>，</w:t>
      </w:r>
      <w:r>
        <w:rPr/>
        <w:t>造成</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 </w:t>
      </w:r>
      <w:r>
        <w:rPr/>
        <w:t>年归</w:t>
      </w:r>
      <w:r>
        <w:rPr>
          <w:spacing w:val="-2"/>
        </w:rPr>
        <w:t>属</w:t>
      </w:r>
      <w:r>
        <w:rPr/>
        <w:t>母公司股东的净利</w:t>
      </w:r>
    </w:p>
    <w:p>
      <w:pPr>
        <w:pStyle w:val="BodyText"/>
        <w:spacing w:line="282" w:lineRule="exact"/>
        <w:ind w:right="2197"/>
        <w:jc w:val="left"/>
      </w:pPr>
      <w:r>
        <w:rPr/>
        <w:t>润净减少</w:t>
      </w:r>
      <w:r>
        <w:rPr>
          <w:spacing w:val="-59"/>
        </w:rPr>
        <w:t> </w:t>
      </w:r>
      <w:r>
        <w:rPr>
          <w:rFonts w:ascii="Times New Roman" w:hAnsi="Times New Roman" w:cs="Times New Roman" w:eastAsia="Times New Roman" w:hint="default"/>
        </w:rPr>
        <w:t>4,055,075.52</w:t>
      </w:r>
      <w:r>
        <w:rPr>
          <w:rFonts w:ascii="Times New Roman" w:hAnsi="Times New Roman" w:cs="Times New Roman" w:eastAsia="Times New Roman" w:hint="default"/>
          <w:spacing w:val="-6"/>
        </w:rPr>
        <w:t> </w:t>
      </w:r>
      <w:r>
        <w:rPr/>
        <w:t>元、少数股东损益增加</w:t>
      </w:r>
      <w:r>
        <w:rPr>
          <w:spacing w:val="-59"/>
        </w:rPr>
        <w:t> </w:t>
      </w:r>
      <w:r>
        <w:rPr>
          <w:rFonts w:ascii="Times New Roman" w:hAnsi="Times New Roman" w:cs="Times New Roman" w:eastAsia="Times New Roman" w:hint="default"/>
        </w:rPr>
        <w:t>181,211.44</w:t>
      </w:r>
      <w:r>
        <w:rPr>
          <w:rFonts w:ascii="Times New Roman" w:hAnsi="Times New Roman" w:cs="Times New Roman" w:eastAsia="Times New Roman" w:hint="default"/>
          <w:spacing w:val="-5"/>
        </w:rPr>
        <w:t> </w:t>
      </w:r>
      <w:r>
        <w:rPr/>
        <w:t>元。</w:t>
      </w:r>
    </w:p>
    <w:p>
      <w:pPr>
        <w:pStyle w:val="BodyText"/>
        <w:spacing w:line="272" w:lineRule="exact" w:before="129"/>
        <w:ind w:left="144" w:right="122" w:firstLine="358"/>
        <w:jc w:val="left"/>
      </w:pPr>
      <w:r>
        <w:rPr>
          <w:rFonts w:ascii="Times New Roman" w:hAnsi="Times New Roman" w:cs="Times New Roman" w:eastAsia="Times New Roman" w:hint="default"/>
        </w:rPr>
        <w:t>2</w:t>
      </w:r>
      <w:r>
        <w:rPr/>
        <w:t>）假定</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年全面执行新会计准则，其他项目对本公司</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年度净利润的影响主要有两方面： 一是交易性金融资产的公允价值变动损益的影响；二是福利费冲回的影响。</w:t>
      </w:r>
    </w:p>
    <w:p>
      <w:pPr>
        <w:pStyle w:val="BodyText"/>
        <w:spacing w:line="282" w:lineRule="exact" w:before="93"/>
        <w:ind w:left="503" w:right="0"/>
        <w:jc w:val="left"/>
      </w:pPr>
      <w:r>
        <w:rPr/>
        <w:t>由于</w:t>
      </w:r>
      <w:r>
        <w:rPr>
          <w:spacing w:val="-6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日，本公司交易性金融资产的账面价值均低于或等于可变现价值，公司已按</w:t>
      </w:r>
    </w:p>
    <w:p>
      <w:pPr>
        <w:pStyle w:val="BodyText"/>
        <w:spacing w:line="272" w:lineRule="exact"/>
        <w:ind w:left="144" w:right="0"/>
        <w:jc w:val="left"/>
      </w:pPr>
      <w:r>
        <w:rPr/>
        <w:t>企业会计制度的规定计提了跌价准备，</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日本公司交易性金融资产已处置完毕。因此交</w:t>
      </w:r>
    </w:p>
    <w:p>
      <w:pPr>
        <w:pStyle w:val="BodyText"/>
        <w:spacing w:line="282" w:lineRule="exact"/>
        <w:ind w:left="144" w:right="2197"/>
        <w:jc w:val="left"/>
      </w:pPr>
      <w:r>
        <w:rPr/>
        <w:t>易性金融资产公允价值变动事项对</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年度的净利润无影响。</w:t>
      </w:r>
    </w:p>
    <w:p>
      <w:pPr>
        <w:spacing w:after="0" w:line="282" w:lineRule="exact"/>
        <w:jc w:val="left"/>
        <w:sectPr>
          <w:pgSz w:w="12240" w:h="15840"/>
          <w:pgMar w:header="747" w:footer="727" w:top="1040" w:bottom="920" w:left="13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1"/>
        <w:ind w:left="145" w:right="0" w:firstLine="0"/>
        <w:jc w:val="left"/>
        <w:rPr>
          <w:rFonts w:ascii="宋体" w:hAnsi="宋体" w:cs="宋体" w:eastAsia="宋体" w:hint="default"/>
          <w:sz w:val="32"/>
          <w:szCs w:val="32"/>
        </w:rPr>
      </w:pPr>
      <w:bookmarkStart w:name="_TOC_250000" w:id="11"/>
      <w:r>
        <w:rPr>
          <w:rFonts w:ascii="宋体" w:hAnsi="宋体" w:cs="宋体" w:eastAsia="宋体" w:hint="default"/>
          <w:b/>
          <w:bCs/>
          <w:sz w:val="32"/>
          <w:szCs w:val="32"/>
        </w:rPr>
        <w:t>十二、备查文件目录</w:t>
      </w:r>
      <w:bookmarkEnd w:id="11"/>
      <w:r>
        <w:rPr>
          <w:rFonts w:ascii="宋体" w:hAnsi="宋体" w:cs="宋体" w:eastAsia="宋体" w:hint="default"/>
          <w:sz w:val="32"/>
          <w:szCs w:val="32"/>
        </w:rPr>
      </w:r>
    </w:p>
    <w:p>
      <w:pPr>
        <w:spacing w:line="240" w:lineRule="auto" w:before="4"/>
        <w:rPr>
          <w:rFonts w:ascii="宋体" w:hAnsi="宋体" w:cs="宋体" w:eastAsia="宋体" w:hint="default"/>
          <w:b/>
          <w:bCs/>
          <w:sz w:val="44"/>
          <w:szCs w:val="44"/>
        </w:rPr>
      </w:pPr>
    </w:p>
    <w:p>
      <w:pPr>
        <w:pStyle w:val="BodyText"/>
        <w:spacing w:line="240" w:lineRule="auto"/>
        <w:ind w:left="504" w:right="0"/>
        <w:jc w:val="left"/>
      </w:pPr>
      <w:r>
        <w:rPr>
          <w:rFonts w:ascii="Times New Roman" w:hAnsi="Times New Roman" w:cs="Times New Roman" w:eastAsia="Times New Roman" w:hint="default"/>
        </w:rPr>
        <w:t>1</w:t>
      </w:r>
      <w:r>
        <w:rPr/>
        <w:t>、载有法定代表人、主管会计负责人、会计机构负责人签名并盖章的会计报表</w:t>
      </w:r>
    </w:p>
    <w:p>
      <w:pPr>
        <w:pStyle w:val="BodyText"/>
        <w:spacing w:line="240" w:lineRule="auto" w:before="101"/>
        <w:ind w:left="503"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72" w:lineRule="exact" w:before="129"/>
        <w:ind w:right="0" w:firstLine="358"/>
        <w:jc w:val="left"/>
      </w:pPr>
      <w:r>
        <w:rPr>
          <w:rFonts w:ascii="Times New Roman" w:hAnsi="Times New Roman" w:cs="Times New Roman" w:eastAsia="Times New Roman" w:hint="default"/>
          <w:spacing w:val="-2"/>
        </w:rPr>
        <w:t>3</w:t>
      </w:r>
      <w:r>
        <w:rPr>
          <w:spacing w:val="-2"/>
        </w:rPr>
        <w:t>、报告期内在中国证监会指定报纸《证券时报》和《上海证券报》上公开披露过的所有公司文件</w:t>
      </w:r>
      <w:r>
        <w:rPr/>
        <w:t> 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82" w:lineRule="auto" w:before="166"/>
        <w:ind w:left="6656" w:right="111" w:firstLine="1470"/>
        <w:jc w:val="right"/>
      </w:pPr>
      <w:r>
        <w:rPr/>
        <w:t>董事长：杜宣 深圳市金证科技股份有限公司</w:t>
      </w:r>
    </w:p>
    <w:p>
      <w:pPr>
        <w:pStyle w:val="BodyText"/>
        <w:spacing w:line="240" w:lineRule="auto" w:before="65"/>
        <w:ind w:left="0" w:right="111"/>
        <w:jc w:val="right"/>
      </w:pPr>
      <w:r>
        <w:rPr/>
        <w:t>2008</w:t>
      </w:r>
      <w:r>
        <w:rPr>
          <w:spacing w:val="-54"/>
        </w:rPr>
        <w:t> </w:t>
      </w:r>
      <w:r>
        <w:rPr/>
        <w:t>年</w:t>
      </w:r>
      <w:r>
        <w:rPr>
          <w:spacing w:val="-54"/>
        </w:rPr>
        <w:t> </w:t>
      </w:r>
      <w:r>
        <w:rPr/>
        <w:t>4</w:t>
      </w:r>
      <w:r>
        <w:rPr>
          <w:spacing w:val="-54"/>
        </w:rPr>
        <w:t> </w:t>
      </w:r>
      <w:r>
        <w:rPr/>
        <w:t>月</w:t>
      </w:r>
      <w:r>
        <w:rPr>
          <w:spacing w:val="-55"/>
        </w:rPr>
        <w:t> </w:t>
      </w:r>
      <w:r>
        <w:rPr/>
        <w:t>11</w:t>
      </w:r>
      <w:r>
        <w:rPr>
          <w:spacing w:val="-53"/>
        </w:rPr>
        <w:t> </w:t>
      </w:r>
      <w:r>
        <w:rPr/>
        <w:t>日</w:t>
      </w:r>
    </w:p>
    <w:sectPr>
      <w:pgSz w:w="12240" w:h="15840"/>
      <w:pgMar w:header="747" w:footer="727" w:top="1040" w:bottom="92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隶书">
    <w:altName w:val="隶书"/>
    <w:charset w:val="86"/>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3pt;margin-top:744.628601pt;width:13pt;height:11pt;mso-position-horizontal-relative:page;mso-position-vertical-relative:page;z-index:-4738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3pt;margin-top:744.628601pt;width:13pt;height:11pt;mso-position-horizontal-relative:page;mso-position-vertical-relative:page;z-index:-4738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3pt;margin-top:744.628601pt;width:13pt;height:11pt;mso-position-horizontal-relative:page;mso-position-vertical-relative:page;z-index:-4737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02pt;width:343.5pt;height:.1pt;mso-position-horizontal-relative:page;mso-position-vertical-relative:page;z-index:-473896" coordorigin="1495,982" coordsize="6870,2">
          <v:shape style="position:absolute;left:1495;top:982;width:6870;height:2" coordorigin="1495,982" coordsize="6870,0" path="m1495,982l8365,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5.260002pt;margin-top:36.325626pt;width:119pt;height:11pt;mso-position-horizontal-relative:page;mso-position-vertical-relative:page;z-index:-473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深圳市金证科技股份有限公司</w:t>
                </w:r>
              </w:p>
            </w:txbxContent>
          </v:textbox>
          <w10:wrap type="none"/>
        </v:shape>
      </w:pict>
    </w:r>
    <w:r>
      <w:rPr/>
      <w:pict>
        <v:shape style="position:absolute;margin-left:424.459991pt;margin-top:37.625938pt;width:113pt;height:16pt;mso-position-horizontal-relative:page;mso-position-vertical-relative:page;z-index:-473848" type="#_x0000_t202" filled="false" stroked="false">
          <v:textbox inset="0,0,0,0">
            <w:txbxContent>
              <w:p>
                <w:pPr>
                  <w:spacing w:line="300" w:lineRule="exact" w:before="0"/>
                  <w:ind w:left="20" w:right="0" w:firstLine="0"/>
                  <w:jc w:val="left"/>
                  <w:rPr>
                    <w:rFonts w:ascii="隶书" w:hAnsi="隶书" w:cs="隶书" w:eastAsia="隶书" w:hint="default"/>
                    <w:sz w:val="28"/>
                    <w:szCs w:val="28"/>
                  </w:rPr>
                </w:pPr>
                <w:r>
                  <w:rPr>
                    <w:rFonts w:ascii="隶书" w:hAnsi="隶书" w:cs="隶书" w:eastAsia="隶书" w:hint="default"/>
                    <w:sz w:val="24"/>
                    <w:szCs w:val="24"/>
                  </w:rPr>
                  <w:t>2007</w:t>
                </w:r>
                <w:r>
                  <w:rPr>
                    <w:rFonts w:ascii="隶书" w:hAnsi="隶书" w:cs="隶书" w:eastAsia="隶书" w:hint="default"/>
                    <w:spacing w:val="-63"/>
                    <w:sz w:val="24"/>
                    <w:szCs w:val="24"/>
                  </w:rPr>
                  <w:t> </w:t>
                </w:r>
                <w:r>
                  <w:rPr>
                    <w:rFonts w:ascii="隶书" w:hAnsi="隶书" w:cs="隶书" w:eastAsia="隶书" w:hint="default"/>
                    <w:sz w:val="28"/>
                    <w:szCs w:val="28"/>
                  </w:rPr>
                  <w:t>年度报告正文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45"/>
    </w:pPr>
    <w:rPr>
      <w:rFonts w:ascii="宋体" w:hAnsi="宋体" w:eastAsia="宋体"/>
      <w:sz w:val="28"/>
      <w:szCs w:val="28"/>
    </w:rPr>
  </w:style>
  <w:style w:styleId="BodyText" w:type="paragraph">
    <w:name w:val="Body Text"/>
    <w:basedOn w:val="Normal"/>
    <w:uiPriority w:val="1"/>
    <w:qFormat/>
    <w:pPr>
      <w:ind w:left="145"/>
    </w:pPr>
    <w:rPr>
      <w:rFonts w:ascii="宋体" w:hAnsi="宋体" w:eastAsia="宋体"/>
      <w:sz w:val="21"/>
      <w:szCs w:val="21"/>
    </w:rPr>
  </w:style>
  <w:style w:styleId="Heading1" w:type="paragraph">
    <w:name w:val="Heading 1"/>
    <w:basedOn w:val="Normal"/>
    <w:uiPriority w:val="1"/>
    <w:qFormat/>
    <w:pPr>
      <w:ind w:left="145"/>
      <w:outlineLvl w:val="1"/>
    </w:pPr>
    <w:rPr>
      <w:rFonts w:ascii="黑体" w:hAnsi="黑体" w:eastAsia="黑体"/>
      <w:b/>
      <w:bCs/>
      <w:sz w:val="30"/>
      <w:szCs w:val="30"/>
    </w:rPr>
  </w:style>
  <w:style w:styleId="Heading2" w:type="paragraph">
    <w:name w:val="Heading 2"/>
    <w:basedOn w:val="Normal"/>
    <w:uiPriority w:val="1"/>
    <w:qFormat/>
    <w:pPr>
      <w:spacing w:before="130"/>
      <w:ind w:left="625"/>
      <w:outlineLvl w:val="2"/>
    </w:pPr>
    <w:rPr>
      <w:rFonts w:ascii="黑体" w:hAnsi="黑体" w:eastAsia="黑体"/>
      <w:sz w:val="24"/>
      <w:szCs w:val="24"/>
    </w:rPr>
  </w:style>
  <w:style w:styleId="Heading3" w:type="paragraph">
    <w:name w:val="Heading 3"/>
    <w:basedOn w:val="Normal"/>
    <w:uiPriority w:val="1"/>
    <w:qFormat/>
    <w:pPr>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angdr@mail.szkingdom.com" TargetMode="External"/><Relationship Id="rId8" Type="http://schemas.openxmlformats.org/officeDocument/2006/relationships/hyperlink" Target="http://www.szkingdom.com/" TargetMode="External"/><Relationship Id="rId9" Type="http://schemas.openxmlformats.org/officeDocument/2006/relationships/hyperlink" Target="mailto:jzkj@mail.szkingdom.com" TargetMode="External"/><Relationship Id="rId10" Type="http://schemas.openxmlformats.org/officeDocument/2006/relationships/hyperlink" Target="http://www.sse.com.cn/" TargetMode="External"/><Relationship Id="rId11" Type="http://schemas.openxmlformats.org/officeDocument/2006/relationships/image" Target="media/image1.png"/><Relationship Id="rId12" Type="http://schemas.openxmlformats.org/officeDocument/2006/relationships/footer" Target="footer2.xml"/><Relationship Id="rId1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深圳市金证科技股份有限公司</dc:title>
  <dcterms:created xsi:type="dcterms:W3CDTF">2020-05-07T12:38:39Z</dcterms:created>
  <dcterms:modified xsi:type="dcterms:W3CDTF">2020-05-07T12:38:39Z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2008-04-14T00:00:00Z</vt:filetime>
  </property>
  <property fmtid="{D5CDD505-2E9C-101B-9397-08002B2CF9AE}" pid="3" name="Creator">
    <vt:lpwstr>Acrobat PDFMaker 7.0 for Word</vt:lpwstr>
  </property>
  <property fmtid="{D5CDD505-2E9C-101B-9397-08002B2CF9AE}" pid="4" name="LastSaved">
    <vt:filetime>2020-05-07T00:00:00Z</vt:filetime>
  </property>
</Properties>
</file>