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Default Extension="png" ContentType="image/png"/>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header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9.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10.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header11.xml" ContentType="application/vnd.openxmlformats-officedocument.wordprocessingml.header+xml"/>
  <Override PartName="/word/footer48.xml" ContentType="application/vnd.openxmlformats-officedocument.wordprocessingml.footer+xml"/>
  <Override PartName="/word/header12.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pStyle w:val="BodyText"/>
        <w:tabs>
          <w:tab w:pos="4129" w:val="left" w:leader="none"/>
        </w:tabs>
        <w:spacing w:line="240" w:lineRule="auto" w:before="35"/>
        <w:ind w:left="140" w:right="113"/>
        <w:jc w:val="left"/>
      </w:pPr>
      <w:r>
        <w:rPr>
          <w:spacing w:val="-1"/>
        </w:rPr>
        <w:t>公司代码：600446</w:t>
        <w:tab/>
      </w:r>
      <w:r>
        <w:rPr>
          <w:spacing w:val="-2"/>
        </w:rPr>
        <w:t>公司简称：金证股份</w:t>
      </w:r>
      <w:r>
        <w:rPr/>
      </w:r>
    </w:p>
    <w:p>
      <w:pPr>
        <w:spacing w:line="240" w:lineRule="auto" w:before="0"/>
        <w:rPr>
          <w:rFonts w:ascii="宋体" w:hAnsi="宋体" w:cs="宋体" w:eastAsia="宋体" w:hint="default"/>
          <w:sz w:val="20"/>
          <w:szCs w:val="20"/>
        </w:rPr>
      </w:pPr>
    </w:p>
    <w:p>
      <w:pPr>
        <w:spacing w:line="572" w:lineRule="exact" w:before="146"/>
        <w:ind w:left="1863" w:right="1946"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深圳市金证科技股份有限公司</w:t>
      </w:r>
      <w:r>
        <w:rPr>
          <w:rFonts w:ascii="黑体" w:hAnsi="黑体" w:cs="黑体" w:eastAsia="黑体" w:hint="default"/>
          <w:b/>
          <w:bCs/>
          <w:color w:val="FF0000"/>
          <w:spacing w:val="66"/>
          <w:w w:val="95"/>
          <w:sz w:val="44"/>
          <w:szCs w:val="44"/>
        </w:rPr>
        <w:t> </w:t>
      </w:r>
      <w:r>
        <w:rPr>
          <w:rFonts w:ascii="黑体" w:hAnsi="黑体" w:cs="黑体" w:eastAsia="黑体" w:hint="default"/>
          <w:b/>
          <w:bCs/>
          <w:color w:val="FF0000"/>
          <w:sz w:val="44"/>
          <w:szCs w:val="44"/>
        </w:rPr>
        <w:t>2014</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before="248"/>
        <w:ind w:left="1863" w:right="1944" w:firstLine="0"/>
        <w:jc w:val="center"/>
        <w:rPr>
          <w:rFonts w:ascii="黑体" w:hAnsi="黑体" w:cs="黑体" w:eastAsia="黑体" w:hint="default"/>
          <w:sz w:val="28"/>
          <w:szCs w:val="28"/>
        </w:rPr>
      </w:pPr>
      <w:r>
        <w:rPr>
          <w:rFonts w:ascii="黑体" w:hAnsi="黑体" w:cs="黑体" w:eastAsia="黑体" w:hint="default"/>
          <w:sz w:val="28"/>
          <w:szCs w:val="28"/>
        </w:rPr>
        <w:t>重要提示</w:t>
      </w:r>
    </w:p>
    <w:p>
      <w:pPr>
        <w:spacing w:line="240" w:lineRule="auto" w:before="6"/>
        <w:rPr>
          <w:rFonts w:ascii="黑体" w:hAnsi="黑体" w:cs="黑体" w:eastAsia="黑体" w:hint="default"/>
          <w:sz w:val="30"/>
          <w:szCs w:val="30"/>
        </w:rPr>
      </w:pPr>
    </w:p>
    <w:p>
      <w:pPr>
        <w:pStyle w:val="BodyText"/>
        <w:spacing w:line="348" w:lineRule="auto"/>
        <w:ind w:left="508" w:right="113" w:hanging="369"/>
        <w:jc w:val="left"/>
      </w:pPr>
      <w:r>
        <w:rPr>
          <w:rFonts w:ascii="宋体" w:hAnsi="宋体" w:cs="宋体" w:eastAsia="宋体" w:hint="default"/>
          <w:b/>
          <w:bCs/>
        </w:rPr>
        <w:t>一、</w:t>
      </w:r>
      <w:r>
        <w:rPr/>
        <w:t>本公司董事会、监事会及董事、监事、高级管理人员保证年度报告内容的真实、准确、完整，</w:t>
      </w:r>
      <w:r>
        <w:rPr>
          <w:spacing w:val="-93"/>
        </w:rPr>
        <w:t> </w:t>
      </w:r>
      <w:r>
        <w:rPr/>
        <w:t>不存在虚假记载、误导性陈述或重大遗漏，并承担个别和连带的法律责任。</w:t>
      </w:r>
    </w:p>
    <w:p>
      <w:pPr>
        <w:spacing w:line="240" w:lineRule="auto" w:before="0"/>
        <w:rPr>
          <w:rFonts w:ascii="宋体" w:hAnsi="宋体" w:cs="宋体" w:eastAsia="宋体" w:hint="default"/>
          <w:sz w:val="20"/>
          <w:szCs w:val="20"/>
        </w:rPr>
      </w:pPr>
    </w:p>
    <w:p>
      <w:pPr>
        <w:pStyle w:val="BodyText"/>
        <w:spacing w:line="240" w:lineRule="auto" w:before="169"/>
        <w:ind w:left="140" w:right="113"/>
        <w:jc w:val="left"/>
      </w:pPr>
      <w:r>
        <w:rPr>
          <w:rFonts w:ascii="宋体" w:hAnsi="宋体" w:cs="宋体" w:eastAsia="宋体" w:hint="default"/>
          <w:b/>
          <w:bCs/>
        </w:rPr>
        <w:t>二、</w:t>
      </w:r>
      <w:r>
        <w:rPr>
          <w:rFonts w:ascii="宋体" w:hAnsi="宋体" w:cs="宋体" w:eastAsia="宋体" w:hint="default"/>
          <w:b/>
          <w:bCs/>
          <w:spacing w:val="-81"/>
        </w:rPr>
        <w:t> </w:t>
      </w:r>
      <w:r>
        <w:rPr/>
        <w:t>公司全体董事出席董事会会议。</w:t>
      </w:r>
    </w:p>
    <w:p>
      <w:pPr>
        <w:spacing w:line="800" w:lineRule="exact" w:before="129"/>
        <w:ind w:left="140" w:right="113"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0"/>
          <w:sz w:val="21"/>
          <w:szCs w:val="21"/>
        </w:rPr>
        <w:t> </w:t>
      </w:r>
      <w:r>
        <w:rPr>
          <w:rFonts w:ascii="宋体" w:hAnsi="宋体" w:cs="宋体" w:eastAsia="宋体" w:hint="default"/>
          <w:b/>
          <w:bCs/>
          <w:sz w:val="21"/>
          <w:szCs w:val="21"/>
        </w:rPr>
        <w:t>大华会计师事务所（特殊普通合伙）</w:t>
      </w:r>
      <w:r>
        <w:rPr>
          <w:rFonts w:ascii="宋体" w:hAnsi="宋体" w:cs="宋体" w:eastAsia="宋体" w:hint="default"/>
          <w:sz w:val="21"/>
          <w:szCs w:val="21"/>
        </w:rPr>
        <w:t>为本公司出具了标准无保留意见的审计报告。 </w:t>
      </w:r>
      <w:r>
        <w:rPr>
          <w:rFonts w:ascii="宋体" w:hAnsi="宋体" w:cs="宋体" w:eastAsia="宋体" w:hint="default"/>
          <w:b/>
          <w:bCs/>
          <w:spacing w:val="-5"/>
          <w:sz w:val="21"/>
          <w:szCs w:val="21"/>
        </w:rPr>
        <w:t>四、</w:t>
      </w:r>
      <w:r>
        <w:rPr>
          <w:rFonts w:ascii="宋体" w:hAnsi="宋体" w:cs="宋体" w:eastAsia="宋体" w:hint="default"/>
          <w:spacing w:val="-5"/>
          <w:sz w:val="21"/>
          <w:szCs w:val="21"/>
        </w:rPr>
        <w:t>公司负责人赵剑、主管会计工作负责人周永洪及会计机构负责人（会计主管人员）周永洪声明：</w:t>
      </w:r>
    </w:p>
    <w:p>
      <w:pPr>
        <w:pStyle w:val="BodyText"/>
        <w:spacing w:line="269" w:lineRule="exact"/>
        <w:ind w:left="508" w:right="113"/>
        <w:jc w:val="left"/>
      </w:pPr>
      <w:r>
        <w:rPr/>
        <w:t>保证年度报告中财务报告的真实、准确、完整。</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350" w:lineRule="auto"/>
        <w:ind w:left="140" w:right="113"/>
        <w:jc w:val="left"/>
      </w:pPr>
      <w:r>
        <w:rPr>
          <w:rFonts w:ascii="宋体" w:hAnsi="宋体" w:cs="宋体" w:eastAsia="宋体" w:hint="default"/>
          <w:b/>
          <w:bCs/>
        </w:rPr>
        <w:t>五、</w:t>
      </w:r>
      <w:r>
        <w:rPr>
          <w:rFonts w:ascii="宋体" w:hAnsi="宋体" w:cs="宋体" w:eastAsia="宋体" w:hint="default"/>
          <w:b/>
          <w:bCs/>
          <w:spacing w:val="-38"/>
        </w:rPr>
        <w:t> </w:t>
      </w:r>
      <w:r>
        <w:rPr/>
        <w:t>经董事会审议的报告期利润分配预案或公积金转增股本预案 本年度公司利润分配方案拟为：公司以本年度母公司净利润</w:t>
      </w:r>
      <w:r>
        <w:rPr>
          <w:spacing w:val="-31"/>
        </w:rPr>
        <w:t> </w:t>
      </w:r>
      <w:r>
        <w:rPr/>
        <w:t>13,903.69</w:t>
      </w:r>
      <w:r>
        <w:rPr>
          <w:spacing w:val="-30"/>
        </w:rPr>
        <w:t> </w:t>
      </w:r>
      <w:r>
        <w:rPr/>
        <w:t>万元为基数，提取</w:t>
      </w:r>
      <w:r>
        <w:rPr>
          <w:spacing w:val="-31"/>
        </w:rPr>
        <w:t> </w:t>
      </w:r>
      <w:r>
        <w:rPr/>
        <w:t>10%</w:t>
      </w:r>
      <w:r>
        <w:rPr>
          <w:spacing w:val="-1"/>
        </w:rPr>
        <w:t> </w:t>
      </w:r>
      <w:r>
        <w:rPr/>
        <w:t>的</w:t>
      </w:r>
      <w:r>
        <w:rPr/>
        <w:t> </w:t>
      </w:r>
      <w:r>
        <w:rPr>
          <w:spacing w:val="12"/>
        </w:rPr>
        <w:t>法定盈余公积金 </w:t>
      </w:r>
      <w:r>
        <w:rPr/>
        <w:t>1,390.37</w:t>
      </w:r>
      <w:r>
        <w:rPr>
          <w:spacing w:val="45"/>
        </w:rPr>
        <w:t> </w:t>
      </w:r>
      <w:r>
        <w:rPr>
          <w:spacing w:val="14"/>
        </w:rPr>
        <w:t>万元，按以上比例提取法定盈余公积金后，公司未分配的利润为</w:t>
      </w:r>
      <w:r>
        <w:rPr>
          <w:spacing w:val="14"/>
        </w:rPr>
        <w:t> </w:t>
      </w:r>
      <w:r>
        <w:rPr/>
        <w:t>38,041.64</w:t>
      </w:r>
      <w:r>
        <w:rPr>
          <w:spacing w:val="-70"/>
        </w:rPr>
        <w:t> </w:t>
      </w:r>
      <w:r>
        <w:rPr/>
        <w:t>万元。公司以当前总股本</w:t>
      </w:r>
      <w:r>
        <w:rPr>
          <w:spacing w:val="-70"/>
        </w:rPr>
        <w:t> </w:t>
      </w:r>
      <w:r>
        <w:rPr/>
        <w:t>265,635,500</w:t>
      </w:r>
      <w:r>
        <w:rPr>
          <w:spacing w:val="-71"/>
        </w:rPr>
        <w:t> </w:t>
      </w:r>
      <w:r>
        <w:rPr/>
        <w:t>为基数,拟向全体股东每</w:t>
      </w:r>
      <w:r>
        <w:rPr>
          <w:spacing w:val="-70"/>
        </w:rPr>
        <w:t> </w:t>
      </w:r>
      <w:r>
        <w:rPr/>
        <w:t>10</w:t>
      </w:r>
      <w:r>
        <w:rPr>
          <w:spacing w:val="-70"/>
        </w:rPr>
        <w:t> </w:t>
      </w:r>
      <w:r>
        <w:rPr/>
        <w:t>股派发现金股利</w:t>
      </w:r>
      <w:r>
        <w:rPr>
          <w:spacing w:val="-70"/>
        </w:rPr>
        <w:t> </w:t>
      </w:r>
      <w:r>
        <w:rPr/>
        <w:t>1.16</w:t>
      </w:r>
    </w:p>
    <w:p>
      <w:pPr>
        <w:pStyle w:val="BodyText"/>
        <w:spacing w:line="240" w:lineRule="auto" w:before="28"/>
        <w:ind w:left="140" w:right="113"/>
        <w:jc w:val="left"/>
      </w:pPr>
      <w:r>
        <w:rPr/>
        <w:t>元(含税),共计派发现金股利</w:t>
      </w:r>
      <w:r>
        <w:rPr>
          <w:spacing w:val="-65"/>
        </w:rPr>
        <w:t> </w:t>
      </w:r>
      <w:r>
        <w:rPr/>
        <w:t>3,081.37</w:t>
      </w:r>
      <w:r>
        <w:rPr>
          <w:spacing w:val="-64"/>
        </w:rPr>
        <w:t> </w:t>
      </w:r>
      <w:r>
        <w:rPr/>
        <w:t>万元。以上预案仍需经过公司</w:t>
      </w:r>
      <w:r>
        <w:rPr>
          <w:spacing w:val="-65"/>
        </w:rPr>
        <w:t> </w:t>
      </w:r>
      <w:r>
        <w:rPr/>
        <w:t>2014</w:t>
      </w:r>
      <w:r>
        <w:rPr>
          <w:spacing w:val="-65"/>
        </w:rPr>
        <w:t> </w:t>
      </w:r>
      <w:r>
        <w:rPr/>
        <w:t>年股东大会审议通过.</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350" w:lineRule="auto"/>
        <w:ind w:left="140" w:right="744"/>
        <w:jc w:val="left"/>
      </w:pPr>
      <w:r>
        <w:rPr>
          <w:rFonts w:ascii="宋体" w:hAnsi="宋体" w:cs="宋体" w:eastAsia="宋体" w:hint="default"/>
          <w:b/>
          <w:bCs/>
        </w:rPr>
        <w:t>六、</w:t>
      </w:r>
      <w:r>
        <w:rPr>
          <w:rFonts w:ascii="宋体" w:hAnsi="宋体" w:cs="宋体" w:eastAsia="宋体" w:hint="default"/>
          <w:b/>
          <w:bCs/>
          <w:spacing w:val="-23"/>
        </w:rPr>
        <w:t> </w:t>
      </w:r>
      <w:r>
        <w:rPr/>
        <w:t>前瞻性陈述的风险声明 本报告中所涉及的未来计划、发展战略等前瞻性描述不构成公司对投资者的实质承诺，敬请 投资者注意投资风险</w:t>
      </w:r>
    </w:p>
    <w:p>
      <w:pPr>
        <w:spacing w:line="240" w:lineRule="auto" w:before="0"/>
        <w:rPr>
          <w:rFonts w:ascii="宋体" w:hAnsi="宋体" w:cs="宋体" w:eastAsia="宋体" w:hint="default"/>
          <w:sz w:val="20"/>
          <w:szCs w:val="20"/>
        </w:rPr>
      </w:pPr>
    </w:p>
    <w:p>
      <w:pPr>
        <w:pStyle w:val="BodyText"/>
        <w:spacing w:line="350" w:lineRule="auto" w:before="166"/>
        <w:ind w:left="140" w:right="3682"/>
        <w:jc w:val="left"/>
      </w:pPr>
      <w:r>
        <w:rPr>
          <w:rFonts w:ascii="宋体" w:hAnsi="宋体" w:cs="宋体" w:eastAsia="宋体" w:hint="default"/>
          <w:b/>
          <w:bCs/>
        </w:rPr>
        <w:t>七、</w:t>
      </w:r>
      <w:r>
        <w:rPr/>
        <w:t>是否存在被控股股东及其关联方非经营性占用资金情况</w:t>
      </w:r>
      <w:r>
        <w:rPr>
          <w:spacing w:val="-93"/>
        </w:rPr>
        <w:t> </w:t>
      </w:r>
      <w:r>
        <w:rPr/>
        <w:t>否</w:t>
      </w:r>
    </w:p>
    <w:p>
      <w:pPr>
        <w:spacing w:line="240" w:lineRule="auto" w:before="0"/>
        <w:rPr>
          <w:rFonts w:ascii="宋体" w:hAnsi="宋体" w:cs="宋体" w:eastAsia="宋体" w:hint="default"/>
          <w:sz w:val="20"/>
          <w:szCs w:val="20"/>
        </w:rPr>
      </w:pPr>
    </w:p>
    <w:p>
      <w:pPr>
        <w:pStyle w:val="BodyText"/>
        <w:tabs>
          <w:tab w:pos="784" w:val="left" w:leader="none"/>
        </w:tabs>
        <w:spacing w:line="254" w:lineRule="auto" w:before="166"/>
        <w:ind w:left="140" w:right="3899"/>
        <w:jc w:val="left"/>
      </w:pPr>
      <w:r>
        <w:rPr>
          <w:rFonts w:ascii="宋体" w:hAnsi="宋体" w:cs="宋体" w:eastAsia="宋体" w:hint="default"/>
          <w:b/>
          <w:bCs/>
          <w:w w:val="95"/>
        </w:rPr>
        <w:t>八、</w:t>
        <w:tab/>
      </w:r>
      <w:r>
        <w:rPr/>
        <w:t>是否存在违反规定决策程序对外提供担保的情况？ 否</w:t>
      </w:r>
    </w:p>
    <w:p>
      <w:pPr>
        <w:spacing w:after="0" w:line="254" w:lineRule="auto"/>
        <w:jc w:val="left"/>
        <w:sectPr>
          <w:headerReference w:type="default" r:id="rId5"/>
          <w:footerReference w:type="default" r:id="rId6"/>
          <w:type w:val="continuous"/>
          <w:pgSz w:w="11910" w:h="16840"/>
          <w:pgMar w:header="882" w:footer="1197" w:top="1080" w:bottom="1380" w:left="1300" w:right="130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655" w:val="left" w:leader="none"/>
        </w:tabs>
        <w:spacing w:before="163"/>
        <w:ind w:left="15" w:right="0" w:firstLine="0"/>
        <w:jc w:val="center"/>
        <w:rPr>
          <w:rFonts w:ascii="宋体" w:hAnsi="宋体" w:cs="宋体" w:eastAsia="宋体" w:hint="default"/>
          <w:sz w:val="32"/>
          <w:szCs w:val="32"/>
        </w:rPr>
      </w:pPr>
      <w:r>
        <w:rPr>
          <w:rFonts w:ascii="宋体" w:hAnsi="宋体" w:cs="宋体" w:eastAsia="宋体" w:hint="default"/>
          <w:sz w:val="32"/>
          <w:szCs w:val="32"/>
        </w:rPr>
        <w:t>目</w:t>
        <w:tab/>
        <w:t>录</w:t>
      </w:r>
    </w:p>
    <w:sdt>
      <w:sdtPr>
        <w:docPartObj>
          <w:docPartGallery w:val="Table of Contents"/>
          <w:docPartUnique/>
        </w:docPartObj>
      </w:sdtPr>
      <w:sdtEndPr/>
      <w:sdtContent>
        <w:p>
          <w:pPr>
            <w:pStyle w:val="TOC1"/>
            <w:tabs>
              <w:tab w:pos="1399" w:val="left" w:leader="none"/>
              <w:tab w:pos="9071" w:val="right" w:leader="dot"/>
            </w:tabs>
            <w:spacing w:line="240" w:lineRule="auto" w:before="614"/>
            <w:ind w:right="0"/>
            <w:jc w:val="left"/>
            <w:rPr>
              <w:rFonts w:ascii="Times New Roman" w:hAnsi="Times New Roman" w:cs="Times New Roman" w:eastAsia="Times New Roman" w:hint="default"/>
            </w:rPr>
          </w:pPr>
          <w:r>
            <w:rPr/>
            <w:t>第一节</w:t>
            <w:tab/>
            <w:t>释义及重大风险提示</w:t>
          </w:r>
          <w:r>
            <w:rPr>
              <w:rFonts w:ascii="Times New Roman" w:hAnsi="Times New Roman" w:cs="Times New Roman" w:eastAsia="Times New Roman" w:hint="default"/>
            </w:rPr>
            <w:tab/>
            <w:t>3</w:t>
          </w:r>
        </w:p>
        <w:p>
          <w:pPr>
            <w:pStyle w:val="TOC1"/>
            <w:tabs>
              <w:tab w:pos="1399" w:val="left" w:leader="none"/>
              <w:tab w:pos="9072" w:val="right" w:leader="dot"/>
            </w:tabs>
            <w:spacing w:line="240" w:lineRule="auto" w:before="118"/>
            <w:ind w:right="0"/>
            <w:jc w:val="left"/>
            <w:rPr>
              <w:rFonts w:ascii="Times New Roman" w:hAnsi="Times New Roman" w:cs="Times New Roman" w:eastAsia="Times New Roman" w:hint="default"/>
            </w:rPr>
          </w:pPr>
          <w:r>
            <w:rPr/>
            <w:t>第二节</w:t>
            <w:tab/>
            <w:t>公司简介</w:t>
          </w:r>
          <w:r>
            <w:rPr>
              <w:rFonts w:ascii="Times New Roman" w:hAnsi="Times New Roman" w:cs="Times New Roman" w:eastAsia="Times New Roman" w:hint="default"/>
            </w:rPr>
            <w:tab/>
            <w:t>4</w:t>
          </w:r>
        </w:p>
        <w:p>
          <w:pPr>
            <w:pStyle w:val="TOC1"/>
            <w:tabs>
              <w:tab w:pos="1399" w:val="left" w:leader="none"/>
              <w:tab w:pos="9071" w:val="right" w:leader="dot"/>
            </w:tabs>
            <w:spacing w:line="240" w:lineRule="auto"/>
            <w:ind w:right="0"/>
            <w:jc w:val="left"/>
            <w:rPr>
              <w:rFonts w:ascii="Times New Roman" w:hAnsi="Times New Roman" w:cs="Times New Roman" w:eastAsia="Times New Roman" w:hint="default"/>
            </w:rPr>
          </w:pPr>
          <w:hyperlink w:history="true" w:anchor="_TOC_250008">
            <w:r>
              <w:rPr/>
              <w:t>第三节</w:t>
              <w:tab/>
              <w:t>会计数据和财务指标摘要</w:t>
            </w:r>
            <w:r>
              <w:rPr>
                <w:rFonts w:ascii="Times New Roman" w:hAnsi="Times New Roman" w:cs="Times New Roman" w:eastAsia="Times New Roman" w:hint="default"/>
              </w:rPr>
              <w:tab/>
              <w:t>5</w:t>
            </w:r>
          </w:hyperlink>
        </w:p>
        <w:p>
          <w:pPr>
            <w:pStyle w:val="TOC1"/>
            <w:tabs>
              <w:tab w:pos="1399" w:val="left" w:leader="none"/>
              <w:tab w:pos="9071" w:val="right" w:leader="dot"/>
            </w:tabs>
            <w:spacing w:line="240" w:lineRule="auto" w:before="118"/>
            <w:ind w:right="0"/>
            <w:jc w:val="left"/>
            <w:rPr>
              <w:rFonts w:ascii="Times New Roman" w:hAnsi="Times New Roman" w:cs="Times New Roman" w:eastAsia="Times New Roman" w:hint="default"/>
            </w:rPr>
          </w:pPr>
          <w:hyperlink w:history="true" w:anchor="_TOC_250007">
            <w:r>
              <w:rPr/>
              <w:t>第四节</w:t>
              <w:tab/>
              <w:t>董事会报告</w:t>
            </w:r>
            <w:r>
              <w:rPr>
                <w:rFonts w:ascii="Times New Roman" w:hAnsi="Times New Roman" w:cs="Times New Roman" w:eastAsia="Times New Roman" w:hint="default"/>
              </w:rPr>
              <w:tab/>
              <w:t>8</w:t>
            </w:r>
          </w:hyperlink>
        </w:p>
        <w:p>
          <w:pPr>
            <w:pStyle w:val="TOC1"/>
            <w:tabs>
              <w:tab w:pos="1399" w:val="left" w:leader="none"/>
              <w:tab w:pos="9072" w:val="right" w:leader="dot"/>
            </w:tabs>
            <w:spacing w:line="240" w:lineRule="auto"/>
            <w:ind w:right="0"/>
            <w:jc w:val="left"/>
            <w:rPr>
              <w:rFonts w:ascii="Times New Roman" w:hAnsi="Times New Roman" w:cs="Times New Roman" w:eastAsia="Times New Roman" w:hint="default"/>
            </w:rPr>
          </w:pPr>
          <w:hyperlink w:history="true" w:anchor="_TOC_250006">
            <w:r>
              <w:rPr/>
              <w:t>第五节</w:t>
              <w:tab/>
              <w:t>重要事项</w:t>
            </w:r>
            <w:r>
              <w:rPr>
                <w:rFonts w:ascii="Times New Roman" w:hAnsi="Times New Roman" w:cs="Times New Roman" w:eastAsia="Times New Roman" w:hint="default"/>
              </w:rPr>
              <w:tab/>
              <w:t>27</w:t>
            </w:r>
          </w:hyperlink>
        </w:p>
        <w:p>
          <w:pPr>
            <w:pStyle w:val="TOC1"/>
            <w:tabs>
              <w:tab w:pos="1399" w:val="left" w:leader="none"/>
              <w:tab w:pos="9071" w:val="right" w:leader="dot"/>
            </w:tabs>
            <w:spacing w:line="240" w:lineRule="auto"/>
            <w:ind w:right="0"/>
            <w:jc w:val="left"/>
            <w:rPr>
              <w:rFonts w:ascii="Times New Roman" w:hAnsi="Times New Roman" w:cs="Times New Roman" w:eastAsia="Times New Roman" w:hint="default"/>
            </w:rPr>
          </w:pPr>
          <w:hyperlink w:history="true" w:anchor="_TOC_250005">
            <w:r>
              <w:rPr/>
              <w:t>第六节</w:t>
              <w:tab/>
              <w:t>股份变动及股东情况</w:t>
            </w:r>
            <w:r>
              <w:rPr>
                <w:rFonts w:ascii="Times New Roman" w:hAnsi="Times New Roman" w:cs="Times New Roman" w:eastAsia="Times New Roman" w:hint="default"/>
              </w:rPr>
              <w:tab/>
              <w:t>33</w:t>
            </w:r>
          </w:hyperlink>
        </w:p>
        <w:p>
          <w:pPr>
            <w:pStyle w:val="TOC1"/>
            <w:tabs>
              <w:tab w:pos="1399" w:val="left" w:leader="none"/>
              <w:tab w:pos="9071" w:val="right" w:leader="dot"/>
            </w:tabs>
            <w:spacing w:line="240" w:lineRule="auto" w:before="118"/>
            <w:ind w:right="0"/>
            <w:jc w:val="left"/>
            <w:rPr>
              <w:rFonts w:ascii="Times New Roman" w:hAnsi="Times New Roman" w:cs="Times New Roman" w:eastAsia="Times New Roman" w:hint="default"/>
            </w:rPr>
          </w:pPr>
          <w:hyperlink w:history="true" w:anchor="_TOC_250004">
            <w:r>
              <w:rPr/>
              <w:t>第七节</w:t>
              <w:tab/>
              <w:t>董事、监事、高级管理人员和员工情况</w:t>
            </w:r>
            <w:r>
              <w:rPr>
                <w:rFonts w:ascii="Times New Roman" w:hAnsi="Times New Roman" w:cs="Times New Roman" w:eastAsia="Times New Roman" w:hint="default"/>
              </w:rPr>
              <w:tab/>
              <w:t>38</w:t>
            </w:r>
          </w:hyperlink>
        </w:p>
        <w:p>
          <w:pPr>
            <w:pStyle w:val="TOC1"/>
            <w:tabs>
              <w:tab w:pos="1399" w:val="left" w:leader="none"/>
              <w:tab w:pos="9072" w:val="right" w:leader="dot"/>
            </w:tabs>
            <w:spacing w:line="240" w:lineRule="auto"/>
            <w:ind w:right="0"/>
            <w:jc w:val="left"/>
            <w:rPr>
              <w:rFonts w:ascii="Times New Roman" w:hAnsi="Times New Roman" w:cs="Times New Roman" w:eastAsia="Times New Roman" w:hint="default"/>
            </w:rPr>
          </w:pPr>
          <w:hyperlink w:history="true" w:anchor="_TOC_250003">
            <w:r>
              <w:rPr/>
              <w:t>第八节</w:t>
              <w:tab/>
              <w:t>公司治理</w:t>
            </w:r>
            <w:r>
              <w:rPr>
                <w:rFonts w:ascii="Times New Roman" w:hAnsi="Times New Roman" w:cs="Times New Roman" w:eastAsia="Times New Roman" w:hint="default"/>
              </w:rPr>
              <w:tab/>
              <w:t>45</w:t>
            </w:r>
          </w:hyperlink>
        </w:p>
        <w:p>
          <w:pPr>
            <w:pStyle w:val="TOC1"/>
            <w:tabs>
              <w:tab w:pos="1399" w:val="left" w:leader="none"/>
              <w:tab w:pos="9072" w:val="right" w:leader="dot"/>
            </w:tabs>
            <w:spacing w:line="240" w:lineRule="auto" w:before="118"/>
            <w:ind w:right="0"/>
            <w:jc w:val="left"/>
            <w:rPr>
              <w:rFonts w:ascii="Times New Roman" w:hAnsi="Times New Roman" w:cs="Times New Roman" w:eastAsia="Times New Roman" w:hint="default"/>
            </w:rPr>
          </w:pPr>
          <w:hyperlink w:history="true" w:anchor="_TOC_250002">
            <w:r>
              <w:rPr/>
              <w:t>第九节</w:t>
              <w:tab/>
              <w:t>内部控制</w:t>
            </w:r>
            <w:r>
              <w:rPr>
                <w:rFonts w:ascii="Times New Roman" w:hAnsi="Times New Roman" w:cs="Times New Roman" w:eastAsia="Times New Roman" w:hint="default"/>
              </w:rPr>
              <w:tab/>
              <w:t>49</w:t>
            </w:r>
          </w:hyperlink>
        </w:p>
        <w:p>
          <w:pPr>
            <w:pStyle w:val="TOC1"/>
            <w:tabs>
              <w:tab w:pos="1399" w:val="left" w:leader="none"/>
              <w:tab w:pos="9072" w:val="right" w:leader="dot"/>
            </w:tabs>
            <w:spacing w:line="240" w:lineRule="auto"/>
            <w:ind w:right="0"/>
            <w:jc w:val="left"/>
            <w:rPr>
              <w:rFonts w:ascii="Times New Roman" w:hAnsi="Times New Roman" w:cs="Times New Roman" w:eastAsia="Times New Roman" w:hint="default"/>
            </w:rPr>
          </w:pPr>
          <w:hyperlink w:history="true" w:anchor="_TOC_250001">
            <w:r>
              <w:rPr/>
              <w:t>第十节</w:t>
              <w:tab/>
              <w:t>财务报告</w:t>
            </w:r>
            <w:r>
              <w:rPr>
                <w:rFonts w:ascii="Times New Roman" w:hAnsi="Times New Roman" w:cs="Times New Roman" w:eastAsia="Times New Roman" w:hint="default"/>
              </w:rPr>
              <w:tab/>
              <w:t>51</w:t>
            </w:r>
          </w:hyperlink>
        </w:p>
        <w:p>
          <w:pPr>
            <w:pStyle w:val="TOC1"/>
            <w:tabs>
              <w:tab w:pos="1399" w:val="left" w:leader="none"/>
              <w:tab w:pos="9072" w:val="right" w:leader="dot"/>
            </w:tabs>
            <w:spacing w:line="240" w:lineRule="auto" w:before="118"/>
            <w:ind w:right="0"/>
            <w:jc w:val="left"/>
            <w:rPr>
              <w:rFonts w:ascii="Times New Roman" w:hAnsi="Times New Roman" w:cs="Times New Roman" w:eastAsia="Times New Roman" w:hint="default"/>
            </w:rPr>
          </w:pPr>
          <w:hyperlink w:history="true" w:anchor="_TOC_250000">
            <w:r>
              <w:rPr/>
              <w:t>第十一节</w:t>
              <w:tab/>
              <w:t>备查文件目录</w:t>
            </w:r>
            <w:r>
              <w:rPr>
                <w:rFonts w:ascii="Times New Roman" w:hAnsi="Times New Roman" w:cs="Times New Roman" w:eastAsia="Times New Roman" w:hint="default"/>
              </w:rPr>
              <w:tab/>
              <w:t>197</w:t>
            </w:r>
          </w:hyperlink>
        </w:p>
      </w:sdtContent>
    </w:sdt>
    <w:p>
      <w:pPr>
        <w:spacing w:after="0" w:line="240" w:lineRule="auto"/>
        <w:jc w:val="left"/>
        <w:rPr>
          <w:rFonts w:ascii="Times New Roman" w:hAnsi="Times New Roman" w:cs="Times New Roman" w:eastAsia="Times New Roman" w:hint="default"/>
        </w:rPr>
        <w:sectPr>
          <w:pgSz w:w="11910" w:h="16840"/>
          <w:pgMar w:header="882" w:footer="1197" w:top="1120" w:bottom="1380" w:left="1300" w:right="1400"/>
        </w:sectPr>
      </w:pPr>
    </w:p>
    <w:p>
      <w:pPr>
        <w:tabs>
          <w:tab w:pos="4061" w:val="left" w:leader="none"/>
        </w:tabs>
        <w:spacing w:before="959"/>
        <w:ind w:left="2801" w:right="114" w:firstLine="0"/>
        <w:jc w:val="left"/>
        <w:rPr>
          <w:rFonts w:ascii="黑体" w:hAnsi="黑体" w:cs="黑体" w:eastAsia="黑体" w:hint="default"/>
          <w:sz w:val="28"/>
          <w:szCs w:val="28"/>
        </w:rPr>
      </w:pPr>
      <w:r>
        <w:rPr>
          <w:rFonts w:ascii="黑体" w:hAnsi="黑体" w:cs="黑体" w:eastAsia="黑体" w:hint="default"/>
          <w:w w:val="95"/>
          <w:sz w:val="28"/>
          <w:szCs w:val="28"/>
        </w:rPr>
        <w:t>第一节</w:t>
        <w:tab/>
      </w:r>
      <w:r>
        <w:rPr>
          <w:rFonts w:ascii="黑体" w:hAnsi="黑体" w:cs="黑体" w:eastAsia="黑体" w:hint="default"/>
          <w:sz w:val="28"/>
          <w:szCs w:val="28"/>
        </w:rPr>
        <w:t>释义及重大风险提示</w:t>
      </w:r>
    </w:p>
    <w:p>
      <w:pPr>
        <w:pStyle w:val="BodyText"/>
        <w:spacing w:line="290" w:lineRule="auto" w:before="249"/>
        <w:ind w:left="220" w:right="3374"/>
        <w:jc w:val="left"/>
      </w:pPr>
      <w:r>
        <w:rPr>
          <w:rFonts w:ascii="宋体" w:hAnsi="宋体" w:cs="宋体" w:eastAsia="宋体" w:hint="default"/>
          <w:b/>
          <w:bCs/>
        </w:rPr>
        <w:t>一、</w:t>
      </w:r>
      <w:r>
        <w:rPr>
          <w:rFonts w:ascii="宋体" w:hAnsi="宋体" w:cs="宋体" w:eastAsia="宋体" w:hint="default"/>
          <w:b/>
          <w:bCs/>
          <w:spacing w:val="60"/>
        </w:rPr>
        <w:t> </w:t>
      </w:r>
      <w:r>
        <w:rPr/>
        <w:t>释义 在本报告书中，除非文义另有所指，下列词语具有如下含义：</w:t>
      </w:r>
    </w:p>
    <w:tbl>
      <w:tblPr>
        <w:tblW w:w="0" w:type="auto"/>
        <w:jc w:val="left"/>
        <w:tblInd w:w="107" w:type="dxa"/>
        <w:tblLayout w:type="fixed"/>
        <w:tblCellMar>
          <w:top w:w="0" w:type="dxa"/>
          <w:left w:w="0" w:type="dxa"/>
          <w:bottom w:w="0" w:type="dxa"/>
          <w:right w:w="0" w:type="dxa"/>
        </w:tblCellMar>
        <w:tblLook w:val="01E0"/>
      </w:tblPr>
      <w:tblGrid>
        <w:gridCol w:w="3016"/>
        <w:gridCol w:w="3017"/>
        <w:gridCol w:w="3016"/>
      </w:tblGrid>
      <w:tr>
        <w:trPr>
          <w:trHeight w:val="283" w:hRule="exact"/>
        </w:trPr>
        <w:tc>
          <w:tcPr>
            <w:tcW w:w="90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1099"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新三板做市</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397"/>
              <w:jc w:val="righ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即在新三板实行做市商制度。</w:t>
            </w:r>
            <w:r>
              <w:rPr>
                <w:rFonts w:ascii="宋体" w:hAnsi="宋体" w:cs="宋体" w:eastAsia="宋体" w:hint="default"/>
                <w:sz w:val="21"/>
                <w:szCs w:val="21"/>
              </w:rPr>
            </w:r>
          </w:p>
          <w:p>
            <w:pPr>
              <w:pStyle w:val="TableParagraph"/>
              <w:spacing w:line="272" w:lineRule="exact" w:before="26"/>
              <w:ind w:left="103" w:right="76"/>
              <w:jc w:val="both"/>
              <w:rPr>
                <w:rFonts w:ascii="宋体" w:hAnsi="宋体" w:cs="宋体" w:eastAsia="宋体" w:hint="default"/>
                <w:sz w:val="21"/>
                <w:szCs w:val="21"/>
              </w:rPr>
            </w:pPr>
            <w:r>
              <w:rPr>
                <w:rFonts w:ascii="宋体" w:hAnsi="宋体" w:cs="宋体" w:eastAsia="宋体" w:hint="default"/>
                <w:spacing w:val="5"/>
                <w:sz w:val="21"/>
                <w:szCs w:val="21"/>
              </w:rPr>
              <w:t>新三板市场是指全国性的非上</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0"/>
                <w:sz w:val="21"/>
                <w:szCs w:val="21"/>
              </w:rPr>
              <w:t>市股份有限</w:t>
            </w:r>
            <w:r>
              <w:rPr>
                <w:rFonts w:ascii="宋体" w:hAnsi="宋体" w:cs="宋体" w:eastAsia="宋体" w:hint="default"/>
                <w:spacing w:val="-79"/>
                <w:sz w:val="21"/>
                <w:szCs w:val="21"/>
              </w:rPr>
              <w:t> </w:t>
            </w:r>
            <w:r>
              <w:rPr>
                <w:rFonts w:ascii="宋体" w:hAnsi="宋体" w:cs="宋体" w:eastAsia="宋体" w:hint="default"/>
                <w:spacing w:val="20"/>
                <w:sz w:val="21"/>
                <w:szCs w:val="21"/>
              </w:rPr>
              <w:t>公司股权交</w:t>
            </w:r>
            <w:r>
              <w:rPr>
                <w:rFonts w:ascii="宋体" w:hAnsi="宋体" w:cs="宋体" w:eastAsia="宋体" w:hint="default"/>
                <w:spacing w:val="-79"/>
                <w:sz w:val="21"/>
                <w:szCs w:val="21"/>
              </w:rPr>
              <w:t> </w:t>
            </w:r>
            <w:r>
              <w:rPr>
                <w:rFonts w:ascii="宋体" w:hAnsi="宋体" w:cs="宋体" w:eastAsia="宋体" w:hint="default"/>
                <w:spacing w:val="12"/>
                <w:sz w:val="21"/>
                <w:szCs w:val="21"/>
              </w:rPr>
              <w:t>易平</w:t>
            </w:r>
            <w:r>
              <w:rPr>
                <w:rFonts w:ascii="宋体" w:hAnsi="宋体" w:cs="宋体" w:eastAsia="宋体" w:hint="default"/>
                <w:spacing w:val="-80"/>
                <w:sz w:val="21"/>
                <w:szCs w:val="21"/>
              </w:rPr>
              <w:t> </w:t>
            </w:r>
            <w:r>
              <w:rPr>
                <w:rFonts w:ascii="宋体" w:hAnsi="宋体" w:cs="宋体" w:eastAsia="宋体" w:hint="default"/>
                <w:sz w:val="21"/>
                <w:szCs w:val="21"/>
              </w:rPr>
              <w:t>台，主要针对的是中小企业。</w:t>
            </w:r>
          </w:p>
        </w:tc>
      </w:tr>
      <w:tr>
        <w:trPr>
          <w:trHeight w:val="554"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多金融产品销售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397"/>
              <w:jc w:val="righ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由证券公司代理销售其他机构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标准化或非标准化金融产品。</w:t>
            </w:r>
          </w:p>
        </w:tc>
      </w:tr>
      <w:tr>
        <w:trPr>
          <w:trHeight w:val="137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Calibri" w:hAnsi="Calibri" w:cs="Calibri" w:eastAsia="Calibri" w:hint="default"/>
                <w:sz w:val="21"/>
                <w:szCs w:val="21"/>
              </w:rPr>
              <w:t>VIP</w:t>
            </w:r>
            <w:r>
              <w:rPr>
                <w:rFonts w:ascii="Calibri" w:hAnsi="Calibri" w:cs="Calibri" w:eastAsia="Calibri" w:hint="default"/>
                <w:spacing w:val="3"/>
                <w:sz w:val="21"/>
                <w:szCs w:val="21"/>
              </w:rPr>
              <w:t> </w:t>
            </w:r>
            <w:r>
              <w:rPr>
                <w:rFonts w:ascii="宋体" w:hAnsi="宋体" w:cs="宋体" w:eastAsia="宋体" w:hint="default"/>
                <w:sz w:val="21"/>
                <w:szCs w:val="21"/>
              </w:rPr>
              <w:t>订单</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397"/>
              <w:jc w:val="righ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即为高净值客户或对程序化及</w:t>
            </w:r>
            <w:r>
              <w:rPr>
                <w:rFonts w:ascii="宋体" w:hAnsi="宋体" w:cs="宋体" w:eastAsia="宋体" w:hint="default"/>
                <w:sz w:val="21"/>
                <w:szCs w:val="21"/>
              </w:rPr>
            </w:r>
          </w:p>
          <w:p>
            <w:pPr>
              <w:pStyle w:val="TableParagraph"/>
              <w:spacing w:line="272" w:lineRule="exact" w:before="26"/>
              <w:ind w:left="103" w:right="95"/>
              <w:jc w:val="both"/>
              <w:rPr>
                <w:rFonts w:ascii="宋体" w:hAnsi="宋体" w:cs="宋体" w:eastAsia="宋体" w:hint="default"/>
                <w:sz w:val="21"/>
                <w:szCs w:val="21"/>
              </w:rPr>
            </w:pPr>
            <w:r>
              <w:rPr>
                <w:rFonts w:ascii="宋体" w:hAnsi="宋体" w:cs="宋体" w:eastAsia="宋体" w:hint="default"/>
                <w:spacing w:val="5"/>
                <w:sz w:val="21"/>
                <w:szCs w:val="21"/>
              </w:rPr>
              <w:t>量化交易有需求的客户提供更</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高效快捷的 VIP</w:t>
            </w:r>
            <w:r>
              <w:rPr>
                <w:rFonts w:ascii="宋体" w:hAnsi="宋体" w:cs="宋体" w:eastAsia="宋体" w:hint="default"/>
                <w:spacing w:val="-37"/>
                <w:sz w:val="21"/>
                <w:szCs w:val="21"/>
              </w:rPr>
              <w:t> </w:t>
            </w:r>
            <w:r>
              <w:rPr>
                <w:rFonts w:ascii="宋体" w:hAnsi="宋体" w:cs="宋体" w:eastAsia="宋体" w:hint="default"/>
                <w:sz w:val="21"/>
                <w:szCs w:val="21"/>
              </w:rPr>
              <w:t>订单系统，可</w:t>
            </w:r>
            <w:r>
              <w:rPr>
                <w:rFonts w:ascii="宋体" w:hAnsi="宋体" w:cs="宋体" w:eastAsia="宋体" w:hint="default"/>
                <w:sz w:val="21"/>
                <w:szCs w:val="21"/>
              </w:rPr>
              <w:t> </w:t>
            </w:r>
            <w:r>
              <w:rPr>
                <w:rFonts w:ascii="宋体" w:hAnsi="宋体" w:cs="宋体" w:eastAsia="宋体" w:hint="default"/>
                <w:spacing w:val="5"/>
                <w:sz w:val="21"/>
                <w:szCs w:val="21"/>
              </w:rPr>
              <w:t>在极短的时间内发出成百上千</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笔委托。</w:t>
            </w:r>
          </w:p>
        </w:tc>
      </w:tr>
      <w:tr>
        <w:trPr>
          <w:trHeight w:val="1644"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沪港通</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397"/>
              <w:jc w:val="righ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是指上海证券交易所和香港联</w:t>
            </w:r>
            <w:r>
              <w:rPr>
                <w:rFonts w:ascii="宋体" w:hAnsi="宋体" w:cs="宋体" w:eastAsia="宋体" w:hint="default"/>
                <w:sz w:val="21"/>
                <w:szCs w:val="21"/>
              </w:rPr>
            </w:r>
          </w:p>
          <w:p>
            <w:pPr>
              <w:pStyle w:val="TableParagraph"/>
              <w:spacing w:line="272" w:lineRule="exact" w:before="26"/>
              <w:ind w:left="103" w:right="95"/>
              <w:jc w:val="both"/>
              <w:rPr>
                <w:rFonts w:ascii="宋体" w:hAnsi="宋体" w:cs="宋体" w:eastAsia="宋体" w:hint="default"/>
                <w:sz w:val="21"/>
                <w:szCs w:val="21"/>
              </w:rPr>
            </w:pPr>
            <w:r>
              <w:rPr>
                <w:rFonts w:ascii="宋体" w:hAnsi="宋体" w:cs="宋体" w:eastAsia="宋体" w:hint="default"/>
                <w:spacing w:val="5"/>
                <w:sz w:val="21"/>
                <w:szCs w:val="21"/>
              </w:rPr>
              <w:t>合交易所允许两地投资者通过</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5"/>
                <w:sz w:val="21"/>
                <w:szCs w:val="21"/>
              </w:rPr>
              <w:t>当地证券公司（或经纪商）买</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5"/>
                <w:sz w:val="21"/>
                <w:szCs w:val="21"/>
              </w:rPr>
              <w:t>卖规定范围内的对方交易所上</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5"/>
                <w:sz w:val="21"/>
                <w:szCs w:val="21"/>
              </w:rPr>
              <w:t>市的股票，是沪港股票市场交</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易互联互通机制。</w:t>
            </w:r>
          </w:p>
        </w:tc>
      </w:tr>
      <w:tr>
        <w:trPr>
          <w:trHeight w:val="2189"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个股期权</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397"/>
              <w:jc w:val="righ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期权是交易双方关于未来买卖</w:t>
            </w:r>
            <w:r>
              <w:rPr>
                <w:rFonts w:ascii="宋体" w:hAnsi="宋体" w:cs="宋体" w:eastAsia="宋体" w:hint="default"/>
                <w:sz w:val="21"/>
                <w:szCs w:val="21"/>
              </w:rPr>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权利达成的合约。期权的买方</w:t>
            </w:r>
            <w:r>
              <w:rPr>
                <w:rFonts w:ascii="宋体" w:hAnsi="宋体" w:cs="宋体" w:eastAsia="宋体" w:hint="default"/>
                <w:sz w:val="21"/>
                <w:szCs w:val="21"/>
              </w:rPr>
            </w:r>
          </w:p>
          <w:p>
            <w:pPr>
              <w:pStyle w:val="TableParagraph"/>
              <w:spacing w:line="272" w:lineRule="exact" w:before="26"/>
              <w:ind w:left="103" w:right="-3"/>
              <w:jc w:val="left"/>
              <w:rPr>
                <w:rFonts w:ascii="宋体" w:hAnsi="宋体" w:cs="宋体" w:eastAsia="宋体" w:hint="default"/>
                <w:sz w:val="21"/>
                <w:szCs w:val="21"/>
              </w:rPr>
            </w:pPr>
            <w:r>
              <w:rPr>
                <w:rFonts w:ascii="宋体" w:hAnsi="宋体" w:cs="宋体" w:eastAsia="宋体" w:hint="default"/>
                <w:spacing w:val="5"/>
                <w:sz w:val="21"/>
                <w:szCs w:val="21"/>
              </w:rPr>
              <w:t>（权利方）通过向卖方（义务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7"/>
                <w:sz w:val="21"/>
                <w:szCs w:val="21"/>
              </w:rPr>
              <w:t>方）支付一定的费用（权利金），</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5"/>
                <w:sz w:val="21"/>
                <w:szCs w:val="21"/>
              </w:rPr>
              <w:t>获得一种权利，即有权在约定</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5"/>
                <w:sz w:val="21"/>
                <w:szCs w:val="21"/>
              </w:rPr>
              <w:t>的时间以约定的价格向期权卖</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5"/>
                <w:sz w:val="21"/>
                <w:szCs w:val="21"/>
              </w:rPr>
              <w:t>方买入或卖出约定数量的特定</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股票或</w:t>
            </w:r>
            <w:r>
              <w:rPr>
                <w:rFonts w:ascii="宋体" w:hAnsi="宋体" w:cs="宋体" w:eastAsia="宋体" w:hint="default"/>
                <w:spacing w:val="-54"/>
                <w:sz w:val="21"/>
                <w:szCs w:val="21"/>
              </w:rPr>
              <w:t> </w:t>
            </w:r>
            <w:r>
              <w:rPr>
                <w:rFonts w:ascii="宋体" w:hAnsi="宋体" w:cs="宋体" w:eastAsia="宋体" w:hint="default"/>
                <w:sz w:val="21"/>
                <w:szCs w:val="21"/>
              </w:rPr>
              <w:t>ETF。</w:t>
            </w:r>
          </w:p>
        </w:tc>
      </w:tr>
      <w:tr>
        <w:trPr>
          <w:trHeight w:val="2461"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财富管理</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397"/>
              <w:jc w:val="righ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是指以客户为中心，设计出一</w:t>
            </w:r>
            <w:r>
              <w:rPr>
                <w:rFonts w:ascii="宋体" w:hAnsi="宋体" w:cs="宋体" w:eastAsia="宋体" w:hint="default"/>
                <w:sz w:val="21"/>
                <w:szCs w:val="21"/>
              </w:rPr>
            </w:r>
          </w:p>
          <w:p>
            <w:pPr>
              <w:pStyle w:val="TableParagraph"/>
              <w:spacing w:line="272" w:lineRule="exact" w:before="26"/>
              <w:ind w:left="103" w:right="95"/>
              <w:jc w:val="both"/>
              <w:rPr>
                <w:rFonts w:ascii="宋体" w:hAnsi="宋体" w:cs="宋体" w:eastAsia="宋体" w:hint="default"/>
                <w:sz w:val="21"/>
                <w:szCs w:val="21"/>
              </w:rPr>
            </w:pPr>
            <w:r>
              <w:rPr>
                <w:rFonts w:ascii="宋体" w:hAnsi="宋体" w:cs="宋体" w:eastAsia="宋体" w:hint="default"/>
                <w:spacing w:val="5"/>
                <w:sz w:val="21"/>
                <w:szCs w:val="21"/>
              </w:rPr>
              <w:t>套全面的财务规划，通过向客</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5"/>
                <w:sz w:val="21"/>
                <w:szCs w:val="21"/>
              </w:rPr>
              <w:t>户提供现金、信用、保险、投</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5"/>
                <w:sz w:val="21"/>
                <w:szCs w:val="21"/>
              </w:rPr>
              <w:t>资组合等一系列的金融服务，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5"/>
                <w:sz w:val="21"/>
                <w:szCs w:val="21"/>
              </w:rPr>
              <w:t>将客户的资产、负债、流动性</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5"/>
                <w:sz w:val="21"/>
                <w:szCs w:val="21"/>
              </w:rPr>
              <w:t>进行管理，以满足客户不同阶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5"/>
                <w:sz w:val="21"/>
                <w:szCs w:val="21"/>
              </w:rPr>
              <w:t>段的财务需求，帮助客户达到</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5"/>
                <w:sz w:val="21"/>
                <w:szCs w:val="21"/>
              </w:rPr>
              <w:t>降低风险、实现财富增值的目</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的。</w:t>
            </w:r>
          </w:p>
        </w:tc>
      </w:tr>
      <w:tr>
        <w:trPr>
          <w:trHeight w:val="1916"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保证金消费支付管理系统</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397"/>
              <w:jc w:val="righ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即支持保证金消费支付业务的</w:t>
            </w:r>
            <w:r>
              <w:rPr>
                <w:rFonts w:ascii="宋体" w:hAnsi="宋体" w:cs="宋体" w:eastAsia="宋体" w:hint="default"/>
                <w:sz w:val="21"/>
                <w:szCs w:val="21"/>
              </w:rPr>
            </w:r>
          </w:p>
          <w:p>
            <w:pPr>
              <w:pStyle w:val="TableParagraph"/>
              <w:spacing w:line="272" w:lineRule="exact" w:before="26"/>
              <w:ind w:left="103" w:right="76"/>
              <w:jc w:val="both"/>
              <w:rPr>
                <w:rFonts w:ascii="宋体" w:hAnsi="宋体" w:cs="宋体" w:eastAsia="宋体" w:hint="default"/>
                <w:sz w:val="21"/>
                <w:szCs w:val="21"/>
              </w:rPr>
            </w:pPr>
            <w:r>
              <w:rPr>
                <w:rFonts w:ascii="宋体" w:hAnsi="宋体" w:cs="宋体" w:eastAsia="宋体" w:hint="default"/>
                <w:spacing w:val="5"/>
                <w:sz w:val="21"/>
                <w:szCs w:val="21"/>
              </w:rPr>
              <w:t>系统，保证金消费支付业务是</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5"/>
                <w:sz w:val="21"/>
                <w:szCs w:val="21"/>
              </w:rPr>
              <w:t>指证券公司的客户通过第三方</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5"/>
                <w:sz w:val="21"/>
                <w:szCs w:val="21"/>
              </w:rPr>
              <w:t>支付平台进行的保证金网上支</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5"/>
                <w:sz w:val="21"/>
                <w:szCs w:val="21"/>
              </w:rPr>
              <w:t>付、购物消费、转账、缴费、</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0"/>
                <w:sz w:val="21"/>
                <w:szCs w:val="21"/>
              </w:rPr>
              <w:t>信用卡还款</w:t>
            </w:r>
            <w:r>
              <w:rPr>
                <w:rFonts w:ascii="宋体" w:hAnsi="宋体" w:cs="宋体" w:eastAsia="宋体" w:hint="default"/>
                <w:spacing w:val="-79"/>
                <w:sz w:val="21"/>
                <w:szCs w:val="21"/>
              </w:rPr>
              <w:t> </w:t>
            </w:r>
            <w:r>
              <w:rPr>
                <w:rFonts w:ascii="宋体" w:hAnsi="宋体" w:cs="宋体" w:eastAsia="宋体" w:hint="default"/>
                <w:spacing w:val="20"/>
                <w:sz w:val="21"/>
                <w:szCs w:val="21"/>
              </w:rPr>
              <w:t>以及其它增</w:t>
            </w:r>
            <w:r>
              <w:rPr>
                <w:rFonts w:ascii="宋体" w:hAnsi="宋体" w:cs="宋体" w:eastAsia="宋体" w:hint="default"/>
                <w:spacing w:val="-79"/>
                <w:sz w:val="21"/>
                <w:szCs w:val="21"/>
              </w:rPr>
              <w:t> </w:t>
            </w:r>
            <w:r>
              <w:rPr>
                <w:rFonts w:ascii="宋体" w:hAnsi="宋体" w:cs="宋体" w:eastAsia="宋体" w:hint="default"/>
                <w:spacing w:val="12"/>
                <w:sz w:val="21"/>
                <w:szCs w:val="21"/>
              </w:rPr>
              <w:t>值业</w:t>
            </w:r>
            <w:r>
              <w:rPr>
                <w:rFonts w:ascii="宋体" w:hAnsi="宋体" w:cs="宋体" w:eastAsia="宋体" w:hint="default"/>
                <w:spacing w:val="-80"/>
                <w:sz w:val="21"/>
                <w:szCs w:val="21"/>
              </w:rPr>
              <w:t> </w:t>
            </w:r>
            <w:r>
              <w:rPr>
                <w:rFonts w:ascii="宋体" w:hAnsi="宋体" w:cs="宋体" w:eastAsia="宋体" w:hint="default"/>
                <w:sz w:val="21"/>
                <w:szCs w:val="21"/>
              </w:rPr>
              <w:t>务。</w:t>
            </w:r>
          </w:p>
        </w:tc>
      </w:tr>
      <w:tr>
        <w:trPr>
          <w:trHeight w:val="359"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397"/>
              <w:jc w:val="righ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日至</w:t>
            </w:r>
            <w:r>
              <w:rPr>
                <w:rFonts w:ascii="宋体" w:hAnsi="宋体" w:cs="宋体" w:eastAsia="宋体" w:hint="default"/>
                <w:spacing w:val="-45"/>
                <w:sz w:val="21"/>
                <w:szCs w:val="21"/>
              </w:rPr>
              <w:t> </w:t>
            </w:r>
            <w:r>
              <w:rPr>
                <w:rFonts w:ascii="宋体" w:hAnsi="宋体" w:cs="宋体" w:eastAsia="宋体" w:hint="default"/>
                <w:sz w:val="21"/>
                <w:szCs w:val="21"/>
              </w:rPr>
              <w:t>2014</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p>
        </w:tc>
      </w:tr>
    </w:tbl>
    <w:p>
      <w:pPr>
        <w:spacing w:after="0" w:line="228" w:lineRule="exact"/>
        <w:jc w:val="left"/>
        <w:rPr>
          <w:rFonts w:ascii="宋体" w:hAnsi="宋体" w:cs="宋体" w:eastAsia="宋体" w:hint="default"/>
          <w:sz w:val="21"/>
          <w:szCs w:val="21"/>
        </w:rPr>
        <w:sectPr>
          <w:pgSz w:w="11910" w:h="16840"/>
          <w:pgMar w:header="882" w:footer="1197" w:top="1120" w:bottom="1380" w:left="122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3016"/>
        <w:gridCol w:w="3017"/>
        <w:gridCol w:w="3016"/>
      </w:tblGrid>
      <w:tr>
        <w:trPr>
          <w:trHeight w:val="359" w:hRule="exact"/>
        </w:trPr>
        <w:tc>
          <w:tcPr>
            <w:tcW w:w="3016"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31日</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人民币元、人民币万元</w:t>
            </w:r>
          </w:p>
        </w:tc>
      </w:tr>
    </w:tbl>
    <w:p>
      <w:pPr>
        <w:spacing w:line="240" w:lineRule="auto" w:before="0"/>
        <w:rPr>
          <w:rFonts w:ascii="宋体" w:hAnsi="宋体" w:cs="宋体" w:eastAsia="宋体" w:hint="default"/>
          <w:sz w:val="20"/>
          <w:szCs w:val="20"/>
        </w:rPr>
      </w:pPr>
    </w:p>
    <w:p>
      <w:pPr>
        <w:pStyle w:val="BodyText"/>
        <w:spacing w:line="367" w:lineRule="auto" w:before="35"/>
        <w:ind w:left="220" w:right="113"/>
        <w:jc w:val="left"/>
      </w:pPr>
      <w:r>
        <w:rPr>
          <w:rFonts w:ascii="宋体" w:hAnsi="宋体" w:cs="宋体" w:eastAsia="宋体" w:hint="default"/>
          <w:b/>
          <w:bCs/>
        </w:rPr>
        <w:t>二、</w:t>
      </w:r>
      <w:r>
        <w:rPr>
          <w:rFonts w:ascii="宋体" w:hAnsi="宋体" w:cs="宋体" w:eastAsia="宋体" w:hint="default"/>
          <w:b/>
          <w:bCs/>
          <w:spacing w:val="60"/>
        </w:rPr>
        <w:t> </w:t>
      </w:r>
      <w:r>
        <w:rPr/>
        <w:t>重大风险提示 </w:t>
      </w:r>
      <w:r>
        <w:rPr>
          <w:spacing w:val="-3"/>
        </w:rPr>
        <w:t>公司已在本报告中详细描述存在的行业风险，敬请查阅第四节董事会报告中关于公司未来发展的讨</w:t>
      </w:r>
      <w:r>
        <w:rPr>
          <w:spacing w:val="-65"/>
        </w:rPr>
        <w:t> </w:t>
      </w:r>
      <w:r>
        <w:rPr>
          <w:spacing w:val="-65"/>
        </w:rPr>
      </w:r>
      <w:r>
        <w:rPr/>
        <w:t>论与分析中可能面对的风险因素及对策部分的内容。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tabs>
          <w:tab w:pos="1335" w:val="left" w:leader="none"/>
        </w:tabs>
        <w:spacing w:before="0"/>
        <w:ind w:left="75" w:right="0" w:firstLine="0"/>
        <w:jc w:val="center"/>
        <w:rPr>
          <w:rFonts w:ascii="黑体" w:hAnsi="黑体" w:cs="黑体" w:eastAsia="黑体" w:hint="default"/>
          <w:sz w:val="28"/>
          <w:szCs w:val="28"/>
        </w:rPr>
      </w:pPr>
      <w:r>
        <w:rPr>
          <w:rFonts w:ascii="黑体" w:hAnsi="黑体" w:cs="黑体" w:eastAsia="黑体" w:hint="default"/>
          <w:w w:val="95"/>
          <w:sz w:val="28"/>
          <w:szCs w:val="28"/>
        </w:rPr>
        <w:t>第二节</w:t>
        <w:tab/>
      </w:r>
      <w:r>
        <w:rPr>
          <w:rFonts w:ascii="黑体" w:hAnsi="黑体" w:cs="黑体" w:eastAsia="黑体" w:hint="default"/>
          <w:sz w:val="28"/>
          <w:szCs w:val="28"/>
        </w:rPr>
        <w:t>公司简介</w:t>
      </w:r>
    </w:p>
    <w:p>
      <w:pPr>
        <w:pStyle w:val="BodyText"/>
        <w:spacing w:line="240" w:lineRule="auto" w:before="249"/>
        <w:ind w:left="220" w:right="113"/>
        <w:jc w:val="left"/>
      </w:pPr>
      <w:r>
        <w:rPr/>
        <w:t>一、</w:t>
      </w:r>
      <w:r>
        <w:rPr>
          <w:spacing w:val="-30"/>
        </w:rPr>
        <w:t> </w:t>
      </w:r>
      <w:r>
        <w:rPr/>
        <w:t>公司信息</w:t>
      </w:r>
    </w:p>
    <w:p>
      <w:pPr>
        <w:spacing w:line="240" w:lineRule="auto" w:before="1"/>
        <w:rPr>
          <w:rFonts w:ascii="宋体" w:hAnsi="宋体" w:cs="宋体" w:eastAsia="宋体" w:hint="default"/>
          <w:sz w:val="7"/>
          <w:szCs w:val="7"/>
        </w:rPr>
      </w:pPr>
    </w:p>
    <w:tbl>
      <w:tblPr>
        <w:tblW w:w="0" w:type="auto"/>
        <w:jc w:val="left"/>
        <w:tblInd w:w="185" w:type="dxa"/>
        <w:tblLayout w:type="fixed"/>
        <w:tblCellMar>
          <w:top w:w="0" w:type="dxa"/>
          <w:left w:w="0" w:type="dxa"/>
          <w:bottom w:w="0" w:type="dxa"/>
          <w:right w:w="0" w:type="dxa"/>
        </w:tblCellMar>
        <w:tblLook w:val="01E0"/>
      </w:tblPr>
      <w:tblGrid>
        <w:gridCol w:w="3905"/>
        <w:gridCol w:w="5096"/>
      </w:tblGrid>
      <w:tr>
        <w:trPr>
          <w:trHeight w:val="302" w:hRule="exact"/>
        </w:trPr>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深圳市金证科技股份有限公司</w:t>
            </w:r>
          </w:p>
        </w:tc>
      </w:tr>
      <w:tr>
        <w:trPr>
          <w:trHeight w:val="304" w:hRule="exact"/>
        </w:trPr>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金证股份</w:t>
            </w:r>
          </w:p>
        </w:tc>
      </w:tr>
      <w:tr>
        <w:trPr>
          <w:trHeight w:val="302" w:hRule="exact"/>
        </w:trPr>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 w:right="0"/>
              <w:jc w:val="left"/>
              <w:rPr>
                <w:rFonts w:ascii="Arial" w:hAnsi="Arial" w:cs="Arial" w:eastAsia="Arial" w:hint="default"/>
                <w:sz w:val="21"/>
                <w:szCs w:val="21"/>
              </w:rPr>
            </w:pPr>
            <w:r>
              <w:rPr>
                <w:rFonts w:ascii="Arial"/>
                <w:sz w:val="21"/>
              </w:rPr>
              <w:t>SHENZHEN KINGDOM TECHNOLOGY</w:t>
            </w:r>
            <w:r>
              <w:rPr>
                <w:rFonts w:ascii="Arial"/>
                <w:spacing w:val="-25"/>
                <w:sz w:val="21"/>
              </w:rPr>
              <w:t> </w:t>
            </w:r>
            <w:r>
              <w:rPr>
                <w:rFonts w:ascii="Arial"/>
                <w:sz w:val="21"/>
              </w:rPr>
              <w:t>CO.,LTD</w:t>
            </w:r>
          </w:p>
        </w:tc>
      </w:tr>
      <w:tr>
        <w:trPr>
          <w:trHeight w:val="304" w:hRule="exact"/>
        </w:trPr>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赵剑</w:t>
            </w:r>
          </w:p>
        </w:tc>
      </w:tr>
    </w:tbl>
    <w:p>
      <w:pPr>
        <w:spacing w:line="240" w:lineRule="auto" w:before="0"/>
        <w:rPr>
          <w:rFonts w:ascii="宋体" w:hAnsi="宋体" w:cs="宋体" w:eastAsia="宋体" w:hint="default"/>
          <w:sz w:val="20"/>
          <w:szCs w:val="20"/>
        </w:rPr>
      </w:pPr>
    </w:p>
    <w:p>
      <w:pPr>
        <w:pStyle w:val="BodyText"/>
        <w:spacing w:line="240" w:lineRule="auto" w:before="35"/>
        <w:ind w:left="220" w:right="113"/>
        <w:jc w:val="left"/>
      </w:pPr>
      <w:r>
        <w:rPr/>
        <w:t>二、</w:t>
      </w:r>
      <w:r>
        <w:rPr>
          <w:spacing w:val="-30"/>
        </w:rPr>
        <w:t> </w:t>
      </w:r>
      <w:r>
        <w:rPr/>
        <w:t>联系人和联系方式</w:t>
      </w:r>
    </w:p>
    <w:p>
      <w:pPr>
        <w:spacing w:line="240" w:lineRule="auto" w:before="1"/>
        <w:rPr>
          <w:rFonts w:ascii="宋体" w:hAnsi="宋体" w:cs="宋体" w:eastAsia="宋体" w:hint="default"/>
          <w:sz w:val="7"/>
          <w:szCs w:val="7"/>
        </w:rPr>
      </w:pPr>
    </w:p>
    <w:tbl>
      <w:tblPr>
        <w:tblW w:w="0" w:type="auto"/>
        <w:jc w:val="left"/>
        <w:tblInd w:w="185" w:type="dxa"/>
        <w:tblLayout w:type="fixed"/>
        <w:tblCellMar>
          <w:top w:w="0" w:type="dxa"/>
          <w:left w:w="0" w:type="dxa"/>
          <w:bottom w:w="0" w:type="dxa"/>
          <w:right w:w="0" w:type="dxa"/>
        </w:tblCellMar>
        <w:tblLook w:val="01E0"/>
      </w:tblPr>
      <w:tblGrid>
        <w:gridCol w:w="2999"/>
        <w:gridCol w:w="3001"/>
        <w:gridCol w:w="3001"/>
      </w:tblGrid>
      <w:tr>
        <w:trPr>
          <w:trHeight w:val="282" w:hRule="exact"/>
        </w:trPr>
        <w:tc>
          <w:tcPr>
            <w:tcW w:w="2999"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7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5"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王凯</w:t>
            </w: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深圳市南山区高新南五道金证科</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技大楼（8－9层）</w:t>
            </w: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sz w:val="21"/>
              </w:rPr>
              <w:t>0755--86393989</w:t>
            </w: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0755－86393986</w:t>
            </w: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hyperlink r:id="rId7">
              <w:r>
                <w:rPr>
                  <w:rFonts w:ascii="宋体"/>
                  <w:sz w:val="21"/>
                </w:rPr>
                <w:t>wangkai@szkingdom.com</w:t>
              </w:r>
            </w:hyperlink>
          </w:p>
        </w:tc>
        <w:tc>
          <w:tcPr>
            <w:tcW w:w="30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left="220" w:right="113"/>
        <w:jc w:val="left"/>
      </w:pPr>
      <w:r>
        <w:rPr/>
        <w:t>三、</w:t>
      </w:r>
      <w:r>
        <w:rPr>
          <w:spacing w:val="-30"/>
        </w:rPr>
        <w:t> </w:t>
      </w:r>
      <w:r>
        <w:rPr/>
        <w:t>基本情况简介</w:t>
      </w:r>
    </w:p>
    <w:p>
      <w:pPr>
        <w:spacing w:line="240" w:lineRule="auto" w:before="1"/>
        <w:rPr>
          <w:rFonts w:ascii="宋体" w:hAnsi="宋体" w:cs="宋体" w:eastAsia="宋体" w:hint="default"/>
          <w:sz w:val="7"/>
          <w:szCs w:val="7"/>
        </w:rPr>
      </w:pPr>
    </w:p>
    <w:tbl>
      <w:tblPr>
        <w:tblW w:w="0" w:type="auto"/>
        <w:jc w:val="left"/>
        <w:tblInd w:w="185" w:type="dxa"/>
        <w:tblLayout w:type="fixed"/>
        <w:tblCellMar>
          <w:top w:w="0" w:type="dxa"/>
          <w:left w:w="0" w:type="dxa"/>
          <w:bottom w:w="0" w:type="dxa"/>
          <w:right w:w="0" w:type="dxa"/>
        </w:tblCellMar>
        <w:tblLook w:val="01E0"/>
      </w:tblPr>
      <w:tblGrid>
        <w:gridCol w:w="3905"/>
        <w:gridCol w:w="5096"/>
      </w:tblGrid>
      <w:tr>
        <w:trPr>
          <w:trHeight w:val="554" w:hRule="exact"/>
        </w:trPr>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深圳市南山区科技园高新区南区高新南五道金证科技</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大楼8-9层</w:t>
            </w:r>
          </w:p>
        </w:tc>
      </w:tr>
      <w:tr>
        <w:trPr>
          <w:trHeight w:val="304" w:hRule="exact"/>
        </w:trPr>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518057</w:t>
            </w:r>
          </w:p>
        </w:tc>
      </w:tr>
      <w:tr>
        <w:trPr>
          <w:trHeight w:val="554" w:hRule="exact"/>
        </w:trPr>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深圳市南山区科技园高新区南区高新南五道金证科技</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大楼8-9层</w:t>
            </w:r>
          </w:p>
        </w:tc>
      </w:tr>
      <w:tr>
        <w:trPr>
          <w:trHeight w:val="302" w:hRule="exact"/>
        </w:trPr>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518057</w:t>
            </w:r>
          </w:p>
        </w:tc>
      </w:tr>
      <w:tr>
        <w:trPr>
          <w:trHeight w:val="304" w:hRule="exact"/>
        </w:trPr>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8">
              <w:r>
                <w:rPr>
                  <w:rFonts w:ascii="宋体"/>
                  <w:sz w:val="21"/>
                </w:rPr>
                <w:t>http://www.szkingdom.com</w:t>
              </w:r>
            </w:hyperlink>
          </w:p>
        </w:tc>
      </w:tr>
      <w:tr>
        <w:trPr>
          <w:trHeight w:val="304" w:hRule="exact"/>
        </w:trPr>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hyperlink r:id="rId9">
              <w:r>
                <w:rPr>
                  <w:rFonts w:ascii="宋体"/>
                  <w:sz w:val="21"/>
                </w:rPr>
                <w:t>jzkj@mail.szkingdom.com</w:t>
              </w:r>
            </w:hyperlink>
          </w:p>
        </w:tc>
      </w:tr>
    </w:tbl>
    <w:p>
      <w:pPr>
        <w:spacing w:line="240" w:lineRule="auto" w:before="0"/>
        <w:rPr>
          <w:rFonts w:ascii="宋体" w:hAnsi="宋体" w:cs="宋体" w:eastAsia="宋体" w:hint="default"/>
          <w:sz w:val="20"/>
          <w:szCs w:val="20"/>
        </w:rPr>
      </w:pPr>
    </w:p>
    <w:p>
      <w:pPr>
        <w:pStyle w:val="BodyText"/>
        <w:spacing w:line="240" w:lineRule="auto" w:before="35"/>
        <w:ind w:left="220" w:right="113"/>
        <w:jc w:val="left"/>
      </w:pPr>
      <w:r>
        <w:rPr/>
        <w:t>四、</w:t>
      </w:r>
      <w:r>
        <w:rPr>
          <w:spacing w:val="-30"/>
        </w:rPr>
        <w:t> </w:t>
      </w:r>
      <w:r>
        <w:rPr/>
        <w:t>信息披露及备置地点</w:t>
      </w:r>
    </w:p>
    <w:p>
      <w:pPr>
        <w:spacing w:line="240" w:lineRule="auto" w:before="1"/>
        <w:rPr>
          <w:rFonts w:ascii="宋体" w:hAnsi="宋体" w:cs="宋体" w:eastAsia="宋体" w:hint="default"/>
          <w:sz w:val="7"/>
          <w:szCs w:val="7"/>
        </w:rPr>
      </w:pPr>
    </w:p>
    <w:tbl>
      <w:tblPr>
        <w:tblW w:w="0" w:type="auto"/>
        <w:jc w:val="left"/>
        <w:tblInd w:w="185" w:type="dxa"/>
        <w:tblLayout w:type="fixed"/>
        <w:tblCellMar>
          <w:top w:w="0" w:type="dxa"/>
          <w:left w:w="0" w:type="dxa"/>
          <w:bottom w:w="0" w:type="dxa"/>
          <w:right w:w="0" w:type="dxa"/>
        </w:tblCellMar>
        <w:tblLook w:val="01E0"/>
      </w:tblPr>
      <w:tblGrid>
        <w:gridCol w:w="3905"/>
        <w:gridCol w:w="5096"/>
      </w:tblGrid>
      <w:tr>
        <w:trPr>
          <w:trHeight w:val="302" w:hRule="exact"/>
        </w:trPr>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5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证券时报、中国证券报</w:t>
            </w:r>
          </w:p>
        </w:tc>
      </w:tr>
      <w:tr>
        <w:trPr>
          <w:trHeight w:val="554" w:hRule="exact"/>
        </w:trPr>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址</w:t>
            </w:r>
          </w:p>
        </w:tc>
        <w:tc>
          <w:tcPr>
            <w:tcW w:w="5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10">
              <w:r>
                <w:rPr>
                  <w:rFonts w:ascii="宋体"/>
                  <w:sz w:val="21"/>
                </w:rPr>
                <w:t>http://www.sse.com.cn</w:t>
              </w:r>
            </w:hyperlink>
          </w:p>
        </w:tc>
      </w:tr>
      <w:tr>
        <w:trPr>
          <w:trHeight w:val="304" w:hRule="exact"/>
        </w:trPr>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上海证券交易所与公司董事会办公室</w:t>
            </w:r>
          </w:p>
        </w:tc>
      </w:tr>
    </w:tbl>
    <w:p>
      <w:pPr>
        <w:spacing w:after="0" w:line="241" w:lineRule="exact"/>
        <w:jc w:val="left"/>
        <w:rPr>
          <w:rFonts w:ascii="宋体" w:hAnsi="宋体" w:cs="宋体" w:eastAsia="宋体" w:hint="default"/>
          <w:sz w:val="21"/>
          <w:szCs w:val="21"/>
        </w:rPr>
        <w:sectPr>
          <w:pgSz w:w="11910" w:h="16840"/>
          <w:pgMar w:header="882" w:footer="1197" w:top="1120" w:bottom="1380" w:left="1220" w:right="13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before="35"/>
        <w:ind w:left="220" w:right="3956"/>
        <w:jc w:val="left"/>
      </w:pPr>
      <w:r>
        <w:rPr/>
        <w:t>五、</w:t>
      </w:r>
      <w:r>
        <w:rPr>
          <w:spacing w:val="-30"/>
        </w:rPr>
        <w:t> </w:t>
      </w:r>
      <w:r>
        <w:rPr/>
        <w:t>公司股票简况</w:t>
      </w:r>
    </w:p>
    <w:p>
      <w:pPr>
        <w:spacing w:line="240" w:lineRule="auto" w:before="0"/>
        <w:rPr>
          <w:rFonts w:ascii="宋体" w:hAnsi="宋体" w:cs="宋体" w:eastAsia="宋体" w:hint="default"/>
          <w:sz w:val="7"/>
          <w:szCs w:val="7"/>
        </w:rPr>
      </w:pPr>
    </w:p>
    <w:tbl>
      <w:tblPr>
        <w:tblW w:w="0" w:type="auto"/>
        <w:jc w:val="left"/>
        <w:tblInd w:w="185" w:type="dxa"/>
        <w:tblLayout w:type="fixed"/>
        <w:tblCellMar>
          <w:top w:w="0" w:type="dxa"/>
          <w:left w:w="0" w:type="dxa"/>
          <w:bottom w:w="0" w:type="dxa"/>
          <w:right w:w="0" w:type="dxa"/>
        </w:tblCellMar>
        <w:tblLook w:val="01E0"/>
      </w:tblPr>
      <w:tblGrid>
        <w:gridCol w:w="1801"/>
        <w:gridCol w:w="1800"/>
        <w:gridCol w:w="1800"/>
        <w:gridCol w:w="1800"/>
        <w:gridCol w:w="1800"/>
      </w:tblGrid>
      <w:tr>
        <w:trPr>
          <w:trHeight w:val="304" w:hRule="exact"/>
        </w:trPr>
        <w:tc>
          <w:tcPr>
            <w:tcW w:w="900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5"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9"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5"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5"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9"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4" w:hRule="exact"/>
        </w:trPr>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A股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金证股份</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600446</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04" w:hRule="exact"/>
        </w:trPr>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left="220" w:right="3956"/>
        <w:jc w:val="left"/>
      </w:pPr>
      <w:r>
        <w:rPr/>
        <w:t>六、</w:t>
      </w:r>
      <w:r>
        <w:rPr>
          <w:spacing w:val="-30"/>
        </w:rPr>
        <w:t> </w:t>
      </w:r>
      <w:r>
        <w:rPr/>
        <w:t>公司报告期内注册变更情况</w:t>
      </w:r>
    </w:p>
    <w:p>
      <w:pPr>
        <w:pStyle w:val="BodyText"/>
        <w:spacing w:line="240" w:lineRule="auto" w:before="57"/>
        <w:ind w:left="220" w:right="3956"/>
        <w:jc w:val="left"/>
      </w:pPr>
      <w:r>
        <w:rPr/>
        <w:t>（一）基本情况</w:t>
      </w:r>
    </w:p>
    <w:p>
      <w:pPr>
        <w:spacing w:line="240" w:lineRule="auto" w:before="1"/>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3974"/>
        <w:gridCol w:w="5183"/>
      </w:tblGrid>
      <w:tr>
        <w:trPr>
          <w:trHeight w:val="282" w:hRule="exact"/>
        </w:trPr>
        <w:tc>
          <w:tcPr>
            <w:tcW w:w="3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3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p>
        </w:tc>
      </w:tr>
      <w:tr>
        <w:trPr>
          <w:trHeight w:val="283" w:hRule="exact"/>
        </w:trPr>
        <w:tc>
          <w:tcPr>
            <w:tcW w:w="3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4403012005330</w:t>
            </w:r>
          </w:p>
        </w:tc>
      </w:tr>
      <w:tr>
        <w:trPr>
          <w:trHeight w:val="282" w:hRule="exact"/>
        </w:trPr>
        <w:tc>
          <w:tcPr>
            <w:tcW w:w="3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440301708447860</w:t>
            </w:r>
          </w:p>
        </w:tc>
      </w:tr>
      <w:tr>
        <w:trPr>
          <w:trHeight w:val="282" w:hRule="exact"/>
        </w:trPr>
        <w:tc>
          <w:tcPr>
            <w:tcW w:w="3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70844786-0</w:t>
            </w:r>
          </w:p>
        </w:tc>
      </w:tr>
    </w:tbl>
    <w:p>
      <w:pPr>
        <w:spacing w:line="240" w:lineRule="auto" w:before="0"/>
        <w:rPr>
          <w:rFonts w:ascii="宋体" w:hAnsi="宋体" w:cs="宋体" w:eastAsia="宋体" w:hint="default"/>
          <w:sz w:val="20"/>
          <w:szCs w:val="20"/>
        </w:rPr>
      </w:pPr>
    </w:p>
    <w:p>
      <w:pPr>
        <w:pStyle w:val="BodyText"/>
        <w:spacing w:line="290" w:lineRule="auto" w:before="35"/>
        <w:ind w:left="220" w:right="3956"/>
        <w:jc w:val="left"/>
      </w:pPr>
      <w:r>
        <w:rPr/>
        <w:t>（二）公司首次注册情况的相关查询索引</w:t>
      </w:r>
      <w:r>
        <w:rPr>
          <w:spacing w:val="-91"/>
        </w:rPr>
        <w:t> </w:t>
      </w:r>
      <w:r>
        <w:rPr>
          <w:spacing w:val="-91"/>
        </w:rPr>
      </w:r>
      <w:r>
        <w:rPr/>
        <w:t>公司首次注册情况详见</w:t>
      </w:r>
      <w:r>
        <w:rPr>
          <w:spacing w:val="-55"/>
        </w:rPr>
        <w:t> </w:t>
      </w:r>
      <w:r>
        <w:rPr>
          <w:rFonts w:ascii="Arial" w:hAnsi="Arial" w:cs="Arial" w:eastAsia="Arial" w:hint="default"/>
        </w:rPr>
        <w:t>2003</w:t>
      </w:r>
      <w:r>
        <w:rPr>
          <w:rFonts w:ascii="Arial" w:hAnsi="Arial" w:cs="Arial" w:eastAsia="Arial" w:hint="default"/>
          <w:spacing w:val="-8"/>
        </w:rPr>
        <w:t> </w:t>
      </w:r>
      <w:r>
        <w:rPr/>
        <w:t>年年度报告公司基本情况。</w:t>
      </w:r>
    </w:p>
    <w:p>
      <w:pPr>
        <w:spacing w:line="240" w:lineRule="auto" w:before="4"/>
        <w:rPr>
          <w:rFonts w:ascii="宋体" w:hAnsi="宋体" w:cs="宋体" w:eastAsia="宋体" w:hint="default"/>
          <w:sz w:val="20"/>
          <w:szCs w:val="20"/>
        </w:rPr>
      </w:pPr>
    </w:p>
    <w:p>
      <w:pPr>
        <w:pStyle w:val="BodyText"/>
        <w:spacing w:line="290" w:lineRule="auto"/>
        <w:ind w:left="220" w:right="3684"/>
        <w:jc w:val="left"/>
      </w:pPr>
      <w:r>
        <w:rPr/>
        <w:t>（三）公司上市以来，主营业务的变化情况</w:t>
      </w:r>
      <w:r>
        <w:rPr>
          <w:spacing w:val="-91"/>
        </w:rPr>
        <w:t> </w:t>
      </w:r>
      <w:r>
        <w:rPr>
          <w:spacing w:val="-91"/>
        </w:rPr>
      </w:r>
      <w:r>
        <w:rPr/>
        <w:t>公司上市以来主营业务一直为金融</w:t>
      </w:r>
      <w:r>
        <w:rPr>
          <w:spacing w:val="-66"/>
        </w:rPr>
        <w:t> </w:t>
      </w:r>
      <w:r>
        <w:rPr/>
        <w:t>IT</w:t>
      </w:r>
      <w:r>
        <w:rPr>
          <w:spacing w:val="-65"/>
        </w:rPr>
        <w:t> </w:t>
      </w:r>
      <w:r>
        <w:rPr/>
        <w:t>领域，未发生变化。</w:t>
      </w:r>
    </w:p>
    <w:p>
      <w:pPr>
        <w:spacing w:line="240" w:lineRule="auto" w:before="11"/>
        <w:rPr>
          <w:rFonts w:ascii="宋体" w:hAnsi="宋体" w:cs="宋体" w:eastAsia="宋体" w:hint="default"/>
          <w:sz w:val="21"/>
          <w:szCs w:val="21"/>
        </w:rPr>
      </w:pPr>
    </w:p>
    <w:p>
      <w:pPr>
        <w:spacing w:line="264" w:lineRule="auto" w:before="0"/>
        <w:ind w:left="220" w:right="3684" w:firstLine="0"/>
        <w:jc w:val="left"/>
        <w:rPr>
          <w:rFonts w:ascii="宋体" w:hAnsi="宋体" w:cs="宋体" w:eastAsia="宋体" w:hint="default"/>
          <w:sz w:val="21"/>
          <w:szCs w:val="21"/>
        </w:rPr>
      </w:pPr>
      <w:r>
        <w:rPr>
          <w:rFonts w:ascii="宋体" w:hAnsi="宋体" w:cs="宋体" w:eastAsia="宋体" w:hint="default"/>
          <w:b/>
          <w:bCs/>
          <w:sz w:val="21"/>
          <w:szCs w:val="21"/>
        </w:rPr>
        <w:t>（四）公司上市以来</w:t>
      </w:r>
      <w:r>
        <w:rPr>
          <w:rFonts w:ascii="Calibri" w:hAnsi="Calibri" w:cs="Calibri" w:eastAsia="Calibri" w:hint="default"/>
          <w:b/>
          <w:bCs/>
          <w:sz w:val="21"/>
          <w:szCs w:val="21"/>
        </w:rPr>
        <w:t>,</w:t>
      </w:r>
      <w:r>
        <w:rPr>
          <w:rFonts w:ascii="宋体" w:hAnsi="宋体" w:cs="宋体" w:eastAsia="宋体" w:hint="default"/>
          <w:b/>
          <w:bCs/>
          <w:sz w:val="21"/>
          <w:szCs w:val="21"/>
        </w:rPr>
        <w:t>历次控股股东的变更情况</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z w:val="21"/>
          <w:szCs w:val="21"/>
        </w:rPr>
        <w:t>公司上市以来，没有控股股东，也没有控股股东变更的情况</w:t>
      </w:r>
    </w:p>
    <w:p>
      <w:pPr>
        <w:spacing w:line="240" w:lineRule="auto" w:before="8"/>
        <w:rPr>
          <w:rFonts w:ascii="宋体" w:hAnsi="宋体" w:cs="宋体" w:eastAsia="宋体" w:hint="default"/>
          <w:sz w:val="23"/>
          <w:szCs w:val="23"/>
        </w:rPr>
      </w:pPr>
    </w:p>
    <w:p>
      <w:pPr>
        <w:pStyle w:val="Heading3"/>
        <w:spacing w:line="240" w:lineRule="auto" w:before="0"/>
        <w:ind w:left="220" w:right="3956"/>
        <w:jc w:val="left"/>
        <w:rPr>
          <w:b w:val="0"/>
          <w:bCs w:val="0"/>
        </w:rPr>
      </w:pPr>
      <w:r>
        <w:rPr/>
        <w:t>七、</w:t>
      </w:r>
      <w:r>
        <w:rPr>
          <w:spacing w:val="-33"/>
        </w:rPr>
        <w:t> </w:t>
      </w:r>
      <w:r>
        <w:rPr/>
        <w:t>其他有关资料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3028"/>
        <w:gridCol w:w="1817"/>
        <w:gridCol w:w="4313"/>
      </w:tblGrid>
      <w:tr>
        <w:trPr>
          <w:trHeight w:val="282" w:hRule="exact"/>
        </w:trPr>
        <w:tc>
          <w:tcPr>
            <w:tcW w:w="302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72" w:lineRule="exact"/>
              <w:ind w:left="103" w:right="93"/>
              <w:jc w:val="left"/>
              <w:rPr>
                <w:rFonts w:ascii="宋体" w:hAnsi="宋体" w:cs="宋体" w:eastAsia="宋体" w:hint="default"/>
                <w:sz w:val="21"/>
                <w:szCs w:val="21"/>
              </w:rPr>
            </w:pPr>
            <w:r>
              <w:rPr>
                <w:rFonts w:ascii="宋体" w:hAnsi="宋体" w:cs="宋体" w:eastAsia="宋体" w:hint="default"/>
                <w:spacing w:val="6"/>
                <w:sz w:val="21"/>
                <w:szCs w:val="21"/>
              </w:rPr>
              <w:t>公司聘请的会计师事务所（境</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内）</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3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282" w:hRule="exact"/>
        </w:trPr>
        <w:tc>
          <w:tcPr>
            <w:tcW w:w="3028" w:type="dxa"/>
            <w:vMerge/>
            <w:tcBorders>
              <w:left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中国北京</w:t>
            </w:r>
          </w:p>
        </w:tc>
      </w:tr>
      <w:tr>
        <w:trPr>
          <w:trHeight w:val="283" w:hRule="exact"/>
        </w:trPr>
        <w:tc>
          <w:tcPr>
            <w:tcW w:w="3028" w:type="dxa"/>
            <w:vMerge/>
            <w:tcBorders>
              <w:left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周珊珊、程纯</w:t>
            </w:r>
          </w:p>
        </w:tc>
      </w:tr>
      <w:tr>
        <w:trPr>
          <w:trHeight w:val="282" w:hRule="exact"/>
        </w:trPr>
        <w:tc>
          <w:tcPr>
            <w:tcW w:w="3028" w:type="dxa"/>
            <w:vMerge/>
            <w:tcBorders>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3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10 年</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3"/>
          <w:szCs w:val="23"/>
        </w:rPr>
      </w:pPr>
    </w:p>
    <w:p>
      <w:pPr>
        <w:pStyle w:val="Heading1"/>
        <w:tabs>
          <w:tab w:pos="3774" w:val="left" w:leader="none"/>
        </w:tabs>
        <w:spacing w:line="240" w:lineRule="auto"/>
        <w:ind w:left="2514" w:right="115"/>
        <w:jc w:val="left"/>
        <w:rPr>
          <w:b w:val="0"/>
          <w:bCs w:val="0"/>
        </w:rPr>
      </w:pPr>
      <w:bookmarkStart w:name="_TOC_250008" w:id="1"/>
      <w:r>
        <w:rPr>
          <w:w w:val="95"/>
        </w:rPr>
        <w:t>第三节</w:t>
        <w:tab/>
      </w:r>
      <w:r>
        <w:rPr/>
        <w:t>会计数据和财务指标摘要</w:t>
      </w:r>
      <w:bookmarkEnd w:id="1"/>
      <w:r>
        <w:rPr>
          <w:b w:val="0"/>
          <w:bCs w:val="0"/>
        </w:rPr>
      </w:r>
    </w:p>
    <w:p>
      <w:pPr>
        <w:spacing w:line="240" w:lineRule="auto" w:before="5"/>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2" w:footer="1197" w:top="1120" w:bottom="1380" w:left="1220" w:right="1300"/>
        </w:sectPr>
      </w:pPr>
    </w:p>
    <w:p>
      <w:pPr>
        <w:pStyle w:val="Heading3"/>
        <w:spacing w:line="240" w:lineRule="auto"/>
        <w:ind w:left="220" w:right="-16"/>
        <w:jc w:val="left"/>
        <w:rPr>
          <w:b w:val="0"/>
          <w:bCs w:val="0"/>
        </w:rPr>
      </w:pPr>
      <w:r>
        <w:rPr/>
        <w:t>一、</w:t>
      </w:r>
      <w:r>
        <w:rPr>
          <w:spacing w:val="-36"/>
        </w:rPr>
        <w:t> </w:t>
      </w:r>
      <w:r>
        <w:rPr/>
        <w:t>报告期末公司近三年主要会计数据和财务指标</w:t>
      </w:r>
      <w:r>
        <w:rPr>
          <w:b w:val="0"/>
          <w:bCs w:val="0"/>
        </w:rPr>
      </w:r>
    </w:p>
    <w:p>
      <w:pPr>
        <w:pStyle w:val="Heading3"/>
        <w:spacing w:line="240" w:lineRule="auto" w:before="57"/>
        <w:ind w:left="220" w:right="-1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6"/>
        <w:ind w:left="220" w:right="0"/>
        <w:jc w:val="left"/>
      </w:pPr>
      <w:r>
        <w:rPr/>
        <w:t>单位：元</w:t>
        <w:tab/>
        <w:t>币种：人民币</w:t>
      </w:r>
    </w:p>
    <w:p>
      <w:pPr>
        <w:spacing w:after="0" w:line="240" w:lineRule="auto"/>
        <w:jc w:val="left"/>
        <w:sectPr>
          <w:type w:val="continuous"/>
          <w:pgSz w:w="11910" w:h="16840"/>
          <w:pgMar w:top="1080" w:bottom="1380" w:left="1220" w:right="1300"/>
          <w:cols w:num="2" w:equalWidth="0">
            <w:col w:w="4933" w:space="1698"/>
            <w:col w:w="2759"/>
          </w:cols>
        </w:sectPr>
      </w:pPr>
    </w:p>
    <w:p>
      <w:pPr>
        <w:spacing w:before="22"/>
        <w:ind w:left="6413" w:right="6339"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78" w:right="0" w:firstLine="0"/>
        <w:rPr>
          <w:rFonts w:ascii="宋体" w:hAnsi="宋体" w:cs="宋体" w:eastAsia="宋体" w:hint="default"/>
          <w:sz w:val="2"/>
          <w:szCs w:val="2"/>
        </w:rPr>
      </w:pPr>
      <w:r>
        <w:rPr>
          <w:rFonts w:ascii="宋体" w:hAnsi="宋体" w:cs="宋体" w:eastAsia="宋体" w:hint="default"/>
          <w:sz w:val="2"/>
          <w:szCs w:val="2"/>
        </w:rPr>
        <w:pict>
          <v:group style="width:690.9pt;height:.75pt;mso-position-horizontal-relative:char;mso-position-vertical-relative:line" coordorigin="0,0" coordsize="13818,15">
            <v:group style="position:absolute;left:7;top:7;width:13804;height:2" coordorigin="7,7" coordsize="13804,2">
              <v:shape style="position:absolute;left:7;top:7;width:13804;height:2" coordorigin="7,7" coordsize="13804,0" path="m7,7l13811,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3"/>
          <w:szCs w:val="23"/>
        </w:rPr>
      </w:pPr>
    </w:p>
    <w:tbl>
      <w:tblPr>
        <w:tblW w:w="0" w:type="auto"/>
        <w:jc w:val="left"/>
        <w:tblInd w:w="102" w:type="dxa"/>
        <w:tblLayout w:type="fixed"/>
        <w:tblCellMar>
          <w:top w:w="0" w:type="dxa"/>
          <w:left w:w="0" w:type="dxa"/>
          <w:bottom w:w="0" w:type="dxa"/>
          <w:right w:w="0" w:type="dxa"/>
        </w:tblCellMar>
        <w:tblLook w:val="01E0"/>
      </w:tblPr>
      <w:tblGrid>
        <w:gridCol w:w="3510"/>
        <w:gridCol w:w="1985"/>
        <w:gridCol w:w="2411"/>
        <w:gridCol w:w="2125"/>
        <w:gridCol w:w="1811"/>
        <w:gridCol w:w="1896"/>
      </w:tblGrid>
      <w:tr>
        <w:trPr>
          <w:trHeight w:val="458" w:hRule="exact"/>
        </w:trPr>
        <w:tc>
          <w:tcPr>
            <w:tcW w:w="35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19"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2014年</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宋体" w:hAnsi="宋体" w:cs="宋体" w:eastAsia="宋体" w:hint="default"/>
                <w:sz w:val="21"/>
                <w:szCs w:val="21"/>
              </w:rPr>
            </w:pPr>
            <w:r>
              <w:rPr>
                <w:rFonts w:ascii="宋体" w:hAnsi="宋体" w:cs="宋体" w:eastAsia="宋体" w:hint="default"/>
                <w:sz w:val="21"/>
                <w:szCs w:val="21"/>
              </w:rPr>
              <w:t>2013年</w:t>
            </w:r>
          </w:p>
        </w:tc>
        <w:tc>
          <w:tcPr>
            <w:tcW w:w="1811" w:type="dxa"/>
            <w:vMerge w:val="restart"/>
            <w:tcBorders>
              <w:top w:val="single" w:sz="4" w:space="0" w:color="000000"/>
              <w:left w:val="single" w:sz="4" w:space="0" w:color="000000"/>
              <w:right w:val="single" w:sz="4" w:space="0" w:color="000000"/>
            </w:tcBorders>
          </w:tcPr>
          <w:p>
            <w:pPr>
              <w:pStyle w:val="TableParagraph"/>
              <w:spacing w:line="272" w:lineRule="exact" w:before="86"/>
              <w:ind w:left="532" w:right="163" w:hanging="368"/>
              <w:jc w:val="left"/>
              <w:rPr>
                <w:rFonts w:ascii="宋体" w:hAnsi="宋体" w:cs="宋体" w:eastAsia="宋体" w:hint="default"/>
                <w:sz w:val="21"/>
                <w:szCs w:val="21"/>
              </w:rPr>
            </w:pPr>
            <w:r>
              <w:rPr>
                <w:rFonts w:ascii="宋体" w:hAnsi="宋体" w:cs="宋体" w:eastAsia="宋体" w:hint="default"/>
                <w:sz w:val="21"/>
                <w:szCs w:val="21"/>
              </w:rPr>
              <w:t>本期比上年同期 增减(%)</w:t>
            </w:r>
          </w:p>
        </w:tc>
        <w:tc>
          <w:tcPr>
            <w:tcW w:w="18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28" w:right="0"/>
              <w:jc w:val="left"/>
              <w:rPr>
                <w:rFonts w:ascii="宋体" w:hAnsi="宋体" w:cs="宋体" w:eastAsia="宋体" w:hint="default"/>
                <w:sz w:val="21"/>
                <w:szCs w:val="21"/>
              </w:rPr>
            </w:pPr>
            <w:r>
              <w:rPr>
                <w:rFonts w:ascii="宋体" w:hAnsi="宋体" w:cs="宋体" w:eastAsia="宋体" w:hint="default"/>
                <w:sz w:val="21"/>
                <w:szCs w:val="21"/>
              </w:rPr>
              <w:t>2012年</w:t>
            </w:r>
          </w:p>
        </w:tc>
      </w:tr>
      <w:tr>
        <w:trPr>
          <w:trHeight w:val="283" w:hRule="exact"/>
        </w:trPr>
        <w:tc>
          <w:tcPr>
            <w:tcW w:w="3510"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调整后</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调整前</w:t>
            </w:r>
          </w:p>
        </w:tc>
        <w:tc>
          <w:tcPr>
            <w:tcW w:w="1811" w:type="dxa"/>
            <w:vMerge/>
            <w:tcBorders>
              <w:left w:val="single" w:sz="4" w:space="0" w:color="000000"/>
              <w:bottom w:val="single" w:sz="4" w:space="0" w:color="000000"/>
              <w:right w:val="single" w:sz="4" w:space="0" w:color="000000"/>
            </w:tcBorders>
          </w:tcPr>
          <w:p>
            <w:pPr/>
          </w:p>
        </w:tc>
        <w:tc>
          <w:tcPr>
            <w:tcW w:w="1896" w:type="dxa"/>
            <w:vMerge/>
            <w:tcBorders>
              <w:left w:val="single" w:sz="4" w:space="0" w:color="000000"/>
              <w:bottom w:val="single" w:sz="4" w:space="0" w:color="000000"/>
              <w:right w:val="single" w:sz="4" w:space="0" w:color="000000"/>
            </w:tcBorders>
          </w:tcPr>
          <w:p>
            <w:pP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2,368,042,840.46</w:t>
            </w:r>
            <w:r>
              <w:rPr>
                <w:rFonts w:ascii="宋体"/>
                <w:sz w:val="21"/>
              </w:rPr>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2,031,613,437.82</w:t>
            </w:r>
            <w:r>
              <w:rPr>
                <w:rFonts w:ascii="宋体"/>
                <w:sz w:val="21"/>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2,031,613,437.82</w:t>
            </w:r>
            <w:r>
              <w:rPr>
                <w:rFonts w:ascii="宋体"/>
                <w:sz w:val="21"/>
              </w:rPr>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w w:val="95"/>
                <w:sz w:val="21"/>
              </w:rPr>
              <w:t>16.56</w:t>
            </w:r>
            <w:r>
              <w:rPr>
                <w:rFonts w:ascii="宋体"/>
                <w:w w:val="95"/>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1,883,013,101.69</w:t>
            </w:r>
            <w:r>
              <w:rPr>
                <w:rFonts w:ascii="宋体"/>
                <w:sz w:val="21"/>
              </w:rPr>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153,352,976.42</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109,207,964.59</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109,207,964.59</w:t>
            </w:r>
            <w:r>
              <w:rPr>
                <w:rFonts w:ascii="宋体"/>
                <w:sz w:val="21"/>
              </w:rPr>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w w:val="95"/>
                <w:sz w:val="21"/>
              </w:rPr>
              <w:t>40.42</w:t>
            </w:r>
            <w:r>
              <w:rPr>
                <w:rFonts w:ascii="宋体"/>
                <w:w w:val="95"/>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71,104,007.53</w:t>
            </w:r>
          </w:p>
        </w:tc>
      </w:tr>
      <w:tr>
        <w:trPr>
          <w:trHeight w:val="556"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性损益的净利润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150,140,586.04</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102,417,845.91</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102,417,845.91</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46.60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56,899,695.57</w:t>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100,925,575.61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88,758,297.48</w:t>
            </w:r>
            <w:r>
              <w:rPr>
                <w:rFonts w:ascii="宋体"/>
                <w:sz w:val="21"/>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88,758,297.48</w:t>
            </w:r>
            <w:r>
              <w:rPr>
                <w:rFonts w:ascii="宋体"/>
                <w:sz w:val="21"/>
              </w:rPr>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13.71</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41,052,596.83</w:t>
            </w:r>
          </w:p>
        </w:tc>
      </w:tr>
      <w:tr>
        <w:trPr>
          <w:trHeight w:val="554" w:hRule="exact"/>
        </w:trPr>
        <w:tc>
          <w:tcPr>
            <w:tcW w:w="3510" w:type="dxa"/>
            <w:vMerge w:val="restart"/>
            <w:tcBorders>
              <w:top w:val="single" w:sz="4" w:space="0" w:color="000000"/>
              <w:left w:val="single" w:sz="4" w:space="0" w:color="000000"/>
              <w:right w:val="single" w:sz="4" w:space="0" w:color="000000"/>
            </w:tcBorders>
          </w:tcPr>
          <w:p>
            <w:pP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67" w:right="0"/>
              <w:jc w:val="left"/>
              <w:rPr>
                <w:rFonts w:ascii="宋体" w:hAnsi="宋体" w:cs="宋体" w:eastAsia="宋体" w:hint="default"/>
                <w:sz w:val="21"/>
                <w:szCs w:val="21"/>
              </w:rPr>
            </w:pPr>
            <w:r>
              <w:rPr>
                <w:rFonts w:ascii="宋体" w:hAnsi="宋体" w:cs="宋体" w:eastAsia="宋体" w:hint="default"/>
                <w:sz w:val="21"/>
                <w:szCs w:val="21"/>
              </w:rPr>
              <w:t>2014年末</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21"/>
                <w:szCs w:val="21"/>
              </w:rPr>
            </w:pPr>
            <w:r>
              <w:rPr>
                <w:rFonts w:ascii="宋体" w:hAnsi="宋体" w:cs="宋体" w:eastAsia="宋体" w:hint="default"/>
                <w:sz w:val="21"/>
                <w:szCs w:val="21"/>
              </w:rPr>
              <w:t>2013年末</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8" w:right="0" w:hanging="53"/>
              <w:jc w:val="left"/>
              <w:rPr>
                <w:rFonts w:ascii="宋体" w:hAnsi="宋体" w:cs="宋体" w:eastAsia="宋体" w:hint="default"/>
                <w:sz w:val="21"/>
                <w:szCs w:val="21"/>
              </w:rPr>
            </w:pPr>
            <w:r>
              <w:rPr>
                <w:rFonts w:ascii="宋体" w:hAnsi="宋体" w:cs="宋体" w:eastAsia="宋体" w:hint="default"/>
                <w:sz w:val="21"/>
                <w:szCs w:val="21"/>
              </w:rPr>
              <w:t>本期末比上年同</w:t>
            </w:r>
          </w:p>
          <w:p>
            <w:pPr>
              <w:pStyle w:val="TableParagraph"/>
              <w:spacing w:line="274" w:lineRule="exact"/>
              <w:ind w:left="218" w:right="0"/>
              <w:jc w:val="left"/>
              <w:rPr>
                <w:rFonts w:ascii="宋体" w:hAnsi="宋体" w:cs="宋体" w:eastAsia="宋体" w:hint="default"/>
                <w:sz w:val="21"/>
                <w:szCs w:val="21"/>
              </w:rPr>
            </w:pPr>
            <w:r>
              <w:rPr>
                <w:rFonts w:ascii="宋体" w:hAnsi="宋体" w:cs="宋体" w:eastAsia="宋体" w:hint="default"/>
                <w:sz w:val="21"/>
                <w:szCs w:val="21"/>
              </w:rPr>
              <w:t>期末增减（%）</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24" w:right="0"/>
              <w:jc w:val="left"/>
              <w:rPr>
                <w:rFonts w:ascii="宋体" w:hAnsi="宋体" w:cs="宋体" w:eastAsia="宋体" w:hint="default"/>
                <w:sz w:val="21"/>
                <w:szCs w:val="21"/>
              </w:rPr>
            </w:pPr>
            <w:r>
              <w:rPr>
                <w:rFonts w:ascii="宋体" w:hAnsi="宋体" w:cs="宋体" w:eastAsia="宋体" w:hint="default"/>
                <w:sz w:val="21"/>
                <w:szCs w:val="21"/>
              </w:rPr>
              <w:t>2012年末</w:t>
            </w:r>
          </w:p>
        </w:tc>
      </w:tr>
      <w:tr>
        <w:trPr>
          <w:trHeight w:val="282" w:hRule="exact"/>
        </w:trPr>
        <w:tc>
          <w:tcPr>
            <w:tcW w:w="3510"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调整后</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调整前</w:t>
            </w:r>
          </w:p>
        </w:tc>
        <w:tc>
          <w:tcPr>
            <w:tcW w:w="1811"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837,956,999.54</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683,041,197.28</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683,041,197.28</w:t>
            </w:r>
            <w:r>
              <w:rPr>
                <w:rFonts w:ascii="宋体"/>
                <w:sz w:val="21"/>
              </w:rPr>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w w:val="95"/>
                <w:sz w:val="21"/>
              </w:rPr>
              <w:t>22.68</w:t>
            </w:r>
            <w:r>
              <w:rPr>
                <w:rFonts w:ascii="宋体"/>
                <w:w w:val="95"/>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567,079,136.35</w:t>
            </w:r>
          </w:p>
        </w:tc>
      </w:tr>
      <w:tr>
        <w:trPr>
          <w:trHeight w:val="28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1,918,824,981.94</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1,805,283,993.73</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1,805,283,993.73</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6.29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1,202,099,200.22</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63"/>
        <w:ind w:left="6413" w:right="6317" w:firstLine="0"/>
        <w:jc w:val="center"/>
        <w:rPr>
          <w:rFonts w:ascii="Calibri" w:hAnsi="Calibri" w:cs="Calibri" w:eastAsia="Calibri" w:hint="default"/>
          <w:sz w:val="18"/>
          <w:szCs w:val="18"/>
        </w:rPr>
      </w:pPr>
      <w:r>
        <w:rPr>
          <w:rFonts w:ascii="Calibri"/>
          <w:b/>
          <w:sz w:val="18"/>
        </w:rPr>
        <w:t>6 </w:t>
      </w:r>
      <w:r>
        <w:rPr>
          <w:rFonts w:ascii="Calibri"/>
          <w:sz w:val="18"/>
        </w:rPr>
        <w:t>/</w:t>
      </w:r>
      <w:r>
        <w:rPr>
          <w:rFonts w:ascii="Calibri"/>
          <w:spacing w:val="-4"/>
          <w:sz w:val="18"/>
        </w:rPr>
        <w:t> </w:t>
      </w:r>
      <w:r>
        <w:rPr>
          <w:rFonts w:ascii="Calibri"/>
          <w:b/>
          <w:sz w:val="18"/>
        </w:rPr>
        <w:t>197</w:t>
      </w:r>
      <w:r>
        <w:rPr>
          <w:rFonts w:ascii="Calibri"/>
          <w:sz w:val="18"/>
        </w:rPr>
      </w:r>
    </w:p>
    <w:p>
      <w:pPr>
        <w:spacing w:after="0"/>
        <w:jc w:val="center"/>
        <w:rPr>
          <w:rFonts w:ascii="Calibri" w:hAnsi="Calibri" w:cs="Calibri" w:eastAsia="Calibri" w:hint="default"/>
          <w:sz w:val="18"/>
          <w:szCs w:val="18"/>
        </w:rPr>
        <w:sectPr>
          <w:headerReference w:type="default" r:id="rId11"/>
          <w:footerReference w:type="default" r:id="rId12"/>
          <w:pgSz w:w="16840" w:h="11910" w:orient="landscape"/>
          <w:pgMar w:header="0" w:footer="0" w:top="800" w:bottom="280" w:left="1060" w:right="16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7"/>
        <w:rPr>
          <w:rFonts w:ascii="Calibri" w:hAnsi="Calibri" w:cs="Calibri" w:eastAsia="Calibri" w:hint="default"/>
          <w:b/>
          <w:bCs/>
          <w:sz w:val="16"/>
          <w:szCs w:val="16"/>
        </w:rPr>
      </w:pPr>
    </w:p>
    <w:p>
      <w:pPr>
        <w:pStyle w:val="Heading3"/>
        <w:tabs>
          <w:tab w:pos="1059" w:val="left" w:leader="none"/>
        </w:tabs>
        <w:spacing w:line="240" w:lineRule="auto"/>
        <w:ind w:left="220" w:right="3956"/>
        <w:jc w:val="left"/>
        <w:rPr>
          <w:b w:val="0"/>
          <w:bCs w:val="0"/>
        </w:rPr>
      </w:pPr>
      <w:r>
        <w:rPr>
          <w:w w:val="95"/>
        </w:rPr>
        <w:t>(二)</w:t>
        <w:tab/>
      </w:r>
      <w:r>
        <w:rPr/>
        <w:t>主要财务指标</w:t>
      </w:r>
      <w:r>
        <w:rPr>
          <w:b w:val="0"/>
          <w:bCs w:val="0"/>
        </w:rPr>
      </w:r>
    </w:p>
    <w:p>
      <w:pPr>
        <w:spacing w:line="240" w:lineRule="auto" w:before="1"/>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3030"/>
        <w:gridCol w:w="1250"/>
        <w:gridCol w:w="1105"/>
        <w:gridCol w:w="1102"/>
        <w:gridCol w:w="1306"/>
        <w:gridCol w:w="1255"/>
      </w:tblGrid>
      <w:tr>
        <w:trPr>
          <w:trHeight w:val="341" w:hRule="exact"/>
        </w:trPr>
        <w:tc>
          <w:tcPr>
            <w:tcW w:w="303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879"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305" w:right="0"/>
              <w:jc w:val="left"/>
              <w:rPr>
                <w:rFonts w:ascii="宋体" w:hAnsi="宋体" w:cs="宋体" w:eastAsia="宋体" w:hint="default"/>
                <w:sz w:val="21"/>
                <w:szCs w:val="21"/>
              </w:rPr>
            </w:pPr>
            <w:r>
              <w:rPr>
                <w:rFonts w:ascii="宋体" w:hAnsi="宋体" w:cs="宋体" w:eastAsia="宋体" w:hint="default"/>
                <w:sz w:val="21"/>
                <w:szCs w:val="21"/>
              </w:rPr>
              <w:t>2014年</w:t>
            </w:r>
          </w:p>
        </w:tc>
        <w:tc>
          <w:tcPr>
            <w:tcW w:w="22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2013年</w:t>
            </w:r>
          </w:p>
        </w:tc>
        <w:tc>
          <w:tcPr>
            <w:tcW w:w="1306" w:type="dxa"/>
            <w:vMerge w:val="restart"/>
            <w:tcBorders>
              <w:top w:val="single" w:sz="4" w:space="0" w:color="000000"/>
              <w:left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72" w:lineRule="exact" w:before="26"/>
              <w:ind w:left="227" w:right="226"/>
              <w:jc w:val="center"/>
              <w:rPr>
                <w:rFonts w:ascii="宋体" w:hAnsi="宋体" w:cs="宋体" w:eastAsia="宋体" w:hint="default"/>
                <w:sz w:val="21"/>
                <w:szCs w:val="21"/>
              </w:rPr>
            </w:pPr>
            <w:r>
              <w:rPr>
                <w:rFonts w:ascii="宋体" w:hAnsi="宋体" w:cs="宋体" w:eastAsia="宋体" w:hint="default"/>
                <w:sz w:val="21"/>
                <w:szCs w:val="21"/>
              </w:rPr>
              <w:t>同期增减 (%)</w:t>
            </w:r>
          </w:p>
        </w:tc>
        <w:tc>
          <w:tcPr>
            <w:tcW w:w="125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2012年</w:t>
            </w:r>
          </w:p>
        </w:tc>
      </w:tr>
      <w:tr>
        <w:trPr>
          <w:trHeight w:val="487" w:hRule="exact"/>
        </w:trPr>
        <w:tc>
          <w:tcPr>
            <w:tcW w:w="3030"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2"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0"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306" w:type="dxa"/>
            <w:vMerge/>
            <w:tcBorders>
              <w:left w:val="single" w:sz="4" w:space="0" w:color="000000"/>
              <w:bottom w:val="single" w:sz="4" w:space="0" w:color="000000"/>
              <w:right w:val="single" w:sz="4" w:space="0" w:color="000000"/>
            </w:tcBorders>
          </w:tcPr>
          <w:p>
            <w:pPr/>
          </w:p>
        </w:tc>
        <w:tc>
          <w:tcPr>
            <w:tcW w:w="1255" w:type="dxa"/>
            <w:vMerge/>
            <w:tcBorders>
              <w:left w:val="single" w:sz="4" w:space="0" w:color="000000"/>
              <w:bottom w:val="single" w:sz="4" w:space="0" w:color="000000"/>
              <w:right w:val="single" w:sz="4" w:space="0" w:color="000000"/>
            </w:tcBorders>
          </w:tcPr>
          <w:p>
            <w:pPr/>
          </w:p>
        </w:tc>
      </w:tr>
      <w:tr>
        <w:trPr>
          <w:trHeight w:val="282"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0.58</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0.42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0.42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38.10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0.27</w:t>
            </w:r>
          </w:p>
        </w:tc>
      </w:tr>
      <w:tr>
        <w:trPr>
          <w:trHeight w:val="282"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0.58</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0.41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0.41</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41.46</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0.27</w:t>
            </w:r>
          </w:p>
        </w:tc>
      </w:tr>
      <w:tr>
        <w:trPr>
          <w:trHeight w:val="554"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扣除非经常性损益后的基本每</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0.57</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0.39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0.39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46.15</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0.22</w:t>
            </w:r>
          </w:p>
        </w:tc>
      </w:tr>
      <w:tr>
        <w:trPr>
          <w:trHeight w:val="556"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20.34</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hAnsi="宋体" w:cs="宋体" w:eastAsia="宋体" w:hint="default"/>
                <w:sz w:val="21"/>
                <w:szCs w:val="21"/>
              </w:rPr>
              <w:t>增加2.84个</w:t>
            </w:r>
          </w:p>
          <w:p>
            <w:pPr>
              <w:pStyle w:val="TableParagraph"/>
              <w:spacing w:line="274" w:lineRule="exact"/>
              <w:ind w:left="562"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13.02</w:t>
            </w:r>
          </w:p>
        </w:tc>
      </w:tr>
      <w:tr>
        <w:trPr>
          <w:trHeight w:val="554"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扣除非经常性损益后的加权平</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19.95</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16.5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16.5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2" w:right="0"/>
              <w:jc w:val="left"/>
              <w:rPr>
                <w:rFonts w:ascii="宋体" w:hAnsi="宋体" w:cs="宋体" w:eastAsia="宋体" w:hint="default"/>
                <w:sz w:val="21"/>
                <w:szCs w:val="21"/>
              </w:rPr>
            </w:pPr>
            <w:r>
              <w:rPr>
                <w:rFonts w:ascii="宋体" w:hAnsi="宋体" w:cs="宋体" w:eastAsia="宋体" w:hint="default"/>
                <w:sz w:val="21"/>
                <w:szCs w:val="21"/>
              </w:rPr>
              <w:t>增加3.45个</w:t>
            </w:r>
          </w:p>
          <w:p>
            <w:pPr>
              <w:pStyle w:val="TableParagraph"/>
              <w:spacing w:line="274" w:lineRule="exact"/>
              <w:ind w:left="562"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10.42</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footerReference w:type="default" r:id="rId13"/>
          <w:pgSz w:w="11910" w:h="16840"/>
          <w:pgMar w:footer="1197" w:header="0" w:top="1120" w:bottom="1380" w:left="1220" w:right="1300"/>
          <w:pgNumType w:start="7"/>
        </w:sectPr>
      </w:pPr>
    </w:p>
    <w:p>
      <w:pPr>
        <w:pStyle w:val="Heading3"/>
        <w:spacing w:line="240" w:lineRule="auto"/>
        <w:ind w:left="220" w:right="-18"/>
        <w:jc w:val="left"/>
        <w:rPr>
          <w:b w:val="0"/>
          <w:bCs w:val="0"/>
        </w:rPr>
      </w:pPr>
      <w:r>
        <w:rPr/>
        <w:t>二、</w:t>
      </w:r>
      <w:r>
        <w:rPr>
          <w:spacing w:val="-34"/>
        </w:rPr>
        <w:t> </w:t>
      </w:r>
      <w:r>
        <w:rPr/>
        <w:t>非经常性损益项目和金额</w:t>
      </w:r>
      <w:r>
        <w:rPr>
          <w:b w:val="0"/>
          <w:bCs w:val="0"/>
        </w:rPr>
      </w:r>
    </w:p>
    <w:p>
      <w:pPr>
        <w:pStyle w:val="BodyText"/>
        <w:spacing w:line="240" w:lineRule="auto" w:before="57"/>
        <w:ind w:left="220"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165" w:val="left" w:leader="none"/>
        </w:tabs>
        <w:spacing w:line="240" w:lineRule="auto"/>
        <w:ind w:left="220" w:right="0"/>
        <w:jc w:val="left"/>
      </w:pPr>
      <w:r>
        <w:rPr/>
        <w:t>单位:元</w:t>
        <w:tab/>
        <w:t>币种:人民币</w:t>
      </w:r>
    </w:p>
    <w:p>
      <w:pPr>
        <w:spacing w:after="0" w:line="240" w:lineRule="auto"/>
        <w:jc w:val="left"/>
        <w:sectPr>
          <w:type w:val="continuous"/>
          <w:pgSz w:w="11910" w:h="16840"/>
          <w:pgMar w:top="1080" w:bottom="1380" w:left="1220" w:right="1300"/>
          <w:cols w:num="2" w:equalWidth="0">
            <w:col w:w="3036" w:space="3807"/>
            <w:col w:w="2547"/>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295"/>
        <w:gridCol w:w="1494"/>
        <w:gridCol w:w="1168"/>
        <w:gridCol w:w="1601"/>
        <w:gridCol w:w="1600"/>
      </w:tblGrid>
      <w:tr>
        <w:trPr>
          <w:trHeight w:val="554"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02"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9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年金额</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附</w:t>
            </w:r>
            <w:r>
              <w:rPr>
                <w:rFonts w:ascii="宋体" w:hAnsi="宋体" w:cs="宋体" w:eastAsia="宋体" w:hint="default"/>
                <w:spacing w:val="-99"/>
                <w:sz w:val="21"/>
                <w:szCs w:val="21"/>
              </w:rPr>
              <w:t>注</w:t>
            </w:r>
            <w:r>
              <w:rPr>
                <w:rFonts w:ascii="宋体" w:hAnsi="宋体" w:cs="宋体" w:eastAsia="宋体" w:hint="default"/>
                <w:sz w:val="21"/>
                <w:szCs w:val="21"/>
              </w:rPr>
              <w:t>（如适</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用）</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83"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550,649.35</w:t>
            </w:r>
          </w:p>
        </w:tc>
        <w:tc>
          <w:tcPr>
            <w:tcW w:w="116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984,171.02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4,644,416.82</w:t>
            </w:r>
          </w:p>
        </w:tc>
      </w:tr>
      <w:tr>
        <w:trPr>
          <w:trHeight w:val="554"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越权审批，或无正式批准文件，或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偶发性的税收返还、减免</w:t>
            </w:r>
          </w:p>
        </w:tc>
        <w:tc>
          <w:tcPr>
            <w:tcW w:w="1494"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计入当期损益的政府补助，但与公</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pacing w:val="-5"/>
                <w:sz w:val="21"/>
                <w:szCs w:val="21"/>
              </w:rPr>
              <w:t>司正常经营业务密切相关，符合国</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5"/>
                <w:sz w:val="21"/>
                <w:szCs w:val="21"/>
              </w:rPr>
              <w:t>家政策规定、按照一定标准定额或</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定量持续享受的政府补助除外</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4,233,450.50</w:t>
            </w:r>
            <w:r>
              <w:rPr>
                <w:rFonts w:ascii="宋体"/>
                <w:sz w:val="21"/>
              </w:rPr>
            </w:r>
          </w:p>
        </w:tc>
        <w:tc>
          <w:tcPr>
            <w:tcW w:w="116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6,954,735.23</w:t>
            </w:r>
            <w:r>
              <w:rPr>
                <w:rFonts w:ascii="宋体"/>
                <w:sz w:val="21"/>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11,557,033.94</w:t>
            </w:r>
          </w:p>
        </w:tc>
      </w:tr>
      <w:tr>
        <w:trPr>
          <w:trHeight w:val="554"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取的资金占用费</w:t>
            </w:r>
          </w:p>
        </w:tc>
        <w:tc>
          <w:tcPr>
            <w:tcW w:w="1494"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企业取得子公司、联营企业及合营</w:t>
            </w:r>
          </w:p>
          <w:p>
            <w:pPr>
              <w:pStyle w:val="TableParagraph"/>
              <w:spacing w:line="272" w:lineRule="exact" w:before="26"/>
              <w:ind w:left="103" w:right="240"/>
              <w:jc w:val="both"/>
              <w:rPr>
                <w:rFonts w:ascii="宋体" w:hAnsi="宋体" w:cs="宋体" w:eastAsia="宋体" w:hint="default"/>
                <w:sz w:val="21"/>
                <w:szCs w:val="21"/>
              </w:rPr>
            </w:pPr>
            <w:r>
              <w:rPr>
                <w:rFonts w:ascii="宋体" w:hAnsi="宋体" w:cs="宋体" w:eastAsia="宋体" w:hint="default"/>
                <w:sz w:val="21"/>
                <w:szCs w:val="21"/>
              </w:rPr>
              <w:t>企业的投资成本小于取得投资时 应享有被投资单位可辨认净资产 公允价值产生的收益</w:t>
            </w:r>
          </w:p>
        </w:tc>
        <w:tc>
          <w:tcPr>
            <w:tcW w:w="1494"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494"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494"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因不可抗力因素，如遭受自然灾害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而计提的各项资产减值准备</w:t>
            </w:r>
          </w:p>
        </w:tc>
        <w:tc>
          <w:tcPr>
            <w:tcW w:w="1494"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494"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494"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超过公允价值部分的损益</w:t>
            </w:r>
          </w:p>
        </w:tc>
        <w:tc>
          <w:tcPr>
            <w:tcW w:w="1494"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司期初至合并日的当期净损益</w:t>
            </w:r>
          </w:p>
        </w:tc>
        <w:tc>
          <w:tcPr>
            <w:tcW w:w="1494"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事项产生的损益</w:t>
            </w:r>
          </w:p>
        </w:tc>
        <w:tc>
          <w:tcPr>
            <w:tcW w:w="1494"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效套期保值业务外，持有交易性金</w:t>
            </w:r>
          </w:p>
        </w:tc>
        <w:tc>
          <w:tcPr>
            <w:tcW w:w="1494"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406,314.98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584,505.74</w:t>
            </w:r>
          </w:p>
        </w:tc>
      </w:tr>
    </w:tbl>
    <w:p>
      <w:pPr>
        <w:spacing w:after="0" w:line="240" w:lineRule="auto"/>
        <w:jc w:val="right"/>
        <w:rPr>
          <w:rFonts w:ascii="宋体" w:hAnsi="宋体" w:cs="宋体" w:eastAsia="宋体" w:hint="default"/>
          <w:sz w:val="21"/>
          <w:szCs w:val="21"/>
        </w:rPr>
        <w:sectPr>
          <w:type w:val="continuous"/>
          <w:pgSz w:w="11910" w:h="16840"/>
          <w:pgMar w:top="108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3295"/>
        <w:gridCol w:w="1494"/>
        <w:gridCol w:w="1168"/>
        <w:gridCol w:w="1601"/>
        <w:gridCol w:w="1600"/>
      </w:tblGrid>
      <w:tr>
        <w:trPr>
          <w:trHeight w:val="1099"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融资产、交易性金融负债产生的公</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pacing w:val="-5"/>
                <w:sz w:val="21"/>
                <w:szCs w:val="21"/>
              </w:rPr>
              <w:t>允价值变动损益，以及处置交易性</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5"/>
                <w:sz w:val="21"/>
                <w:szCs w:val="21"/>
              </w:rPr>
              <w:t>金融资产、交易性金融负债和可供</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出售金融资产取得的投资收益</w:t>
            </w:r>
          </w:p>
        </w:tc>
        <w:tc>
          <w:tcPr>
            <w:tcW w:w="1494"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值准备转回</w:t>
            </w:r>
          </w:p>
        </w:tc>
        <w:tc>
          <w:tcPr>
            <w:tcW w:w="1494"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494"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w:t>
            </w:r>
          </w:p>
          <w:p>
            <w:pPr>
              <w:pStyle w:val="TableParagraph"/>
              <w:spacing w:line="272" w:lineRule="exact" w:before="26"/>
              <w:ind w:left="103" w:right="240"/>
              <w:jc w:val="left"/>
              <w:rPr>
                <w:rFonts w:ascii="宋体" w:hAnsi="宋体" w:cs="宋体" w:eastAsia="宋体" w:hint="default"/>
                <w:sz w:val="21"/>
                <w:szCs w:val="21"/>
              </w:rPr>
            </w:pPr>
            <w:r>
              <w:rPr>
                <w:rFonts w:ascii="宋体" w:hAnsi="宋体" w:cs="宋体" w:eastAsia="宋体" w:hint="default"/>
                <w:sz w:val="21"/>
                <w:szCs w:val="21"/>
              </w:rPr>
              <w:t>的投资性房地产公允价值变动产 生的损益</w:t>
            </w:r>
          </w:p>
        </w:tc>
        <w:tc>
          <w:tcPr>
            <w:tcW w:w="1494"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根据税收、会计等法律、法规的要</w:t>
            </w:r>
          </w:p>
          <w:p>
            <w:pPr>
              <w:pStyle w:val="TableParagraph"/>
              <w:spacing w:line="272" w:lineRule="exact" w:before="26"/>
              <w:ind w:left="103" w:right="240"/>
              <w:jc w:val="left"/>
              <w:rPr>
                <w:rFonts w:ascii="宋体" w:hAnsi="宋体" w:cs="宋体" w:eastAsia="宋体" w:hint="default"/>
                <w:sz w:val="21"/>
                <w:szCs w:val="21"/>
              </w:rPr>
            </w:pPr>
            <w:r>
              <w:rPr>
                <w:rFonts w:ascii="宋体" w:hAnsi="宋体" w:cs="宋体" w:eastAsia="宋体" w:hint="default"/>
                <w:sz w:val="21"/>
                <w:szCs w:val="21"/>
              </w:rPr>
              <w:t>求对当期损益进行一次性调整对 当期损益的影响</w:t>
            </w:r>
          </w:p>
        </w:tc>
        <w:tc>
          <w:tcPr>
            <w:tcW w:w="1494"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494"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57,052.75</w:t>
            </w:r>
          </w:p>
        </w:tc>
        <w:tc>
          <w:tcPr>
            <w:tcW w:w="116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147,014.38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155,830.85</w:t>
            </w:r>
          </w:p>
        </w:tc>
      </w:tr>
      <w:tr>
        <w:trPr>
          <w:trHeight w:val="554"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益项目</w:t>
            </w:r>
          </w:p>
        </w:tc>
        <w:tc>
          <w:tcPr>
            <w:tcW w:w="1494"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-927,512.23</w:t>
            </w:r>
          </w:p>
        </w:tc>
        <w:tc>
          <w:tcPr>
            <w:tcW w:w="116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-688,389.62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-456,332.02</w:t>
            </w:r>
          </w:p>
        </w:tc>
      </w:tr>
      <w:tr>
        <w:trPr>
          <w:trHeight w:val="282"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-701,249.99</w:t>
            </w:r>
          </w:p>
        </w:tc>
        <w:tc>
          <w:tcPr>
            <w:tcW w:w="116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-1,013,727.31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-2,281,143.37</w:t>
            </w:r>
          </w:p>
        </w:tc>
      </w:tr>
      <w:tr>
        <w:trPr>
          <w:trHeight w:val="283"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3,212,390.38</w:t>
            </w:r>
            <w:r>
              <w:rPr>
                <w:rFonts w:ascii="宋体"/>
                <w:sz w:val="21"/>
              </w:rPr>
            </w:r>
          </w:p>
        </w:tc>
        <w:tc>
          <w:tcPr>
            <w:tcW w:w="116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6,790,118.68</w:t>
            </w:r>
            <w:r>
              <w:rPr>
                <w:rFonts w:ascii="宋体"/>
                <w:sz w:val="21"/>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14,204,311.96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Heading1"/>
        <w:tabs>
          <w:tab w:pos="1259" w:val="left" w:leader="none"/>
        </w:tabs>
        <w:spacing w:line="240" w:lineRule="auto"/>
        <w:ind w:right="0"/>
        <w:jc w:val="center"/>
        <w:rPr>
          <w:b w:val="0"/>
          <w:bCs w:val="0"/>
        </w:rPr>
      </w:pPr>
      <w:bookmarkStart w:name="_TOC_250007" w:id="2"/>
      <w:r>
        <w:rPr>
          <w:w w:val="95"/>
        </w:rPr>
        <w:t>第四节</w:t>
        <w:tab/>
      </w:r>
      <w:r>
        <w:rPr/>
        <w:t>董事会报告</w:t>
      </w:r>
      <w:bookmarkEnd w:id="2"/>
      <w:r>
        <w:rPr>
          <w:b w:val="0"/>
          <w:bCs w:val="0"/>
        </w:rPr>
      </w:r>
    </w:p>
    <w:p>
      <w:pPr>
        <w:spacing w:line="386" w:lineRule="auto" w:before="249"/>
        <w:ind w:left="220" w:right="4295" w:firstLine="0"/>
        <w:jc w:val="left"/>
        <w:rPr>
          <w:rFonts w:ascii="宋体" w:hAnsi="宋体" w:cs="宋体" w:eastAsia="宋体" w:hint="default"/>
          <w:sz w:val="21"/>
          <w:szCs w:val="21"/>
        </w:rPr>
      </w:pPr>
      <w:r>
        <w:rPr>
          <w:rFonts w:ascii="宋体" w:hAnsi="宋体" w:cs="宋体" w:eastAsia="宋体" w:hint="default"/>
          <w:b/>
          <w:bCs/>
          <w:sz w:val="21"/>
          <w:szCs w:val="21"/>
        </w:rPr>
        <w:t>一、董事会关于公司报告期内经营情况的讨论与分析</w:t>
      </w:r>
      <w:r>
        <w:rPr>
          <w:rFonts w:ascii="宋体" w:hAnsi="宋体" w:cs="宋体" w:eastAsia="宋体" w:hint="default"/>
          <w:b/>
          <w:bCs/>
          <w:w w:val="99"/>
          <w:sz w:val="21"/>
          <w:szCs w:val="21"/>
        </w:rPr>
        <w:t> </w:t>
      </w:r>
      <w:r>
        <w:rPr>
          <w:rFonts w:ascii="宋体" w:hAnsi="宋体" w:cs="宋体" w:eastAsia="宋体" w:hint="default"/>
          <w:sz w:val="21"/>
          <w:szCs w:val="21"/>
        </w:rPr>
        <w:t>1、行业状况分析与回顾</w:t>
      </w:r>
    </w:p>
    <w:p>
      <w:pPr>
        <w:spacing w:line="240" w:lineRule="auto" w:before="0"/>
        <w:rPr>
          <w:rFonts w:ascii="宋体" w:hAnsi="宋体" w:cs="宋体" w:eastAsia="宋体" w:hint="default"/>
          <w:sz w:val="20"/>
          <w:szCs w:val="20"/>
        </w:rPr>
      </w:pPr>
    </w:p>
    <w:p>
      <w:pPr>
        <w:pStyle w:val="BodyText"/>
        <w:spacing w:line="350" w:lineRule="auto" w:before="135"/>
        <w:ind w:left="219" w:right="115"/>
        <w:jc w:val="left"/>
      </w:pPr>
      <w:r>
        <w:rPr/>
        <w:t>资本市场逐步回暖，金融行业市场化改革加速进行。2014</w:t>
      </w:r>
      <w:r>
        <w:rPr>
          <w:spacing w:val="-1"/>
        </w:rPr>
        <w:t> </w:t>
      </w:r>
      <w:r>
        <w:rPr/>
        <w:t>年国内资本市场持续活跃，市场交易规</w:t>
      </w:r>
      <w:r>
        <w:rPr/>
        <w:t> 模大幅增长，带动投资者规模快速增长。根据证券业协会发布的数据，2014 年全年证券业实现净</w:t>
      </w:r>
      <w:r>
        <w:rPr>
          <w:spacing w:val="-93"/>
        </w:rPr>
        <w:t> </w:t>
      </w:r>
      <w:r>
        <w:rPr>
          <w:spacing w:val="-93"/>
        </w:rPr>
      </w:r>
      <w:r>
        <w:rPr/>
        <w:t>利润</w:t>
      </w:r>
      <w:r>
        <w:rPr>
          <w:spacing w:val="-53"/>
        </w:rPr>
        <w:t> </w:t>
      </w:r>
      <w:r>
        <w:rPr/>
        <w:t>965.54</w:t>
      </w:r>
      <w:r>
        <w:rPr>
          <w:spacing w:val="-53"/>
        </w:rPr>
        <w:t> </w:t>
      </w:r>
      <w:r>
        <w:rPr>
          <w:spacing w:val="-14"/>
        </w:rPr>
        <w:t>亿元，同比</w:t>
      </w:r>
      <w:r>
        <w:rPr>
          <w:spacing w:val="-53"/>
        </w:rPr>
        <w:t> </w:t>
      </w:r>
      <w:r>
        <w:rPr/>
        <w:t>2013</w:t>
      </w:r>
      <w:r>
        <w:rPr>
          <w:spacing w:val="-52"/>
        </w:rPr>
        <w:t> </w:t>
      </w:r>
      <w:r>
        <w:rPr/>
        <w:t>年大幅增长了</w:t>
      </w:r>
      <w:r>
        <w:rPr>
          <w:spacing w:val="-53"/>
        </w:rPr>
        <w:t> </w:t>
      </w:r>
      <w:r>
        <w:rPr>
          <w:spacing w:val="-6"/>
        </w:rPr>
        <w:t>119.34%。金融行业改革的本质是市场化，2014</w:t>
      </w:r>
      <w:r>
        <w:rPr>
          <w:spacing w:val="-52"/>
        </w:rPr>
        <w:t> </w:t>
      </w:r>
      <w:r>
        <w:rPr/>
        <w:t>年以来，</w:t>
      </w:r>
      <w:r>
        <w:rPr/>
        <w:t> </w:t>
      </w:r>
      <w:r>
        <w:rPr>
          <w:spacing w:val="-3"/>
        </w:rPr>
        <w:t>新“国九条”、公募基金注册制、私募基金备案制、新三板、沪港通、个股期权等多项政策的出台</w:t>
      </w:r>
      <w:r>
        <w:rPr>
          <w:spacing w:val="-66"/>
        </w:rPr>
        <w:t> </w:t>
      </w:r>
      <w:r>
        <w:rPr>
          <w:spacing w:val="-66"/>
        </w:rPr>
      </w:r>
      <w:r>
        <w:rPr>
          <w:spacing w:val="-3"/>
        </w:rPr>
        <w:t>表明我国金融行业市场化改革正加速进行。伴随金融行业市场化改革的逐步深入以及以云计算、大</w:t>
      </w:r>
      <w:r>
        <w:rPr>
          <w:spacing w:val="-66"/>
        </w:rPr>
        <w:t> </w:t>
      </w:r>
      <w:r>
        <w:rPr>
          <w:spacing w:val="-66"/>
        </w:rPr>
      </w:r>
      <w:r>
        <w:rPr>
          <w:spacing w:val="-3"/>
        </w:rPr>
        <w:t>数据为代表的新一代信息技术的快速发展，证券、基金、银行、保险等金融机构正面临着行业竞争</w:t>
      </w:r>
      <w:r>
        <w:rPr>
          <w:spacing w:val="-67"/>
        </w:rPr>
        <w:t> </w:t>
      </w:r>
      <w:r>
        <w:rPr>
          <w:spacing w:val="-67"/>
        </w:rPr>
      </w:r>
      <w:r>
        <w:rPr/>
        <w:t>格局的重塑，混业经营发展逐渐成为主流趋势，改革创新、转型升级已成为金融企业发展的关键。</w:t>
      </w:r>
    </w:p>
    <w:p>
      <w:pPr>
        <w:spacing w:line="240" w:lineRule="auto" w:before="0"/>
        <w:rPr>
          <w:rFonts w:ascii="宋体" w:hAnsi="宋体" w:cs="宋体" w:eastAsia="宋体" w:hint="default"/>
          <w:sz w:val="20"/>
          <w:szCs w:val="20"/>
        </w:rPr>
      </w:pPr>
    </w:p>
    <w:p>
      <w:pPr>
        <w:pStyle w:val="BodyText"/>
        <w:spacing w:line="350" w:lineRule="auto" w:before="166"/>
        <w:ind w:left="219" w:right="220"/>
        <w:jc w:val="both"/>
      </w:pPr>
      <w:r>
        <w:rPr/>
        <w:t>互联网金融发展迅速，流量、平台、服务成为竞争核心。2014</w:t>
      </w:r>
      <w:r>
        <w:rPr>
          <w:spacing w:val="12"/>
        </w:rPr>
        <w:t> </w:t>
      </w:r>
      <w:r>
        <w:rPr/>
        <w:t>年是互联网金融爆发年，以余额宝</w:t>
      </w:r>
      <w:r>
        <w:rPr/>
        <w:t> </w:t>
      </w:r>
      <w:r>
        <w:rPr>
          <w:spacing w:val="-3"/>
        </w:rPr>
        <w:t>为代表的理财产品规模继续快速增长，推动银行推出高收益理财产品；银行、基金、险资、劵商等</w:t>
      </w:r>
      <w:r>
        <w:rPr>
          <w:spacing w:val="-66"/>
        </w:rPr>
        <w:t> </w:t>
      </w:r>
      <w:r>
        <w:rPr>
          <w:spacing w:val="-66"/>
        </w:rPr>
      </w:r>
      <w:r>
        <w:rPr/>
        <w:t>金融机构和国资企业、上市公司的进入使得</w:t>
      </w:r>
      <w:r>
        <w:rPr>
          <w:spacing w:val="-66"/>
        </w:rPr>
        <w:t> </w:t>
      </w:r>
      <w:r>
        <w:rPr/>
        <w:t>P2P</w:t>
      </w:r>
      <w:r>
        <w:rPr>
          <w:spacing w:val="-66"/>
        </w:rPr>
        <w:t> </w:t>
      </w:r>
      <w:r>
        <w:rPr>
          <w:spacing w:val="-3"/>
        </w:rPr>
        <w:t>平台规模和融资数量的屡创新高，以众筹、大数据</w:t>
      </w:r>
    </w:p>
    <w:p>
      <w:pPr>
        <w:spacing w:after="0" w:line="350" w:lineRule="auto"/>
        <w:jc w:val="both"/>
        <w:sectPr>
          <w:pgSz w:w="11910" w:h="16840"/>
          <w:pgMar w:header="0" w:footer="1197"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350" w:lineRule="auto" w:before="35"/>
        <w:ind w:left="139" w:right="113"/>
        <w:jc w:val="left"/>
      </w:pPr>
      <w:r>
        <w:rPr>
          <w:spacing w:val="-5"/>
        </w:rPr>
        <w:t>供应链金融、移动金融、征信为代表的其他互联网金融新兴业态也进入了加速落地应用阶段。同时，</w:t>
      </w:r>
      <w:r>
        <w:rPr>
          <w:spacing w:val="-80"/>
        </w:rPr>
        <w:t> </w:t>
      </w:r>
      <w:r>
        <w:rPr>
          <w:spacing w:val="-80"/>
        </w:rPr>
      </w:r>
      <w:r>
        <w:rPr>
          <w:spacing w:val="-3"/>
        </w:rPr>
        <w:t>金融机构、互联网企业、传统行业通过“跨界合作”的形式纷纷进入互联网金融，如东吴证券与同</w:t>
      </w:r>
      <w:r>
        <w:rPr>
          <w:spacing w:val="-66"/>
        </w:rPr>
        <w:t> </w:t>
      </w:r>
      <w:r>
        <w:rPr>
          <w:spacing w:val="-66"/>
        </w:rPr>
      </w:r>
      <w:r>
        <w:rPr>
          <w:spacing w:val="-3"/>
        </w:rPr>
        <w:t>花顺进行战略合作，小米投资</w:t>
      </w:r>
      <w:r>
        <w:rPr>
          <w:spacing w:val="-46"/>
        </w:rPr>
        <w:t> </w:t>
      </w:r>
      <w:r>
        <w:rPr/>
        <w:t>P2P</w:t>
      </w:r>
      <w:r>
        <w:rPr>
          <w:spacing w:val="-46"/>
        </w:rPr>
        <w:t> </w:t>
      </w:r>
      <w:r>
        <w:rPr>
          <w:spacing w:val="-3"/>
        </w:rPr>
        <w:t>平台积木盒子，京东成立金融集团发力互联网金融等，进一步促</w:t>
      </w:r>
      <w:r>
        <w:rPr>
          <w:spacing w:val="-88"/>
        </w:rPr>
        <w:t> </w:t>
      </w:r>
      <w:r>
        <w:rPr>
          <w:spacing w:val="-88"/>
        </w:rPr>
      </w:r>
      <w:r>
        <w:rPr/>
        <w:t>进互联网金融快速发展。 </w:t>
      </w:r>
      <w:r>
        <w:rPr>
          <w:spacing w:val="-3"/>
        </w:rPr>
        <w:t>目前互联网金融已经形成以流量、平台、服务为核心的全产业链，以用户流量为价值核心，借助云</w:t>
      </w:r>
      <w:r>
        <w:rPr>
          <w:spacing w:val="-67"/>
        </w:rPr>
        <w:t> </w:t>
      </w:r>
      <w:r>
        <w:rPr>
          <w:spacing w:val="-67"/>
        </w:rPr>
      </w:r>
      <w:r>
        <w:rPr>
          <w:spacing w:val="-3"/>
        </w:rPr>
        <w:t>计算、大数据等技术，通过多样化的平台提升资源配置的效率，并不断从用户体验的角度出发提供</w:t>
      </w:r>
      <w:r>
        <w:rPr>
          <w:spacing w:val="-66"/>
        </w:rPr>
        <w:t> </w:t>
      </w:r>
      <w:r>
        <w:rPr>
          <w:spacing w:val="-66"/>
        </w:rPr>
      </w:r>
      <w:r>
        <w:rPr/>
        <w:t>相应的服务，挖掘和创造价值。而金融</w:t>
      </w:r>
      <w:r>
        <w:rPr>
          <w:spacing w:val="-45"/>
        </w:rPr>
        <w:t> </w:t>
      </w:r>
      <w:r>
        <w:rPr/>
        <w:t>IT</w:t>
      </w:r>
      <w:r>
        <w:rPr>
          <w:spacing w:val="-45"/>
        </w:rPr>
        <w:t> </w:t>
      </w:r>
      <w:r>
        <w:rPr/>
        <w:t>行业作为互联网金融产业链的重要环节，可以通过理解</w:t>
      </w:r>
      <w:r>
        <w:rPr/>
        <w:t> </w:t>
      </w:r>
      <w:r>
        <w:rPr>
          <w:spacing w:val="-3"/>
        </w:rPr>
        <w:t>用户需求、创新产品设计、挖掘增量价值等方式提升自身的竞争力，以云计算、大数据为手段，以</w:t>
      </w:r>
      <w:r>
        <w:rPr>
          <w:spacing w:val="-66"/>
        </w:rPr>
        <w:t> </w:t>
      </w:r>
      <w:r>
        <w:rPr>
          <w:spacing w:val="-66"/>
        </w:rPr>
      </w:r>
      <w:r>
        <w:rPr>
          <w:spacing w:val="-3"/>
        </w:rPr>
        <w:t>流量化方式分享行业成长，最终通过搭建细分领域平台的方式提供相关服务，实现商业模式的转型</w:t>
      </w:r>
      <w:r>
        <w:rPr>
          <w:spacing w:val="-66"/>
        </w:rPr>
        <w:t> </w:t>
      </w:r>
      <w:r>
        <w:rPr>
          <w:spacing w:val="-66"/>
        </w:rPr>
      </w:r>
      <w:r>
        <w:rPr/>
        <w:t>升级。</w:t>
      </w:r>
    </w:p>
    <w:p>
      <w:pPr>
        <w:spacing w:line="240" w:lineRule="auto" w:before="0"/>
        <w:rPr>
          <w:rFonts w:ascii="宋体" w:hAnsi="宋体" w:cs="宋体" w:eastAsia="宋体" w:hint="default"/>
          <w:sz w:val="20"/>
          <w:szCs w:val="20"/>
        </w:rPr>
      </w:pPr>
    </w:p>
    <w:p>
      <w:pPr>
        <w:pStyle w:val="BodyText"/>
        <w:spacing w:line="240" w:lineRule="auto" w:before="166"/>
        <w:ind w:left="139" w:right="113"/>
        <w:jc w:val="left"/>
      </w:pPr>
      <w:r>
        <w:rPr/>
        <w:t>2、公司经营回顾</w:t>
      </w:r>
    </w:p>
    <w:p>
      <w:pPr>
        <w:pStyle w:val="BodyText"/>
        <w:spacing w:line="348" w:lineRule="auto" w:before="126"/>
        <w:ind w:left="139" w:right="113"/>
        <w:jc w:val="left"/>
      </w:pPr>
      <w:r>
        <w:rPr/>
        <w:t>2014</w:t>
      </w:r>
      <w:r>
        <w:rPr>
          <w:spacing w:val="-46"/>
        </w:rPr>
        <w:t> </w:t>
      </w:r>
      <w:r>
        <w:rPr/>
        <w:t>年是公司“回归金融</w:t>
      </w:r>
      <w:r>
        <w:rPr>
          <w:spacing w:val="-46"/>
        </w:rPr>
        <w:t> </w:t>
      </w:r>
      <w:r>
        <w:rPr/>
        <w:t>IT”战略深化年，回顾公司全年业务进展，战略执行效果显著。报告期</w:t>
      </w:r>
      <w:r>
        <w:rPr/>
        <w:t> </w:t>
      </w:r>
      <w:r>
        <w:rPr>
          <w:spacing w:val="-5"/>
        </w:rPr>
        <w:t>内，经过领导班子及全体员工的共同努力，公司实现营业收入</w:t>
      </w:r>
      <w:r>
        <w:rPr>
          <w:spacing w:val="-52"/>
        </w:rPr>
        <w:t> </w:t>
      </w:r>
      <w:r>
        <w:rPr/>
        <w:t>236,804.28</w:t>
      </w:r>
      <w:r>
        <w:rPr>
          <w:spacing w:val="-51"/>
        </w:rPr>
        <w:t> </w:t>
      </w:r>
      <w:r>
        <w:rPr>
          <w:spacing w:val="-8"/>
        </w:rPr>
        <w:t>万元，同比增长</w:t>
      </w:r>
      <w:r>
        <w:rPr>
          <w:spacing w:val="-52"/>
        </w:rPr>
        <w:t> </w:t>
      </w:r>
      <w:r>
        <w:rPr/>
        <w:t>16.56%；</w:t>
      </w:r>
      <w:r>
        <w:rPr>
          <w:spacing w:val="-1"/>
        </w:rPr>
        <w:t> </w:t>
      </w:r>
      <w:r>
        <w:rPr/>
        <w:t>归属于母公司净利润</w:t>
      </w:r>
      <w:r>
        <w:rPr>
          <w:spacing w:val="-54"/>
        </w:rPr>
        <w:t> </w:t>
      </w:r>
      <w:r>
        <w:rPr/>
        <w:t>15,335.30</w:t>
      </w:r>
      <w:r>
        <w:rPr>
          <w:spacing w:val="-53"/>
        </w:rPr>
        <w:t> </w:t>
      </w:r>
      <w:r>
        <w:rPr/>
        <w:t>万元，同比增长</w:t>
      </w:r>
      <w:r>
        <w:rPr>
          <w:spacing w:val="-54"/>
        </w:rPr>
        <w:t> </w:t>
      </w:r>
      <w:r>
        <w:rPr/>
        <w:t>40.42%。</w:t>
      </w:r>
    </w:p>
    <w:p>
      <w:pPr>
        <w:spacing w:line="240" w:lineRule="auto" w:before="0"/>
        <w:rPr>
          <w:rFonts w:ascii="宋体" w:hAnsi="宋体" w:cs="宋体" w:eastAsia="宋体" w:hint="default"/>
          <w:sz w:val="20"/>
          <w:szCs w:val="20"/>
        </w:rPr>
      </w:pPr>
    </w:p>
    <w:p>
      <w:pPr>
        <w:pStyle w:val="BodyText"/>
        <w:spacing w:line="350" w:lineRule="auto" w:before="169"/>
        <w:ind w:left="139" w:right="205"/>
        <w:jc w:val="left"/>
      </w:pPr>
      <w:r>
        <w:rPr/>
        <w:t>报告期内，公司主要工作如下： </w:t>
      </w:r>
      <w:r>
        <w:rPr>
          <w:spacing w:val="-3"/>
        </w:rPr>
        <w:t>组织层面：“平台化管理”模式持续推进。根据战略规划，公司持续推进“平台化”业务模式，引</w:t>
      </w:r>
      <w:r>
        <w:rPr>
          <w:spacing w:val="-65"/>
        </w:rPr>
        <w:t> </w:t>
      </w:r>
      <w:r>
        <w:rPr>
          <w:spacing w:val="-65"/>
        </w:rPr>
      </w:r>
      <w:r>
        <w:rPr>
          <w:spacing w:val="-3"/>
        </w:rPr>
        <w:t>导管理重心倾向于塑造平台功能、捕捉市场机会、培育内部业务团队、吸纳外部企业和团队、孵化</w:t>
      </w:r>
      <w:r>
        <w:rPr>
          <w:spacing w:val="-67"/>
        </w:rPr>
        <w:t> </w:t>
      </w:r>
      <w:r>
        <w:rPr>
          <w:spacing w:val="-67"/>
        </w:rPr>
      </w:r>
      <w:r>
        <w:rPr>
          <w:spacing w:val="-3"/>
        </w:rPr>
        <w:t>新技术新产品，推动技术和产品市场化，推动业务团队成为优质子公司。报告期内，公司与鹏扬信</w:t>
      </w:r>
      <w:r>
        <w:rPr>
          <w:spacing w:val="-67"/>
        </w:rPr>
        <w:t> </w:t>
      </w:r>
      <w:r>
        <w:rPr>
          <w:spacing w:val="-67"/>
        </w:rPr>
      </w:r>
      <w:r>
        <w:rPr>
          <w:spacing w:val="-3"/>
        </w:rPr>
        <w:t>息、金鹏天益、辉金创盈、廖江共同投资设立深圳市丽海弘金科技有限公司，与前海金控成立合资</w:t>
      </w:r>
      <w:r>
        <w:rPr>
          <w:spacing w:val="-67"/>
        </w:rPr>
        <w:t> </w:t>
      </w:r>
      <w:r>
        <w:rPr>
          <w:spacing w:val="-67"/>
        </w:rPr>
      </w:r>
      <w:r>
        <w:rPr/>
        <w:t>公司深圳市金证前海金融科技有限公司，完善公司对金融</w:t>
      </w:r>
      <w:r>
        <w:rPr>
          <w:spacing w:val="-45"/>
        </w:rPr>
        <w:t> </w:t>
      </w:r>
      <w:r>
        <w:rPr/>
        <w:t>IT</w:t>
      </w:r>
      <w:r>
        <w:rPr>
          <w:spacing w:val="-45"/>
        </w:rPr>
        <w:t> </w:t>
      </w:r>
      <w:r>
        <w:rPr/>
        <w:t>服务的覆盖，提升公司在行业中的核</w:t>
      </w:r>
      <w:r>
        <w:rPr/>
        <w:t> 心竞争力。</w:t>
      </w:r>
    </w:p>
    <w:p>
      <w:pPr>
        <w:spacing w:line="240" w:lineRule="auto" w:before="0"/>
        <w:rPr>
          <w:rFonts w:ascii="宋体" w:hAnsi="宋体" w:cs="宋体" w:eastAsia="宋体" w:hint="default"/>
          <w:sz w:val="20"/>
          <w:szCs w:val="20"/>
        </w:rPr>
      </w:pPr>
    </w:p>
    <w:p>
      <w:pPr>
        <w:pStyle w:val="BodyText"/>
        <w:spacing w:line="348" w:lineRule="auto" w:before="167"/>
        <w:ind w:left="139" w:right="220"/>
        <w:jc w:val="both"/>
      </w:pPr>
      <w:r>
        <w:rPr/>
        <w:t>激励层面：股权激励行权使员工充分受益公司成长。2014</w:t>
      </w:r>
      <w:r>
        <w:rPr>
          <w:spacing w:val="-31"/>
        </w:rPr>
        <w:t> </w:t>
      </w:r>
      <w:r>
        <w:rPr/>
        <w:t>年</w:t>
      </w:r>
      <w:r>
        <w:rPr>
          <w:spacing w:val="-31"/>
        </w:rPr>
        <w:t> </w:t>
      </w:r>
      <w:r>
        <w:rPr/>
        <w:t>5</w:t>
      </w:r>
      <w:r>
        <w:rPr>
          <w:spacing w:val="-30"/>
        </w:rPr>
        <w:t> </w:t>
      </w:r>
      <w:r>
        <w:rPr/>
        <w:t>月，公司顺利完成股权激励第二期</w:t>
      </w:r>
      <w:r>
        <w:rPr/>
        <w:t> </w:t>
      </w:r>
      <w:r>
        <w:rPr>
          <w:spacing w:val="-3"/>
        </w:rPr>
        <w:t>行权。股权激励行权的顺利实施，进一步加强了公司平台对行业人才的凝聚力与吸引力，提升了公</w:t>
      </w:r>
      <w:r>
        <w:rPr>
          <w:spacing w:val="-66"/>
        </w:rPr>
        <w:t> </w:t>
      </w:r>
      <w:r>
        <w:rPr>
          <w:spacing w:val="-66"/>
        </w:rPr>
      </w:r>
      <w:r>
        <w:rPr/>
        <w:t>司的长期竞争力。</w:t>
      </w:r>
    </w:p>
    <w:p>
      <w:pPr>
        <w:spacing w:line="240" w:lineRule="auto" w:before="0"/>
        <w:rPr>
          <w:rFonts w:ascii="宋体" w:hAnsi="宋体" w:cs="宋体" w:eastAsia="宋体" w:hint="default"/>
          <w:sz w:val="20"/>
          <w:szCs w:val="20"/>
        </w:rPr>
      </w:pPr>
    </w:p>
    <w:p>
      <w:pPr>
        <w:pStyle w:val="BodyText"/>
        <w:spacing w:line="240" w:lineRule="auto" w:before="169"/>
        <w:ind w:left="139" w:right="113"/>
        <w:jc w:val="left"/>
      </w:pPr>
      <w:r>
        <w:rPr/>
        <w:t>经营层面：</w:t>
      </w:r>
    </w:p>
    <w:p>
      <w:pPr>
        <w:pStyle w:val="BodyText"/>
        <w:spacing w:line="350" w:lineRule="auto" w:before="125"/>
        <w:ind w:left="139" w:right="115"/>
        <w:jc w:val="left"/>
      </w:pPr>
      <w:r>
        <w:rPr>
          <w:spacing w:val="-6"/>
        </w:rPr>
        <w:t>1）证券</w:t>
      </w:r>
      <w:r>
        <w:rPr>
          <w:spacing w:val="-70"/>
        </w:rPr>
        <w:t> </w:t>
      </w:r>
      <w:r>
        <w:rPr/>
        <w:t>IT</w:t>
      </w:r>
      <w:r>
        <w:rPr>
          <w:spacing w:val="-70"/>
        </w:rPr>
        <w:t> </w:t>
      </w:r>
      <w:r>
        <w:rPr/>
        <w:t>业务：金融创新业务加速开展，搭建行业云平台实现“互联互通”。在下游证券行业盈</w:t>
      </w:r>
      <w:r>
        <w:rPr/>
        <w:t> </w:t>
      </w:r>
      <w:r>
        <w:rPr>
          <w:spacing w:val="-3"/>
        </w:rPr>
        <w:t>利能力不断回升的背景下，公司深挖客户需求，推动老客户产品升级和扩容，加快新业务新模块开</w:t>
      </w:r>
      <w:r>
        <w:rPr>
          <w:spacing w:val="-66"/>
        </w:rPr>
        <w:t> </w:t>
      </w:r>
      <w:r>
        <w:rPr>
          <w:spacing w:val="-66"/>
        </w:rPr>
      </w:r>
      <w:r>
        <w:rPr/>
        <w:t>发及新产品的研发及应用以支持证券公司相关业务的开展；同时，公司积极打造证通行业云平台， </w:t>
      </w:r>
      <w:r>
        <w:rPr>
          <w:spacing w:val="-3"/>
        </w:rPr>
        <w:t>实现了互联网机构和金融机构之间的互联互通。报告期内，公司完成了由交易所、中登公司主导的</w:t>
      </w:r>
      <w:r>
        <w:rPr>
          <w:spacing w:val="-65"/>
        </w:rPr>
        <w:t> </w:t>
      </w:r>
      <w:r>
        <w:rPr>
          <w:spacing w:val="-65"/>
        </w:rPr>
      </w:r>
      <w:r>
        <w:rPr>
          <w:spacing w:val="-3"/>
        </w:rPr>
        <w:t>沪港通、中登一码通等项目，参与了股票期权系统的开发，推出了改善客户融资体验的金易贷，打</w:t>
      </w:r>
    </w:p>
    <w:p>
      <w:pPr>
        <w:spacing w:after="0" w:line="350" w:lineRule="auto"/>
        <w:jc w:val="left"/>
        <w:sectPr>
          <w:pgSz w:w="11910" w:h="16840"/>
          <w:pgMar w:header="0" w:footer="1197" w:top="1120" w:bottom="1380" w:left="13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348" w:lineRule="auto" w:before="35"/>
        <w:ind w:left="220" w:right="221"/>
        <w:jc w:val="both"/>
      </w:pPr>
      <w:r>
        <w:rPr>
          <w:spacing w:val="-3"/>
        </w:rPr>
        <w:t>通了资金使用渠道的保证金消费支付管理系统等，全面支持券商创新业务的开展。此外，公司还与</w:t>
      </w:r>
      <w:r>
        <w:rPr>
          <w:spacing w:val="-65"/>
        </w:rPr>
        <w:t> </w:t>
      </w:r>
      <w:r>
        <w:rPr>
          <w:spacing w:val="-65"/>
        </w:rPr>
      </w:r>
      <w:r>
        <w:rPr>
          <w:spacing w:val="-3"/>
        </w:rPr>
        <w:t>上证通合作建设证通行业云平台，为互联网企业和金融机构的互联互通牵线搭桥，目前平台已对接</w:t>
      </w:r>
      <w:r>
        <w:rPr>
          <w:spacing w:val="-66"/>
        </w:rPr>
        <w:t> </w:t>
      </w:r>
      <w:r>
        <w:rPr>
          <w:spacing w:val="-66"/>
        </w:rPr>
      </w:r>
      <w:r>
        <w:rPr/>
        <w:t>多家互联网企业及金融机构。</w:t>
      </w:r>
    </w:p>
    <w:p>
      <w:pPr>
        <w:spacing w:line="240" w:lineRule="auto" w:before="0"/>
        <w:rPr>
          <w:rFonts w:ascii="宋体" w:hAnsi="宋体" w:cs="宋体" w:eastAsia="宋体" w:hint="default"/>
          <w:sz w:val="20"/>
          <w:szCs w:val="20"/>
        </w:rPr>
      </w:pPr>
    </w:p>
    <w:p>
      <w:pPr>
        <w:pStyle w:val="BodyText"/>
        <w:spacing w:line="350" w:lineRule="auto" w:before="169"/>
        <w:ind w:left="220" w:right="115"/>
        <w:jc w:val="left"/>
      </w:pPr>
      <w:r>
        <w:rPr>
          <w:spacing w:val="-5"/>
        </w:rPr>
        <w:t>2）基金</w:t>
      </w:r>
      <w:r>
        <w:rPr>
          <w:spacing w:val="-70"/>
        </w:rPr>
        <w:t> </w:t>
      </w:r>
      <w:r>
        <w:rPr/>
        <w:t>IT</w:t>
      </w:r>
      <w:r>
        <w:rPr>
          <w:spacing w:val="-70"/>
        </w:rPr>
        <w:t> </w:t>
      </w:r>
      <w:r>
        <w:rPr/>
        <w:t>业务：积极推进创新性业务，树立行业知名品牌。凭借新版系统的竞争优势，公司不断</w:t>
      </w:r>
      <w:r>
        <w:rPr/>
        <w:t> </w:t>
      </w:r>
      <w:r>
        <w:rPr>
          <w:spacing w:val="-3"/>
        </w:rPr>
        <w:t>加强产品线的建设，在国内资产管理行业迎来快速发展期的背景下，设计了面向大资产管理行业的</w:t>
      </w:r>
      <w:r>
        <w:rPr>
          <w:spacing w:val="-66"/>
        </w:rPr>
        <w:t> </w:t>
      </w:r>
      <w:r>
        <w:rPr>
          <w:spacing w:val="-66"/>
        </w:rPr>
      </w:r>
      <w:r>
        <w:rPr/>
        <w:t>中小机构</w:t>
      </w:r>
      <w:r>
        <w:rPr>
          <w:spacing w:val="-51"/>
        </w:rPr>
        <w:t> </w:t>
      </w:r>
      <w:r>
        <w:rPr/>
        <w:t>IT</w:t>
      </w:r>
      <w:r>
        <w:rPr>
          <w:spacing w:val="-51"/>
        </w:rPr>
        <w:t> </w:t>
      </w:r>
      <w:r>
        <w:rPr>
          <w:spacing w:val="-4"/>
        </w:rPr>
        <w:t>外包整体解决方案；同时，公司互联网金融实时</w:t>
      </w:r>
      <w:r>
        <w:rPr>
          <w:spacing w:val="-51"/>
        </w:rPr>
        <w:t> </w:t>
      </w:r>
      <w:r>
        <w:rPr/>
        <w:t>TA</w:t>
      </w:r>
      <w:r>
        <w:rPr>
          <w:spacing w:val="-50"/>
        </w:rPr>
        <w:t> </w:t>
      </w:r>
      <w:r>
        <w:rPr>
          <w:spacing w:val="-4"/>
        </w:rPr>
        <w:t>系统、投资交易系统、直销系统等</w:t>
      </w:r>
      <w:r>
        <w:rPr>
          <w:spacing w:val="-98"/>
        </w:rPr>
        <w:t> </w:t>
      </w:r>
      <w:r>
        <w:rPr>
          <w:spacing w:val="-98"/>
        </w:rPr>
      </w:r>
      <w:r>
        <w:rPr>
          <w:spacing w:val="-3"/>
        </w:rPr>
        <w:t>已经成为公司在基金行业的名片产品，获得客户的广泛认可。报告期内，公司与深证通建立战略合</w:t>
      </w:r>
      <w:r>
        <w:rPr>
          <w:spacing w:val="-66"/>
        </w:rPr>
        <w:t> </w:t>
      </w:r>
      <w:r>
        <w:rPr>
          <w:spacing w:val="-66"/>
        </w:rPr>
      </w:r>
      <w:r>
        <w:rPr>
          <w:spacing w:val="-6"/>
        </w:rPr>
        <w:t>作，为客户提供基于金融云的</w:t>
      </w:r>
      <w:r>
        <w:rPr>
          <w:spacing w:val="-55"/>
        </w:rPr>
        <w:t> </w:t>
      </w:r>
      <w:r>
        <w:rPr/>
        <w:t>IT</w:t>
      </w:r>
      <w:r>
        <w:rPr>
          <w:spacing w:val="-54"/>
        </w:rPr>
        <w:t> </w:t>
      </w:r>
      <w:r>
        <w:rPr>
          <w:spacing w:val="-11"/>
        </w:rPr>
        <w:t>整体外包服务；同时，公司为</w:t>
      </w:r>
      <w:r>
        <w:rPr>
          <w:spacing w:val="-55"/>
        </w:rPr>
        <w:t> </w:t>
      </w:r>
      <w:r>
        <w:rPr/>
        <w:t>5</w:t>
      </w:r>
      <w:r>
        <w:rPr>
          <w:spacing w:val="-55"/>
        </w:rPr>
        <w:t> </w:t>
      </w:r>
      <w:r>
        <w:rPr/>
        <w:t>家新筹基金公司提供整体</w:t>
      </w:r>
      <w:r>
        <w:rPr>
          <w:spacing w:val="-55"/>
        </w:rPr>
        <w:t> </w:t>
      </w:r>
      <w:r>
        <w:rPr/>
        <w:t>IT</w:t>
      </w:r>
      <w:r>
        <w:rPr>
          <w:spacing w:val="-54"/>
        </w:rPr>
        <w:t> </w:t>
      </w:r>
      <w:r>
        <w:rPr/>
        <w:t>系统，</w:t>
      </w:r>
      <w:r>
        <w:rPr>
          <w:spacing w:val="-1"/>
        </w:rPr>
        <w:t> </w:t>
      </w:r>
      <w:r>
        <w:rPr/>
        <w:t>为</w:t>
      </w:r>
      <w:r>
        <w:rPr>
          <w:spacing w:val="-24"/>
        </w:rPr>
        <w:t> </w:t>
      </w:r>
      <w:r>
        <w:rPr/>
        <w:t>13</w:t>
      </w:r>
      <w:r>
        <w:rPr>
          <w:spacing w:val="-23"/>
        </w:rPr>
        <w:t> </w:t>
      </w:r>
      <w:r>
        <w:rPr/>
        <w:t>家客户提供余额理财类系统，为</w:t>
      </w:r>
      <w:r>
        <w:rPr>
          <w:spacing w:val="-24"/>
        </w:rPr>
        <w:t> </w:t>
      </w:r>
      <w:r>
        <w:rPr/>
        <w:t>48</w:t>
      </w:r>
      <w:r>
        <w:rPr>
          <w:spacing w:val="-23"/>
        </w:rPr>
        <w:t> </w:t>
      </w:r>
      <w:r>
        <w:rPr/>
        <w:t>家客户提供第三方基金机构代销基金系统，累计为超过</w:t>
      </w:r>
      <w:r>
        <w:rPr/>
        <w:t> 20</w:t>
      </w:r>
      <w:r>
        <w:rPr>
          <w:spacing w:val="-54"/>
        </w:rPr>
        <w:t> </w:t>
      </w:r>
      <w:r>
        <w:rPr/>
        <w:t>家基金公司提供互联网金融</w:t>
      </w:r>
      <w:r>
        <w:rPr>
          <w:spacing w:val="-55"/>
        </w:rPr>
        <w:t> </w:t>
      </w:r>
      <w:r>
        <w:rPr/>
        <w:t>TA</w:t>
      </w:r>
      <w:r>
        <w:rPr>
          <w:spacing w:val="-54"/>
        </w:rPr>
        <w:t> </w:t>
      </w:r>
      <w:r>
        <w:rPr/>
        <w:t>系统，体现了公司良好的品牌效应。</w:t>
      </w:r>
    </w:p>
    <w:p>
      <w:pPr>
        <w:spacing w:line="240" w:lineRule="auto" w:before="0"/>
        <w:rPr>
          <w:rFonts w:ascii="宋体" w:hAnsi="宋体" w:cs="宋体" w:eastAsia="宋体" w:hint="default"/>
          <w:sz w:val="20"/>
          <w:szCs w:val="20"/>
        </w:rPr>
      </w:pPr>
    </w:p>
    <w:p>
      <w:pPr>
        <w:pStyle w:val="BodyText"/>
        <w:spacing w:line="350" w:lineRule="auto" w:before="167"/>
        <w:ind w:left="220" w:right="220"/>
        <w:jc w:val="both"/>
      </w:pPr>
      <w:r>
        <w:rPr>
          <w:spacing w:val="-4"/>
        </w:rPr>
        <w:t>3）泛金融</w:t>
      </w:r>
      <w:r>
        <w:rPr>
          <w:spacing w:val="-85"/>
        </w:rPr>
        <w:t> </w:t>
      </w:r>
      <w:r>
        <w:rPr/>
        <w:t>IT</w:t>
      </w:r>
      <w:r>
        <w:rPr>
          <w:spacing w:val="-85"/>
        </w:rPr>
        <w:t> </w:t>
      </w:r>
      <w:r>
        <w:rPr/>
        <w:t>业务：保持传统业务优势地位，确保新业务快速发展。报告期内，公司新增泛金融客</w:t>
      </w:r>
      <w:r>
        <w:rPr/>
        <w:t> 户</w:t>
      </w:r>
      <w:r>
        <w:rPr>
          <w:spacing w:val="-45"/>
        </w:rPr>
        <w:t> </w:t>
      </w:r>
      <w:r>
        <w:rPr/>
        <w:t>14</w:t>
      </w:r>
      <w:r>
        <w:rPr>
          <w:spacing w:val="-45"/>
        </w:rPr>
        <w:t> </w:t>
      </w:r>
      <w:r>
        <w:rPr/>
        <w:t>家，不仅中标了青岛、内蒙古、陕西、深圳、成都、山西等多地股权交易中心的系统项目，</w:t>
      </w:r>
      <w:r>
        <w:rPr/>
        <w:t> </w:t>
      </w:r>
      <w:r>
        <w:rPr>
          <w:spacing w:val="-3"/>
        </w:rPr>
        <w:t>还中标了新疆中亚商品交易中心、深圳前海金融资产交易所、前海国际船艇交易中心等领域的系统</w:t>
      </w:r>
      <w:r>
        <w:rPr>
          <w:spacing w:val="-66"/>
        </w:rPr>
        <w:t> </w:t>
      </w:r>
      <w:r>
        <w:rPr>
          <w:spacing w:val="-66"/>
        </w:rPr>
      </w:r>
      <w:r>
        <w:rPr/>
        <w:t>项目，其中信/成都（川藏）股权交易中心项目实现了公司泛金融云业务的落地，保持了公司在泛</w:t>
      </w:r>
      <w:r>
        <w:rPr>
          <w:spacing w:val="-93"/>
        </w:rPr>
        <w:t> </w:t>
      </w:r>
      <w:r>
        <w:rPr>
          <w:spacing w:val="-93"/>
        </w:rPr>
      </w:r>
      <w:r>
        <w:rPr>
          <w:spacing w:val="-3"/>
        </w:rPr>
        <w:t>金融行业的市场领先地位。同时，公司完成了综合金融服务平台、新一代托管交易平台等一系列新</w:t>
      </w:r>
      <w:r>
        <w:rPr>
          <w:spacing w:val="-65"/>
        </w:rPr>
        <w:t> </w:t>
      </w:r>
      <w:r>
        <w:rPr>
          <w:spacing w:val="-65"/>
        </w:rPr>
      </w:r>
      <w:r>
        <w:rPr/>
        <w:t>产品的开发及工程实施，并在此基础上不断进行业务功能的完善，确保新业务的快速发展。</w:t>
      </w:r>
    </w:p>
    <w:p>
      <w:pPr>
        <w:spacing w:line="240" w:lineRule="auto" w:before="0"/>
        <w:rPr>
          <w:rFonts w:ascii="宋体" w:hAnsi="宋体" w:cs="宋体" w:eastAsia="宋体" w:hint="default"/>
          <w:sz w:val="20"/>
          <w:szCs w:val="20"/>
        </w:rPr>
      </w:pPr>
    </w:p>
    <w:p>
      <w:pPr>
        <w:pStyle w:val="BodyText"/>
        <w:spacing w:line="350" w:lineRule="auto" w:before="167"/>
        <w:ind w:left="220" w:right="220"/>
        <w:jc w:val="both"/>
      </w:pPr>
      <w:r>
        <w:rPr/>
        <w:t>4）互联网金融</w:t>
      </w:r>
      <w:r>
        <w:rPr>
          <w:spacing w:val="-32"/>
        </w:rPr>
        <w:t> </w:t>
      </w:r>
      <w:r>
        <w:rPr/>
        <w:t>IT</w:t>
      </w:r>
      <w:r>
        <w:rPr>
          <w:spacing w:val="-31"/>
        </w:rPr>
        <w:t> </w:t>
      </w:r>
      <w:r>
        <w:rPr/>
        <w:t>业务：积极参与互联网金融业务，探索商业模式转型升级。2014</w:t>
      </w:r>
      <w:r>
        <w:rPr>
          <w:spacing w:val="-32"/>
        </w:rPr>
        <w:t> </w:t>
      </w:r>
      <w:r>
        <w:rPr/>
        <w:t>年是互联网金</w:t>
      </w:r>
      <w:r>
        <w:rPr/>
        <w:t> 融爆发年，公司凭借在互联网金融相关</w:t>
      </w:r>
      <w:r>
        <w:rPr>
          <w:spacing w:val="-45"/>
        </w:rPr>
        <w:t> </w:t>
      </w:r>
      <w:r>
        <w:rPr/>
        <w:t>IT</w:t>
      </w:r>
      <w:r>
        <w:rPr>
          <w:spacing w:val="-45"/>
        </w:rPr>
        <w:t> </w:t>
      </w:r>
      <w:r>
        <w:rPr/>
        <w:t>领域中建立的先发优势，一方面逐步加深与拉卡拉、快</w:t>
      </w:r>
      <w:r>
        <w:rPr/>
        <w:t> </w:t>
      </w:r>
      <w:r>
        <w:rPr>
          <w:spacing w:val="-3"/>
        </w:rPr>
        <w:t>捷通、京东、苏宁以及多家商业银行等企业之间的合作，一方面积极推进在互联网金融业务领域的</w:t>
      </w:r>
      <w:r>
        <w:rPr>
          <w:spacing w:val="-65"/>
        </w:rPr>
        <w:t> </w:t>
      </w:r>
      <w:r>
        <w:rPr>
          <w:spacing w:val="-65"/>
        </w:rPr>
      </w:r>
      <w:r>
        <w:rPr>
          <w:spacing w:val="-3"/>
        </w:rPr>
        <w:t>创新升级，逐步探索新的商业模式。报告期内，公司与平安银行、中山证券、国海证券签署了战略</w:t>
      </w:r>
      <w:r>
        <w:rPr>
          <w:spacing w:val="-66"/>
        </w:rPr>
        <w:t> </w:t>
      </w:r>
      <w:r>
        <w:rPr>
          <w:spacing w:val="-66"/>
        </w:rPr>
      </w:r>
      <w:r>
        <w:rPr>
          <w:spacing w:val="-3"/>
        </w:rPr>
        <w:t>合作协议，共同探索互联网金融的发展路径，实现优势互补，携手共赢；此外，公司还与腾讯签署</w:t>
      </w:r>
      <w:r>
        <w:rPr>
          <w:spacing w:val="-66"/>
        </w:rPr>
        <w:t> </w:t>
      </w:r>
      <w:r>
        <w:rPr>
          <w:spacing w:val="-66"/>
        </w:rPr>
      </w:r>
      <w:r>
        <w:rPr/>
        <w:t>合作协议，面向市场推出了</w:t>
      </w:r>
      <w:r>
        <w:rPr>
          <w:spacing w:val="-62"/>
        </w:rPr>
        <w:t> </w:t>
      </w:r>
      <w:r>
        <w:rPr/>
        <w:t>Q</w:t>
      </w:r>
      <w:r>
        <w:rPr>
          <w:spacing w:val="-62"/>
        </w:rPr>
        <w:t> </w:t>
      </w:r>
      <w:r>
        <w:rPr>
          <w:spacing w:val="-4"/>
        </w:rPr>
        <w:t>计划、微证券等系列产品，目前</w:t>
      </w:r>
      <w:r>
        <w:rPr>
          <w:spacing w:val="-62"/>
        </w:rPr>
        <w:t> </w:t>
      </w:r>
      <w:r>
        <w:rPr/>
        <w:t>Q</w:t>
      </w:r>
      <w:r>
        <w:rPr>
          <w:spacing w:val="-62"/>
        </w:rPr>
        <w:t> </w:t>
      </w:r>
      <w:r>
        <w:rPr/>
        <w:t>计划已成功接入四家证券公司，微</w:t>
      </w:r>
      <w:r>
        <w:rPr/>
        <w:t> </w:t>
      </w:r>
      <w:r>
        <w:rPr>
          <w:spacing w:val="-3"/>
        </w:rPr>
        <w:t>证券即将接入三家证券公司。在此过程中，分成收入模式是公司在商业模式上的一大创新，使得公</w:t>
      </w:r>
      <w:r>
        <w:rPr>
          <w:spacing w:val="-66"/>
        </w:rPr>
        <w:t> </w:t>
      </w:r>
      <w:r>
        <w:rPr>
          <w:spacing w:val="-66"/>
        </w:rPr>
      </w:r>
      <w:r>
        <w:rPr>
          <w:spacing w:val="-3"/>
        </w:rPr>
        <w:t>司初步实现了以流量共享的方式分享行业的成长，互联网金融服务平台的搭建也为公司探索商业模</w:t>
      </w:r>
      <w:r>
        <w:rPr>
          <w:spacing w:val="-65"/>
        </w:rPr>
        <w:t> </w:t>
      </w:r>
      <w:r>
        <w:rPr>
          <w:spacing w:val="-65"/>
        </w:rPr>
      </w:r>
      <w:r>
        <w:rPr/>
        <w:t>式的转型升级提供了良好的基础和经验。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14"/>
          <w:pgSz w:w="11910" w:h="16840"/>
          <w:pgMar w:footer="1197" w:header="0" w:top="1120" w:bottom="1380" w:left="1220" w:right="1300"/>
        </w:sectPr>
      </w:pPr>
    </w:p>
    <w:p>
      <w:pPr>
        <w:pStyle w:val="Heading3"/>
        <w:spacing w:line="240" w:lineRule="auto"/>
        <w:ind w:left="220"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4"/>
        </w:rPr>
        <w:t> </w:t>
      </w:r>
      <w:r>
        <w:rPr/>
        <w:t>主营业务分析</w:t>
      </w:r>
      <w:r>
        <w:rPr>
          <w:b w:val="0"/>
          <w:bCs w:val="0"/>
        </w:rPr>
      </w:r>
    </w:p>
    <w:p>
      <w:pPr>
        <w:pStyle w:val="Heading3"/>
        <w:tabs>
          <w:tab w:pos="588" w:val="left" w:leader="none"/>
        </w:tabs>
        <w:spacing w:line="240" w:lineRule="auto" w:before="29"/>
        <w:ind w:left="220" w:right="0"/>
        <w:jc w:val="left"/>
        <w:rPr>
          <w:b w:val="0"/>
          <w:bCs w:val="0"/>
        </w:rPr>
      </w:pPr>
      <w:r>
        <w:rPr>
          <w:w w:val="95"/>
        </w:rPr>
        <w:t>1</w:t>
        <w:tab/>
        <w:t>利润表及现金流量表相关科目变动分析表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5" w:val="left" w:leader="none"/>
        </w:tabs>
        <w:spacing w:line="240" w:lineRule="auto" w:before="175"/>
        <w:ind w:left="220" w:right="0"/>
        <w:jc w:val="left"/>
      </w:pPr>
      <w:r>
        <w:rPr/>
        <w:t>单位:元</w:t>
        <w:tab/>
        <w:t>币种:人民币</w:t>
      </w:r>
    </w:p>
    <w:p>
      <w:pPr>
        <w:spacing w:after="0" w:line="240" w:lineRule="auto"/>
        <w:jc w:val="left"/>
        <w:sectPr>
          <w:type w:val="continuous"/>
          <w:pgSz w:w="11910" w:h="16840"/>
          <w:pgMar w:top="1080" w:bottom="1380" w:left="1220" w:right="1300"/>
          <w:cols w:num="2" w:equalWidth="0">
            <w:col w:w="4383" w:space="2459"/>
            <w:col w:w="2548"/>
          </w:cols>
        </w:sectPr>
      </w:pPr>
    </w:p>
    <w:p>
      <w:pPr>
        <w:spacing w:line="240" w:lineRule="auto" w:before="6"/>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484"/>
        <w:gridCol w:w="1920"/>
        <w:gridCol w:w="1919"/>
        <w:gridCol w:w="1835"/>
      </w:tblGrid>
      <w:tr>
        <w:trPr>
          <w:trHeight w:val="283" w:hRule="exact"/>
        </w:trPr>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科目</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变动比例（%）</w:t>
            </w:r>
          </w:p>
        </w:tc>
      </w:tr>
      <w:tr>
        <w:trPr>
          <w:trHeight w:val="282" w:hRule="exact"/>
        </w:trPr>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center"/>
              <w:rPr>
                <w:rFonts w:ascii="宋体" w:hAnsi="宋体" w:cs="宋体" w:eastAsia="宋体" w:hint="default"/>
                <w:sz w:val="21"/>
                <w:szCs w:val="21"/>
              </w:rPr>
            </w:pPr>
            <w:r>
              <w:rPr>
                <w:rFonts w:ascii="宋体"/>
                <w:sz w:val="21"/>
              </w:rPr>
              <w:t>2,368,042,840.46</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center"/>
              <w:rPr>
                <w:rFonts w:ascii="宋体" w:hAnsi="宋体" w:cs="宋体" w:eastAsia="宋体" w:hint="default"/>
                <w:sz w:val="21"/>
                <w:szCs w:val="21"/>
              </w:rPr>
            </w:pPr>
            <w:r>
              <w:rPr>
                <w:rFonts w:ascii="宋体"/>
                <w:sz w:val="21"/>
              </w:rPr>
              <w:t>2,031,613,437.82</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7" w:right="0"/>
              <w:jc w:val="left"/>
              <w:rPr>
                <w:rFonts w:ascii="宋体" w:hAnsi="宋体" w:cs="宋体" w:eastAsia="宋体" w:hint="default"/>
                <w:sz w:val="21"/>
                <w:szCs w:val="21"/>
              </w:rPr>
            </w:pPr>
            <w:r>
              <w:rPr>
                <w:rFonts w:ascii="宋体"/>
                <w:sz w:val="21"/>
              </w:rPr>
              <w:t>16.56</w:t>
            </w:r>
          </w:p>
        </w:tc>
      </w:tr>
    </w:tbl>
    <w:p>
      <w:pPr>
        <w:spacing w:after="0" w:line="240" w:lineRule="exact"/>
        <w:jc w:val="left"/>
        <w:rPr>
          <w:rFonts w:ascii="宋体" w:hAnsi="宋体" w:cs="宋体" w:eastAsia="宋体" w:hint="default"/>
          <w:sz w:val="21"/>
          <w:szCs w:val="21"/>
        </w:rPr>
        <w:sectPr>
          <w:type w:val="continuous"/>
          <w:pgSz w:w="11910" w:h="16840"/>
          <w:pgMar w:top="108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3484"/>
        <w:gridCol w:w="1920"/>
        <w:gridCol w:w="1919"/>
        <w:gridCol w:w="1835"/>
      </w:tblGrid>
      <w:tr>
        <w:trPr>
          <w:trHeight w:val="282" w:hRule="exact"/>
        </w:trPr>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1,855,701,913.61</w:t>
            </w:r>
            <w:r>
              <w:rPr>
                <w:rFonts w:ascii="宋体"/>
                <w:sz w:val="21"/>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1,612,993,417.89</w:t>
            </w:r>
            <w:r>
              <w:rPr>
                <w:rFonts w:ascii="宋体"/>
                <w:sz w:val="21"/>
              </w:rPr>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15.05</w:t>
            </w:r>
          </w:p>
        </w:tc>
      </w:tr>
      <w:tr>
        <w:trPr>
          <w:trHeight w:val="282" w:hRule="exact"/>
        </w:trPr>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75,155,853.66</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69,928,634.26</w:t>
            </w:r>
            <w:r>
              <w:rPr>
                <w:rFonts w:ascii="宋体"/>
                <w:sz w:val="21"/>
              </w:rPr>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7.48</w:t>
            </w:r>
          </w:p>
        </w:tc>
      </w:tr>
      <w:tr>
        <w:trPr>
          <w:trHeight w:val="282" w:hRule="exact"/>
        </w:trPr>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338,716,324.85</w:t>
            </w:r>
            <w:r>
              <w:rPr>
                <w:rFonts w:ascii="宋体"/>
                <w:sz w:val="21"/>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293,903,956.87</w:t>
            </w:r>
            <w:r>
              <w:rPr>
                <w:rFonts w:ascii="宋体"/>
                <w:sz w:val="21"/>
              </w:rPr>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15.25</w:t>
            </w:r>
          </w:p>
        </w:tc>
      </w:tr>
      <w:tr>
        <w:trPr>
          <w:trHeight w:val="283" w:hRule="exact"/>
        </w:trPr>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-123,616,234.98</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-90,102,698.71</w:t>
            </w:r>
            <w:r>
              <w:rPr>
                <w:rFonts w:ascii="宋体"/>
                <w:sz w:val="21"/>
              </w:rPr>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-37.19</w:t>
            </w:r>
          </w:p>
        </w:tc>
      </w:tr>
      <w:tr>
        <w:trPr>
          <w:trHeight w:val="282" w:hRule="exact"/>
        </w:trPr>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100,925,575.61</w:t>
            </w:r>
            <w:r>
              <w:rPr>
                <w:rFonts w:ascii="宋体"/>
                <w:sz w:val="21"/>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88,758,297.48</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13.71</w:t>
            </w:r>
          </w:p>
        </w:tc>
      </w:tr>
      <w:tr>
        <w:trPr>
          <w:trHeight w:val="282" w:hRule="exact"/>
        </w:trPr>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-37,765,576.71</w:t>
            </w:r>
            <w:r>
              <w:rPr>
                <w:rFonts w:ascii="宋体"/>
                <w:sz w:val="21"/>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-289,574,627.74</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86.96</w:t>
            </w:r>
          </w:p>
        </w:tc>
      </w:tr>
      <w:tr>
        <w:trPr>
          <w:trHeight w:val="283" w:hRule="exact"/>
        </w:trPr>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-122,879,144.13</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270,200,403.23</w:t>
            </w:r>
            <w:r>
              <w:rPr>
                <w:rFonts w:ascii="宋体"/>
                <w:sz w:val="21"/>
              </w:rPr>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-145.48</w:t>
            </w:r>
          </w:p>
        </w:tc>
      </w:tr>
      <w:tr>
        <w:trPr>
          <w:trHeight w:val="282" w:hRule="exact"/>
        </w:trPr>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204,038,553.82</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146,649,321.44</w:t>
            </w:r>
            <w:r>
              <w:rPr>
                <w:rFonts w:ascii="宋体"/>
                <w:sz w:val="21"/>
              </w:rPr>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w w:val="95"/>
                <w:sz w:val="21"/>
              </w:rPr>
              <w:t>39.13</w:t>
            </w:r>
            <w:r>
              <w:rPr>
                <w:rFonts w:ascii="宋体"/>
                <w:w w:val="95"/>
                <w:sz w:val="21"/>
              </w:rPr>
            </w:r>
          </w:p>
        </w:tc>
      </w:tr>
    </w:tbl>
    <w:p>
      <w:pPr>
        <w:spacing w:line="240" w:lineRule="auto" w:before="11"/>
        <w:rPr>
          <w:rFonts w:ascii="宋体" w:hAnsi="宋体" w:cs="宋体" w:eastAsia="宋体" w:hint="default"/>
          <w:sz w:val="18"/>
          <w:szCs w:val="18"/>
        </w:rPr>
      </w:pPr>
    </w:p>
    <w:p>
      <w:pPr>
        <w:pStyle w:val="Heading3"/>
        <w:tabs>
          <w:tab w:pos="1070" w:val="left" w:leader="none"/>
        </w:tabs>
        <w:spacing w:line="240" w:lineRule="auto"/>
        <w:ind w:left="220" w:right="3956"/>
        <w:jc w:val="left"/>
        <w:rPr>
          <w:b w:val="0"/>
          <w:bCs w:val="0"/>
        </w:rPr>
      </w:pPr>
      <w:r>
        <w:rPr>
          <w:w w:val="95"/>
        </w:rPr>
        <w:t>2</w:t>
        <w:tab/>
      </w:r>
      <w:r>
        <w:rPr/>
        <w:t>收入</w:t>
      </w:r>
      <w:r>
        <w:rPr>
          <w:b w:val="0"/>
          <w:bCs w:val="0"/>
        </w:rPr>
      </w:r>
    </w:p>
    <w:p>
      <w:pPr>
        <w:pStyle w:val="Heading3"/>
        <w:spacing w:line="240" w:lineRule="auto" w:before="168"/>
        <w:ind w:left="220" w:right="3956"/>
        <w:jc w:val="left"/>
        <w:rPr>
          <w:b w:val="0"/>
          <w:bCs w:val="0"/>
        </w:rPr>
      </w:pPr>
      <w:r>
        <w:rPr/>
        <w:t>(1)</w:t>
      </w:r>
      <w:r>
        <w:rPr>
          <w:spacing w:val="-59"/>
        </w:rPr>
        <w:t> </w:t>
      </w:r>
      <w:r>
        <w:rPr/>
        <w:t>驱动业务收入变化的因素分析</w:t>
      </w:r>
      <w:r>
        <w:rPr>
          <w:b w:val="0"/>
          <w:bCs w:val="0"/>
        </w:rPr>
      </w:r>
    </w:p>
    <w:p>
      <w:pPr>
        <w:spacing w:line="240" w:lineRule="auto" w:before="2"/>
        <w:rPr>
          <w:rFonts w:ascii="宋体" w:hAnsi="宋体" w:cs="宋体" w:eastAsia="宋体" w:hint="default"/>
          <w:b/>
          <w:bCs/>
          <w:sz w:val="14"/>
          <w:szCs w:val="14"/>
        </w:rPr>
      </w:pPr>
    </w:p>
    <w:p>
      <w:pPr>
        <w:pStyle w:val="BodyText"/>
        <w:spacing w:line="350" w:lineRule="auto"/>
        <w:ind w:left="220" w:right="220" w:firstLine="422"/>
        <w:jc w:val="both"/>
      </w:pPr>
      <w:r>
        <w:rPr>
          <w:spacing w:val="-3"/>
        </w:rPr>
        <w:t>报告期内，公司营业收入</w:t>
      </w:r>
      <w:r>
        <w:rPr>
          <w:spacing w:val="-61"/>
        </w:rPr>
        <w:t> </w:t>
      </w:r>
      <w:r>
        <w:rPr/>
        <w:t>236,804.28</w:t>
      </w:r>
      <w:r>
        <w:rPr>
          <w:spacing w:val="-60"/>
        </w:rPr>
        <w:t> </w:t>
      </w:r>
      <w:r>
        <w:rPr>
          <w:spacing w:val="-3"/>
        </w:rPr>
        <w:t>万元，同比增速</w:t>
      </w:r>
      <w:r>
        <w:rPr>
          <w:spacing w:val="-61"/>
        </w:rPr>
        <w:t> </w:t>
      </w:r>
      <w:r>
        <w:rPr/>
        <w:t>16.56%；伴随下游行业不断回暖与金融</w:t>
      </w:r>
      <w:r>
        <w:rPr>
          <w:spacing w:val="-1"/>
        </w:rPr>
        <w:t> </w:t>
      </w:r>
      <w:r>
        <w:rPr>
          <w:spacing w:val="-3"/>
        </w:rPr>
        <w:t>创新业务的进一步落地，公司营业收入持续提高。其中，定制软件收入</w:t>
      </w:r>
      <w:r>
        <w:rPr>
          <w:spacing w:val="-41"/>
        </w:rPr>
        <w:t> </w:t>
      </w:r>
      <w:r>
        <w:rPr/>
        <w:t>27,337.31</w:t>
      </w:r>
      <w:r>
        <w:rPr>
          <w:spacing w:val="-40"/>
        </w:rPr>
        <w:t> </w:t>
      </w:r>
      <w:r>
        <w:rPr>
          <w:spacing w:val="-4"/>
        </w:rPr>
        <w:t>万元，同比增速</w:t>
      </w:r>
      <w:r>
        <w:rPr>
          <w:spacing w:val="-102"/>
        </w:rPr>
        <w:t> </w:t>
      </w:r>
      <w:r>
        <w:rPr>
          <w:spacing w:val="-102"/>
        </w:rPr>
      </w:r>
      <w:r>
        <w:rPr>
          <w:spacing w:val="-2"/>
        </w:rPr>
        <w:t>39.08%，表明受益于下游行业的整体复苏、金融创新政策的进一步落地以及互联网金融行业的高速</w:t>
      </w:r>
      <w:r>
        <w:rPr/>
        <w:t> 发展，公司证券、基金、泛金融、互联网金融业务收入增速较快。</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3"/>
        <w:spacing w:line="240" w:lineRule="auto" w:before="0"/>
        <w:ind w:left="220" w:right="3956"/>
        <w:jc w:val="left"/>
        <w:rPr>
          <w:b w:val="0"/>
          <w:bCs w:val="0"/>
        </w:rPr>
      </w:pPr>
      <w:r>
        <w:rPr/>
        <w:t>(2)</w:t>
      </w:r>
      <w:r>
        <w:rPr>
          <w:spacing w:val="-61"/>
        </w:rPr>
        <w:t> </w:t>
      </w:r>
      <w:r>
        <w:rPr/>
        <w:t>以实物销售为主的公司产品收入影响因素分析</w:t>
      </w:r>
      <w:r>
        <w:rPr>
          <w:b w:val="0"/>
          <w:bCs w:val="0"/>
        </w:rPr>
      </w:r>
    </w:p>
    <w:p>
      <w:pPr>
        <w:spacing w:line="240" w:lineRule="auto" w:before="2"/>
        <w:rPr>
          <w:rFonts w:ascii="宋体" w:hAnsi="宋体" w:cs="宋体" w:eastAsia="宋体" w:hint="default"/>
          <w:b/>
          <w:bCs/>
          <w:sz w:val="14"/>
          <w:szCs w:val="14"/>
        </w:rPr>
      </w:pPr>
    </w:p>
    <w:p>
      <w:pPr>
        <w:pStyle w:val="BodyText"/>
        <w:spacing w:line="240" w:lineRule="auto"/>
        <w:ind w:left="220" w:right="3956"/>
        <w:jc w:val="left"/>
      </w:pPr>
      <w:r>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Heading3"/>
        <w:spacing w:line="240" w:lineRule="auto" w:before="0"/>
        <w:ind w:left="220" w:right="3956"/>
        <w:jc w:val="left"/>
        <w:rPr>
          <w:b w:val="0"/>
          <w:bCs w:val="0"/>
        </w:rPr>
      </w:pPr>
      <w:r>
        <w:rPr/>
        <w:t>(3)</w:t>
      </w:r>
      <w:r>
        <w:rPr>
          <w:spacing w:val="-56"/>
        </w:rPr>
        <w:t> </w:t>
      </w:r>
      <w:r>
        <w:rPr/>
        <w:t>订单分析</w:t>
      </w:r>
      <w:r>
        <w:rPr>
          <w:b w:val="0"/>
          <w:bCs w:val="0"/>
        </w:rPr>
      </w:r>
    </w:p>
    <w:p>
      <w:pPr>
        <w:spacing w:line="240" w:lineRule="auto" w:before="2"/>
        <w:rPr>
          <w:rFonts w:ascii="宋体" w:hAnsi="宋体" w:cs="宋体" w:eastAsia="宋体" w:hint="default"/>
          <w:b/>
          <w:bCs/>
          <w:sz w:val="14"/>
          <w:szCs w:val="14"/>
        </w:rPr>
      </w:pPr>
    </w:p>
    <w:p>
      <w:pPr>
        <w:pStyle w:val="BodyText"/>
        <w:spacing w:line="348" w:lineRule="auto"/>
        <w:ind w:left="220" w:right="278"/>
        <w:jc w:val="left"/>
      </w:pPr>
      <w:r>
        <w:rPr/>
        <w:t>报告期内，公司订单情况进展顺利。在证券</w:t>
      </w:r>
      <w:r>
        <w:rPr>
          <w:spacing w:val="-54"/>
        </w:rPr>
        <w:t> </w:t>
      </w:r>
      <w:r>
        <w:rPr/>
        <w:t>IT、基金</w:t>
      </w:r>
      <w:r>
        <w:rPr>
          <w:spacing w:val="-54"/>
        </w:rPr>
        <w:t> </w:t>
      </w:r>
      <w:r>
        <w:rPr/>
        <w:t>IT、泛金融</w:t>
      </w:r>
      <w:r>
        <w:rPr>
          <w:spacing w:val="-54"/>
        </w:rPr>
        <w:t> </w:t>
      </w:r>
      <w:r>
        <w:rPr/>
        <w:t>IT、互联网金融</w:t>
      </w:r>
      <w:r>
        <w:rPr>
          <w:spacing w:val="-54"/>
        </w:rPr>
        <w:t> </w:t>
      </w:r>
      <w:r>
        <w:rPr/>
        <w:t>IT</w:t>
      </w:r>
      <w:r>
        <w:rPr>
          <w:spacing w:val="-53"/>
        </w:rPr>
        <w:t> </w:t>
      </w:r>
      <w:r>
        <w:rPr/>
        <w:t>等方面均有</w:t>
      </w:r>
      <w:r>
        <w:rPr/>
        <w:t> 序推进。</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Heading3"/>
        <w:spacing w:line="240" w:lineRule="auto" w:before="0"/>
        <w:ind w:left="220" w:right="3956"/>
        <w:jc w:val="left"/>
        <w:rPr>
          <w:b w:val="0"/>
          <w:bCs w:val="0"/>
        </w:rPr>
      </w:pPr>
      <w:r>
        <w:rPr/>
        <w:t>(4)</w:t>
      </w:r>
      <w:r>
        <w:rPr>
          <w:spacing w:val="-60"/>
        </w:rPr>
        <w:t> </w:t>
      </w:r>
      <w:r>
        <w:rPr/>
        <w:t>新产品及新服务的影响分析</w:t>
      </w:r>
      <w:r>
        <w:rPr>
          <w:b w:val="0"/>
          <w:bCs w:val="0"/>
        </w:rPr>
      </w:r>
    </w:p>
    <w:p>
      <w:pPr>
        <w:spacing w:line="240" w:lineRule="auto" w:before="2"/>
        <w:rPr>
          <w:rFonts w:ascii="宋体" w:hAnsi="宋体" w:cs="宋体" w:eastAsia="宋体" w:hint="default"/>
          <w:b/>
          <w:bCs/>
          <w:sz w:val="14"/>
          <w:szCs w:val="14"/>
        </w:rPr>
      </w:pPr>
    </w:p>
    <w:p>
      <w:pPr>
        <w:pStyle w:val="BodyText"/>
        <w:spacing w:line="350" w:lineRule="auto"/>
        <w:ind w:left="220" w:right="115"/>
        <w:jc w:val="left"/>
      </w:pPr>
      <w:r>
        <w:rPr/>
        <w:t>证券</w:t>
      </w:r>
      <w:r>
        <w:rPr>
          <w:spacing w:val="-42"/>
        </w:rPr>
        <w:t> </w:t>
      </w:r>
      <w:r>
        <w:rPr/>
        <w:t>IT</w:t>
      </w:r>
      <w:r>
        <w:rPr>
          <w:spacing w:val="-40"/>
        </w:rPr>
        <w:t> </w:t>
      </w:r>
      <w:r>
        <w:rPr>
          <w:spacing w:val="-4"/>
        </w:rPr>
        <w:t>业务方面，公司完成了沪港通、中登一码通、个股期权等系统的研发工作，加快个股期权、</w:t>
      </w:r>
      <w:r>
        <w:rPr>
          <w:spacing w:val="-95"/>
        </w:rPr>
        <w:t> </w:t>
      </w:r>
      <w:r>
        <w:rPr>
          <w:spacing w:val="-95"/>
        </w:rPr>
      </w:r>
      <w:r>
        <w:rPr/>
        <w:t>OTC、新三板做市、财富管理、多金融产品销售、股票质押、VIP</w:t>
      </w:r>
      <w:r>
        <w:rPr>
          <w:spacing w:val="-61"/>
        </w:rPr>
        <w:t> </w:t>
      </w:r>
      <w:r>
        <w:rPr/>
        <w:t>订单等创新业务的推广；基金</w:t>
      </w:r>
      <w:r>
        <w:rPr>
          <w:spacing w:val="-62"/>
        </w:rPr>
        <w:t> </w:t>
      </w:r>
      <w:r>
        <w:rPr/>
        <w:t>IT</w:t>
      </w:r>
      <w:r>
        <w:rPr>
          <w:spacing w:val="-1"/>
        </w:rPr>
        <w:t> </w:t>
      </w:r>
      <w:r>
        <w:rPr/>
        <w:t>业务方面，新版基金系统进入产品成熟期，互联网业务进展顺利，IT</w:t>
      </w:r>
      <w:r>
        <w:rPr>
          <w:spacing w:val="-53"/>
        </w:rPr>
        <w:t> </w:t>
      </w:r>
      <w:r>
        <w:rPr/>
        <w:t>外包服务和资管云服务等创</w:t>
      </w:r>
      <w:r>
        <w:rPr/>
        <w:t> 新性业务的推出进一步提升了公司的行业竞争力；泛金融</w:t>
      </w:r>
      <w:r>
        <w:rPr>
          <w:spacing w:val="-61"/>
        </w:rPr>
        <w:t> </w:t>
      </w:r>
      <w:r>
        <w:rPr/>
        <w:t>IT</w:t>
      </w:r>
      <w:r>
        <w:rPr>
          <w:spacing w:val="-61"/>
        </w:rPr>
        <w:t> </w:t>
      </w:r>
      <w:r>
        <w:rPr/>
        <w:t>业务方面，泛金融云已成功上线，未</w:t>
      </w:r>
      <w:r>
        <w:rPr>
          <w:spacing w:val="-1"/>
        </w:rPr>
        <w:t> </w:t>
      </w:r>
      <w:r>
        <w:rPr>
          <w:spacing w:val="-3"/>
        </w:rPr>
        <w:t>来将进一步强化公司在产权、商品交易所等</w:t>
      </w:r>
      <w:r>
        <w:rPr>
          <w:spacing w:val="-51"/>
        </w:rPr>
        <w:t> </w:t>
      </w:r>
      <w:r>
        <w:rPr/>
        <w:t>IT</w:t>
      </w:r>
      <w:r>
        <w:rPr>
          <w:spacing w:val="-51"/>
        </w:rPr>
        <w:t> </w:t>
      </w:r>
      <w:r>
        <w:rPr>
          <w:spacing w:val="-4"/>
        </w:rPr>
        <w:t>领域的竞争力；互联网金融</w:t>
      </w:r>
      <w:r>
        <w:rPr>
          <w:spacing w:val="-51"/>
        </w:rPr>
        <w:t> </w:t>
      </w:r>
      <w:r>
        <w:rPr/>
        <w:t>IT</w:t>
      </w:r>
      <w:r>
        <w:rPr>
          <w:spacing w:val="-50"/>
        </w:rPr>
        <w:t> </w:t>
      </w:r>
      <w:r>
        <w:rPr>
          <w:spacing w:val="-4"/>
        </w:rPr>
        <w:t>业务方面，公司进一</w:t>
      </w:r>
      <w:r>
        <w:rPr>
          <w:spacing w:val="-99"/>
        </w:rPr>
        <w:t> </w:t>
      </w:r>
      <w:r>
        <w:rPr>
          <w:spacing w:val="-99"/>
        </w:rPr>
      </w:r>
      <w:r>
        <w:rPr/>
        <w:t>步加强与金融机构、互联网企业之间的合作，不断探索商业模式的转型升级。</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3"/>
        <w:spacing w:line="240" w:lineRule="auto" w:before="0"/>
        <w:ind w:left="220" w:right="3956"/>
        <w:jc w:val="left"/>
        <w:rPr>
          <w:b w:val="0"/>
          <w:bCs w:val="0"/>
        </w:rPr>
      </w:pPr>
      <w:r>
        <w:rPr/>
        <w:t>(5)</w:t>
      </w:r>
      <w:r>
        <w:rPr>
          <w:spacing w:val="-6"/>
        </w:rPr>
        <w:t> </w:t>
      </w:r>
      <w:r>
        <w:rPr/>
        <w:t>主要销售客户的情况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tbl>
      <w:tblPr>
        <w:tblW w:w="0" w:type="auto"/>
        <w:jc w:val="left"/>
        <w:tblInd w:w="199" w:type="dxa"/>
        <w:tblLayout w:type="fixed"/>
        <w:tblCellMar>
          <w:top w:w="0" w:type="dxa"/>
          <w:left w:w="0" w:type="dxa"/>
          <w:bottom w:w="0" w:type="dxa"/>
          <w:right w:w="0" w:type="dxa"/>
        </w:tblCellMar>
        <w:tblLook w:val="01E0"/>
      </w:tblPr>
      <w:tblGrid>
        <w:gridCol w:w="3844"/>
        <w:gridCol w:w="2126"/>
        <w:gridCol w:w="2977"/>
      </w:tblGrid>
      <w:tr>
        <w:trPr>
          <w:trHeight w:val="551" w:hRule="exact"/>
        </w:trPr>
        <w:tc>
          <w:tcPr>
            <w:tcW w:w="3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22"/>
                <w:szCs w:val="22"/>
              </w:rPr>
            </w:pPr>
            <w:r>
              <w:rPr>
                <w:rFonts w:ascii="宋体" w:hAnsi="宋体" w:cs="宋体" w:eastAsia="宋体" w:hint="default"/>
                <w:sz w:val="22"/>
                <w:szCs w:val="22"/>
              </w:rPr>
              <w:t>客户名称</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8" w:right="0"/>
              <w:jc w:val="left"/>
              <w:rPr>
                <w:rFonts w:ascii="宋体" w:hAnsi="宋体" w:cs="宋体" w:eastAsia="宋体" w:hint="default"/>
                <w:sz w:val="22"/>
                <w:szCs w:val="22"/>
              </w:rPr>
            </w:pPr>
            <w:r>
              <w:rPr>
                <w:rFonts w:ascii="宋体" w:hAnsi="宋体" w:cs="宋体" w:eastAsia="宋体" w:hint="default"/>
                <w:sz w:val="22"/>
                <w:szCs w:val="22"/>
              </w:rPr>
              <w:t>收入金额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9" w:right="0"/>
              <w:jc w:val="left"/>
              <w:rPr>
                <w:rFonts w:ascii="宋体" w:hAnsi="宋体" w:cs="宋体" w:eastAsia="宋体" w:hint="default"/>
                <w:sz w:val="22"/>
                <w:szCs w:val="22"/>
              </w:rPr>
            </w:pPr>
            <w:r>
              <w:rPr>
                <w:rFonts w:ascii="宋体" w:hAnsi="宋体" w:cs="宋体" w:eastAsia="宋体" w:hint="default"/>
                <w:sz w:val="22"/>
                <w:szCs w:val="22"/>
              </w:rPr>
              <w:t>占营业收入比例%</w:t>
            </w:r>
          </w:p>
        </w:tc>
      </w:tr>
    </w:tbl>
    <w:p>
      <w:pPr>
        <w:spacing w:after="0" w:line="240" w:lineRule="auto"/>
        <w:jc w:val="left"/>
        <w:rPr>
          <w:rFonts w:ascii="宋体" w:hAnsi="宋体" w:cs="宋体" w:eastAsia="宋体" w:hint="default"/>
          <w:sz w:val="22"/>
          <w:szCs w:val="22"/>
        </w:rPr>
        <w:sectPr>
          <w:footerReference w:type="default" r:id="rId15"/>
          <w:pgSz w:w="11910" w:h="16840"/>
          <w:pgMar w:footer="1197" w:header="0" w:top="1120" w:bottom="1380" w:left="1220" w:right="1300"/>
          <w:pgNumType w:start="1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1"/>
          <w:szCs w:val="11"/>
        </w:rPr>
      </w:pPr>
    </w:p>
    <w:tbl>
      <w:tblPr>
        <w:tblW w:w="0" w:type="auto"/>
        <w:jc w:val="left"/>
        <w:tblInd w:w="199" w:type="dxa"/>
        <w:tblLayout w:type="fixed"/>
        <w:tblCellMar>
          <w:top w:w="0" w:type="dxa"/>
          <w:left w:w="0" w:type="dxa"/>
          <w:bottom w:w="0" w:type="dxa"/>
          <w:right w:w="0" w:type="dxa"/>
        </w:tblCellMar>
        <w:tblLook w:val="01E0"/>
      </w:tblPr>
      <w:tblGrid>
        <w:gridCol w:w="3844"/>
        <w:gridCol w:w="2126"/>
        <w:gridCol w:w="2977"/>
      </w:tblGrid>
      <w:tr>
        <w:trPr>
          <w:trHeight w:val="545" w:hRule="exact"/>
        </w:trPr>
        <w:tc>
          <w:tcPr>
            <w:tcW w:w="38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22"/>
                <w:szCs w:val="22"/>
              </w:rPr>
            </w:pPr>
            <w:r>
              <w:rPr>
                <w:rFonts w:ascii="宋体" w:hAnsi="宋体" w:cs="宋体" w:eastAsia="宋体" w:hint="default"/>
                <w:sz w:val="22"/>
                <w:szCs w:val="22"/>
              </w:rPr>
              <w:t>中国证券登记结算有限责任公司</w:t>
            </w:r>
          </w:p>
        </w:tc>
        <w:tc>
          <w:tcPr>
            <w:tcW w:w="2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8"/>
              <w:ind w:right="100"/>
              <w:jc w:val="right"/>
              <w:rPr>
                <w:rFonts w:ascii="宋体" w:hAnsi="宋体" w:cs="宋体" w:eastAsia="宋体" w:hint="default"/>
                <w:sz w:val="21"/>
                <w:szCs w:val="21"/>
              </w:rPr>
            </w:pPr>
            <w:r>
              <w:rPr>
                <w:rFonts w:ascii="宋体"/>
                <w:spacing w:val="-1"/>
                <w:sz w:val="21"/>
              </w:rPr>
              <w:t>54,086,744.39</w:t>
            </w:r>
          </w:p>
        </w:tc>
        <w:tc>
          <w:tcPr>
            <w:tcW w:w="29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8"/>
              <w:ind w:right="100"/>
              <w:jc w:val="right"/>
              <w:rPr>
                <w:rFonts w:ascii="宋体" w:hAnsi="宋体" w:cs="宋体" w:eastAsia="宋体" w:hint="default"/>
                <w:sz w:val="21"/>
                <w:szCs w:val="21"/>
              </w:rPr>
            </w:pPr>
            <w:r>
              <w:rPr>
                <w:rFonts w:ascii="宋体"/>
                <w:spacing w:val="-1"/>
                <w:sz w:val="21"/>
              </w:rPr>
              <w:t>2.28</w:t>
            </w:r>
          </w:p>
        </w:tc>
      </w:tr>
      <w:tr>
        <w:trPr>
          <w:trHeight w:val="550" w:hRule="exact"/>
        </w:trPr>
        <w:tc>
          <w:tcPr>
            <w:tcW w:w="3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22"/>
                <w:szCs w:val="22"/>
              </w:rPr>
            </w:pPr>
            <w:r>
              <w:rPr>
                <w:rFonts w:ascii="宋体" w:hAnsi="宋体" w:cs="宋体" w:eastAsia="宋体" w:hint="default"/>
                <w:sz w:val="22"/>
                <w:szCs w:val="22"/>
              </w:rPr>
              <w:t>广州天诚伟业通信科技有限公司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宋体" w:hAnsi="宋体" w:cs="宋体" w:eastAsia="宋体" w:hint="default"/>
                <w:sz w:val="21"/>
                <w:szCs w:val="21"/>
              </w:rPr>
            </w:pPr>
            <w:r>
              <w:rPr>
                <w:rFonts w:ascii="宋体"/>
                <w:spacing w:val="-1"/>
                <w:sz w:val="21"/>
              </w:rPr>
              <w:t>39,357,145.70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1"/>
                <w:szCs w:val="21"/>
              </w:rPr>
            </w:pPr>
            <w:r>
              <w:rPr>
                <w:rFonts w:ascii="宋体"/>
                <w:spacing w:val="-1"/>
                <w:sz w:val="21"/>
              </w:rPr>
              <w:t>1.66</w:t>
            </w:r>
          </w:p>
        </w:tc>
      </w:tr>
      <w:tr>
        <w:trPr>
          <w:trHeight w:val="295" w:hRule="exact"/>
        </w:trPr>
        <w:tc>
          <w:tcPr>
            <w:tcW w:w="384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东华软件股份公司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0"/>
              <w:jc w:val="right"/>
              <w:rPr>
                <w:rFonts w:ascii="宋体" w:hAnsi="宋体" w:cs="宋体" w:eastAsia="宋体" w:hint="default"/>
                <w:sz w:val="21"/>
                <w:szCs w:val="21"/>
              </w:rPr>
            </w:pPr>
            <w:r>
              <w:rPr>
                <w:rFonts w:ascii="宋体"/>
                <w:spacing w:val="-1"/>
                <w:sz w:val="21"/>
              </w:rPr>
              <w:t>31,561,925.00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宋体" w:hAnsi="宋体" w:cs="宋体" w:eastAsia="宋体" w:hint="default"/>
                <w:sz w:val="21"/>
                <w:szCs w:val="21"/>
              </w:rPr>
            </w:pPr>
            <w:r>
              <w:rPr>
                <w:rFonts w:ascii="宋体"/>
                <w:spacing w:val="-1"/>
                <w:sz w:val="21"/>
              </w:rPr>
              <w:t>1.33</w:t>
            </w:r>
          </w:p>
        </w:tc>
      </w:tr>
      <w:tr>
        <w:trPr>
          <w:trHeight w:val="444" w:hRule="exact"/>
        </w:trPr>
        <w:tc>
          <w:tcPr>
            <w:tcW w:w="3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hAnsi="宋体" w:cs="宋体" w:eastAsia="宋体" w:hint="default"/>
                <w:sz w:val="22"/>
                <w:szCs w:val="22"/>
              </w:rPr>
              <w:t>深圳天源迪科信息技术股份有限公司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21"/>
                <w:szCs w:val="21"/>
              </w:rPr>
            </w:pPr>
            <w:r>
              <w:rPr>
                <w:rFonts w:ascii="宋体"/>
                <w:spacing w:val="-1"/>
                <w:sz w:val="21"/>
              </w:rPr>
              <w:t>30,000,000.00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1.27</w:t>
            </w:r>
          </w:p>
        </w:tc>
      </w:tr>
      <w:tr>
        <w:trPr>
          <w:trHeight w:val="325" w:hRule="exact"/>
        </w:trPr>
        <w:tc>
          <w:tcPr>
            <w:tcW w:w="38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2"/>
                <w:szCs w:val="22"/>
              </w:rPr>
            </w:pPr>
            <w:r>
              <w:rPr>
                <w:rFonts w:ascii="宋体" w:hAnsi="宋体" w:cs="宋体" w:eastAsia="宋体" w:hint="default"/>
                <w:sz w:val="22"/>
                <w:szCs w:val="22"/>
              </w:rPr>
              <w:t>北明软件股份有限公司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29,880,147.00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1.26</w:t>
            </w:r>
          </w:p>
        </w:tc>
      </w:tr>
      <w:tr>
        <w:trPr>
          <w:trHeight w:val="295" w:hRule="exact"/>
        </w:trPr>
        <w:tc>
          <w:tcPr>
            <w:tcW w:w="384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184,885,962.09</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7.81</w:t>
            </w:r>
          </w:p>
        </w:tc>
      </w:tr>
    </w:tbl>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0" w:footer="1197" w:top="1120" w:bottom="1380" w:left="1220" w:right="1300"/>
        </w:sectPr>
      </w:pPr>
    </w:p>
    <w:p>
      <w:pPr>
        <w:pStyle w:val="Heading3"/>
        <w:tabs>
          <w:tab w:pos="639" w:val="left" w:leader="none"/>
        </w:tabs>
        <w:spacing w:line="240" w:lineRule="auto"/>
        <w:ind w:left="220" w:right="-18"/>
        <w:jc w:val="left"/>
        <w:rPr>
          <w:b w:val="0"/>
          <w:bCs w:val="0"/>
        </w:rPr>
      </w:pPr>
      <w:r>
        <w:rPr>
          <w:w w:val="95"/>
        </w:rPr>
        <w:t>3</w:t>
        <w:tab/>
      </w:r>
      <w:r>
        <w:rPr/>
        <w:t>成本</w:t>
      </w:r>
      <w:r>
        <w:rPr>
          <w:b w:val="0"/>
          <w:bCs w:val="0"/>
        </w:rPr>
      </w:r>
    </w:p>
    <w:p>
      <w:pPr>
        <w:pStyle w:val="Heading3"/>
        <w:spacing w:line="240" w:lineRule="auto" w:before="57"/>
        <w:ind w:left="220" w:right="-18"/>
        <w:jc w:val="left"/>
        <w:rPr>
          <w:b w:val="0"/>
          <w:bCs w:val="0"/>
        </w:rPr>
      </w:pPr>
      <w:r>
        <w:rPr/>
        <w:t>(1)</w:t>
      </w:r>
      <w:r>
        <w:rPr>
          <w:spacing w:val="-58"/>
        </w:rPr>
        <w:t> </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20" w:right="0"/>
        <w:jc w:val="left"/>
      </w:pPr>
      <w:r>
        <w:rPr/>
        <w:t>单位：元</w:t>
      </w:r>
    </w:p>
    <w:p>
      <w:pPr>
        <w:spacing w:after="0" w:line="240" w:lineRule="auto"/>
        <w:jc w:val="left"/>
        <w:sectPr>
          <w:type w:val="continuous"/>
          <w:pgSz w:w="11910" w:h="16840"/>
          <w:pgMar w:top="1080" w:bottom="1380" w:left="1220" w:right="1300"/>
          <w:cols w:num="2" w:equalWidth="0">
            <w:col w:w="1642" w:space="6459"/>
            <w:col w:w="1289"/>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036"/>
        <w:gridCol w:w="956"/>
        <w:gridCol w:w="1896"/>
        <w:gridCol w:w="929"/>
        <w:gridCol w:w="1896"/>
        <w:gridCol w:w="858"/>
        <w:gridCol w:w="846"/>
        <w:gridCol w:w="740"/>
      </w:tblGrid>
      <w:tr>
        <w:trPr>
          <w:trHeight w:val="282" w:hRule="exact"/>
        </w:trPr>
        <w:tc>
          <w:tcPr>
            <w:tcW w:w="915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37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97"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58" w:right="156"/>
              <w:jc w:val="left"/>
              <w:rPr>
                <w:rFonts w:ascii="宋体" w:hAnsi="宋体" w:cs="宋体" w:eastAsia="宋体" w:hint="default"/>
                <w:sz w:val="21"/>
                <w:szCs w:val="21"/>
              </w:rPr>
            </w:pPr>
            <w:r>
              <w:rPr>
                <w:rFonts w:ascii="宋体" w:hAnsi="宋体" w:cs="宋体" w:eastAsia="宋体" w:hint="default"/>
                <w:sz w:val="21"/>
                <w:szCs w:val="21"/>
              </w:rPr>
              <w:t>成本构 成项目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44" w:right="143"/>
              <w:jc w:val="center"/>
              <w:rPr>
                <w:rFonts w:ascii="宋体" w:hAnsi="宋体" w:cs="宋体" w:eastAsia="宋体" w:hint="default"/>
                <w:sz w:val="21"/>
                <w:szCs w:val="21"/>
              </w:rPr>
            </w:pPr>
            <w:r>
              <w:rPr>
                <w:rFonts w:ascii="宋体" w:hAnsi="宋体" w:cs="宋体" w:eastAsia="宋体" w:hint="default"/>
                <w:sz w:val="21"/>
                <w:szCs w:val="21"/>
              </w:rPr>
              <w:t>本期占 总成本 比例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3"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9" w:right="107"/>
              <w:jc w:val="both"/>
              <w:rPr>
                <w:rFonts w:ascii="宋体" w:hAnsi="宋体" w:cs="宋体" w:eastAsia="宋体" w:hint="default"/>
                <w:sz w:val="21"/>
                <w:szCs w:val="21"/>
              </w:rPr>
            </w:pPr>
            <w:r>
              <w:rPr>
                <w:rFonts w:ascii="宋体" w:hAnsi="宋体" w:cs="宋体" w:eastAsia="宋体" w:hint="default"/>
                <w:sz w:val="21"/>
                <w:szCs w:val="21"/>
              </w:rPr>
              <w:t>上年同 期占总 成本比 例(%)</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before="1"/>
              <w:ind w:left="103" w:right="101"/>
              <w:jc w:val="both"/>
              <w:rPr>
                <w:rFonts w:ascii="宋体" w:hAnsi="宋体" w:cs="宋体" w:eastAsia="宋体" w:hint="default"/>
                <w:sz w:val="21"/>
                <w:szCs w:val="21"/>
              </w:rPr>
            </w:pPr>
            <w:r>
              <w:rPr>
                <w:rFonts w:ascii="宋体" w:hAnsi="宋体" w:cs="宋体" w:eastAsia="宋体" w:hint="default"/>
                <w:sz w:val="21"/>
                <w:szCs w:val="21"/>
              </w:rPr>
              <w:t>额较上 年同期 变动比 例(%)</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54" w:right="155"/>
              <w:jc w:val="left"/>
              <w:rPr>
                <w:rFonts w:ascii="宋体" w:hAnsi="宋体" w:cs="宋体" w:eastAsia="宋体" w:hint="default"/>
                <w:sz w:val="21"/>
                <w:szCs w:val="21"/>
              </w:rPr>
            </w:pPr>
            <w:r>
              <w:rPr>
                <w:rFonts w:ascii="宋体" w:hAnsi="宋体" w:cs="宋体" w:eastAsia="宋体" w:hint="default"/>
                <w:sz w:val="21"/>
                <w:szCs w:val="21"/>
              </w:rPr>
              <w:t>情况 说明</w:t>
            </w:r>
          </w:p>
        </w:tc>
      </w:tr>
      <w:tr>
        <w:trPr>
          <w:trHeight w:val="828"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4"/>
                <w:sz w:val="21"/>
                <w:szCs w:val="21"/>
              </w:rPr>
              <w:t>计算</w:t>
            </w:r>
            <w:r>
              <w:rPr>
                <w:rFonts w:ascii="宋体" w:hAnsi="宋体" w:cs="宋体" w:eastAsia="宋体" w:hint="default"/>
                <w:sz w:val="21"/>
                <w:szCs w:val="21"/>
              </w:rPr>
              <w:t>机</w:t>
            </w:r>
            <w:r>
              <w:rPr>
                <w:rFonts w:ascii="宋体" w:hAnsi="宋体" w:cs="宋体" w:eastAsia="宋体" w:hint="default"/>
                <w:spacing w:val="-11"/>
                <w:sz w:val="21"/>
                <w:szCs w:val="21"/>
              </w:rPr>
              <w:t> </w:t>
            </w:r>
            <w:r>
              <w:rPr>
                <w:rFonts w:ascii="宋体" w:hAnsi="宋体" w:cs="宋体" w:eastAsia="宋体" w:hint="default"/>
                <w:sz w:val="21"/>
                <w:szCs w:val="21"/>
              </w:rPr>
            </w:r>
          </w:p>
          <w:p>
            <w:pPr>
              <w:pStyle w:val="TableParagraph"/>
              <w:spacing w:line="272" w:lineRule="exact" w:before="26"/>
              <w:ind w:left="103" w:right="6"/>
              <w:jc w:val="left"/>
              <w:rPr>
                <w:rFonts w:ascii="宋体" w:hAnsi="宋体" w:cs="宋体" w:eastAsia="宋体" w:hint="default"/>
                <w:sz w:val="21"/>
                <w:szCs w:val="21"/>
              </w:rPr>
            </w:pPr>
            <w:r>
              <w:rPr>
                <w:rFonts w:ascii="宋体" w:hAnsi="宋体" w:cs="宋体" w:eastAsia="宋体" w:hint="default"/>
                <w:spacing w:val="62"/>
                <w:sz w:val="21"/>
                <w:szCs w:val="21"/>
              </w:rPr>
              <w:t>信息服</w:t>
            </w:r>
            <w:r>
              <w:rPr>
                <w:rFonts w:ascii="宋体" w:hAnsi="宋体" w:cs="宋体" w:eastAsia="宋体" w:hint="default"/>
                <w:spacing w:val="-11"/>
                <w:sz w:val="21"/>
                <w:szCs w:val="21"/>
              </w:rPr>
              <w:t> </w:t>
            </w:r>
            <w:r>
              <w:rPr>
                <w:rFonts w:ascii="宋体" w:hAnsi="宋体" w:cs="宋体" w:eastAsia="宋体" w:hint="default"/>
                <w:sz w:val="21"/>
                <w:szCs w:val="21"/>
              </w:rPr>
              <w:t>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45"/>
              <w:jc w:val="left"/>
              <w:rPr>
                <w:rFonts w:ascii="宋体" w:hAnsi="宋体" w:cs="宋体" w:eastAsia="宋体" w:hint="default"/>
                <w:sz w:val="21"/>
                <w:szCs w:val="21"/>
              </w:rPr>
            </w:pPr>
            <w:r>
              <w:rPr>
                <w:rFonts w:ascii="宋体" w:hAnsi="宋体" w:cs="宋体" w:eastAsia="宋体" w:hint="default"/>
                <w:spacing w:val="36"/>
                <w:sz w:val="21"/>
                <w:szCs w:val="21"/>
              </w:rPr>
              <w:t>营业成</w:t>
            </w:r>
            <w:r>
              <w:rPr>
                <w:rFonts w:ascii="宋体" w:hAnsi="宋体" w:cs="宋体" w:eastAsia="宋体" w:hint="default"/>
                <w:spacing w:val="-103"/>
                <w:sz w:val="21"/>
                <w:szCs w:val="21"/>
              </w:rPr>
              <w:t> </w:t>
            </w:r>
            <w:r>
              <w:rPr>
                <w:rFonts w:ascii="宋体" w:hAnsi="宋体" w:cs="宋体" w:eastAsia="宋体" w:hint="default"/>
                <w:sz w:val="21"/>
                <w:szCs w:val="21"/>
              </w:rPr>
              <w:t>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1,847,350,673.88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1,604,690,976.01</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15.12</w:t>
            </w: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03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915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372"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7"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58" w:right="156"/>
              <w:jc w:val="left"/>
              <w:rPr>
                <w:rFonts w:ascii="宋体" w:hAnsi="宋体" w:cs="宋体" w:eastAsia="宋体" w:hint="default"/>
                <w:sz w:val="21"/>
                <w:szCs w:val="21"/>
              </w:rPr>
            </w:pPr>
            <w:r>
              <w:rPr>
                <w:rFonts w:ascii="宋体" w:hAnsi="宋体" w:cs="宋体" w:eastAsia="宋体" w:hint="default"/>
                <w:sz w:val="21"/>
                <w:szCs w:val="21"/>
              </w:rPr>
              <w:t>成本构 成项目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44" w:right="143"/>
              <w:jc w:val="center"/>
              <w:rPr>
                <w:rFonts w:ascii="宋体" w:hAnsi="宋体" w:cs="宋体" w:eastAsia="宋体" w:hint="default"/>
                <w:sz w:val="21"/>
                <w:szCs w:val="21"/>
              </w:rPr>
            </w:pPr>
            <w:r>
              <w:rPr>
                <w:rFonts w:ascii="宋体" w:hAnsi="宋体" w:cs="宋体" w:eastAsia="宋体" w:hint="default"/>
                <w:sz w:val="21"/>
                <w:szCs w:val="21"/>
              </w:rPr>
              <w:t>本期占 总成本 比例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3"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9" w:right="107"/>
              <w:jc w:val="both"/>
              <w:rPr>
                <w:rFonts w:ascii="宋体" w:hAnsi="宋体" w:cs="宋体" w:eastAsia="宋体" w:hint="default"/>
                <w:sz w:val="21"/>
                <w:szCs w:val="21"/>
              </w:rPr>
            </w:pPr>
            <w:r>
              <w:rPr>
                <w:rFonts w:ascii="宋体" w:hAnsi="宋体" w:cs="宋体" w:eastAsia="宋体" w:hint="default"/>
                <w:sz w:val="21"/>
                <w:szCs w:val="21"/>
              </w:rPr>
              <w:t>上年同 期占总 成本比 例(%)</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z w:val="21"/>
                <w:szCs w:val="21"/>
              </w:rPr>
              <w:t>额较上 年同期 变动比 例(%)</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54" w:right="155"/>
              <w:jc w:val="left"/>
              <w:rPr>
                <w:rFonts w:ascii="宋体" w:hAnsi="宋体" w:cs="宋体" w:eastAsia="宋体" w:hint="default"/>
                <w:sz w:val="21"/>
                <w:szCs w:val="21"/>
              </w:rPr>
            </w:pPr>
            <w:r>
              <w:rPr>
                <w:rFonts w:ascii="宋体" w:hAnsi="宋体" w:cs="宋体" w:eastAsia="宋体" w:hint="default"/>
                <w:sz w:val="21"/>
                <w:szCs w:val="21"/>
              </w:rPr>
              <w:t>情况 说明</w:t>
            </w:r>
          </w:p>
        </w:tc>
      </w:tr>
      <w:tr>
        <w:trPr>
          <w:trHeight w:val="554"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4"/>
                <w:sz w:val="21"/>
                <w:szCs w:val="21"/>
              </w:rPr>
              <w:t>系统</w:t>
            </w:r>
            <w:r>
              <w:rPr>
                <w:rFonts w:ascii="宋体" w:hAnsi="宋体" w:cs="宋体" w:eastAsia="宋体" w:hint="default"/>
                <w:sz w:val="21"/>
                <w:szCs w:val="21"/>
              </w:rPr>
              <w:t>集</w:t>
            </w:r>
            <w:r>
              <w:rPr>
                <w:rFonts w:ascii="宋体" w:hAnsi="宋体" w:cs="宋体" w:eastAsia="宋体" w:hint="default"/>
                <w:spacing w:val="-11"/>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成</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6"/>
                <w:sz w:val="21"/>
                <w:szCs w:val="21"/>
              </w:rPr>
              <w:t>营业成</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215,125,650.61</w:t>
            </w:r>
            <w:r>
              <w:rPr>
                <w:rFonts w:ascii="宋体"/>
                <w:sz w:val="21"/>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11.65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206,803,083.58</w:t>
            </w:r>
            <w:r>
              <w:rPr>
                <w:rFonts w:ascii="宋体"/>
                <w:sz w:val="21"/>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12.89</w:t>
            </w:r>
            <w:r>
              <w:rPr>
                <w:rFonts w:ascii="宋体"/>
                <w:sz w:val="21"/>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4.02</w:t>
            </w: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4"/>
                <w:sz w:val="21"/>
                <w:szCs w:val="21"/>
              </w:rPr>
              <w:t>定制</w:t>
            </w:r>
            <w:r>
              <w:rPr>
                <w:rFonts w:ascii="宋体" w:hAnsi="宋体" w:cs="宋体" w:eastAsia="宋体" w:hint="default"/>
                <w:sz w:val="21"/>
                <w:szCs w:val="21"/>
              </w:rPr>
              <w:t>软</w:t>
            </w:r>
            <w:r>
              <w:rPr>
                <w:rFonts w:ascii="宋体" w:hAnsi="宋体" w:cs="宋体" w:eastAsia="宋体" w:hint="default"/>
                <w:spacing w:val="-11"/>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件</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6"/>
                <w:sz w:val="21"/>
                <w:szCs w:val="21"/>
              </w:rPr>
              <w:t>营业成</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13,668,034.25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0.74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20,182,385.60</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1.26</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-32.28</w:t>
            </w: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94"/>
                <w:sz w:val="21"/>
                <w:szCs w:val="21"/>
              </w:rPr>
              <w:t>系统</w:t>
            </w:r>
            <w:r>
              <w:rPr>
                <w:rFonts w:ascii="宋体" w:hAnsi="宋体" w:cs="宋体" w:eastAsia="宋体" w:hint="default"/>
                <w:sz w:val="21"/>
                <w:szCs w:val="21"/>
              </w:rPr>
              <w:t>维</w:t>
            </w:r>
            <w:r>
              <w:rPr>
                <w:rFonts w:ascii="宋体" w:hAnsi="宋体" w:cs="宋体" w:eastAsia="宋体" w:hint="default"/>
                <w:spacing w:val="-11"/>
                <w:sz w:val="21"/>
                <w:szCs w:val="21"/>
              </w:rPr>
              <w:t> </w:t>
            </w:r>
            <w:r>
              <w:rPr>
                <w:rFonts w:ascii="宋体" w:hAnsi="宋体" w:cs="宋体" w:eastAsia="宋体" w:hint="default"/>
                <w:sz w:val="21"/>
                <w:szCs w:val="21"/>
              </w:rPr>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6"/>
                <w:sz w:val="21"/>
                <w:szCs w:val="21"/>
              </w:rPr>
              <w:t>护、技术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45"/>
              <w:jc w:val="left"/>
              <w:rPr>
                <w:rFonts w:ascii="宋体" w:hAnsi="宋体" w:cs="宋体" w:eastAsia="宋体" w:hint="default"/>
                <w:sz w:val="21"/>
                <w:szCs w:val="21"/>
              </w:rPr>
            </w:pPr>
            <w:r>
              <w:rPr>
                <w:rFonts w:ascii="宋体" w:hAnsi="宋体" w:cs="宋体" w:eastAsia="宋体" w:hint="default"/>
                <w:spacing w:val="36"/>
                <w:sz w:val="21"/>
                <w:szCs w:val="21"/>
              </w:rPr>
              <w:t>营业成</w:t>
            </w:r>
            <w:r>
              <w:rPr>
                <w:rFonts w:ascii="宋体" w:hAnsi="宋体" w:cs="宋体" w:eastAsia="宋体" w:hint="default"/>
                <w:spacing w:val="-103"/>
                <w:sz w:val="21"/>
                <w:szCs w:val="21"/>
              </w:rPr>
              <w:t> </w:t>
            </w:r>
            <w:r>
              <w:rPr>
                <w:rFonts w:ascii="宋体" w:hAnsi="宋体" w:cs="宋体" w:eastAsia="宋体" w:hint="default"/>
                <w:sz w:val="21"/>
                <w:szCs w:val="21"/>
              </w:rPr>
              <w:t>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44,887,412.92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2.43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36,559,166.23</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2.28</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22.78</w:t>
            </w:r>
            <w:r>
              <w:rPr>
                <w:rFonts w:ascii="宋体"/>
                <w:sz w:val="21"/>
              </w:rPr>
            </w: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94"/>
                <w:sz w:val="21"/>
                <w:szCs w:val="21"/>
              </w:rPr>
              <w:t>建安</w:t>
            </w:r>
            <w:r>
              <w:rPr>
                <w:rFonts w:ascii="宋体" w:hAnsi="宋体" w:cs="宋体" w:eastAsia="宋体" w:hint="default"/>
                <w:sz w:val="21"/>
                <w:szCs w:val="21"/>
              </w:rPr>
              <w:t>工</w:t>
            </w:r>
            <w:r>
              <w:rPr>
                <w:rFonts w:ascii="宋体" w:hAnsi="宋体" w:cs="宋体" w:eastAsia="宋体" w:hint="default"/>
                <w:spacing w:val="-11"/>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程</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6"/>
                <w:sz w:val="21"/>
                <w:szCs w:val="21"/>
              </w:rPr>
              <w:t>营业成</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57,620,116.46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3.12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80,763,380.17</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5.03</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-28.66</w:t>
            </w: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94"/>
                <w:sz w:val="21"/>
                <w:szCs w:val="21"/>
              </w:rPr>
              <w:t>商品</w:t>
            </w:r>
            <w:r>
              <w:rPr>
                <w:rFonts w:ascii="宋体" w:hAnsi="宋体" w:cs="宋体" w:eastAsia="宋体" w:hint="default"/>
                <w:sz w:val="21"/>
                <w:szCs w:val="21"/>
              </w:rPr>
              <w:t>销</w:t>
            </w:r>
            <w:r>
              <w:rPr>
                <w:rFonts w:ascii="宋体" w:hAnsi="宋体" w:cs="宋体" w:eastAsia="宋体" w:hint="default"/>
                <w:spacing w:val="-11"/>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6"/>
                <w:sz w:val="21"/>
                <w:szCs w:val="21"/>
              </w:rPr>
              <w:t>营业成</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1,516,049,459.64</w:t>
            </w:r>
            <w:r>
              <w:rPr>
                <w:rFonts w:ascii="宋体"/>
                <w:sz w:val="21"/>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82.06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1,260,382,960.43</w:t>
            </w:r>
            <w:r>
              <w:rPr>
                <w:rFonts w:ascii="宋体"/>
                <w:sz w:val="21"/>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78.54</w:t>
            </w:r>
            <w:r>
              <w:rPr>
                <w:rFonts w:ascii="宋体"/>
                <w:sz w:val="21"/>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20.28</w:t>
            </w:r>
            <w:r>
              <w:rPr>
                <w:rFonts w:ascii="宋体"/>
                <w:sz w:val="21"/>
              </w:rPr>
            </w:r>
          </w:p>
        </w:tc>
        <w:tc>
          <w:tcPr>
            <w:tcW w:w="74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ind w:left="220" w:right="3956"/>
        <w:jc w:val="left"/>
        <w:rPr>
          <w:b w:val="0"/>
          <w:bCs w:val="0"/>
        </w:rPr>
      </w:pPr>
      <w:r>
        <w:rPr/>
        <w:t>(2)</w:t>
      </w:r>
      <w:r>
        <w:rPr>
          <w:spacing w:val="-8"/>
        </w:rPr>
        <w:t> </w:t>
      </w:r>
      <w:r>
        <w:rPr/>
        <w:t>主要供应商情况</w:t>
      </w:r>
      <w:r>
        <w:rPr>
          <w:b w:val="0"/>
          <w:bCs w:val="0"/>
        </w:rPr>
      </w:r>
    </w:p>
    <w:p>
      <w:pPr>
        <w:spacing w:line="240" w:lineRule="auto" w:before="12"/>
        <w:rPr>
          <w:rFonts w:ascii="宋体" w:hAnsi="宋体" w:cs="宋体" w:eastAsia="宋体" w:hint="default"/>
          <w:b/>
          <w:bCs/>
          <w:sz w:val="27"/>
          <w:szCs w:val="27"/>
        </w:rPr>
      </w:pPr>
    </w:p>
    <w:tbl>
      <w:tblPr>
        <w:tblW w:w="0" w:type="auto"/>
        <w:jc w:val="left"/>
        <w:tblInd w:w="199" w:type="dxa"/>
        <w:tblLayout w:type="fixed"/>
        <w:tblCellMar>
          <w:top w:w="0" w:type="dxa"/>
          <w:left w:w="0" w:type="dxa"/>
          <w:bottom w:w="0" w:type="dxa"/>
          <w:right w:w="0" w:type="dxa"/>
        </w:tblCellMar>
        <w:tblLook w:val="01E0"/>
      </w:tblPr>
      <w:tblGrid>
        <w:gridCol w:w="3702"/>
        <w:gridCol w:w="2125"/>
        <w:gridCol w:w="2977"/>
      </w:tblGrid>
      <w:tr>
        <w:trPr>
          <w:trHeight w:val="28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供货商</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0" w:right="0"/>
              <w:jc w:val="left"/>
              <w:rPr>
                <w:rFonts w:ascii="宋体" w:hAnsi="宋体" w:cs="宋体" w:eastAsia="宋体" w:hint="default"/>
                <w:sz w:val="21"/>
                <w:szCs w:val="21"/>
              </w:rPr>
            </w:pPr>
            <w:r>
              <w:rPr>
                <w:rFonts w:ascii="宋体" w:hAnsi="宋体" w:cs="宋体" w:eastAsia="宋体" w:hint="default"/>
                <w:sz w:val="21"/>
                <w:szCs w:val="21"/>
              </w:rPr>
              <w:t>采购金额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5" w:right="0"/>
              <w:jc w:val="left"/>
              <w:rPr>
                <w:rFonts w:ascii="宋体" w:hAnsi="宋体" w:cs="宋体" w:eastAsia="宋体" w:hint="default"/>
                <w:sz w:val="21"/>
                <w:szCs w:val="21"/>
              </w:rPr>
            </w:pPr>
            <w:r>
              <w:rPr>
                <w:rFonts w:ascii="宋体" w:hAnsi="宋体" w:cs="宋体" w:eastAsia="宋体" w:hint="default"/>
                <w:sz w:val="21"/>
                <w:szCs w:val="21"/>
              </w:rPr>
              <w:t>占采购总额比例%</w:t>
            </w:r>
          </w:p>
        </w:tc>
      </w:tr>
      <w:tr>
        <w:trPr>
          <w:trHeight w:val="28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杭州华三通信技术有限公司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1,692,705,860.29</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70.14</w:t>
            </w:r>
          </w:p>
        </w:tc>
      </w:tr>
      <w:tr>
        <w:trPr>
          <w:trHeight w:val="28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杭州迪普科技有限公司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199,796,750.09</w:t>
            </w:r>
            <w:r>
              <w:rPr>
                <w:rFonts w:ascii="宋体"/>
                <w:sz w:val="21"/>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8.28</w:t>
            </w:r>
            <w:r>
              <w:rPr>
                <w:rFonts w:ascii="宋体"/>
                <w:sz w:val="21"/>
              </w:rPr>
            </w:r>
          </w:p>
        </w:tc>
      </w:tr>
      <w:tr>
        <w:trPr>
          <w:trHeight w:val="28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杭州宏杉科技有限公司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83,496,067.60</w:t>
            </w:r>
            <w:r>
              <w:rPr>
                <w:rFonts w:ascii="宋体"/>
                <w:sz w:val="21"/>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w w:val="95"/>
                <w:sz w:val="21"/>
              </w:rPr>
              <w:t>3.46</w:t>
            </w:r>
            <w:r>
              <w:rPr>
                <w:rFonts w:ascii="宋体"/>
                <w:w w:val="95"/>
                <w:sz w:val="21"/>
              </w:rPr>
            </w:r>
          </w:p>
        </w:tc>
      </w:tr>
      <w:tr>
        <w:trPr>
          <w:trHeight w:val="28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北京华三通信技术有限公司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41,896,565.91</w:t>
            </w:r>
            <w:r>
              <w:rPr>
                <w:rFonts w:ascii="宋体"/>
                <w:sz w:val="21"/>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w w:val="95"/>
                <w:sz w:val="21"/>
              </w:rPr>
              <w:t>1.74</w:t>
            </w:r>
            <w:r>
              <w:rPr>
                <w:rFonts w:ascii="宋体"/>
                <w:w w:val="95"/>
                <w:sz w:val="21"/>
              </w:rPr>
            </w:r>
          </w:p>
        </w:tc>
      </w:tr>
    </w:tbl>
    <w:p>
      <w:pPr>
        <w:spacing w:after="0" w:line="240" w:lineRule="exact"/>
        <w:jc w:val="right"/>
        <w:rPr>
          <w:rFonts w:ascii="宋体" w:hAnsi="宋体" w:cs="宋体" w:eastAsia="宋体" w:hint="default"/>
          <w:sz w:val="21"/>
          <w:szCs w:val="21"/>
        </w:rPr>
        <w:sectPr>
          <w:type w:val="continuous"/>
          <w:pgSz w:w="11910" w:h="16840"/>
          <w:pgMar w:top="1080" w:bottom="1380" w:left="1220" w:right="13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1"/>
          <w:szCs w:val="11"/>
        </w:rPr>
      </w:pPr>
    </w:p>
    <w:tbl>
      <w:tblPr>
        <w:tblW w:w="0" w:type="auto"/>
        <w:jc w:val="left"/>
        <w:tblInd w:w="199" w:type="dxa"/>
        <w:tblLayout w:type="fixed"/>
        <w:tblCellMar>
          <w:top w:w="0" w:type="dxa"/>
          <w:left w:w="0" w:type="dxa"/>
          <w:bottom w:w="0" w:type="dxa"/>
          <w:right w:w="0" w:type="dxa"/>
        </w:tblCellMar>
        <w:tblLook w:val="01E0"/>
      </w:tblPr>
      <w:tblGrid>
        <w:gridCol w:w="3702"/>
        <w:gridCol w:w="2125"/>
        <w:gridCol w:w="2977"/>
      </w:tblGrid>
      <w:tr>
        <w:trPr>
          <w:trHeight w:val="276" w:hRule="exact"/>
        </w:trPr>
        <w:tc>
          <w:tcPr>
            <w:tcW w:w="3702"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武汉无线飞翔科技有限公司</w:t>
            </w:r>
          </w:p>
        </w:tc>
        <w:tc>
          <w:tcPr>
            <w:tcW w:w="2125"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11,600,000.00</w:t>
            </w:r>
            <w:r>
              <w:rPr>
                <w:rFonts w:ascii="宋体"/>
                <w:sz w:val="21"/>
              </w:rPr>
            </w:r>
          </w:p>
        </w:tc>
        <w:tc>
          <w:tcPr>
            <w:tcW w:w="2977"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w w:val="95"/>
                <w:sz w:val="21"/>
              </w:rPr>
              <w:t>0.48</w:t>
            </w:r>
            <w:r>
              <w:rPr>
                <w:rFonts w:ascii="宋体"/>
                <w:w w:val="95"/>
                <w:sz w:val="21"/>
              </w:rPr>
            </w:r>
          </w:p>
        </w:tc>
      </w:tr>
      <w:tr>
        <w:trPr>
          <w:trHeight w:val="28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2,029,495,243.89</w:t>
            </w:r>
            <w:r>
              <w:rPr>
                <w:rFonts w:ascii="宋体"/>
                <w:sz w:val="21"/>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84.09</w:t>
            </w:r>
            <w:r>
              <w:rPr>
                <w:rFonts w:ascii="宋体"/>
                <w:sz w:val="21"/>
              </w:rPr>
            </w:r>
          </w:p>
        </w:tc>
      </w:tr>
    </w:tbl>
    <w:p>
      <w:pPr>
        <w:spacing w:line="240" w:lineRule="auto" w:before="6"/>
        <w:rPr>
          <w:rFonts w:ascii="宋体" w:hAnsi="宋体" w:cs="宋体" w:eastAsia="宋体" w:hint="default"/>
          <w:b/>
          <w:bCs/>
          <w:sz w:val="28"/>
          <w:szCs w:val="28"/>
        </w:rPr>
      </w:pPr>
    </w:p>
    <w:p>
      <w:pPr>
        <w:pStyle w:val="Heading3"/>
        <w:tabs>
          <w:tab w:pos="639" w:val="left" w:leader="none"/>
        </w:tabs>
        <w:spacing w:line="240" w:lineRule="auto"/>
        <w:ind w:left="220" w:right="3956"/>
        <w:jc w:val="left"/>
        <w:rPr>
          <w:b w:val="0"/>
          <w:bCs w:val="0"/>
        </w:rPr>
      </w:pPr>
      <w:r>
        <w:rPr>
          <w:w w:val="95"/>
        </w:rPr>
        <w:t>4</w:t>
        <w:tab/>
      </w:r>
      <w:r>
        <w:rPr/>
        <w:t>费用</w:t>
      </w:r>
      <w:r>
        <w:rPr>
          <w:b w:val="0"/>
          <w:bCs w:val="0"/>
        </w:rPr>
      </w:r>
    </w:p>
    <w:p>
      <w:pPr>
        <w:spacing w:line="240" w:lineRule="auto" w:before="2"/>
        <w:rPr>
          <w:rFonts w:ascii="宋体" w:hAnsi="宋体" w:cs="宋体" w:eastAsia="宋体" w:hint="default"/>
          <w:b/>
          <w:bCs/>
          <w:sz w:val="14"/>
          <w:szCs w:val="14"/>
        </w:rPr>
      </w:pPr>
    </w:p>
    <w:p>
      <w:pPr>
        <w:pStyle w:val="BodyText"/>
        <w:spacing w:line="240" w:lineRule="auto"/>
        <w:ind w:left="220" w:right="3956"/>
        <w:jc w:val="left"/>
      </w:pPr>
      <w:r>
        <w:rPr/>
        <w:t>（1）管理费用</w:t>
      </w:r>
    </w:p>
    <w:p>
      <w:pPr>
        <w:pStyle w:val="BodyText"/>
        <w:spacing w:line="350" w:lineRule="auto" w:before="126"/>
        <w:ind w:left="220" w:right="221"/>
        <w:jc w:val="both"/>
      </w:pPr>
      <w:r>
        <w:rPr/>
        <w:t>报告期内，公司管理费用</w:t>
      </w:r>
      <w:r>
        <w:rPr>
          <w:spacing w:val="-60"/>
        </w:rPr>
        <w:t> </w:t>
      </w:r>
      <w:r>
        <w:rPr/>
        <w:t>33,872</w:t>
      </w:r>
      <w:r>
        <w:rPr>
          <w:spacing w:val="-59"/>
        </w:rPr>
        <w:t> </w:t>
      </w:r>
      <w:r>
        <w:rPr/>
        <w:t>万元，同比上涨</w:t>
      </w:r>
      <w:r>
        <w:rPr>
          <w:spacing w:val="-60"/>
        </w:rPr>
        <w:t> </w:t>
      </w:r>
      <w:r>
        <w:rPr/>
        <w:t>15.25%，占当年营业收入比为</w:t>
      </w:r>
      <w:r>
        <w:rPr>
          <w:spacing w:val="-60"/>
        </w:rPr>
        <w:t> </w:t>
      </w:r>
      <w:r>
        <w:rPr/>
        <w:t>14.30%，较</w:t>
      </w:r>
      <w:r>
        <w:rPr>
          <w:spacing w:val="-60"/>
        </w:rPr>
        <w:t> </w:t>
      </w:r>
      <w:r>
        <w:rPr/>
        <w:t>2013</w:t>
      </w:r>
      <w:r>
        <w:rPr>
          <w:spacing w:val="-1"/>
        </w:rPr>
        <w:t> </w:t>
      </w:r>
      <w:r>
        <w:rPr/>
        <w:t>年</w:t>
      </w:r>
      <w:r>
        <w:rPr>
          <w:spacing w:val="-54"/>
        </w:rPr>
        <w:t> </w:t>
      </w:r>
      <w:r>
        <w:rPr/>
        <w:t>14.47%的管理费用占比小幅下降。经过几年的不断完善，公司前期集中投入的产品线进入了成</w:t>
      </w:r>
      <w:r>
        <w:rPr/>
        <w:t> </w:t>
      </w:r>
      <w:r>
        <w:rPr>
          <w:spacing w:val="-3"/>
        </w:rPr>
        <w:t>熟期，同时伴随公司人才结构的不断完善和人均产出效率的进一步提升，公司管理费用的增长趋势</w:t>
      </w:r>
      <w:r>
        <w:rPr>
          <w:spacing w:val="-66"/>
        </w:rPr>
        <w:t> </w:t>
      </w:r>
      <w:r>
        <w:rPr>
          <w:spacing w:val="-66"/>
        </w:rPr>
      </w:r>
      <w:r>
        <w:rPr/>
        <w:t>得到了良好的优化。</w:t>
      </w:r>
    </w:p>
    <w:p>
      <w:pPr>
        <w:spacing w:line="240" w:lineRule="auto" w:before="0"/>
        <w:rPr>
          <w:rFonts w:ascii="宋体" w:hAnsi="宋体" w:cs="宋体" w:eastAsia="宋体" w:hint="default"/>
          <w:sz w:val="20"/>
          <w:szCs w:val="20"/>
        </w:rPr>
      </w:pPr>
    </w:p>
    <w:p>
      <w:pPr>
        <w:pStyle w:val="BodyText"/>
        <w:spacing w:line="240" w:lineRule="auto" w:before="166"/>
        <w:ind w:left="220" w:right="3956"/>
        <w:jc w:val="left"/>
      </w:pPr>
      <w:r>
        <w:rPr/>
        <w:t>（2）销售费用</w:t>
      </w:r>
    </w:p>
    <w:p>
      <w:pPr>
        <w:pStyle w:val="BodyText"/>
        <w:spacing w:line="350" w:lineRule="auto" w:before="126"/>
        <w:ind w:left="220" w:right="220"/>
        <w:jc w:val="left"/>
      </w:pPr>
      <w:r>
        <w:rPr/>
        <w:t>报告期内，公司销售费用</w:t>
      </w:r>
      <w:r>
        <w:rPr>
          <w:spacing w:val="-58"/>
        </w:rPr>
        <w:t> </w:t>
      </w:r>
      <w:r>
        <w:rPr/>
        <w:t>7,516</w:t>
      </w:r>
      <w:r>
        <w:rPr>
          <w:spacing w:val="-57"/>
        </w:rPr>
        <w:t> </w:t>
      </w:r>
      <w:r>
        <w:rPr/>
        <w:t>万元，同比上涨</w:t>
      </w:r>
      <w:r>
        <w:rPr>
          <w:spacing w:val="-58"/>
        </w:rPr>
        <w:t> </w:t>
      </w:r>
      <w:r>
        <w:rPr/>
        <w:t>7.48%，占当年营业收入比为</w:t>
      </w:r>
      <w:r>
        <w:rPr>
          <w:spacing w:val="-58"/>
        </w:rPr>
        <w:t> </w:t>
      </w:r>
      <w:r>
        <w:rPr/>
        <w:t>3.17%，较</w:t>
      </w:r>
      <w:r>
        <w:rPr>
          <w:spacing w:val="-58"/>
        </w:rPr>
        <w:t> </w:t>
      </w:r>
      <w:r>
        <w:rPr/>
        <w:t>2013</w:t>
      </w:r>
      <w:r>
        <w:rPr>
          <w:spacing w:val="-57"/>
        </w:rPr>
        <w:t> </w:t>
      </w:r>
      <w:r>
        <w:rPr/>
        <w:t>年</w:t>
      </w:r>
      <w:r>
        <w:rPr/>
        <w:t> 3.45%的销售费用占比小幅回落。由于金融创新业务的开展与传统业务具备一定市场协同性，其业 务进展有助于公司提高市场拓展效率，2014</w:t>
      </w:r>
      <w:r>
        <w:rPr>
          <w:spacing w:val="-86"/>
        </w:rPr>
        <w:t> </w:t>
      </w:r>
      <w:r>
        <w:rPr/>
        <w:t>年随着个股期权、OTC、新三板做市、财富管理、多金</w:t>
      </w:r>
      <w:r>
        <w:rPr/>
        <w:t> 融产品销售、股票质押、VIP</w:t>
      </w:r>
      <w:r>
        <w:rPr>
          <w:spacing w:val="-84"/>
        </w:rPr>
        <w:t> </w:t>
      </w:r>
      <w:r>
        <w:rPr/>
        <w:t>订单等创新业务的快速推广，公司销售费用增长趋势被控制在一定范</w:t>
      </w:r>
      <w:r>
        <w:rPr/>
        <w:t> 围内。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7" w:top="1120" w:bottom="1380" w:left="1220" w:right="1300"/>
        </w:sectPr>
      </w:pPr>
    </w:p>
    <w:p>
      <w:pPr>
        <w:pStyle w:val="Heading3"/>
        <w:tabs>
          <w:tab w:pos="588" w:val="left" w:leader="none"/>
        </w:tabs>
        <w:spacing w:line="240" w:lineRule="auto"/>
        <w:ind w:left="220" w:right="-17"/>
        <w:jc w:val="left"/>
        <w:rPr>
          <w:b w:val="0"/>
          <w:bCs w:val="0"/>
        </w:rPr>
      </w:pPr>
      <w:r>
        <w:rPr>
          <w:w w:val="95"/>
        </w:rPr>
        <w:t>5</w:t>
        <w:tab/>
      </w:r>
      <w:r>
        <w:rPr/>
        <w:t>研发支出</w:t>
      </w:r>
      <w:r>
        <w:rPr>
          <w:b w:val="0"/>
          <w:bCs w:val="0"/>
        </w:rPr>
      </w:r>
    </w:p>
    <w:p>
      <w:pPr>
        <w:pStyle w:val="Heading3"/>
        <w:spacing w:line="240" w:lineRule="auto" w:before="74"/>
        <w:ind w:left="220" w:right="-17"/>
        <w:jc w:val="left"/>
        <w:rPr>
          <w:b w:val="0"/>
          <w:bCs w:val="0"/>
        </w:rPr>
      </w:pPr>
      <w:r>
        <w:rPr/>
        <w:t>(1)</w:t>
      </w:r>
      <w:r>
        <w:rPr>
          <w:spacing w:val="-8"/>
        </w:rPr>
        <w:t> </w:t>
      </w:r>
      <w:r>
        <w:rPr/>
        <w:t>研发支出情况表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pStyle w:val="BodyText"/>
        <w:spacing w:line="240" w:lineRule="auto"/>
        <w:ind w:left="220" w:right="0"/>
        <w:jc w:val="left"/>
      </w:pPr>
      <w:r>
        <w:rPr/>
        <w:t>单位：元</w:t>
      </w:r>
    </w:p>
    <w:p>
      <w:pPr>
        <w:spacing w:after="0" w:line="240" w:lineRule="auto"/>
        <w:jc w:val="left"/>
        <w:sectPr>
          <w:type w:val="continuous"/>
          <w:pgSz w:w="11910" w:h="16840"/>
          <w:pgMar w:top="1080" w:bottom="1380" w:left="1220" w:right="1300"/>
          <w:cols w:num="2" w:equalWidth="0">
            <w:col w:w="2115" w:space="5986"/>
            <w:col w:w="1289"/>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840"/>
        <w:gridCol w:w="5317"/>
      </w:tblGrid>
      <w:tr>
        <w:trPr>
          <w:trHeight w:val="283"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本期费用化研发支出</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204,038,553.82</w:t>
            </w:r>
            <w:r>
              <w:rPr>
                <w:rFonts w:ascii="宋体"/>
                <w:sz w:val="21"/>
              </w:rPr>
            </w:r>
          </w:p>
        </w:tc>
      </w:tr>
      <w:tr>
        <w:trPr>
          <w:trHeight w:val="282"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本期资本化研发支出</w:t>
            </w:r>
          </w:p>
        </w:tc>
        <w:tc>
          <w:tcPr>
            <w:tcW w:w="5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研发支出合计</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204,038,553.82</w:t>
            </w:r>
          </w:p>
        </w:tc>
      </w:tr>
      <w:tr>
        <w:trPr>
          <w:trHeight w:val="282"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研发支出总额占净资产比例（%）</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21.75</w:t>
            </w:r>
          </w:p>
        </w:tc>
      </w:tr>
      <w:tr>
        <w:trPr>
          <w:trHeight w:val="283"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研发支出总额占营业收入比例（%）</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8.62</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3"/>
        <w:spacing w:line="240" w:lineRule="auto"/>
        <w:ind w:left="220" w:right="0"/>
        <w:jc w:val="both"/>
        <w:rPr>
          <w:b w:val="0"/>
          <w:bCs w:val="0"/>
        </w:rPr>
      </w:pPr>
      <w:r>
        <w:rPr/>
        <w:t>(2)</w:t>
      </w:r>
      <w:r>
        <w:rPr>
          <w:spacing w:val="-5"/>
        </w:rPr>
        <w:t> </w:t>
      </w:r>
      <w:r>
        <w:rPr/>
        <w:t>情况说明</w:t>
      </w:r>
      <w:r>
        <w:rPr>
          <w:b w:val="0"/>
          <w:bCs w:val="0"/>
        </w:rPr>
      </w:r>
    </w:p>
    <w:p>
      <w:pPr>
        <w:spacing w:line="240" w:lineRule="auto" w:before="3"/>
        <w:rPr>
          <w:rFonts w:ascii="宋体" w:hAnsi="宋体" w:cs="宋体" w:eastAsia="宋体" w:hint="default"/>
          <w:b/>
          <w:bCs/>
          <w:sz w:val="14"/>
          <w:szCs w:val="14"/>
        </w:rPr>
      </w:pPr>
    </w:p>
    <w:p>
      <w:pPr>
        <w:pStyle w:val="BodyText"/>
        <w:spacing w:line="348" w:lineRule="auto"/>
        <w:ind w:left="219" w:right="221"/>
        <w:jc w:val="both"/>
      </w:pPr>
      <w:r>
        <w:rPr/>
        <w:t>研发费用：报告期内，公司研发费用</w:t>
      </w:r>
      <w:r>
        <w:rPr>
          <w:spacing w:val="-54"/>
        </w:rPr>
        <w:t> </w:t>
      </w:r>
      <w:r>
        <w:rPr/>
        <w:t>20,403.86</w:t>
      </w:r>
      <w:r>
        <w:rPr>
          <w:spacing w:val="-53"/>
        </w:rPr>
        <w:t> </w:t>
      </w:r>
      <w:r>
        <w:rPr/>
        <w:t>万元，同比上涨</w:t>
      </w:r>
      <w:r>
        <w:rPr>
          <w:spacing w:val="-54"/>
        </w:rPr>
        <w:t> </w:t>
      </w:r>
      <w:r>
        <w:rPr/>
        <w:t>39.13%。面对资本市场改革、金</w:t>
      </w:r>
      <w:r>
        <w:rPr/>
        <w:t> </w:t>
      </w:r>
      <w:r>
        <w:rPr>
          <w:spacing w:val="-3"/>
        </w:rPr>
        <w:t>融创新及互联网金融等产业环境的变化，公司进一步加大了研发费用的支出，以持续强化产品创新</w:t>
      </w:r>
      <w:r>
        <w:rPr>
          <w:spacing w:val="-66"/>
        </w:rPr>
        <w:t> </w:t>
      </w:r>
      <w:r>
        <w:rPr>
          <w:spacing w:val="-66"/>
        </w:rPr>
      </w:r>
      <w:r>
        <w:rPr/>
        <w:t>与产品线升级。</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Heading3"/>
        <w:spacing w:line="240" w:lineRule="auto" w:before="0"/>
        <w:ind w:left="219" w:right="0"/>
        <w:jc w:val="both"/>
        <w:rPr>
          <w:b w:val="0"/>
          <w:bCs w:val="0"/>
        </w:rPr>
      </w:pPr>
      <w:r>
        <w:rPr/>
        <w:t>6 </w:t>
      </w:r>
      <w:r>
        <w:rPr>
          <w:spacing w:val="102"/>
        </w:rPr>
        <w:t> </w:t>
      </w:r>
      <w:r>
        <w:rPr/>
        <w:t>现金流</w:t>
      </w:r>
      <w:r>
        <w:rPr>
          <w:b w:val="0"/>
          <w:bCs w:val="0"/>
        </w:rPr>
      </w:r>
    </w:p>
    <w:p>
      <w:pPr>
        <w:spacing w:line="240" w:lineRule="auto" w:before="2"/>
        <w:rPr>
          <w:rFonts w:ascii="宋体" w:hAnsi="宋体" w:cs="宋体" w:eastAsia="宋体" w:hint="default"/>
          <w:b/>
          <w:bCs/>
          <w:sz w:val="14"/>
          <w:szCs w:val="14"/>
        </w:rPr>
      </w:pPr>
    </w:p>
    <w:p>
      <w:pPr>
        <w:pStyle w:val="BodyText"/>
        <w:spacing w:line="350" w:lineRule="auto"/>
        <w:ind w:left="219" w:right="103"/>
        <w:jc w:val="left"/>
      </w:pPr>
      <w:r>
        <w:rPr>
          <w:spacing w:val="-3"/>
        </w:rPr>
        <w:t>报告期内，公司期末现金及现金等价物余额</w:t>
      </w:r>
      <w:r>
        <w:rPr>
          <w:spacing w:val="-50"/>
        </w:rPr>
        <w:t> </w:t>
      </w:r>
      <w:r>
        <w:rPr>
          <w:spacing w:val="-9"/>
        </w:rPr>
        <w:t>23，812</w:t>
      </w:r>
      <w:r>
        <w:rPr>
          <w:spacing w:val="-49"/>
        </w:rPr>
        <w:t> </w:t>
      </w:r>
      <w:r>
        <w:rPr>
          <w:spacing w:val="-8"/>
        </w:rPr>
        <w:t>万元，同比减少</w:t>
      </w:r>
      <w:r>
        <w:rPr>
          <w:spacing w:val="-50"/>
        </w:rPr>
        <w:t> </w:t>
      </w:r>
      <w:r>
        <w:rPr>
          <w:spacing w:val="-4"/>
        </w:rPr>
        <w:t>20.05%；期末应收账款为</w:t>
      </w:r>
      <w:r>
        <w:rPr>
          <w:spacing w:val="-50"/>
        </w:rPr>
        <w:t> </w:t>
      </w:r>
      <w:r>
        <w:rPr/>
        <w:t>2.04</w:t>
      </w:r>
      <w:r>
        <w:rPr>
          <w:spacing w:val="-97"/>
        </w:rPr>
        <w:t> </w:t>
      </w:r>
      <w:r>
        <w:rPr>
          <w:spacing w:val="-97"/>
        </w:rPr>
      </w:r>
      <w:r>
        <w:rPr>
          <w:spacing w:val="-11"/>
        </w:rPr>
        <w:t>亿元，同比减少</w:t>
      </w:r>
      <w:r>
        <w:rPr>
          <w:spacing w:val="-43"/>
        </w:rPr>
        <w:t> </w:t>
      </w:r>
      <w:r>
        <w:rPr>
          <w:spacing w:val="-2"/>
        </w:rPr>
        <w:t>7.06%。现金及现金等价物余额减少主要是因为未完成项目管理收取的保证金减少；</w:t>
      </w:r>
    </w:p>
    <w:p>
      <w:pPr>
        <w:spacing w:after="0" w:line="350" w:lineRule="auto"/>
        <w:jc w:val="left"/>
        <w:sectPr>
          <w:type w:val="continuous"/>
          <w:pgSz w:w="11910" w:h="16840"/>
          <w:pgMar w:top="108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348" w:lineRule="auto" w:before="35"/>
        <w:ind w:left="140" w:right="272"/>
        <w:jc w:val="left"/>
      </w:pPr>
      <w:r>
        <w:rPr/>
        <w:t>此外，2014</w:t>
      </w:r>
      <w:r>
        <w:rPr>
          <w:spacing w:val="-53"/>
        </w:rPr>
        <w:t> </w:t>
      </w:r>
      <w:r>
        <w:rPr/>
        <w:t>年公司进一步强化了对应收款的管理监督工作，优化对账过程，使得公司的应收账款</w:t>
      </w:r>
      <w:r>
        <w:rPr/>
        <w:t> 控制在一定的水平之下。</w:t>
      </w:r>
    </w:p>
    <w:p>
      <w:pPr>
        <w:pStyle w:val="Heading3"/>
        <w:tabs>
          <w:tab w:pos="559" w:val="left" w:leader="none"/>
        </w:tabs>
        <w:spacing w:line="240" w:lineRule="auto" w:before="90"/>
        <w:ind w:left="140" w:right="113"/>
        <w:jc w:val="left"/>
        <w:rPr>
          <w:b w:val="0"/>
          <w:bCs w:val="0"/>
        </w:rPr>
      </w:pPr>
      <w:r>
        <w:rPr>
          <w:w w:val="95"/>
        </w:rPr>
        <w:t>7</w:t>
        <w:tab/>
      </w:r>
      <w:r>
        <w:rPr/>
        <w:t>其他</w:t>
      </w:r>
      <w:r>
        <w:rPr>
          <w:b w:val="0"/>
          <w:bCs w:val="0"/>
        </w:rPr>
      </w:r>
    </w:p>
    <w:p>
      <w:pPr>
        <w:spacing w:line="240" w:lineRule="auto" w:before="3"/>
        <w:rPr>
          <w:rFonts w:ascii="宋体" w:hAnsi="宋体" w:cs="宋体" w:eastAsia="宋体" w:hint="default"/>
          <w:b/>
          <w:bCs/>
          <w:sz w:val="14"/>
          <w:szCs w:val="14"/>
        </w:rPr>
      </w:pPr>
    </w:p>
    <w:p>
      <w:pPr>
        <w:pStyle w:val="Heading3"/>
        <w:tabs>
          <w:tab w:pos="727" w:val="left" w:leader="none"/>
        </w:tabs>
        <w:spacing w:line="240" w:lineRule="auto" w:before="0"/>
        <w:ind w:left="140" w:right="113"/>
        <w:jc w:val="left"/>
        <w:rPr>
          <w:b w:val="0"/>
          <w:bCs w:val="0"/>
        </w:rPr>
      </w:pPr>
      <w:r>
        <w:rPr>
          <w:w w:val="95"/>
        </w:rPr>
        <w:t>(1)</w:t>
        <w:tab/>
      </w:r>
      <w:r>
        <w:rPr/>
        <w:t>公司利润构成或利润来源发生重大变动的详细说明</w:t>
      </w:r>
      <w:r>
        <w:rPr>
          <w:b w:val="0"/>
          <w:bCs w:val="0"/>
        </w:rPr>
      </w:r>
    </w:p>
    <w:p>
      <w:pPr>
        <w:spacing w:line="240" w:lineRule="auto" w:before="2"/>
        <w:rPr>
          <w:rFonts w:ascii="宋体" w:hAnsi="宋体" w:cs="宋体" w:eastAsia="宋体" w:hint="default"/>
          <w:b/>
          <w:bCs/>
          <w:sz w:val="14"/>
          <w:szCs w:val="14"/>
        </w:rPr>
      </w:pPr>
    </w:p>
    <w:p>
      <w:pPr>
        <w:pStyle w:val="BodyText"/>
        <w:spacing w:line="240" w:lineRule="auto"/>
        <w:ind w:left="140" w:right="113"/>
        <w:jc w:val="left"/>
      </w:pPr>
      <w:r>
        <w:rPr/>
        <w:t>√不适用</w:t>
      </w:r>
    </w:p>
    <w:p>
      <w:pPr>
        <w:spacing w:line="240" w:lineRule="auto" w:before="2"/>
        <w:rPr>
          <w:rFonts w:ascii="宋体" w:hAnsi="宋体" w:cs="宋体" w:eastAsia="宋体" w:hint="default"/>
          <w:sz w:val="14"/>
          <w:szCs w:val="14"/>
        </w:rPr>
      </w:pPr>
    </w:p>
    <w:p>
      <w:pPr>
        <w:pStyle w:val="Heading3"/>
        <w:tabs>
          <w:tab w:pos="742" w:val="left" w:leader="none"/>
        </w:tabs>
        <w:spacing w:line="240" w:lineRule="auto" w:before="0"/>
        <w:ind w:left="140" w:right="113"/>
        <w:jc w:val="left"/>
        <w:rPr>
          <w:b w:val="0"/>
          <w:bCs w:val="0"/>
        </w:rPr>
      </w:pPr>
      <w:r>
        <w:rPr>
          <w:w w:val="95"/>
        </w:rPr>
        <w:t>(2)</w:t>
        <w:tab/>
      </w:r>
      <w:r>
        <w:rPr/>
        <w:t>公司前期各类融资、重大资产重组事项实施进度分析说明</w:t>
      </w:r>
      <w:r>
        <w:rPr>
          <w:b w:val="0"/>
          <w:bCs w:val="0"/>
        </w:rPr>
      </w:r>
    </w:p>
    <w:p>
      <w:pPr>
        <w:spacing w:line="240" w:lineRule="auto" w:before="3"/>
        <w:rPr>
          <w:rFonts w:ascii="宋体" w:hAnsi="宋体" w:cs="宋体" w:eastAsia="宋体" w:hint="default"/>
          <w:b/>
          <w:bCs/>
          <w:sz w:val="14"/>
          <w:szCs w:val="14"/>
        </w:rPr>
      </w:pPr>
    </w:p>
    <w:p>
      <w:pPr>
        <w:pStyle w:val="BodyText"/>
        <w:spacing w:line="348" w:lineRule="auto"/>
        <w:ind w:left="140" w:right="221"/>
        <w:jc w:val="both"/>
      </w:pPr>
      <w:r>
        <w:rPr/>
        <w:t>2014</w:t>
      </w:r>
      <w:r>
        <w:rPr>
          <w:spacing w:val="-54"/>
        </w:rPr>
        <w:t> </w:t>
      </w:r>
      <w:r>
        <w:rPr/>
        <w:t>年</w:t>
      </w:r>
      <w:r>
        <w:rPr>
          <w:spacing w:val="-54"/>
        </w:rPr>
        <w:t> </w:t>
      </w:r>
      <w:r>
        <w:rPr/>
        <w:t>1</w:t>
      </w:r>
      <w:r>
        <w:rPr>
          <w:spacing w:val="-54"/>
        </w:rPr>
        <w:t> </w:t>
      </w:r>
      <w:r>
        <w:rPr/>
        <w:t>月</w:t>
      </w:r>
      <w:r>
        <w:rPr>
          <w:spacing w:val="-55"/>
        </w:rPr>
        <w:t> </w:t>
      </w:r>
      <w:r>
        <w:rPr/>
        <w:t>11</w:t>
      </w:r>
      <w:r>
        <w:rPr>
          <w:spacing w:val="-53"/>
        </w:rPr>
        <w:t> </w:t>
      </w:r>
      <w:r>
        <w:rPr/>
        <w:t>日，公司发布债券发行预案公告并于</w:t>
      </w:r>
      <w:r>
        <w:rPr>
          <w:spacing w:val="-54"/>
        </w:rPr>
        <w:t> </w:t>
      </w:r>
      <w:r>
        <w:rPr/>
        <w:t>3</w:t>
      </w:r>
      <w:r>
        <w:rPr>
          <w:spacing w:val="-53"/>
        </w:rPr>
        <w:t> </w:t>
      </w:r>
      <w:r>
        <w:rPr/>
        <w:t>月</w:t>
      </w:r>
      <w:r>
        <w:rPr>
          <w:spacing w:val="-55"/>
        </w:rPr>
        <w:t> </w:t>
      </w:r>
      <w:r>
        <w:rPr/>
        <w:t>12</w:t>
      </w:r>
      <w:r>
        <w:rPr>
          <w:spacing w:val="-54"/>
        </w:rPr>
        <w:t> </w:t>
      </w:r>
      <w:r>
        <w:rPr/>
        <w:t>日收到中国证监会行政许可申请受理</w:t>
      </w:r>
      <w:r>
        <w:rPr/>
        <w:t> </w:t>
      </w:r>
      <w:r>
        <w:rPr>
          <w:spacing w:val="-3"/>
        </w:rPr>
        <w:t>通知书，但由于报送债券发行申请文件后，市场环境和公司资金安排及经营情况发生新变化，并结</w:t>
      </w:r>
      <w:r>
        <w:rPr>
          <w:spacing w:val="-66"/>
        </w:rPr>
        <w:t> </w:t>
      </w:r>
      <w:r>
        <w:rPr>
          <w:spacing w:val="-66"/>
        </w:rPr>
      </w:r>
      <w:r>
        <w:rPr>
          <w:spacing w:val="-4"/>
        </w:rPr>
        <w:t>合考虑期间债券发行的综合融资成本，公司于</w:t>
      </w:r>
      <w:r>
        <w:rPr>
          <w:spacing w:val="-48"/>
        </w:rPr>
        <w:t> </w:t>
      </w:r>
      <w:r>
        <w:rPr/>
        <w:t>2014</w:t>
      </w:r>
      <w:r>
        <w:rPr>
          <w:spacing w:val="-47"/>
        </w:rPr>
        <w:t> </w:t>
      </w:r>
      <w:r>
        <w:rPr/>
        <w:t>年</w:t>
      </w:r>
      <w:r>
        <w:rPr>
          <w:spacing w:val="-49"/>
        </w:rPr>
        <w:t> </w:t>
      </w:r>
      <w:r>
        <w:rPr/>
        <w:t>12</w:t>
      </w:r>
      <w:r>
        <w:rPr>
          <w:spacing w:val="-47"/>
        </w:rPr>
        <w:t> </w:t>
      </w:r>
      <w:r>
        <w:rPr>
          <w:spacing w:val="-4"/>
        </w:rPr>
        <w:t>月审慎决定，申请撤回债券发行申请并获</w:t>
      </w:r>
      <w:r>
        <w:rPr/>
      </w:r>
    </w:p>
    <w:p>
      <w:pPr>
        <w:pStyle w:val="BodyText"/>
        <w:spacing w:line="348" w:lineRule="auto" w:before="31"/>
        <w:ind w:left="140" w:right="222"/>
        <w:jc w:val="both"/>
      </w:pPr>
      <w:r>
        <w:rPr/>
        <w:t>证监会批准。2014</w:t>
      </w:r>
      <w:r>
        <w:rPr>
          <w:spacing w:val="-54"/>
        </w:rPr>
        <w:t> </w:t>
      </w:r>
      <w:r>
        <w:rPr/>
        <w:t>年</w:t>
      </w:r>
      <w:r>
        <w:rPr>
          <w:spacing w:val="-54"/>
        </w:rPr>
        <w:t> </w:t>
      </w:r>
      <w:r>
        <w:rPr/>
        <w:t>4</w:t>
      </w:r>
      <w:r>
        <w:rPr>
          <w:spacing w:val="-54"/>
        </w:rPr>
        <w:t> </w:t>
      </w:r>
      <w:r>
        <w:rPr/>
        <w:t>月公司发布非公开发行股票预案公告，拟募集资金总额不超过</w:t>
      </w:r>
      <w:r>
        <w:rPr>
          <w:spacing w:val="-54"/>
        </w:rPr>
        <w:t> </w:t>
      </w:r>
      <w:r>
        <w:rPr/>
        <w:t>2.6</w:t>
      </w:r>
      <w:r>
        <w:rPr>
          <w:spacing w:val="-53"/>
        </w:rPr>
        <w:t> </w:t>
      </w:r>
      <w:r>
        <w:rPr/>
        <w:t>亿元人</w:t>
      </w:r>
      <w:r>
        <w:rPr/>
        <w:t> </w:t>
      </w:r>
      <w:r>
        <w:rPr>
          <w:spacing w:val="-3"/>
        </w:rPr>
        <w:t>民币（含发行费用），扣除相关发行费用后将全部用于补充公司流动资金，目前该预案仍在证监会</w:t>
      </w:r>
      <w:r>
        <w:rPr>
          <w:spacing w:val="-67"/>
        </w:rPr>
        <w:t> </w:t>
      </w:r>
      <w:r>
        <w:rPr>
          <w:spacing w:val="-67"/>
        </w:rPr>
      </w:r>
      <w:r>
        <w:rPr/>
        <w:t>受理审核中。</w:t>
      </w:r>
    </w:p>
    <w:p>
      <w:pPr>
        <w:tabs>
          <w:tab w:pos="727" w:val="left" w:leader="none"/>
        </w:tabs>
        <w:spacing w:line="400" w:lineRule="auto" w:before="91"/>
        <w:ind w:left="139" w:right="5833"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发展战略和经营计划进展说明</w:t>
      </w:r>
      <w:r>
        <w:rPr>
          <w:rFonts w:ascii="宋体" w:hAnsi="宋体" w:cs="宋体" w:eastAsia="宋体" w:hint="default"/>
          <w:b/>
          <w:bCs/>
          <w:spacing w:val="1"/>
          <w:w w:val="99"/>
          <w:sz w:val="21"/>
          <w:szCs w:val="21"/>
        </w:rPr>
        <w:t> </w:t>
      </w:r>
      <w:r>
        <w:rPr>
          <w:rFonts w:ascii="宋体" w:hAnsi="宋体" w:cs="宋体" w:eastAsia="宋体" w:hint="default"/>
          <w:sz w:val="21"/>
          <w:szCs w:val="21"/>
        </w:rPr>
        <w:t>1）行业发展趋势</w:t>
      </w:r>
    </w:p>
    <w:p>
      <w:pPr>
        <w:pStyle w:val="BodyText"/>
        <w:spacing w:line="259" w:lineRule="exact"/>
        <w:ind w:left="139" w:right="113"/>
        <w:jc w:val="left"/>
      </w:pPr>
      <w:r>
        <w:rPr/>
        <w:t>A、资本市场改革加速进行，金融</w:t>
      </w:r>
      <w:r>
        <w:rPr>
          <w:spacing w:val="-65"/>
        </w:rPr>
        <w:t> </w:t>
      </w:r>
      <w:r>
        <w:rPr/>
        <w:t>IT</w:t>
      </w:r>
      <w:r>
        <w:rPr>
          <w:spacing w:val="-65"/>
        </w:rPr>
        <w:t> </w:t>
      </w:r>
      <w:r>
        <w:rPr/>
        <w:t>企业竞争加剧。</w:t>
      </w:r>
    </w:p>
    <w:p>
      <w:pPr>
        <w:pStyle w:val="BodyText"/>
        <w:spacing w:line="350" w:lineRule="auto" w:before="126"/>
        <w:ind w:left="139" w:right="113"/>
        <w:jc w:val="left"/>
      </w:pPr>
      <w:r>
        <w:rPr>
          <w:spacing w:val="-3"/>
        </w:rPr>
        <w:t>目前我国资本市场正呈现出多层次、全方位、国际化的市场化改革加速趋势，利率市场化、资产证</w:t>
      </w:r>
      <w:r>
        <w:rPr>
          <w:spacing w:val="-67"/>
        </w:rPr>
        <w:t> </w:t>
      </w:r>
      <w:r>
        <w:rPr>
          <w:spacing w:val="-67"/>
        </w:rPr>
      </w:r>
      <w:r>
        <w:rPr>
          <w:spacing w:val="-3"/>
        </w:rPr>
        <w:t>券化、注册制、沪港通与深港通、“一人一户”、新三板等领域的变革正在全面快速推进：在利率</w:t>
      </w:r>
      <w:r>
        <w:rPr>
          <w:spacing w:val="-71"/>
        </w:rPr>
        <w:t> </w:t>
      </w:r>
      <w:r>
        <w:rPr>
          <w:spacing w:val="-71"/>
        </w:rPr>
      </w:r>
      <w:r>
        <w:rPr>
          <w:spacing w:val="-3"/>
        </w:rPr>
        <w:t>市场化与金融机构设立门槛放低的背景下，我国经济正进入降息周期，构成资本市场长期牛市的重</w:t>
      </w:r>
      <w:r>
        <w:rPr>
          <w:spacing w:val="-66"/>
        </w:rPr>
        <w:t> </w:t>
      </w:r>
      <w:r>
        <w:rPr>
          <w:spacing w:val="-66"/>
        </w:rPr>
      </w:r>
      <w:r>
        <w:rPr>
          <w:spacing w:val="-3"/>
        </w:rPr>
        <w:t>要基础，同时大量新机构的设立将逐渐改变行业格局；资产证券化业务限制的逐步放开，将激活大</w:t>
      </w:r>
      <w:r>
        <w:rPr>
          <w:spacing w:val="-66"/>
        </w:rPr>
        <w:t> </w:t>
      </w:r>
      <w:r>
        <w:rPr>
          <w:spacing w:val="-66"/>
        </w:rPr>
      </w:r>
      <w:r>
        <w:rPr>
          <w:spacing w:val="-3"/>
        </w:rPr>
        <w:t>量的存量资产，资产流动性将快速提升，未来泛资产管理机构数量将持续增加；注册制的逐步推出</w:t>
      </w:r>
      <w:r>
        <w:rPr>
          <w:spacing w:val="-66"/>
        </w:rPr>
        <w:t> </w:t>
      </w:r>
      <w:r>
        <w:rPr>
          <w:spacing w:val="-66"/>
        </w:rPr>
      </w:r>
      <w:r>
        <w:rPr/>
        <w:t>将使资本市场环境面临巨变，资本市场</w:t>
      </w:r>
      <w:r>
        <w:rPr>
          <w:spacing w:val="-58"/>
        </w:rPr>
        <w:t> </w:t>
      </w:r>
      <w:r>
        <w:rPr/>
        <w:t>IPO</w:t>
      </w:r>
      <w:r>
        <w:rPr>
          <w:spacing w:val="-57"/>
        </w:rPr>
        <w:t> </w:t>
      </w:r>
      <w:r>
        <w:rPr>
          <w:spacing w:val="-3"/>
        </w:rPr>
        <w:t>企业数量与交易规模将显著上升；伴随“一人一户”限</w:t>
      </w:r>
      <w:r>
        <w:rPr/>
        <w:t> </w:t>
      </w:r>
      <w:r>
        <w:rPr>
          <w:spacing w:val="-3"/>
        </w:rPr>
        <w:t>制的逐步放开，券商行业竞争格局将面临变化；新三板市场的逐步完善有利于我国多层次资本市场</w:t>
      </w:r>
      <w:r>
        <w:rPr>
          <w:spacing w:val="-66"/>
        </w:rPr>
        <w:t> </w:t>
      </w:r>
      <w:r>
        <w:rPr>
          <w:spacing w:val="-66"/>
        </w:rPr>
      </w:r>
      <w:r>
        <w:rPr/>
        <w:t>体系的建立和完善，未来金融体制改革将进一步深化。 </w:t>
      </w:r>
      <w:r>
        <w:rPr>
          <w:spacing w:val="-3"/>
        </w:rPr>
        <w:t>长期来看，在加速变革的资本市场与政策环境中，金融机构混业经营发展将成为主流趋势，跨界融</w:t>
      </w:r>
      <w:r>
        <w:rPr>
          <w:spacing w:val="-66"/>
        </w:rPr>
        <w:t> </w:t>
      </w:r>
      <w:r>
        <w:rPr>
          <w:spacing w:val="-66"/>
        </w:rPr>
      </w:r>
      <w:r>
        <w:rPr>
          <w:spacing w:val="-3"/>
        </w:rPr>
        <w:t>合将逐渐从“互联网+金融”逐步过渡到“产业+互联网+金融”，对金融</w:t>
      </w:r>
      <w:r>
        <w:rPr>
          <w:spacing w:val="-51"/>
        </w:rPr>
        <w:t> </w:t>
      </w:r>
      <w:r>
        <w:rPr/>
        <w:t>IT</w:t>
      </w:r>
      <w:r>
        <w:rPr>
          <w:spacing w:val="-50"/>
        </w:rPr>
        <w:t> </w:t>
      </w:r>
      <w:r>
        <w:rPr>
          <w:spacing w:val="-4"/>
        </w:rPr>
        <w:t>企业的技术能力、产品</w:t>
      </w:r>
      <w:r>
        <w:rPr>
          <w:spacing w:val="-99"/>
        </w:rPr>
        <w:t> </w:t>
      </w:r>
      <w:r>
        <w:rPr>
          <w:spacing w:val="-99"/>
        </w:rPr>
      </w:r>
      <w:r>
        <w:rPr>
          <w:spacing w:val="-4"/>
        </w:rPr>
        <w:t>能力、服务能力也提出了更高的要求，而越来越多的市场参与者也将加剧金融</w:t>
      </w:r>
      <w:r>
        <w:rPr>
          <w:spacing w:val="-51"/>
        </w:rPr>
        <w:t> </w:t>
      </w:r>
      <w:r>
        <w:rPr/>
        <w:t>IT</w:t>
      </w:r>
      <w:r>
        <w:rPr>
          <w:spacing w:val="-50"/>
        </w:rPr>
        <w:t> </w:t>
      </w:r>
      <w:r>
        <w:rPr/>
        <w:t>企业之间的竞争。</w:t>
      </w:r>
    </w:p>
    <w:p>
      <w:pPr>
        <w:spacing w:line="240" w:lineRule="auto" w:before="0"/>
        <w:rPr>
          <w:rFonts w:ascii="宋体" w:hAnsi="宋体" w:cs="宋体" w:eastAsia="宋体" w:hint="default"/>
          <w:sz w:val="20"/>
          <w:szCs w:val="20"/>
        </w:rPr>
      </w:pPr>
    </w:p>
    <w:p>
      <w:pPr>
        <w:pStyle w:val="BodyText"/>
        <w:spacing w:line="350" w:lineRule="auto" w:before="167"/>
        <w:ind w:left="139" w:right="113"/>
        <w:jc w:val="left"/>
      </w:pPr>
      <w:r>
        <w:rPr/>
        <w:t>B、互联网金融生态逐步建立，从混乱走向有序。 </w:t>
      </w:r>
      <w:r>
        <w:rPr>
          <w:spacing w:val="-3"/>
        </w:rPr>
        <w:t>在大数据、云计算、移动互联网等新一代信息技术的快速发展影响下，金融业及传统行业将面临深</w:t>
      </w:r>
      <w:r>
        <w:rPr>
          <w:spacing w:val="-66"/>
        </w:rPr>
        <w:t> </w:t>
      </w:r>
      <w:r>
        <w:rPr>
          <w:spacing w:val="-66"/>
        </w:rPr>
      </w:r>
      <w:r>
        <w:rPr>
          <w:spacing w:val="-3"/>
        </w:rPr>
        <w:t>度互联网化与移动互联网化的挑战。金融新业态、新技术、新模式层出不穷，尤其是多种形式的互</w:t>
      </w:r>
      <w:r>
        <w:rPr>
          <w:spacing w:val="-67"/>
        </w:rPr>
        <w:t> </w:t>
      </w:r>
      <w:r>
        <w:rPr>
          <w:spacing w:val="-67"/>
        </w:rPr>
      </w:r>
      <w:r>
        <w:rPr>
          <w:spacing w:val="-3"/>
        </w:rPr>
        <w:t>联网金融异军突起，正改变金融行业的运营模式与次序，搅动以券商为代表的直接融资体系和以银</w:t>
      </w:r>
      <w:r>
        <w:rPr>
          <w:spacing w:val="-66"/>
        </w:rPr>
        <w:t> </w:t>
      </w:r>
      <w:r>
        <w:rPr>
          <w:spacing w:val="-66"/>
        </w:rPr>
      </w:r>
      <w:r>
        <w:rPr>
          <w:spacing w:val="-3"/>
        </w:rPr>
        <w:t>行为代表的间接融资体系，金融行业的原始边界在逐渐消融。同时，《征信业管理条例》的出台解</w:t>
      </w:r>
    </w:p>
    <w:p>
      <w:pPr>
        <w:spacing w:after="0" w:line="350" w:lineRule="auto"/>
        <w:jc w:val="left"/>
        <w:sectPr>
          <w:footerReference w:type="default" r:id="rId16"/>
          <w:pgSz w:w="11910" w:h="16840"/>
          <w:pgMar w:footer="1197" w:header="0" w:top="1120" w:bottom="1380" w:left="1300" w:right="1300"/>
          <w:pgNumType w:start="14"/>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350" w:lineRule="auto" w:before="35"/>
        <w:ind w:left="140" w:right="104"/>
        <w:jc w:val="left"/>
      </w:pPr>
      <w:r>
        <w:rPr/>
        <w:t>决了征信业发展中无法可依的问题，互联网企业、第三方征信机构基于交易数据、小额贷款记录、 P2P</w:t>
      </w:r>
      <w:r>
        <w:rPr>
          <w:spacing w:val="-65"/>
        </w:rPr>
        <w:t> </w:t>
      </w:r>
      <w:r>
        <w:rPr/>
        <w:t>信用记录等大数据建立起的征信体系将逐步与银行征信系统对接，为互联网金融的发展提供了</w:t>
      </w:r>
      <w:r>
        <w:rPr/>
        <w:t> 良好的信用环境基础。此外，国家政策的支持也为互联网金融的发展提供了保障，2015</w:t>
      </w:r>
      <w:r>
        <w:rPr>
          <w:spacing w:val="-53"/>
        </w:rPr>
        <w:t> </w:t>
      </w:r>
      <w:r>
        <w:rPr/>
        <w:t>年两会的</w:t>
      </w:r>
      <w:r>
        <w:rPr/>
        <w:t> 政府工作报告更是把“促进互联网金融健康发展”放在“深化金融体制改革”部分，放在报告的 </w:t>
      </w:r>
      <w:r>
        <w:rPr>
          <w:spacing w:val="-3"/>
        </w:rPr>
        <w:t>“调整产业结构，培育新增长点、新业态”部分，互联网金融将迎来更大的发展周期。未来伴随互</w:t>
      </w:r>
      <w:r>
        <w:rPr>
          <w:spacing w:val="-67"/>
        </w:rPr>
        <w:t> </w:t>
      </w:r>
      <w:r>
        <w:rPr>
          <w:spacing w:val="-67"/>
        </w:rPr>
      </w:r>
      <w:r>
        <w:rPr>
          <w:spacing w:val="-3"/>
        </w:rPr>
        <w:t>联网金融的进一步发展，以互联网金融消费者、金融机构、电商平台、互联网企业、金融</w:t>
      </w:r>
      <w:r>
        <w:rPr>
          <w:spacing w:val="-42"/>
        </w:rPr>
        <w:t> </w:t>
      </w:r>
      <w:r>
        <w:rPr/>
        <w:t>IT</w:t>
      </w:r>
      <w:r>
        <w:rPr>
          <w:spacing w:val="-41"/>
        </w:rPr>
        <w:t> </w:t>
      </w:r>
      <w:r>
        <w:rPr/>
        <w:t>企业、</w:t>
      </w:r>
      <w:r>
        <w:rPr>
          <w:spacing w:val="-103"/>
        </w:rPr>
        <w:t> </w:t>
      </w:r>
      <w:r>
        <w:rPr>
          <w:spacing w:val="-103"/>
        </w:rPr>
      </w:r>
      <w:r>
        <w:rPr/>
        <w:t>监管机构等为主体的生态将逐步建立。 </w:t>
      </w:r>
      <w:r>
        <w:rPr>
          <w:spacing w:val="-3"/>
        </w:rPr>
        <w:t>目前，央行正在牵头制定《关于促进互联网金融健康发展的指导意见》，将按照“适度监管、分类</w:t>
      </w:r>
      <w:r>
        <w:rPr>
          <w:spacing w:val="-68"/>
        </w:rPr>
        <w:t> </w:t>
      </w:r>
      <w:r>
        <w:rPr>
          <w:spacing w:val="-68"/>
        </w:rPr>
      </w:r>
      <w:r>
        <w:rPr>
          <w:spacing w:val="-3"/>
        </w:rPr>
        <w:t>监管、协同监管、创新监管”的原则，建立和完善互联网金融监管框架，根据新的监管框架，互联</w:t>
      </w:r>
      <w:r>
        <w:rPr>
          <w:spacing w:val="-68"/>
        </w:rPr>
        <w:t> </w:t>
      </w:r>
      <w:r>
        <w:rPr>
          <w:spacing w:val="-68"/>
        </w:rPr>
      </w:r>
      <w:r>
        <w:rPr>
          <w:spacing w:val="-3"/>
        </w:rPr>
        <w:t>网金融企业在与传统金融相同的业务领域，将面临与传统金融机构同等的监管，互联网金融生态将</w:t>
      </w:r>
      <w:r>
        <w:rPr>
          <w:spacing w:val="-66"/>
        </w:rPr>
        <w:t> </w:t>
      </w:r>
      <w:r>
        <w:rPr>
          <w:spacing w:val="-66"/>
        </w:rPr>
      </w:r>
      <w:r>
        <w:rPr/>
        <w:t>逐步由混乱走向有序，基于细分领域的差异化竞争将更加激烈。在此背景下，金融</w:t>
      </w:r>
      <w:r>
        <w:rPr>
          <w:spacing w:val="-61"/>
        </w:rPr>
        <w:t> </w:t>
      </w:r>
      <w:r>
        <w:rPr/>
        <w:t>IT</w:t>
      </w:r>
      <w:r>
        <w:rPr>
          <w:spacing w:val="-61"/>
        </w:rPr>
        <w:t> </w:t>
      </w:r>
      <w:r>
        <w:rPr/>
        <w:t>企业利用、</w:t>
      </w:r>
      <w:r>
        <w:rPr>
          <w:spacing w:val="-1"/>
        </w:rPr>
        <w:t> </w:t>
      </w:r>
      <w:r>
        <w:rPr>
          <w:spacing w:val="-3"/>
        </w:rPr>
        <w:t>大数据云计算、移动互联网等技术实现从软件工具与应用服务提供商转型为平台入口、服务运营商</w:t>
      </w:r>
      <w:r>
        <w:rPr>
          <w:spacing w:val="-66"/>
        </w:rPr>
        <w:t> </w:t>
      </w:r>
      <w:r>
        <w:rPr>
          <w:spacing w:val="-66"/>
        </w:rPr>
      </w:r>
      <w:r>
        <w:rPr/>
        <w:t>的转变将成为未来发展的重要方向。</w:t>
      </w:r>
    </w:p>
    <w:p>
      <w:pPr>
        <w:spacing w:line="240" w:lineRule="auto" w:before="0"/>
        <w:rPr>
          <w:rFonts w:ascii="宋体" w:hAnsi="宋体" w:cs="宋体" w:eastAsia="宋体" w:hint="default"/>
          <w:sz w:val="20"/>
          <w:szCs w:val="20"/>
        </w:rPr>
      </w:pPr>
    </w:p>
    <w:p>
      <w:pPr>
        <w:pStyle w:val="BodyText"/>
        <w:spacing w:line="240" w:lineRule="auto" w:before="166"/>
        <w:ind w:left="140" w:right="113"/>
        <w:jc w:val="left"/>
      </w:pPr>
      <w:r>
        <w:rPr/>
        <w:t>2）公司发展战略</w:t>
      </w:r>
    </w:p>
    <w:p>
      <w:pPr>
        <w:pStyle w:val="BodyText"/>
        <w:spacing w:line="350" w:lineRule="auto" w:before="126"/>
        <w:ind w:left="140" w:right="206"/>
        <w:jc w:val="left"/>
      </w:pPr>
      <w:r>
        <w:rPr/>
        <w:t>2015</w:t>
      </w:r>
      <w:r>
        <w:rPr>
          <w:spacing w:val="-65"/>
        </w:rPr>
        <w:t> </w:t>
      </w:r>
      <w:r>
        <w:rPr/>
        <w:t>年是公司“回归金融</w:t>
      </w:r>
      <w:r>
        <w:rPr>
          <w:spacing w:val="-66"/>
        </w:rPr>
        <w:t> </w:t>
      </w:r>
      <w:r>
        <w:rPr/>
        <w:t>IT”战略升级年，公司在“回归金融</w:t>
      </w:r>
      <w:r>
        <w:rPr>
          <w:spacing w:val="-66"/>
        </w:rPr>
        <w:t> </w:t>
      </w:r>
      <w:r>
        <w:rPr/>
        <w:t>IT”战略的基础上，紧紧抓住在金</w:t>
      </w:r>
      <w:r>
        <w:rPr/>
        <w:t> </w:t>
      </w:r>
      <w:r>
        <w:rPr>
          <w:spacing w:val="-3"/>
        </w:rPr>
        <w:t>融创新、互联网金融兴起背景下行业爆发出来的种种机遇，勇于探索、不断创新，在对商业模式进</w:t>
      </w:r>
      <w:r>
        <w:rPr>
          <w:spacing w:val="-67"/>
        </w:rPr>
        <w:t> </w:t>
      </w:r>
      <w:r>
        <w:rPr>
          <w:spacing w:val="-67"/>
        </w:rPr>
      </w:r>
      <w:r>
        <w:rPr/>
        <w:t>行积极探索的基础上，提出“回归金融</w:t>
      </w:r>
      <w:r>
        <w:rPr>
          <w:spacing w:val="-54"/>
        </w:rPr>
        <w:t> </w:t>
      </w:r>
      <w:r>
        <w:rPr/>
        <w:t>IT”战略的优化与升级——金证互联网金融战略。公司将</w:t>
      </w:r>
      <w:r>
        <w:rPr/>
        <w:t> 分三个阶段，推动公司互联网金融相关业务发展：</w:t>
      </w:r>
    </w:p>
    <w:p>
      <w:pPr>
        <w:spacing w:line="240" w:lineRule="auto" w:before="0"/>
        <w:rPr>
          <w:rFonts w:ascii="宋体" w:hAnsi="宋体" w:cs="宋体" w:eastAsia="宋体" w:hint="default"/>
          <w:sz w:val="20"/>
          <w:szCs w:val="20"/>
        </w:rPr>
      </w:pPr>
    </w:p>
    <w:p>
      <w:pPr>
        <w:pStyle w:val="BodyText"/>
        <w:spacing w:line="350" w:lineRule="auto" w:before="166"/>
        <w:ind w:left="140" w:right="114"/>
        <w:jc w:val="left"/>
      </w:pPr>
      <w:r>
        <w:rPr/>
        <w:t>第一阶段：以技术积累为优势，打造金融</w:t>
      </w:r>
      <w:r>
        <w:rPr>
          <w:spacing w:val="-62"/>
        </w:rPr>
        <w:t> </w:t>
      </w:r>
      <w:r>
        <w:rPr/>
        <w:t>IT</w:t>
      </w:r>
      <w:r>
        <w:rPr>
          <w:spacing w:val="-61"/>
        </w:rPr>
        <w:t> </w:t>
      </w:r>
      <w:r>
        <w:rPr/>
        <w:t>行业互联网金融解决方案。公司将以技术积累与行业</w:t>
      </w:r>
      <w:r>
        <w:rPr>
          <w:spacing w:val="-1"/>
        </w:rPr>
        <w:t> </w:t>
      </w:r>
      <w:r>
        <w:rPr>
          <w:spacing w:val="-3"/>
        </w:rPr>
        <w:t>地位为优势，在确保传统业务优势的基础上，向“咨询化、应用化、运营化”升级。业务层面：公</w:t>
      </w:r>
      <w:r>
        <w:rPr>
          <w:spacing w:val="-67"/>
        </w:rPr>
        <w:t> </w:t>
      </w:r>
      <w:r>
        <w:rPr>
          <w:spacing w:val="-67"/>
        </w:rPr>
      </w:r>
      <w:r>
        <w:rPr/>
        <w:t>司将更加积极主动的推进金融行业（证券、基金、泛金融）客户在互联网金融环境下的需求引导， </w:t>
      </w:r>
      <w:r>
        <w:rPr>
          <w:spacing w:val="-3"/>
        </w:rPr>
        <w:t>推动基于互联网金融的架构升级与模块优化，完善金融行业（证券、基金、泛金融）互联网金融转</w:t>
      </w:r>
      <w:r>
        <w:rPr>
          <w:spacing w:val="-66"/>
        </w:rPr>
        <w:t> </w:t>
      </w:r>
      <w:r>
        <w:rPr>
          <w:spacing w:val="-66"/>
        </w:rPr>
      </w:r>
      <w:r>
        <w:rPr/>
        <w:t>型解决方案。产品层面：加快互联网金融相关业务的</w:t>
      </w:r>
      <w:r>
        <w:rPr>
          <w:spacing w:val="-64"/>
        </w:rPr>
        <w:t> </w:t>
      </w:r>
      <w:r>
        <w:rPr/>
        <w:t>B2B2C</w:t>
      </w:r>
      <w:r>
        <w:rPr>
          <w:spacing w:val="-64"/>
        </w:rPr>
        <w:t> </w:t>
      </w:r>
      <w:r>
        <w:rPr>
          <w:spacing w:val="-3"/>
        </w:rPr>
        <w:t>型产品线的移动化、应用化、前端化布</w:t>
      </w:r>
      <w:r>
        <w:rPr/>
        <w:t> 局；强化与互联网企业、金融机构的创新型合作，实现增量价值的挖掘。</w:t>
      </w:r>
    </w:p>
    <w:p>
      <w:pPr>
        <w:spacing w:line="240" w:lineRule="auto" w:before="0"/>
        <w:rPr>
          <w:rFonts w:ascii="宋体" w:hAnsi="宋体" w:cs="宋体" w:eastAsia="宋体" w:hint="default"/>
          <w:sz w:val="20"/>
          <w:szCs w:val="20"/>
        </w:rPr>
      </w:pPr>
    </w:p>
    <w:p>
      <w:pPr>
        <w:pStyle w:val="BodyText"/>
        <w:spacing w:line="350" w:lineRule="auto" w:before="167"/>
        <w:ind w:left="140" w:right="106"/>
        <w:jc w:val="left"/>
      </w:pPr>
      <w:r>
        <w:rPr/>
        <w:t>第二阶段：以流量共享为方式，力争打造互联网金融</w:t>
      </w:r>
      <w:r>
        <w:rPr>
          <w:spacing w:val="-61"/>
        </w:rPr>
        <w:t> </w:t>
      </w:r>
      <w:r>
        <w:rPr/>
        <w:t>IT</w:t>
      </w:r>
      <w:r>
        <w:rPr>
          <w:spacing w:val="-60"/>
        </w:rPr>
        <w:t> </w:t>
      </w:r>
      <w:r>
        <w:rPr/>
        <w:t>解决方案。公司将以金融机构、互联网企</w:t>
      </w:r>
      <w:r>
        <w:rPr>
          <w:spacing w:val="-1"/>
        </w:rPr>
        <w:t> </w:t>
      </w:r>
      <w:r>
        <w:rPr/>
        <w:t>业、传统行业企业作为服务主体，打造以流量共享方式分享行业成长的互联网金融</w:t>
      </w:r>
      <w:r>
        <w:rPr>
          <w:spacing w:val="-61"/>
        </w:rPr>
        <w:t> </w:t>
      </w:r>
      <w:r>
        <w:rPr/>
        <w:t>IT</w:t>
      </w:r>
      <w:r>
        <w:rPr>
          <w:spacing w:val="-60"/>
        </w:rPr>
        <w:t> </w:t>
      </w:r>
      <w:r>
        <w:rPr/>
        <w:t>解决方案。</w:t>
      </w:r>
      <w:r>
        <w:rPr>
          <w:spacing w:val="-1"/>
        </w:rPr>
        <w:t> </w:t>
      </w:r>
      <w:r>
        <w:rPr>
          <w:spacing w:val="-3"/>
        </w:rPr>
        <w:t>为证券、基金、银行、保险、信托、期货、泛金融等传统金融机构的互联网化提供互联网金融转型</w:t>
      </w:r>
      <w:r>
        <w:rPr>
          <w:spacing w:val="-69"/>
        </w:rPr>
        <w:t> </w:t>
      </w:r>
      <w:r>
        <w:rPr>
          <w:spacing w:val="-69"/>
        </w:rPr>
      </w:r>
      <w:r>
        <w:rPr>
          <w:spacing w:val="-6"/>
        </w:rPr>
        <w:t>解决方案；为电商、门户、支付、搜索、P2P、众筹等互联网企业的金融化提供 </w:t>
      </w:r>
      <w:r>
        <w:rPr/>
        <w:t>IT</w:t>
      </w:r>
      <w:r>
        <w:rPr>
          <w:spacing w:val="-85"/>
        </w:rPr>
        <w:t> </w:t>
      </w:r>
      <w:r>
        <w:rPr/>
        <w:t>服务与产品支持；</w:t>
      </w:r>
      <w:r>
        <w:rPr/>
        <w:t> </w:t>
      </w:r>
      <w:r>
        <w:rPr>
          <w:spacing w:val="-5"/>
        </w:rPr>
        <w:t>为零售、通信、农业、医疗、交通等传统行业企业的互联网金融改造提供互联网金融系统解决方案；</w:t>
      </w:r>
      <w:r>
        <w:rPr>
          <w:spacing w:val="-79"/>
        </w:rPr>
        <w:t> </w:t>
      </w:r>
      <w:r>
        <w:rPr>
          <w:spacing w:val="-79"/>
        </w:rPr>
      </w:r>
      <w:r>
        <w:rPr/>
        <w:t>目标将公司打造成为互联网金融</w:t>
      </w:r>
      <w:r>
        <w:rPr>
          <w:spacing w:val="-65"/>
        </w:rPr>
        <w:t> </w:t>
      </w:r>
      <w:r>
        <w:rPr/>
        <w:t>IT</w:t>
      </w:r>
      <w:r>
        <w:rPr>
          <w:spacing w:val="-65"/>
        </w:rPr>
        <w:t> </w:t>
      </w:r>
      <w:r>
        <w:rPr/>
        <w:t>解决方案第一品牌。</w:t>
      </w:r>
    </w:p>
    <w:p>
      <w:pPr>
        <w:spacing w:after="0" w:line="350" w:lineRule="auto"/>
        <w:jc w:val="left"/>
        <w:sectPr>
          <w:pgSz w:w="11910" w:h="16840"/>
          <w:pgMar w:header="0" w:footer="1197" w:top="1120" w:bottom="1380" w:left="13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350" w:lineRule="auto" w:before="35"/>
        <w:ind w:left="219" w:right="103"/>
        <w:jc w:val="left"/>
      </w:pPr>
      <w:r>
        <w:rPr>
          <w:spacing w:val="-3"/>
        </w:rPr>
        <w:t>第三阶段：以平台服务为基础，争取成为互联网金融内容服务商。公司将在前两阶段的基础上，进</w:t>
      </w:r>
      <w:r>
        <w:rPr>
          <w:spacing w:val="-67"/>
        </w:rPr>
        <w:t> </w:t>
      </w:r>
      <w:r>
        <w:rPr>
          <w:spacing w:val="-67"/>
        </w:rPr>
      </w:r>
      <w:r>
        <w:rPr>
          <w:spacing w:val="-3"/>
        </w:rPr>
        <w:t>一步整合已有优势，积累用户资源，以流量沉淀、数据挖掘等方式，争取向平台型业务延伸；以平</w:t>
      </w:r>
      <w:r>
        <w:rPr>
          <w:spacing w:val="-66"/>
        </w:rPr>
        <w:t> </w:t>
      </w:r>
      <w:r>
        <w:rPr>
          <w:spacing w:val="-66"/>
        </w:rPr>
      </w:r>
      <w:r>
        <w:rPr>
          <w:spacing w:val="-5"/>
        </w:rPr>
        <w:t>台为基础，以运营能力为核心，以大数据为手段，以产业链延伸为方式，参与理财平台、在线交易、</w:t>
      </w:r>
      <w:r>
        <w:rPr>
          <w:spacing w:val="-80"/>
        </w:rPr>
        <w:t> </w:t>
      </w:r>
      <w:r>
        <w:rPr>
          <w:spacing w:val="-80"/>
        </w:rPr>
      </w:r>
      <w:r>
        <w:rPr/>
        <w:t>供应链金融、三方征信等互联网金融内容服务，争取将公司打造成为互联网金融内容服务提供商。</w:t>
      </w:r>
    </w:p>
    <w:p>
      <w:pPr>
        <w:spacing w:line="240" w:lineRule="auto" w:before="0"/>
        <w:rPr>
          <w:rFonts w:ascii="宋体" w:hAnsi="宋体" w:cs="宋体" w:eastAsia="宋体" w:hint="default"/>
          <w:sz w:val="20"/>
          <w:szCs w:val="20"/>
        </w:rPr>
      </w:pPr>
    </w:p>
    <w:p>
      <w:pPr>
        <w:pStyle w:val="BodyText"/>
        <w:spacing w:line="240" w:lineRule="auto" w:before="166"/>
        <w:ind w:left="219" w:right="3956"/>
        <w:jc w:val="left"/>
      </w:pPr>
      <w:r>
        <w:rPr/>
        <w:t>3）公司经营计划</w:t>
      </w:r>
    </w:p>
    <w:p>
      <w:pPr>
        <w:pStyle w:val="BodyText"/>
        <w:spacing w:line="348" w:lineRule="auto" w:before="126"/>
        <w:ind w:left="219" w:right="222"/>
        <w:jc w:val="both"/>
      </w:pPr>
      <w:r>
        <w:rPr/>
        <w:t>证券</w:t>
      </w:r>
      <w:r>
        <w:rPr>
          <w:spacing w:val="-66"/>
        </w:rPr>
        <w:t> </w:t>
      </w:r>
      <w:r>
        <w:rPr/>
        <w:t>IT</w:t>
      </w:r>
      <w:r>
        <w:rPr>
          <w:spacing w:val="-65"/>
        </w:rPr>
        <w:t> </w:t>
      </w:r>
      <w:r>
        <w:rPr/>
        <w:t>业务：面对证券行业新一轮的复苏与变革，公司将加大对金融创新业务的投入与推广，为</w:t>
      </w:r>
      <w:r>
        <w:rPr>
          <w:spacing w:val="-1"/>
        </w:rPr>
        <w:t> </w:t>
      </w:r>
      <w:r>
        <w:rPr>
          <w:spacing w:val="-3"/>
        </w:rPr>
        <w:t>证券行业的创新发展提供保障。同时，公司还将不断完善产品线，加强创新互联网应用平台，不断</w:t>
      </w:r>
      <w:r>
        <w:rPr>
          <w:spacing w:val="-67"/>
        </w:rPr>
        <w:t> </w:t>
      </w:r>
      <w:r>
        <w:rPr>
          <w:spacing w:val="-67"/>
        </w:rPr>
      </w:r>
      <w:r>
        <w:rPr/>
        <w:t>提升公司在证券行业解决方案的提供能力，加深公司相关业务在证券行业的影响力。</w:t>
      </w:r>
    </w:p>
    <w:p>
      <w:pPr>
        <w:spacing w:line="240" w:lineRule="auto" w:before="0"/>
        <w:rPr>
          <w:rFonts w:ascii="宋体" w:hAnsi="宋体" w:cs="宋体" w:eastAsia="宋体" w:hint="default"/>
          <w:sz w:val="20"/>
          <w:szCs w:val="20"/>
        </w:rPr>
      </w:pPr>
    </w:p>
    <w:p>
      <w:pPr>
        <w:pStyle w:val="BodyText"/>
        <w:spacing w:line="350" w:lineRule="auto" w:before="169"/>
        <w:ind w:left="219" w:right="115"/>
        <w:jc w:val="left"/>
      </w:pPr>
      <w:r>
        <w:rPr/>
        <w:t>基金</w:t>
      </w:r>
      <w:r>
        <w:rPr>
          <w:spacing w:val="-53"/>
        </w:rPr>
        <w:t> </w:t>
      </w:r>
      <w:r>
        <w:rPr/>
        <w:t>IT</w:t>
      </w:r>
      <w:r>
        <w:rPr>
          <w:spacing w:val="-52"/>
        </w:rPr>
        <w:t> </w:t>
      </w:r>
      <w:r>
        <w:rPr>
          <w:spacing w:val="-4"/>
        </w:rPr>
        <w:t>业务：继续抓住资产管理业务领域大发展的契机，加快在资产管理行业开展</w:t>
      </w:r>
      <w:r>
        <w:rPr>
          <w:spacing w:val="-53"/>
        </w:rPr>
        <w:t> </w:t>
      </w:r>
      <w:r>
        <w:rPr/>
        <w:t>IT</w:t>
      </w:r>
      <w:r>
        <w:rPr>
          <w:spacing w:val="-53"/>
        </w:rPr>
        <w:t> </w:t>
      </w:r>
      <w:r>
        <w:rPr/>
        <w:t>外包服务和</w:t>
      </w:r>
      <w:r>
        <w:rPr>
          <w:spacing w:val="-1"/>
        </w:rPr>
        <w:t> </w:t>
      </w:r>
      <w:r>
        <w:rPr/>
        <w:t>资管云服务的上线推广工作，强化、引导老基金公司系统的转型升级，推进信托、保险</w:t>
      </w:r>
      <w:r>
        <w:rPr>
          <w:spacing w:val="-61"/>
        </w:rPr>
        <w:t> </w:t>
      </w:r>
      <w:r>
        <w:rPr/>
        <w:t>IT</w:t>
      </w:r>
      <w:r>
        <w:rPr>
          <w:spacing w:val="-60"/>
        </w:rPr>
        <w:t> </w:t>
      </w:r>
      <w:r>
        <w:rPr/>
        <w:t>的技术</w:t>
      </w:r>
      <w:r>
        <w:rPr/>
        <w:t> </w:t>
      </w:r>
      <w:r>
        <w:rPr>
          <w:spacing w:val="-5"/>
        </w:rPr>
        <w:t>研发投入，逐步形成行业整体解决方案。同时，持续大力发展基于行业的互联网金融业务解决方案，</w:t>
      </w:r>
      <w:r>
        <w:rPr>
          <w:spacing w:val="-80"/>
        </w:rPr>
        <w:t> </w:t>
      </w:r>
      <w:r>
        <w:rPr>
          <w:spacing w:val="-80"/>
        </w:rPr>
      </w:r>
      <w:r>
        <w:rPr/>
        <w:t>不断探索新的业务模式，保持行业领先优势。</w:t>
      </w:r>
    </w:p>
    <w:p>
      <w:pPr>
        <w:spacing w:line="240" w:lineRule="auto" w:before="0"/>
        <w:rPr>
          <w:rFonts w:ascii="宋体" w:hAnsi="宋体" w:cs="宋体" w:eastAsia="宋体" w:hint="default"/>
          <w:sz w:val="20"/>
          <w:szCs w:val="20"/>
        </w:rPr>
      </w:pPr>
    </w:p>
    <w:p>
      <w:pPr>
        <w:pStyle w:val="BodyText"/>
        <w:spacing w:line="348" w:lineRule="auto" w:before="167"/>
        <w:ind w:left="219" w:right="115"/>
        <w:jc w:val="left"/>
      </w:pPr>
      <w:r>
        <w:rPr/>
        <w:t>泛金融</w:t>
      </w:r>
      <w:r>
        <w:rPr>
          <w:spacing w:val="-43"/>
        </w:rPr>
        <w:t> </w:t>
      </w:r>
      <w:r>
        <w:rPr/>
        <w:t>IT</w:t>
      </w:r>
      <w:r>
        <w:rPr>
          <w:spacing w:val="-42"/>
        </w:rPr>
        <w:t> </w:t>
      </w:r>
      <w:r>
        <w:rPr>
          <w:spacing w:val="-4"/>
        </w:rPr>
        <w:t>业务：重点围绕现有优势业务，推进相关业务的延伸，加速泛金融云业务的落地与发展，</w:t>
      </w:r>
      <w:r>
        <w:rPr>
          <w:spacing w:val="-97"/>
        </w:rPr>
        <w:t> </w:t>
      </w:r>
      <w:r>
        <w:rPr>
          <w:spacing w:val="-97"/>
        </w:rPr>
      </w:r>
      <w:r>
        <w:rPr>
          <w:spacing w:val="-3"/>
        </w:rPr>
        <w:t>为公司打造新的核心业务和利润增长点；同时，积极探索泛金融领域的互联网金融业务创新，实现</w:t>
      </w:r>
      <w:r>
        <w:rPr>
          <w:spacing w:val="-65"/>
        </w:rPr>
        <w:t> </w:t>
      </w:r>
      <w:r>
        <w:rPr>
          <w:spacing w:val="-65"/>
        </w:rPr>
      </w:r>
      <w:r>
        <w:rPr/>
        <w:t>商业模式的创新升级。</w:t>
      </w:r>
    </w:p>
    <w:p>
      <w:pPr>
        <w:spacing w:line="240" w:lineRule="auto" w:before="0"/>
        <w:rPr>
          <w:rFonts w:ascii="宋体" w:hAnsi="宋体" w:cs="宋体" w:eastAsia="宋体" w:hint="default"/>
          <w:sz w:val="20"/>
          <w:szCs w:val="20"/>
        </w:rPr>
      </w:pPr>
    </w:p>
    <w:p>
      <w:pPr>
        <w:pStyle w:val="BodyText"/>
        <w:spacing w:line="350" w:lineRule="auto" w:before="169"/>
        <w:ind w:left="219" w:right="221"/>
        <w:jc w:val="both"/>
      </w:pPr>
      <w:r>
        <w:rPr/>
        <w:t>互联网金融</w:t>
      </w:r>
      <w:r>
        <w:rPr>
          <w:spacing w:val="-66"/>
        </w:rPr>
        <w:t> </w:t>
      </w:r>
      <w:r>
        <w:rPr/>
        <w:t>IT</w:t>
      </w:r>
      <w:r>
        <w:rPr>
          <w:spacing w:val="-65"/>
        </w:rPr>
        <w:t> </w:t>
      </w:r>
      <w:r>
        <w:rPr/>
        <w:t>业务：以现有与券商、银行、互联网企业的合作为契机，加速互联网金融相关产品</w:t>
      </w:r>
      <w:r>
        <w:rPr>
          <w:spacing w:val="-1"/>
        </w:rPr>
        <w:t> </w:t>
      </w:r>
      <w:r>
        <w:rPr>
          <w:spacing w:val="-3"/>
        </w:rPr>
        <w:t>的开发与上线，加强金证互联网金融业务在行业中的影响力，逐步深化与金融机构、互联网企业在</w:t>
      </w:r>
      <w:r>
        <w:rPr>
          <w:spacing w:val="-66"/>
        </w:rPr>
        <w:t> </w:t>
      </w:r>
      <w:r>
        <w:rPr>
          <w:spacing w:val="-66"/>
        </w:rPr>
      </w:r>
      <w:r>
        <w:rPr>
          <w:spacing w:val="-3"/>
        </w:rPr>
        <w:t>互联网金融领域的合作，打造互联网用户触手可及的金融业务办理平台，并在这个过程中逐步探索</w:t>
      </w:r>
      <w:r>
        <w:rPr>
          <w:spacing w:val="-66"/>
        </w:rPr>
        <w:t> </w:t>
      </w:r>
      <w:r>
        <w:rPr>
          <w:spacing w:val="-66"/>
        </w:rPr>
      </w:r>
      <w:r>
        <w:rPr/>
        <w:t>实现公司商业模式的转型升级，使得公司最终成为互联网金融内容服务提供商。</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7" w:top="1120" w:bottom="1380" w:left="1220" w:right="1300"/>
        </w:sectPr>
      </w:pPr>
    </w:p>
    <w:p>
      <w:pPr>
        <w:pStyle w:val="Heading3"/>
        <w:spacing w:line="264" w:lineRule="auto"/>
        <w:ind w:left="219" w:right="-16"/>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4"/>
        </w:rPr>
        <w:t> </w:t>
      </w:r>
      <w:r>
        <w:rPr/>
        <w:t>行业、产品或地区经营情况分析</w:t>
      </w:r>
      <w:r>
        <w:rPr>
          <w:spacing w:val="1"/>
          <w:w w:val="99"/>
        </w:rPr>
        <w:t> </w:t>
      </w:r>
      <w:r>
        <w:rPr/>
        <w:t>1、</w:t>
      </w:r>
      <w:r>
        <w:rPr>
          <w:spacing w:val="-58"/>
        </w:rPr>
        <w:t> </w:t>
      </w:r>
      <w:r>
        <w:rPr/>
        <w:t>主营业务分行业、分产品情况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5" w:val="left" w:leader="none"/>
        </w:tabs>
        <w:spacing w:line="240" w:lineRule="auto" w:before="175"/>
        <w:ind w:left="219" w:right="0"/>
        <w:jc w:val="left"/>
      </w:pPr>
      <w:r>
        <w:rPr/>
        <w:t>单位:元</w:t>
        <w:tab/>
        <w:t>币种:人民币</w:t>
      </w:r>
    </w:p>
    <w:p>
      <w:pPr>
        <w:spacing w:after="0" w:line="240" w:lineRule="auto"/>
        <w:jc w:val="left"/>
        <w:sectPr>
          <w:type w:val="continuous"/>
          <w:pgSz w:w="11910" w:h="16840"/>
          <w:pgMar w:top="1080" w:bottom="1380" w:left="1220" w:right="1300"/>
          <w:cols w:num="2" w:equalWidth="0">
            <w:col w:w="3541" w:space="3302"/>
            <w:col w:w="2547"/>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073"/>
        <w:gridCol w:w="1896"/>
        <w:gridCol w:w="1896"/>
        <w:gridCol w:w="1074"/>
        <w:gridCol w:w="1074"/>
        <w:gridCol w:w="1074"/>
        <w:gridCol w:w="1070"/>
      </w:tblGrid>
      <w:tr>
        <w:trPr>
          <w:trHeight w:val="283" w:hRule="exact"/>
        </w:trPr>
        <w:tc>
          <w:tcPr>
            <w:tcW w:w="915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7"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21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69" w:right="0"/>
              <w:jc w:val="left"/>
              <w:rPr>
                <w:rFonts w:ascii="宋体" w:hAnsi="宋体" w:cs="宋体" w:eastAsia="宋体" w:hint="default"/>
                <w:sz w:val="21"/>
                <w:szCs w:val="21"/>
              </w:rPr>
            </w:pPr>
            <w:r>
              <w:rPr>
                <w:rFonts w:ascii="宋体" w:hAnsi="宋体" w:cs="宋体" w:eastAsia="宋体" w:hint="default"/>
                <w:sz w:val="21"/>
                <w:szCs w:val="21"/>
              </w:rPr>
              <w:t>（%）</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1"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164" w:right="110" w:hanging="53"/>
              <w:jc w:val="left"/>
              <w:rPr>
                <w:rFonts w:ascii="宋体" w:hAnsi="宋体" w:cs="宋体" w:eastAsia="宋体" w:hint="default"/>
                <w:sz w:val="21"/>
                <w:szCs w:val="21"/>
              </w:rPr>
            </w:pPr>
            <w:r>
              <w:rPr>
                <w:rFonts w:ascii="宋体" w:hAnsi="宋体" w:cs="宋体" w:eastAsia="宋体" w:hint="default"/>
                <w:sz w:val="21"/>
                <w:szCs w:val="21"/>
              </w:rPr>
              <w:t>比上年增 减（%）</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1"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164" w:right="110" w:hanging="53"/>
              <w:jc w:val="left"/>
              <w:rPr>
                <w:rFonts w:ascii="宋体" w:hAnsi="宋体" w:cs="宋体" w:eastAsia="宋体" w:hint="default"/>
                <w:sz w:val="21"/>
                <w:szCs w:val="21"/>
              </w:rPr>
            </w:pPr>
            <w:r>
              <w:rPr>
                <w:rFonts w:ascii="宋体" w:hAnsi="宋体" w:cs="宋体" w:eastAsia="宋体" w:hint="default"/>
                <w:sz w:val="21"/>
                <w:szCs w:val="21"/>
              </w:rPr>
              <w:t>比上年增 减（%）</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827"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93"/>
              <w:jc w:val="left"/>
              <w:rPr>
                <w:rFonts w:ascii="宋体" w:hAnsi="宋体" w:cs="宋体" w:eastAsia="宋体" w:hint="default"/>
                <w:sz w:val="21"/>
                <w:szCs w:val="21"/>
              </w:rPr>
            </w:pPr>
            <w:r>
              <w:rPr>
                <w:rFonts w:ascii="宋体" w:hAnsi="宋体" w:cs="宋体" w:eastAsia="宋体" w:hint="default"/>
                <w:spacing w:val="6"/>
                <w:sz w:val="21"/>
                <w:szCs w:val="21"/>
              </w:rPr>
              <w:t>计算机信 </w:t>
            </w:r>
            <w:r>
              <w:rPr>
                <w:rFonts w:ascii="宋体" w:hAnsi="宋体" w:cs="宋体" w:eastAsia="宋体" w:hint="default"/>
                <w:sz w:val="21"/>
                <w:szCs w:val="21"/>
              </w:rPr>
              <w:t>息服务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2,340,260,736.73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1,847,350,673.88</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36" w:right="0"/>
              <w:jc w:val="left"/>
              <w:rPr>
                <w:rFonts w:ascii="宋体" w:hAnsi="宋体" w:cs="宋体" w:eastAsia="宋体" w:hint="default"/>
                <w:sz w:val="21"/>
                <w:szCs w:val="21"/>
              </w:rPr>
            </w:pPr>
            <w:r>
              <w:rPr>
                <w:rFonts w:ascii="宋体"/>
                <w:sz w:val="21"/>
              </w:rPr>
              <w:t>21.06</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16.74</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15.12</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tabs>
                <w:tab w:pos="747" w:val="left" w:leader="none"/>
              </w:tabs>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增</w:t>
              <w:tab/>
              <w:t>加</w:t>
            </w:r>
          </w:p>
          <w:p>
            <w:pPr>
              <w:pStyle w:val="TableParagraph"/>
              <w:tabs>
                <w:tab w:pos="748" w:val="left" w:leader="none"/>
              </w:tabs>
              <w:spacing w:line="272" w:lineRule="exact" w:before="26"/>
              <w:ind w:left="103" w:right="99"/>
              <w:jc w:val="left"/>
              <w:rPr>
                <w:rFonts w:ascii="宋体" w:hAnsi="宋体" w:cs="宋体" w:eastAsia="宋体" w:hint="default"/>
                <w:sz w:val="21"/>
                <w:szCs w:val="21"/>
              </w:rPr>
            </w:pPr>
            <w:r>
              <w:rPr>
                <w:rFonts w:ascii="宋体" w:hAnsi="宋体" w:cs="宋体" w:eastAsia="宋体" w:hint="default"/>
                <w:spacing w:val="-1"/>
                <w:sz w:val="21"/>
                <w:szCs w:val="21"/>
              </w:rPr>
              <w:t>1.11</w:t>
              <w:tab/>
            </w:r>
            <w:r>
              <w:rPr>
                <w:rFonts w:ascii="宋体" w:hAnsi="宋体" w:cs="宋体" w:eastAsia="宋体" w:hint="default"/>
                <w:sz w:val="21"/>
                <w:szCs w:val="21"/>
              </w:rPr>
              <w:t>个</w:t>
            </w:r>
            <w:r>
              <w:rPr>
                <w:rFonts w:ascii="宋体" w:hAnsi="宋体" w:cs="宋体" w:eastAsia="宋体" w:hint="default"/>
                <w:sz w:val="21"/>
                <w:szCs w:val="21"/>
              </w:rPr>
              <w:t> 百分点</w:t>
            </w:r>
          </w:p>
        </w:tc>
      </w:tr>
      <w:tr>
        <w:trPr>
          <w:trHeight w:val="282" w:hRule="exact"/>
        </w:trPr>
        <w:tc>
          <w:tcPr>
            <w:tcW w:w="107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15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282"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5"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7"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0"/>
              <w:jc w:val="right"/>
              <w:rPr>
                <w:rFonts w:ascii="宋体" w:hAnsi="宋体" w:cs="宋体" w:eastAsia="宋体" w:hint="default"/>
                <w:sz w:val="21"/>
                <w:szCs w:val="21"/>
              </w:rPr>
            </w:pPr>
            <w:r>
              <w:rPr>
                <w:rFonts w:ascii="宋体" w:hAnsi="宋体" w:cs="宋体" w:eastAsia="宋体" w:hint="default"/>
                <w:sz w:val="21"/>
                <w:szCs w:val="21"/>
              </w:rPr>
              <w:t>营业收入</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0"/>
              <w:jc w:val="right"/>
              <w:rPr>
                <w:rFonts w:ascii="宋体" w:hAnsi="宋体" w:cs="宋体" w:eastAsia="宋体" w:hint="default"/>
                <w:sz w:val="21"/>
                <w:szCs w:val="21"/>
              </w:rPr>
            </w:pPr>
            <w:r>
              <w:rPr>
                <w:rFonts w:ascii="宋体" w:hAnsi="宋体" w:cs="宋体" w:eastAsia="宋体" w:hint="default"/>
                <w:sz w:val="21"/>
                <w:szCs w:val="21"/>
              </w:rPr>
              <w:t>营业成本</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毛利率比</w:t>
            </w:r>
          </w:p>
        </w:tc>
      </w:tr>
    </w:tbl>
    <w:p>
      <w:pPr>
        <w:spacing w:after="0" w:line="240" w:lineRule="exact"/>
        <w:jc w:val="left"/>
        <w:rPr>
          <w:rFonts w:ascii="宋体" w:hAnsi="宋体" w:cs="宋体" w:eastAsia="宋体" w:hint="default"/>
          <w:sz w:val="21"/>
          <w:szCs w:val="21"/>
        </w:rPr>
        <w:sectPr>
          <w:type w:val="continuous"/>
          <w:pgSz w:w="11910" w:h="16840"/>
          <w:pgMar w:top="108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073"/>
        <w:gridCol w:w="1896"/>
        <w:gridCol w:w="1896"/>
        <w:gridCol w:w="1074"/>
        <w:gridCol w:w="1074"/>
        <w:gridCol w:w="1074"/>
        <w:gridCol w:w="1070"/>
      </w:tblGrid>
      <w:tr>
        <w:trPr>
          <w:trHeight w:val="554" w:hRule="exact"/>
        </w:trPr>
        <w:tc>
          <w:tcPr>
            <w:tcW w:w="107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9" w:right="0"/>
              <w:jc w:val="left"/>
              <w:rPr>
                <w:rFonts w:ascii="宋体" w:hAnsi="宋体" w:cs="宋体" w:eastAsia="宋体" w:hint="default"/>
                <w:sz w:val="21"/>
                <w:szCs w:val="21"/>
              </w:rPr>
            </w:pPr>
            <w:r>
              <w:rPr>
                <w:rFonts w:ascii="宋体" w:hAnsi="宋体" w:cs="宋体" w:eastAsia="宋体" w:hint="default"/>
                <w:sz w:val="21"/>
                <w:szCs w:val="21"/>
              </w:rPr>
              <w:t>（%）</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4" w:right="0" w:hanging="54"/>
              <w:jc w:val="left"/>
              <w:rPr>
                <w:rFonts w:ascii="宋体" w:hAnsi="宋体" w:cs="宋体" w:eastAsia="宋体" w:hint="default"/>
                <w:sz w:val="21"/>
                <w:szCs w:val="21"/>
              </w:rPr>
            </w:pPr>
            <w:r>
              <w:rPr>
                <w:rFonts w:ascii="宋体" w:hAnsi="宋体" w:cs="宋体" w:eastAsia="宋体" w:hint="default"/>
                <w:sz w:val="21"/>
                <w:szCs w:val="21"/>
              </w:rPr>
              <w:t>比上年增</w:t>
            </w:r>
          </w:p>
          <w:p>
            <w:pPr>
              <w:pStyle w:val="TableParagraph"/>
              <w:spacing w:line="274" w:lineRule="exact"/>
              <w:ind w:left="164" w:right="0"/>
              <w:jc w:val="left"/>
              <w:rPr>
                <w:rFonts w:ascii="宋体" w:hAnsi="宋体" w:cs="宋体" w:eastAsia="宋体" w:hint="default"/>
                <w:sz w:val="21"/>
                <w:szCs w:val="21"/>
              </w:rPr>
            </w:pPr>
            <w:r>
              <w:rPr>
                <w:rFonts w:ascii="宋体" w:hAnsi="宋体" w:cs="宋体" w:eastAsia="宋体" w:hint="default"/>
                <w:sz w:val="21"/>
                <w:szCs w:val="21"/>
              </w:rPr>
              <w:t>减（%）</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4" w:right="0" w:hanging="53"/>
              <w:jc w:val="left"/>
              <w:rPr>
                <w:rFonts w:ascii="宋体" w:hAnsi="宋体" w:cs="宋体" w:eastAsia="宋体" w:hint="default"/>
                <w:sz w:val="21"/>
                <w:szCs w:val="21"/>
              </w:rPr>
            </w:pPr>
            <w:r>
              <w:rPr>
                <w:rFonts w:ascii="宋体" w:hAnsi="宋体" w:cs="宋体" w:eastAsia="宋体" w:hint="default"/>
                <w:sz w:val="21"/>
                <w:szCs w:val="21"/>
              </w:rPr>
              <w:t>比上年增</w:t>
            </w:r>
          </w:p>
          <w:p>
            <w:pPr>
              <w:pStyle w:val="TableParagraph"/>
              <w:spacing w:line="274" w:lineRule="exact"/>
              <w:ind w:left="164" w:right="0"/>
              <w:jc w:val="left"/>
              <w:rPr>
                <w:rFonts w:ascii="宋体" w:hAnsi="宋体" w:cs="宋体" w:eastAsia="宋体" w:hint="default"/>
                <w:sz w:val="21"/>
                <w:szCs w:val="21"/>
              </w:rPr>
            </w:pPr>
            <w:r>
              <w:rPr>
                <w:rFonts w:ascii="宋体" w:hAnsi="宋体" w:cs="宋体" w:eastAsia="宋体" w:hint="default"/>
                <w:sz w:val="21"/>
                <w:szCs w:val="21"/>
              </w:rPr>
              <w:t>减（%）</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827"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93"/>
              <w:jc w:val="left"/>
              <w:rPr>
                <w:rFonts w:ascii="宋体" w:hAnsi="宋体" w:cs="宋体" w:eastAsia="宋体" w:hint="default"/>
                <w:sz w:val="21"/>
                <w:szCs w:val="21"/>
              </w:rPr>
            </w:pPr>
            <w:r>
              <w:rPr>
                <w:rFonts w:ascii="宋体" w:hAnsi="宋体" w:cs="宋体" w:eastAsia="宋体" w:hint="default"/>
                <w:spacing w:val="6"/>
                <w:sz w:val="21"/>
                <w:szCs w:val="21"/>
              </w:rPr>
              <w:t>自制软件 </w:t>
            </w:r>
            <w:r>
              <w:rPr>
                <w:rFonts w:ascii="宋体" w:hAnsi="宋体" w:cs="宋体" w:eastAsia="宋体" w:hint="default"/>
                <w:sz w:val="21"/>
                <w:szCs w:val="21"/>
              </w:rPr>
              <w:t>销售收入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1,752,017.96</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100.00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-9.09</w:t>
            </w:r>
          </w:p>
        </w:tc>
        <w:tc>
          <w:tcPr>
            <w:tcW w:w="1074"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tabs>
                <w:tab w:pos="747" w:val="left" w:leader="none"/>
              </w:tabs>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增</w:t>
              <w:tab/>
              <w:t>加</w:t>
            </w:r>
          </w:p>
          <w:p>
            <w:pPr>
              <w:pStyle w:val="TableParagraph"/>
              <w:tabs>
                <w:tab w:pos="748" w:val="left" w:leader="none"/>
              </w:tabs>
              <w:spacing w:line="272" w:lineRule="exact" w:before="26"/>
              <w:ind w:left="103" w:right="99"/>
              <w:jc w:val="left"/>
              <w:rPr>
                <w:rFonts w:ascii="宋体" w:hAnsi="宋体" w:cs="宋体" w:eastAsia="宋体" w:hint="default"/>
                <w:sz w:val="21"/>
                <w:szCs w:val="21"/>
              </w:rPr>
            </w:pPr>
            <w:r>
              <w:rPr>
                <w:rFonts w:ascii="宋体" w:hAnsi="宋体" w:cs="宋体" w:eastAsia="宋体" w:hint="default"/>
                <w:spacing w:val="-1"/>
                <w:sz w:val="21"/>
                <w:szCs w:val="21"/>
              </w:rPr>
              <w:t>0.00</w:t>
              <w:tab/>
            </w:r>
            <w:r>
              <w:rPr>
                <w:rFonts w:ascii="宋体" w:hAnsi="宋体" w:cs="宋体" w:eastAsia="宋体" w:hint="default"/>
                <w:sz w:val="21"/>
                <w:szCs w:val="21"/>
              </w:rPr>
              <w:t>个</w:t>
            </w:r>
            <w:r>
              <w:rPr>
                <w:rFonts w:ascii="宋体" w:hAnsi="宋体" w:cs="宋体" w:eastAsia="宋体" w:hint="default"/>
                <w:sz w:val="21"/>
                <w:szCs w:val="21"/>
              </w:rPr>
              <w:t> 百分点</w:t>
            </w:r>
          </w:p>
        </w:tc>
      </w:tr>
      <w:tr>
        <w:trPr>
          <w:trHeight w:val="827"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93"/>
              <w:jc w:val="left"/>
              <w:rPr>
                <w:rFonts w:ascii="宋体" w:hAnsi="宋体" w:cs="宋体" w:eastAsia="宋体" w:hint="default"/>
                <w:sz w:val="21"/>
                <w:szCs w:val="21"/>
              </w:rPr>
            </w:pPr>
            <w:r>
              <w:rPr>
                <w:rFonts w:ascii="宋体" w:hAnsi="宋体" w:cs="宋体" w:eastAsia="宋体" w:hint="default"/>
                <w:spacing w:val="6"/>
                <w:sz w:val="21"/>
                <w:szCs w:val="21"/>
              </w:rPr>
              <w:t>系统集成 </w:t>
            </w: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254,226,649.58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215,125,650.61</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15.38</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8.58</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4.02</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tabs>
                <w:tab w:pos="747" w:val="left" w:leader="none"/>
              </w:tabs>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增</w:t>
              <w:tab/>
              <w:t>加</w:t>
            </w:r>
          </w:p>
          <w:p>
            <w:pPr>
              <w:pStyle w:val="TableParagraph"/>
              <w:tabs>
                <w:tab w:pos="748" w:val="left" w:leader="none"/>
              </w:tabs>
              <w:spacing w:line="272" w:lineRule="exact" w:before="26"/>
              <w:ind w:left="103" w:right="99"/>
              <w:jc w:val="left"/>
              <w:rPr>
                <w:rFonts w:ascii="宋体" w:hAnsi="宋体" w:cs="宋体" w:eastAsia="宋体" w:hint="default"/>
                <w:sz w:val="21"/>
                <w:szCs w:val="21"/>
              </w:rPr>
            </w:pPr>
            <w:r>
              <w:rPr>
                <w:rFonts w:ascii="宋体" w:hAnsi="宋体" w:cs="宋体" w:eastAsia="宋体" w:hint="default"/>
                <w:spacing w:val="-1"/>
                <w:sz w:val="21"/>
                <w:szCs w:val="21"/>
              </w:rPr>
              <w:t>3.70</w:t>
              <w:tab/>
            </w:r>
            <w:r>
              <w:rPr>
                <w:rFonts w:ascii="宋体" w:hAnsi="宋体" w:cs="宋体" w:eastAsia="宋体" w:hint="default"/>
                <w:sz w:val="21"/>
                <w:szCs w:val="21"/>
              </w:rPr>
              <w:t>个</w:t>
            </w:r>
            <w:r>
              <w:rPr>
                <w:rFonts w:ascii="宋体" w:hAnsi="宋体" w:cs="宋体" w:eastAsia="宋体" w:hint="default"/>
                <w:sz w:val="21"/>
                <w:szCs w:val="21"/>
              </w:rPr>
              <w:t> 百分点</w:t>
            </w:r>
          </w:p>
        </w:tc>
      </w:tr>
      <w:tr>
        <w:trPr>
          <w:trHeight w:val="827"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93"/>
              <w:jc w:val="left"/>
              <w:rPr>
                <w:rFonts w:ascii="宋体" w:hAnsi="宋体" w:cs="宋体" w:eastAsia="宋体" w:hint="default"/>
                <w:sz w:val="21"/>
                <w:szCs w:val="21"/>
              </w:rPr>
            </w:pPr>
            <w:r>
              <w:rPr>
                <w:rFonts w:ascii="宋体" w:hAnsi="宋体" w:cs="宋体" w:eastAsia="宋体" w:hint="default"/>
                <w:spacing w:val="6"/>
                <w:sz w:val="21"/>
                <w:szCs w:val="21"/>
              </w:rPr>
              <w:t>定制软件 </w:t>
            </w: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273,373,086.92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13,668,034.25</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95.00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39.08</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-32.28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tabs>
                <w:tab w:pos="747" w:val="left" w:leader="none"/>
              </w:tabs>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增</w:t>
              <w:tab/>
              <w:t>加</w:t>
            </w:r>
          </w:p>
          <w:p>
            <w:pPr>
              <w:pStyle w:val="TableParagraph"/>
              <w:tabs>
                <w:tab w:pos="748" w:val="left" w:leader="none"/>
              </w:tabs>
              <w:spacing w:line="272" w:lineRule="exact" w:before="26"/>
              <w:ind w:left="103" w:right="99"/>
              <w:jc w:val="left"/>
              <w:rPr>
                <w:rFonts w:ascii="宋体" w:hAnsi="宋体" w:cs="宋体" w:eastAsia="宋体" w:hint="default"/>
                <w:sz w:val="21"/>
                <w:szCs w:val="21"/>
              </w:rPr>
            </w:pPr>
            <w:r>
              <w:rPr>
                <w:rFonts w:ascii="宋体" w:hAnsi="宋体" w:cs="宋体" w:eastAsia="宋体" w:hint="default"/>
                <w:spacing w:val="-1"/>
                <w:sz w:val="21"/>
                <w:szCs w:val="21"/>
              </w:rPr>
              <w:t>5.27</w:t>
              <w:tab/>
            </w:r>
            <w:r>
              <w:rPr>
                <w:rFonts w:ascii="宋体" w:hAnsi="宋体" w:cs="宋体" w:eastAsia="宋体" w:hint="default"/>
                <w:sz w:val="21"/>
                <w:szCs w:val="21"/>
              </w:rPr>
              <w:t>个</w:t>
            </w:r>
            <w:r>
              <w:rPr>
                <w:rFonts w:ascii="宋体" w:hAnsi="宋体" w:cs="宋体" w:eastAsia="宋体" w:hint="default"/>
                <w:sz w:val="21"/>
                <w:szCs w:val="21"/>
              </w:rPr>
              <w:t> 百分点</w:t>
            </w:r>
          </w:p>
        </w:tc>
      </w:tr>
      <w:tr>
        <w:trPr>
          <w:trHeight w:val="277" w:hRule="exact"/>
        </w:trPr>
        <w:tc>
          <w:tcPr>
            <w:tcW w:w="1073"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系 统</w:t>
            </w:r>
            <w:r>
              <w:rPr>
                <w:rFonts w:ascii="宋体" w:hAnsi="宋体" w:cs="宋体" w:eastAsia="宋体" w:hint="default"/>
                <w:spacing w:val="17"/>
                <w:sz w:val="21"/>
                <w:szCs w:val="21"/>
              </w:rPr>
              <w:t> </w:t>
            </w:r>
            <w:r>
              <w:rPr>
                <w:rFonts w:ascii="宋体" w:hAnsi="宋体" w:cs="宋体" w:eastAsia="宋体" w:hint="default"/>
                <w:sz w:val="21"/>
                <w:szCs w:val="21"/>
              </w:rPr>
              <w:t>维</w:t>
            </w:r>
          </w:p>
        </w:tc>
        <w:tc>
          <w:tcPr>
            <w:tcW w:w="1896" w:type="dxa"/>
            <w:tcBorders>
              <w:top w:val="single" w:sz="4" w:space="0" w:color="000000"/>
              <w:left w:val="single" w:sz="4" w:space="0" w:color="000000"/>
              <w:bottom w:val="nil" w:sz="6" w:space="0" w:color="auto"/>
              <w:right w:val="single" w:sz="4" w:space="0" w:color="000000"/>
            </w:tcBorders>
          </w:tcPr>
          <w:p>
            <w:pPr/>
          </w:p>
        </w:tc>
        <w:tc>
          <w:tcPr>
            <w:tcW w:w="1896" w:type="dxa"/>
            <w:tcBorders>
              <w:top w:val="single" w:sz="4" w:space="0" w:color="000000"/>
              <w:left w:val="single" w:sz="4" w:space="0" w:color="000000"/>
              <w:bottom w:val="nil" w:sz="6" w:space="0" w:color="auto"/>
              <w:right w:val="single" w:sz="4" w:space="0" w:color="000000"/>
            </w:tcBorders>
          </w:tcPr>
          <w:p>
            <w:pPr/>
          </w:p>
        </w:tc>
        <w:tc>
          <w:tcPr>
            <w:tcW w:w="1074" w:type="dxa"/>
            <w:tcBorders>
              <w:top w:val="single" w:sz="4" w:space="0" w:color="000000"/>
              <w:left w:val="single" w:sz="4" w:space="0" w:color="000000"/>
              <w:bottom w:val="nil" w:sz="6" w:space="0" w:color="auto"/>
              <w:right w:val="single" w:sz="4" w:space="0" w:color="000000"/>
            </w:tcBorders>
          </w:tcPr>
          <w:p>
            <w:pPr/>
          </w:p>
        </w:tc>
        <w:tc>
          <w:tcPr>
            <w:tcW w:w="1074" w:type="dxa"/>
            <w:tcBorders>
              <w:top w:val="single" w:sz="4" w:space="0" w:color="000000"/>
              <w:left w:val="single" w:sz="4" w:space="0" w:color="000000"/>
              <w:bottom w:val="nil" w:sz="6" w:space="0" w:color="auto"/>
              <w:right w:val="single" w:sz="4" w:space="0" w:color="000000"/>
            </w:tcBorders>
          </w:tcPr>
          <w:p>
            <w:pPr/>
          </w:p>
        </w:tc>
        <w:tc>
          <w:tcPr>
            <w:tcW w:w="1074" w:type="dxa"/>
            <w:tcBorders>
              <w:top w:val="single" w:sz="4" w:space="0" w:color="000000"/>
              <w:left w:val="single" w:sz="4" w:space="0" w:color="000000"/>
              <w:bottom w:val="nil" w:sz="6" w:space="0" w:color="auto"/>
              <w:right w:val="single" w:sz="4" w:space="0" w:color="000000"/>
            </w:tcBorders>
          </w:tcPr>
          <w:p>
            <w:pPr/>
          </w:p>
        </w:tc>
        <w:tc>
          <w:tcPr>
            <w:tcW w:w="1070" w:type="dxa"/>
            <w:tcBorders>
              <w:top w:val="single" w:sz="4" w:space="0" w:color="000000"/>
              <w:left w:val="single" w:sz="4" w:space="0" w:color="000000"/>
              <w:bottom w:val="nil" w:sz="6" w:space="0" w:color="auto"/>
              <w:right w:val="single" w:sz="4" w:space="0" w:color="000000"/>
            </w:tcBorders>
          </w:tcPr>
          <w:p>
            <w:pPr>
              <w:pStyle w:val="TableParagraph"/>
              <w:tabs>
                <w:tab w:pos="747"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w:t>
              <w:tab/>
              <w:t>少</w:t>
            </w:r>
          </w:p>
        </w:tc>
      </w:tr>
      <w:tr>
        <w:trPr>
          <w:trHeight w:val="272" w:hRule="exact"/>
        </w:trPr>
        <w:tc>
          <w:tcPr>
            <w:tcW w:w="107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pacing w:val="6"/>
                <w:sz w:val="21"/>
                <w:szCs w:val="21"/>
              </w:rPr>
              <w:t>护、技术</w:t>
            </w:r>
            <w:r>
              <w:rPr>
                <w:rFonts w:ascii="宋体" w:hAnsi="宋体" w:cs="宋体" w:eastAsia="宋体" w:hint="default"/>
                <w:sz w:val="21"/>
                <w:szCs w:val="21"/>
              </w:rPr>
            </w:r>
          </w:p>
        </w:tc>
        <w:tc>
          <w:tcPr>
            <w:tcW w:w="189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120,572,175.20</w:t>
            </w:r>
          </w:p>
        </w:tc>
        <w:tc>
          <w:tcPr>
            <w:tcW w:w="189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44,887,412.92</w:t>
            </w:r>
          </w:p>
        </w:tc>
        <w:tc>
          <w:tcPr>
            <w:tcW w:w="1074"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62.77</w:t>
            </w:r>
          </w:p>
        </w:tc>
        <w:tc>
          <w:tcPr>
            <w:tcW w:w="1074"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14.36</w:t>
            </w:r>
          </w:p>
        </w:tc>
        <w:tc>
          <w:tcPr>
            <w:tcW w:w="1074"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22.78</w:t>
            </w:r>
          </w:p>
        </w:tc>
        <w:tc>
          <w:tcPr>
            <w:tcW w:w="1070" w:type="dxa"/>
            <w:tcBorders>
              <w:top w:val="nil" w:sz="6" w:space="0" w:color="auto"/>
              <w:left w:val="single" w:sz="4" w:space="0" w:color="000000"/>
              <w:bottom w:val="nil" w:sz="6" w:space="0" w:color="auto"/>
              <w:right w:val="single" w:sz="4" w:space="0" w:color="000000"/>
            </w:tcBorders>
          </w:tcPr>
          <w:p>
            <w:pPr>
              <w:pStyle w:val="TableParagraph"/>
              <w:tabs>
                <w:tab w:pos="748"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2.55</w:t>
              <w:tab/>
            </w:r>
            <w:r>
              <w:rPr>
                <w:rFonts w:ascii="宋体" w:hAnsi="宋体" w:cs="宋体" w:eastAsia="宋体" w:hint="default"/>
                <w:sz w:val="21"/>
                <w:szCs w:val="21"/>
              </w:rPr>
              <w:t>个</w:t>
            </w:r>
          </w:p>
        </w:tc>
      </w:tr>
      <w:tr>
        <w:trPr>
          <w:trHeight w:val="279" w:hRule="exact"/>
        </w:trPr>
        <w:tc>
          <w:tcPr>
            <w:tcW w:w="1073"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4"/>
              <w:jc w:val="center"/>
              <w:rPr>
                <w:rFonts w:ascii="宋体" w:hAnsi="宋体" w:cs="宋体" w:eastAsia="宋体" w:hint="default"/>
                <w:sz w:val="21"/>
                <w:szCs w:val="21"/>
              </w:rPr>
            </w:pPr>
            <w:r>
              <w:rPr>
                <w:rFonts w:ascii="宋体" w:hAnsi="宋体" w:cs="宋体" w:eastAsia="宋体" w:hint="default"/>
                <w:sz w:val="21"/>
                <w:szCs w:val="21"/>
              </w:rPr>
              <w:t>服务收入</w:t>
            </w:r>
          </w:p>
        </w:tc>
        <w:tc>
          <w:tcPr>
            <w:tcW w:w="1896" w:type="dxa"/>
            <w:tcBorders>
              <w:top w:val="nil" w:sz="6" w:space="0" w:color="auto"/>
              <w:left w:val="single" w:sz="4" w:space="0" w:color="000000"/>
              <w:bottom w:val="single" w:sz="4" w:space="0" w:color="000000"/>
              <w:right w:val="single" w:sz="4" w:space="0" w:color="000000"/>
            </w:tcBorders>
          </w:tcPr>
          <w:p>
            <w:pPr/>
          </w:p>
        </w:tc>
        <w:tc>
          <w:tcPr>
            <w:tcW w:w="1896" w:type="dxa"/>
            <w:tcBorders>
              <w:top w:val="nil" w:sz="6" w:space="0" w:color="auto"/>
              <w:left w:val="single" w:sz="4" w:space="0" w:color="000000"/>
              <w:bottom w:val="single" w:sz="4" w:space="0" w:color="000000"/>
              <w:right w:val="single" w:sz="4" w:space="0" w:color="000000"/>
            </w:tcBorders>
          </w:tcPr>
          <w:p>
            <w:pPr/>
          </w:p>
        </w:tc>
        <w:tc>
          <w:tcPr>
            <w:tcW w:w="1074" w:type="dxa"/>
            <w:tcBorders>
              <w:top w:val="nil" w:sz="6" w:space="0" w:color="auto"/>
              <w:left w:val="single" w:sz="4" w:space="0" w:color="000000"/>
              <w:bottom w:val="single" w:sz="4" w:space="0" w:color="000000"/>
              <w:right w:val="single" w:sz="4" w:space="0" w:color="000000"/>
            </w:tcBorders>
          </w:tcPr>
          <w:p>
            <w:pPr/>
          </w:p>
        </w:tc>
        <w:tc>
          <w:tcPr>
            <w:tcW w:w="1074" w:type="dxa"/>
            <w:tcBorders>
              <w:top w:val="nil" w:sz="6" w:space="0" w:color="auto"/>
              <w:left w:val="single" w:sz="4" w:space="0" w:color="000000"/>
              <w:bottom w:val="single" w:sz="4" w:space="0" w:color="000000"/>
              <w:right w:val="single" w:sz="4" w:space="0" w:color="000000"/>
            </w:tcBorders>
          </w:tcPr>
          <w:p>
            <w:pPr/>
          </w:p>
        </w:tc>
        <w:tc>
          <w:tcPr>
            <w:tcW w:w="1074" w:type="dxa"/>
            <w:tcBorders>
              <w:top w:val="nil" w:sz="6" w:space="0" w:color="auto"/>
              <w:left w:val="single" w:sz="4" w:space="0" w:color="000000"/>
              <w:bottom w:val="single" w:sz="4" w:space="0" w:color="000000"/>
              <w:right w:val="single" w:sz="4" w:space="0" w:color="000000"/>
            </w:tcBorders>
          </w:tcPr>
          <w:p>
            <w:pPr/>
          </w:p>
        </w:tc>
        <w:tc>
          <w:tcPr>
            <w:tcW w:w="107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827"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93"/>
              <w:jc w:val="left"/>
              <w:rPr>
                <w:rFonts w:ascii="宋体" w:hAnsi="宋体" w:cs="宋体" w:eastAsia="宋体" w:hint="default"/>
                <w:sz w:val="21"/>
                <w:szCs w:val="21"/>
              </w:rPr>
            </w:pPr>
            <w:r>
              <w:rPr>
                <w:rFonts w:ascii="宋体" w:hAnsi="宋体" w:cs="宋体" w:eastAsia="宋体" w:hint="default"/>
                <w:spacing w:val="6"/>
                <w:sz w:val="21"/>
                <w:szCs w:val="21"/>
              </w:rPr>
              <w:t>建安工程 </w:t>
            </w: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75,500,622.23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57,620,116.46</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23.68</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-32.07</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-28.66</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tabs>
                <w:tab w:pos="747" w:val="left" w:leader="none"/>
              </w:tabs>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减</w:t>
              <w:tab/>
              <w:t>少</w:t>
            </w:r>
          </w:p>
          <w:p>
            <w:pPr>
              <w:pStyle w:val="TableParagraph"/>
              <w:tabs>
                <w:tab w:pos="748" w:val="left" w:leader="none"/>
              </w:tabs>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1"/>
                <w:sz w:val="21"/>
                <w:szCs w:val="21"/>
              </w:rPr>
              <w:t>3.65</w:t>
              <w:tab/>
            </w:r>
            <w:r>
              <w:rPr>
                <w:rFonts w:ascii="宋体" w:hAnsi="宋体" w:cs="宋体" w:eastAsia="宋体" w:hint="default"/>
                <w:sz w:val="21"/>
                <w:szCs w:val="21"/>
              </w:rPr>
              <w:t>个</w:t>
            </w:r>
            <w:r>
              <w:rPr>
                <w:rFonts w:ascii="宋体" w:hAnsi="宋体" w:cs="宋体" w:eastAsia="宋体" w:hint="default"/>
                <w:sz w:val="21"/>
                <w:szCs w:val="21"/>
              </w:rPr>
              <w:t> 百分点</w:t>
            </w:r>
          </w:p>
        </w:tc>
      </w:tr>
      <w:tr>
        <w:trPr>
          <w:trHeight w:val="827"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93"/>
              <w:jc w:val="left"/>
              <w:rPr>
                <w:rFonts w:ascii="宋体" w:hAnsi="宋体" w:cs="宋体" w:eastAsia="宋体" w:hint="default"/>
                <w:sz w:val="21"/>
                <w:szCs w:val="21"/>
              </w:rPr>
            </w:pPr>
            <w:r>
              <w:rPr>
                <w:rFonts w:ascii="宋体" w:hAnsi="宋体" w:cs="宋体" w:eastAsia="宋体" w:hint="default"/>
                <w:spacing w:val="6"/>
                <w:sz w:val="21"/>
                <w:szCs w:val="21"/>
              </w:rPr>
              <w:t>商品销售 </w:t>
            </w: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1,614,836,184.84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1,516,049,459.64</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6.12</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19.13</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20.28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tabs>
                <w:tab w:pos="747" w:val="left" w:leader="none"/>
              </w:tabs>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减</w:t>
              <w:tab/>
              <w:t>少</w:t>
            </w:r>
          </w:p>
          <w:p>
            <w:pPr>
              <w:pStyle w:val="TableParagraph"/>
              <w:tabs>
                <w:tab w:pos="748" w:val="left" w:leader="none"/>
              </w:tabs>
              <w:spacing w:line="272" w:lineRule="exact" w:before="26"/>
              <w:ind w:left="103" w:right="99"/>
              <w:jc w:val="left"/>
              <w:rPr>
                <w:rFonts w:ascii="宋体" w:hAnsi="宋体" w:cs="宋体" w:eastAsia="宋体" w:hint="default"/>
                <w:sz w:val="21"/>
                <w:szCs w:val="21"/>
              </w:rPr>
            </w:pPr>
            <w:r>
              <w:rPr>
                <w:rFonts w:ascii="宋体" w:hAnsi="宋体" w:cs="宋体" w:eastAsia="宋体" w:hint="default"/>
                <w:spacing w:val="-1"/>
                <w:sz w:val="21"/>
                <w:szCs w:val="21"/>
              </w:rPr>
              <w:t>0.90</w:t>
              <w:tab/>
            </w:r>
            <w:r>
              <w:rPr>
                <w:rFonts w:ascii="宋体" w:hAnsi="宋体" w:cs="宋体" w:eastAsia="宋体" w:hint="default"/>
                <w:sz w:val="21"/>
                <w:szCs w:val="21"/>
              </w:rPr>
              <w:t>个</w:t>
            </w:r>
            <w:r>
              <w:rPr>
                <w:rFonts w:ascii="宋体" w:hAnsi="宋体" w:cs="宋体" w:eastAsia="宋体" w:hint="default"/>
                <w:sz w:val="21"/>
                <w:szCs w:val="21"/>
              </w:rPr>
              <w:t> 百分点</w:t>
            </w:r>
          </w:p>
        </w:tc>
      </w:tr>
    </w:tbl>
    <w:p>
      <w:pPr>
        <w:pStyle w:val="BodyText"/>
        <w:spacing w:line="240" w:lineRule="exact"/>
        <w:ind w:left="220" w:right="3956"/>
        <w:jc w:val="left"/>
      </w:pPr>
      <w:r>
        <w:rPr/>
        <w:t>主营业务分行业和分产品情况的说明</w:t>
      </w:r>
    </w:p>
    <w:p>
      <w:pPr>
        <w:pStyle w:val="BodyText"/>
        <w:spacing w:line="350" w:lineRule="auto" w:before="108"/>
        <w:ind w:left="220" w:right="115"/>
        <w:jc w:val="left"/>
      </w:pPr>
      <w:r>
        <w:rPr/>
        <w:t>主营业务毛利率：报告期内，公司主营业务毛利率较上年增加</w:t>
      </w:r>
      <w:r>
        <w:rPr>
          <w:spacing w:val="-59"/>
        </w:rPr>
        <w:t> </w:t>
      </w:r>
      <w:r>
        <w:rPr/>
        <w:t>1.45</w:t>
      </w:r>
      <w:r>
        <w:rPr>
          <w:spacing w:val="-59"/>
        </w:rPr>
        <w:t> </w:t>
      </w:r>
      <w:r>
        <w:rPr/>
        <w:t>个百分点。由于回归金融</w:t>
      </w:r>
      <w:r>
        <w:rPr>
          <w:spacing w:val="-59"/>
        </w:rPr>
        <w:t> </w:t>
      </w:r>
      <w:r>
        <w:rPr/>
        <w:t>IT</w:t>
      </w:r>
      <w:r>
        <w:rPr>
          <w:spacing w:val="-1"/>
        </w:rPr>
        <w:t> </w:t>
      </w:r>
      <w:r>
        <w:rPr/>
        <w:t>战略的执行与落地，毛利率水平较高的金融</w:t>
      </w:r>
      <w:r>
        <w:rPr>
          <w:spacing w:val="-67"/>
        </w:rPr>
        <w:t> </w:t>
      </w:r>
      <w:r>
        <w:rPr/>
        <w:t>IT</w:t>
      </w:r>
      <w:r>
        <w:rPr>
          <w:spacing w:val="-67"/>
        </w:rPr>
        <w:t> </w:t>
      </w:r>
      <w:r>
        <w:rPr/>
        <w:t>业务占比逐步提高，使得主营业务毛利率水平持续</w:t>
      </w:r>
      <w:r>
        <w:rPr>
          <w:spacing w:val="-1"/>
        </w:rPr>
        <w:t> </w:t>
      </w:r>
      <w:r>
        <w:rPr/>
        <w:t>提高，未来伴随公司战略的持续深化，公司毛利率结构将进一步改善。</w:t>
      </w:r>
    </w:p>
    <w:p>
      <w:pPr>
        <w:spacing w:line="240" w:lineRule="auto" w:before="6"/>
        <w:rPr>
          <w:rFonts w:ascii="宋体" w:hAnsi="宋体" w:cs="宋体" w:eastAsia="宋体" w:hint="default"/>
          <w:sz w:val="16"/>
          <w:szCs w:val="16"/>
        </w:rPr>
      </w:pPr>
    </w:p>
    <w:p>
      <w:pPr>
        <w:pStyle w:val="Heading3"/>
        <w:spacing w:line="240" w:lineRule="auto"/>
        <w:ind w:left="220" w:right="3956"/>
        <w:jc w:val="left"/>
        <w:rPr>
          <w:b w:val="0"/>
          <w:bCs w:val="0"/>
        </w:rPr>
      </w:pPr>
      <w:r>
        <w:rPr/>
        <w:t>2、</w:t>
      </w:r>
      <w:r>
        <w:rPr>
          <w:spacing w:val="-57"/>
        </w:rPr>
        <w:t> </w:t>
      </w:r>
      <w:r>
        <w:rPr/>
        <w:t>主营业务分地区情况</w:t>
      </w:r>
      <w:r>
        <w:rPr>
          <w:b w:val="0"/>
          <w:bCs w:val="0"/>
        </w:rPr>
      </w:r>
    </w:p>
    <w:p>
      <w:pPr>
        <w:pStyle w:val="BodyText"/>
        <w:tabs>
          <w:tab w:pos="1049" w:val="left" w:leader="none"/>
        </w:tabs>
        <w:spacing w:line="240" w:lineRule="auto" w:before="57"/>
        <w:ind w:left="0" w:right="22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016"/>
        <w:gridCol w:w="3017"/>
        <w:gridCol w:w="3016"/>
      </w:tblGrid>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95"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华北分部</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31,359,396.68</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0.31</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华东分部</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59,203,330.48</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121.72</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中南分部</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2,246,308,662.38</w:t>
            </w:r>
            <w:r>
              <w:rPr>
                <w:rFonts w:ascii="宋体"/>
                <w:sz w:val="21"/>
              </w:rPr>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w w:val="95"/>
                <w:sz w:val="21"/>
              </w:rPr>
              <w:t>15.69</w:t>
            </w:r>
            <w:r>
              <w:rPr>
                <w:rFonts w:ascii="宋体"/>
                <w:w w:val="95"/>
                <w:sz w:val="21"/>
              </w:rPr>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西南分部</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3,389,347.19</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-34.24</w:t>
            </w:r>
          </w:p>
        </w:tc>
      </w:tr>
    </w:tbl>
    <w:p>
      <w:pPr>
        <w:pStyle w:val="BodyText"/>
        <w:spacing w:line="240" w:lineRule="exact"/>
        <w:ind w:left="220" w:right="3956"/>
        <w:jc w:val="left"/>
      </w:pPr>
      <w:r>
        <w:rPr/>
        <w:t>主营业务分地区情况的说明</w:t>
      </w:r>
    </w:p>
    <w:p>
      <w:pPr>
        <w:spacing w:line="240" w:lineRule="auto" w:before="12"/>
        <w:rPr>
          <w:rFonts w:ascii="宋体" w:hAnsi="宋体" w:cs="宋体" w:eastAsia="宋体" w:hint="default"/>
          <w:sz w:val="20"/>
          <w:szCs w:val="20"/>
        </w:rPr>
      </w:pPr>
    </w:p>
    <w:p>
      <w:pPr>
        <w:spacing w:line="20" w:lineRule="exact"/>
        <w:ind w:left="21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a">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7" w:top="1120" w:bottom="1380" w:left="1220" w:right="1300"/>
        </w:sectPr>
      </w:pPr>
    </w:p>
    <w:p>
      <w:pPr>
        <w:pStyle w:val="Heading3"/>
        <w:tabs>
          <w:tab w:pos="639" w:val="left" w:leader="none"/>
        </w:tabs>
        <w:spacing w:line="264" w:lineRule="auto"/>
        <w:ind w:left="220"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资产、负债情况分析</w:t>
      </w:r>
      <w:r>
        <w:rPr>
          <w:spacing w:val="1"/>
          <w:w w:val="99"/>
        </w:rPr>
        <w:t> </w:t>
      </w:r>
      <w:r>
        <w:rPr>
          <w:w w:val="95"/>
        </w:rPr>
        <w:t>1</w:t>
        <w:tab/>
      </w:r>
      <w:r>
        <w:rPr/>
        <w:t>资产负债情况分析表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20" w:right="0"/>
        <w:jc w:val="left"/>
      </w:pPr>
      <w:r>
        <w:rPr/>
        <w:t>单位：元</w:t>
      </w:r>
    </w:p>
    <w:p>
      <w:pPr>
        <w:spacing w:after="0" w:line="240" w:lineRule="auto"/>
        <w:jc w:val="left"/>
        <w:sectPr>
          <w:type w:val="continuous"/>
          <w:pgSz w:w="11910" w:h="16840"/>
          <w:pgMar w:top="1080" w:bottom="1380" w:left="1220" w:right="1300"/>
          <w:cols w:num="2" w:equalWidth="0">
            <w:col w:w="2539" w:space="5562"/>
            <w:col w:w="1289"/>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354"/>
        <w:gridCol w:w="1686"/>
        <w:gridCol w:w="1226"/>
        <w:gridCol w:w="1686"/>
        <w:gridCol w:w="1183"/>
        <w:gridCol w:w="1141"/>
        <w:gridCol w:w="881"/>
      </w:tblGrid>
      <w:tr>
        <w:trPr>
          <w:trHeight w:val="1372"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本期期末数</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87" w:right="187"/>
              <w:jc w:val="both"/>
              <w:rPr>
                <w:rFonts w:ascii="宋体" w:hAnsi="宋体" w:cs="宋体" w:eastAsia="宋体" w:hint="default"/>
                <w:sz w:val="21"/>
                <w:szCs w:val="21"/>
              </w:rPr>
            </w:pPr>
            <w:r>
              <w:rPr>
                <w:rFonts w:ascii="宋体" w:hAnsi="宋体" w:cs="宋体" w:eastAsia="宋体" w:hint="default"/>
                <w:sz w:val="21"/>
                <w:szCs w:val="21"/>
              </w:rPr>
              <w:t>本期期末 数占总资 产的比例</w:t>
            </w:r>
          </w:p>
          <w:p>
            <w:pPr>
              <w:pStyle w:val="TableParagraph"/>
              <w:spacing w:line="248" w:lineRule="exact"/>
              <w:ind w:left="345" w:right="0"/>
              <w:jc w:val="left"/>
              <w:rPr>
                <w:rFonts w:ascii="宋体" w:hAnsi="宋体" w:cs="宋体" w:eastAsia="宋体" w:hint="default"/>
                <w:sz w:val="21"/>
                <w:szCs w:val="21"/>
              </w:rPr>
            </w:pPr>
            <w:r>
              <w:rPr>
                <w:rFonts w:ascii="宋体" w:hAnsi="宋体" w:cs="宋体" w:eastAsia="宋体" w:hint="default"/>
                <w:sz w:val="21"/>
                <w:szCs w:val="21"/>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上期期末数</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66" w:right="164"/>
              <w:jc w:val="both"/>
              <w:rPr>
                <w:rFonts w:ascii="宋体" w:hAnsi="宋体" w:cs="宋体" w:eastAsia="宋体" w:hint="default"/>
                <w:sz w:val="21"/>
                <w:szCs w:val="21"/>
              </w:rPr>
            </w:pPr>
            <w:r>
              <w:rPr>
                <w:rFonts w:ascii="宋体" w:hAnsi="宋体" w:cs="宋体" w:eastAsia="宋体" w:hint="default"/>
                <w:sz w:val="21"/>
                <w:szCs w:val="21"/>
              </w:rPr>
              <w:t>上期期末 数占总资 产的比例</w:t>
            </w:r>
          </w:p>
          <w:p>
            <w:pPr>
              <w:pStyle w:val="TableParagraph"/>
              <w:spacing w:line="248" w:lineRule="exact"/>
              <w:ind w:left="324" w:right="0"/>
              <w:jc w:val="left"/>
              <w:rPr>
                <w:rFonts w:ascii="宋体" w:hAnsi="宋体" w:cs="宋体" w:eastAsia="宋体" w:hint="default"/>
                <w:sz w:val="21"/>
                <w:szCs w:val="21"/>
              </w:rPr>
            </w:pPr>
            <w:r>
              <w:rPr>
                <w:rFonts w:ascii="宋体" w:hAnsi="宋体" w:cs="宋体" w:eastAsia="宋体" w:hint="default"/>
                <w:sz w:val="21"/>
                <w:szCs w:val="21"/>
              </w:rPr>
              <w:t>（%）</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5" w:right="0"/>
              <w:jc w:val="both"/>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72" w:lineRule="exact" w:before="26"/>
              <w:ind w:left="145" w:right="144"/>
              <w:jc w:val="both"/>
              <w:rPr>
                <w:rFonts w:ascii="宋体" w:hAnsi="宋体" w:cs="宋体" w:eastAsia="宋体" w:hint="default"/>
                <w:sz w:val="21"/>
                <w:szCs w:val="21"/>
              </w:rPr>
            </w:pPr>
            <w:r>
              <w:rPr>
                <w:rFonts w:ascii="宋体" w:hAnsi="宋体" w:cs="宋体" w:eastAsia="宋体" w:hint="default"/>
                <w:sz w:val="21"/>
                <w:szCs w:val="21"/>
              </w:rPr>
              <w:t>金额较上 期期末变 动比例</w:t>
            </w:r>
          </w:p>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329" w:right="119" w:hanging="210"/>
              <w:jc w:val="left"/>
              <w:rPr>
                <w:rFonts w:ascii="宋体" w:hAnsi="宋体" w:cs="宋体" w:eastAsia="宋体" w:hint="default"/>
                <w:sz w:val="21"/>
                <w:szCs w:val="21"/>
              </w:rPr>
            </w:pPr>
            <w:r>
              <w:rPr>
                <w:rFonts w:ascii="宋体" w:hAnsi="宋体" w:cs="宋体" w:eastAsia="宋体" w:hint="default"/>
                <w:sz w:val="21"/>
                <w:szCs w:val="21"/>
              </w:rPr>
              <w:t>情况说 明</w:t>
            </w:r>
          </w:p>
        </w:tc>
      </w:tr>
      <w:tr>
        <w:trPr>
          <w:trHeight w:val="276" w:hRule="exact"/>
        </w:trPr>
        <w:tc>
          <w:tcPr>
            <w:tcW w:w="1354" w:type="dxa"/>
            <w:tcBorders>
              <w:top w:val="single" w:sz="4" w:space="0" w:color="000000"/>
              <w:left w:val="single" w:sz="4" w:space="0" w:color="000000"/>
              <w:bottom w:val="nil" w:sz="6" w:space="0" w:color="auto"/>
              <w:right w:val="single" w:sz="4" w:space="0" w:color="000000"/>
            </w:tcBorders>
          </w:tcPr>
          <w:p>
            <w:pPr/>
          </w:p>
        </w:tc>
        <w:tc>
          <w:tcPr>
            <w:tcW w:w="1686" w:type="dxa"/>
            <w:tcBorders>
              <w:top w:val="single" w:sz="4" w:space="0" w:color="000000"/>
              <w:left w:val="single" w:sz="4" w:space="0" w:color="000000"/>
              <w:bottom w:val="nil" w:sz="6" w:space="0" w:color="auto"/>
              <w:right w:val="single" w:sz="4" w:space="0" w:color="000000"/>
            </w:tcBorders>
          </w:tcPr>
          <w:p>
            <w:pPr/>
          </w:p>
        </w:tc>
        <w:tc>
          <w:tcPr>
            <w:tcW w:w="1226" w:type="dxa"/>
            <w:tcBorders>
              <w:top w:val="single" w:sz="4" w:space="0" w:color="000000"/>
              <w:left w:val="single" w:sz="4" w:space="0" w:color="000000"/>
              <w:bottom w:val="nil" w:sz="6" w:space="0" w:color="auto"/>
              <w:right w:val="single" w:sz="4" w:space="0" w:color="000000"/>
            </w:tcBorders>
          </w:tcPr>
          <w:p>
            <w:pPr/>
          </w:p>
        </w:tc>
        <w:tc>
          <w:tcPr>
            <w:tcW w:w="1686" w:type="dxa"/>
            <w:tcBorders>
              <w:top w:val="single" w:sz="4" w:space="0" w:color="000000"/>
              <w:left w:val="single" w:sz="4" w:space="0" w:color="000000"/>
              <w:bottom w:val="nil" w:sz="6" w:space="0" w:color="auto"/>
              <w:right w:val="single" w:sz="4" w:space="0" w:color="000000"/>
            </w:tcBorders>
          </w:tcPr>
          <w:p>
            <w:pPr/>
          </w:p>
        </w:tc>
        <w:tc>
          <w:tcPr>
            <w:tcW w:w="1183" w:type="dxa"/>
            <w:tcBorders>
              <w:top w:val="single" w:sz="4" w:space="0" w:color="000000"/>
              <w:left w:val="single" w:sz="4" w:space="0" w:color="000000"/>
              <w:bottom w:val="nil" w:sz="6" w:space="0" w:color="auto"/>
              <w:right w:val="single" w:sz="4" w:space="0" w:color="000000"/>
            </w:tcBorders>
          </w:tcPr>
          <w:p>
            <w:pPr/>
          </w:p>
        </w:tc>
        <w:tc>
          <w:tcPr>
            <w:tcW w:w="1141" w:type="dxa"/>
            <w:tcBorders>
              <w:top w:val="single" w:sz="4" w:space="0" w:color="000000"/>
              <w:left w:val="single" w:sz="4" w:space="0" w:color="000000"/>
              <w:bottom w:val="nil" w:sz="6" w:space="0" w:color="auto"/>
              <w:right w:val="single" w:sz="4" w:space="0" w:color="000000"/>
            </w:tcBorders>
          </w:tcPr>
          <w:p>
            <w:pPr/>
          </w:p>
        </w:tc>
        <w:tc>
          <w:tcPr>
            <w:tcW w:w="881"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主要系</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252,015,410.81</w:t>
            </w: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589" w:right="0"/>
              <w:jc w:val="left"/>
              <w:rPr>
                <w:rFonts w:ascii="宋体" w:hAnsi="宋体" w:cs="宋体" w:eastAsia="宋体" w:hint="default"/>
                <w:sz w:val="21"/>
                <w:szCs w:val="21"/>
              </w:rPr>
            </w:pPr>
            <w:r>
              <w:rPr>
                <w:rFonts w:ascii="宋体"/>
                <w:sz w:val="21"/>
              </w:rPr>
              <w:t>13.13</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306,279,412.25</w:t>
            </w:r>
          </w:p>
        </w:tc>
        <w:tc>
          <w:tcPr>
            <w:tcW w:w="118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546" w:right="0"/>
              <w:jc w:val="left"/>
              <w:rPr>
                <w:rFonts w:ascii="宋体" w:hAnsi="宋体" w:cs="宋体" w:eastAsia="宋体" w:hint="default"/>
                <w:sz w:val="21"/>
                <w:szCs w:val="21"/>
              </w:rPr>
            </w:pPr>
            <w:r>
              <w:rPr>
                <w:rFonts w:ascii="宋体"/>
                <w:sz w:val="21"/>
              </w:rPr>
              <w:t>16.97</w:t>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397" w:right="0"/>
              <w:jc w:val="left"/>
              <w:rPr>
                <w:rFonts w:ascii="宋体" w:hAnsi="宋体" w:cs="宋体" w:eastAsia="宋体" w:hint="default"/>
                <w:sz w:val="21"/>
                <w:szCs w:val="21"/>
              </w:rPr>
            </w:pPr>
            <w:r>
              <w:rPr>
                <w:rFonts w:ascii="宋体"/>
                <w:sz w:val="21"/>
              </w:rPr>
              <w:t>-17.72</w:t>
            </w: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母公司</w:t>
            </w:r>
          </w:p>
        </w:tc>
      </w:tr>
      <w:tr>
        <w:trPr>
          <w:trHeight w:val="279" w:hRule="exact"/>
        </w:trPr>
        <w:tc>
          <w:tcPr>
            <w:tcW w:w="1354"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226"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183" w:type="dxa"/>
            <w:tcBorders>
              <w:top w:val="nil" w:sz="6" w:space="0" w:color="auto"/>
              <w:left w:val="single" w:sz="4" w:space="0" w:color="000000"/>
              <w:bottom w:val="single" w:sz="4" w:space="0" w:color="000000"/>
              <w:right w:val="single" w:sz="4" w:space="0" w:color="000000"/>
            </w:tcBorders>
          </w:tcPr>
          <w:p>
            <w:pPr/>
          </w:p>
        </w:tc>
        <w:tc>
          <w:tcPr>
            <w:tcW w:w="1141" w:type="dxa"/>
            <w:tcBorders>
              <w:top w:val="nil" w:sz="6" w:space="0" w:color="auto"/>
              <w:left w:val="single" w:sz="4" w:space="0" w:color="000000"/>
              <w:bottom w:val="single" w:sz="4" w:space="0" w:color="000000"/>
              <w:right w:val="single" w:sz="4" w:space="0" w:color="000000"/>
            </w:tcBorders>
          </w:tcPr>
          <w:p>
            <w:pPr/>
          </w:p>
        </w:tc>
        <w:tc>
          <w:tcPr>
            <w:tcW w:w="881"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偿还债</w:t>
            </w:r>
          </w:p>
        </w:tc>
      </w:tr>
    </w:tbl>
    <w:p>
      <w:pPr>
        <w:spacing w:after="0" w:line="241" w:lineRule="exact"/>
        <w:jc w:val="right"/>
        <w:rPr>
          <w:rFonts w:ascii="宋体" w:hAnsi="宋体" w:cs="宋体" w:eastAsia="宋体" w:hint="default"/>
          <w:sz w:val="21"/>
          <w:szCs w:val="21"/>
        </w:rPr>
        <w:sectPr>
          <w:type w:val="continuous"/>
          <w:pgSz w:w="11910" w:h="16840"/>
          <w:pgMar w:top="108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354"/>
        <w:gridCol w:w="1686"/>
        <w:gridCol w:w="1226"/>
        <w:gridCol w:w="1686"/>
        <w:gridCol w:w="1183"/>
        <w:gridCol w:w="1141"/>
        <w:gridCol w:w="881"/>
      </w:tblGrid>
      <w:tr>
        <w:trPr>
          <w:trHeight w:val="276" w:hRule="exact"/>
        </w:trPr>
        <w:tc>
          <w:tcPr>
            <w:tcW w:w="1354" w:type="dxa"/>
            <w:vMerge w:val="restart"/>
            <w:tcBorders>
              <w:top w:val="single" w:sz="4" w:space="0" w:color="000000"/>
              <w:left w:val="single" w:sz="4" w:space="0" w:color="000000"/>
              <w:right w:val="single" w:sz="4" w:space="0" w:color="000000"/>
            </w:tcBorders>
          </w:tcPr>
          <w:p>
            <w:pPr/>
          </w:p>
        </w:tc>
        <w:tc>
          <w:tcPr>
            <w:tcW w:w="1686" w:type="dxa"/>
            <w:vMerge w:val="restart"/>
            <w:tcBorders>
              <w:top w:val="single" w:sz="4" w:space="0" w:color="000000"/>
              <w:left w:val="single" w:sz="4" w:space="0" w:color="000000"/>
              <w:right w:val="single" w:sz="4" w:space="0" w:color="000000"/>
            </w:tcBorders>
          </w:tcPr>
          <w:p>
            <w:pPr/>
          </w:p>
        </w:tc>
        <w:tc>
          <w:tcPr>
            <w:tcW w:w="1226" w:type="dxa"/>
            <w:vMerge w:val="restart"/>
            <w:tcBorders>
              <w:top w:val="single" w:sz="4" w:space="0" w:color="000000"/>
              <w:left w:val="single" w:sz="4" w:space="0" w:color="000000"/>
              <w:right w:val="single" w:sz="4" w:space="0" w:color="000000"/>
            </w:tcBorders>
          </w:tcPr>
          <w:p>
            <w:pPr/>
          </w:p>
        </w:tc>
        <w:tc>
          <w:tcPr>
            <w:tcW w:w="1686" w:type="dxa"/>
            <w:vMerge w:val="restart"/>
            <w:tcBorders>
              <w:top w:val="single" w:sz="4" w:space="0" w:color="000000"/>
              <w:left w:val="single" w:sz="4" w:space="0" w:color="000000"/>
              <w:right w:val="single" w:sz="4" w:space="0" w:color="000000"/>
            </w:tcBorders>
          </w:tcPr>
          <w:p>
            <w:pPr/>
          </w:p>
        </w:tc>
        <w:tc>
          <w:tcPr>
            <w:tcW w:w="1183" w:type="dxa"/>
            <w:vMerge w:val="restart"/>
            <w:tcBorders>
              <w:top w:val="single" w:sz="4" w:space="0" w:color="000000"/>
              <w:left w:val="single" w:sz="4" w:space="0" w:color="000000"/>
              <w:right w:val="single" w:sz="4" w:space="0" w:color="000000"/>
            </w:tcBorders>
          </w:tcPr>
          <w:p>
            <w:pPr/>
          </w:p>
        </w:tc>
        <w:tc>
          <w:tcPr>
            <w:tcW w:w="1141" w:type="dxa"/>
            <w:vMerge w:val="restart"/>
            <w:tcBorders>
              <w:top w:val="single" w:sz="4" w:space="0" w:color="000000"/>
              <w:left w:val="single" w:sz="4" w:space="0" w:color="000000"/>
              <w:right w:val="single" w:sz="4" w:space="0" w:color="000000"/>
            </w:tcBorders>
          </w:tcPr>
          <w:p>
            <w:pPr/>
          </w:p>
        </w:tc>
        <w:tc>
          <w:tcPr>
            <w:tcW w:w="881"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务，导</w:t>
            </w:r>
          </w:p>
        </w:tc>
      </w:tr>
      <w:tr>
        <w:trPr>
          <w:trHeight w:val="272" w:hRule="exact"/>
        </w:trPr>
        <w:tc>
          <w:tcPr>
            <w:tcW w:w="1354" w:type="dxa"/>
            <w:vMerge/>
            <w:tcBorders>
              <w:left w:val="single" w:sz="4" w:space="0" w:color="000000"/>
              <w:right w:val="single" w:sz="4" w:space="0" w:color="000000"/>
            </w:tcBorders>
          </w:tcPr>
          <w:p>
            <w:pPr/>
          </w:p>
        </w:tc>
        <w:tc>
          <w:tcPr>
            <w:tcW w:w="1686" w:type="dxa"/>
            <w:vMerge/>
            <w:tcBorders>
              <w:left w:val="single" w:sz="4" w:space="0" w:color="000000"/>
              <w:right w:val="single" w:sz="4" w:space="0" w:color="000000"/>
            </w:tcBorders>
          </w:tcPr>
          <w:p>
            <w:pPr/>
          </w:p>
        </w:tc>
        <w:tc>
          <w:tcPr>
            <w:tcW w:w="1226" w:type="dxa"/>
            <w:vMerge/>
            <w:tcBorders>
              <w:left w:val="single" w:sz="4" w:space="0" w:color="000000"/>
              <w:right w:val="single" w:sz="4" w:space="0" w:color="000000"/>
            </w:tcBorders>
          </w:tcPr>
          <w:p>
            <w:pPr/>
          </w:p>
        </w:tc>
        <w:tc>
          <w:tcPr>
            <w:tcW w:w="1686" w:type="dxa"/>
            <w:vMerge/>
            <w:tcBorders>
              <w:left w:val="single" w:sz="4" w:space="0" w:color="000000"/>
              <w:right w:val="single" w:sz="4" w:space="0" w:color="000000"/>
            </w:tcBorders>
          </w:tcPr>
          <w:p>
            <w:pPr/>
          </w:p>
        </w:tc>
        <w:tc>
          <w:tcPr>
            <w:tcW w:w="1183" w:type="dxa"/>
            <w:vMerge/>
            <w:tcBorders>
              <w:left w:val="single" w:sz="4" w:space="0" w:color="000000"/>
              <w:right w:val="single" w:sz="4" w:space="0" w:color="000000"/>
            </w:tcBorders>
          </w:tcPr>
          <w:p>
            <w:pPr/>
          </w:p>
        </w:tc>
        <w:tc>
          <w:tcPr>
            <w:tcW w:w="1141" w:type="dxa"/>
            <w:vMerge/>
            <w:tcBorders>
              <w:left w:val="single" w:sz="4" w:space="0" w:color="000000"/>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致筹资</w:t>
            </w:r>
          </w:p>
        </w:tc>
      </w:tr>
      <w:tr>
        <w:trPr>
          <w:trHeight w:val="272" w:hRule="exact"/>
        </w:trPr>
        <w:tc>
          <w:tcPr>
            <w:tcW w:w="1354" w:type="dxa"/>
            <w:vMerge/>
            <w:tcBorders>
              <w:left w:val="single" w:sz="4" w:space="0" w:color="000000"/>
              <w:right w:val="single" w:sz="4" w:space="0" w:color="000000"/>
            </w:tcBorders>
          </w:tcPr>
          <w:p>
            <w:pPr/>
          </w:p>
        </w:tc>
        <w:tc>
          <w:tcPr>
            <w:tcW w:w="1686" w:type="dxa"/>
            <w:vMerge/>
            <w:tcBorders>
              <w:left w:val="single" w:sz="4" w:space="0" w:color="000000"/>
              <w:right w:val="single" w:sz="4" w:space="0" w:color="000000"/>
            </w:tcBorders>
          </w:tcPr>
          <w:p>
            <w:pPr/>
          </w:p>
        </w:tc>
        <w:tc>
          <w:tcPr>
            <w:tcW w:w="1226" w:type="dxa"/>
            <w:vMerge/>
            <w:tcBorders>
              <w:left w:val="single" w:sz="4" w:space="0" w:color="000000"/>
              <w:right w:val="single" w:sz="4" w:space="0" w:color="000000"/>
            </w:tcBorders>
          </w:tcPr>
          <w:p>
            <w:pPr/>
          </w:p>
        </w:tc>
        <w:tc>
          <w:tcPr>
            <w:tcW w:w="1686" w:type="dxa"/>
            <w:vMerge/>
            <w:tcBorders>
              <w:left w:val="single" w:sz="4" w:space="0" w:color="000000"/>
              <w:right w:val="single" w:sz="4" w:space="0" w:color="000000"/>
            </w:tcBorders>
          </w:tcPr>
          <w:p>
            <w:pPr/>
          </w:p>
        </w:tc>
        <w:tc>
          <w:tcPr>
            <w:tcW w:w="1183" w:type="dxa"/>
            <w:vMerge/>
            <w:tcBorders>
              <w:left w:val="single" w:sz="4" w:space="0" w:color="000000"/>
              <w:right w:val="single" w:sz="4" w:space="0" w:color="000000"/>
            </w:tcBorders>
          </w:tcPr>
          <w:p>
            <w:pPr/>
          </w:p>
        </w:tc>
        <w:tc>
          <w:tcPr>
            <w:tcW w:w="1141" w:type="dxa"/>
            <w:vMerge/>
            <w:tcBorders>
              <w:left w:val="single" w:sz="4" w:space="0" w:color="000000"/>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活动现</w:t>
            </w:r>
          </w:p>
        </w:tc>
      </w:tr>
      <w:tr>
        <w:trPr>
          <w:trHeight w:val="272" w:hRule="exact"/>
        </w:trPr>
        <w:tc>
          <w:tcPr>
            <w:tcW w:w="1354" w:type="dxa"/>
            <w:vMerge/>
            <w:tcBorders>
              <w:left w:val="single" w:sz="4" w:space="0" w:color="000000"/>
              <w:right w:val="single" w:sz="4" w:space="0" w:color="000000"/>
            </w:tcBorders>
          </w:tcPr>
          <w:p>
            <w:pPr/>
          </w:p>
        </w:tc>
        <w:tc>
          <w:tcPr>
            <w:tcW w:w="1686" w:type="dxa"/>
            <w:vMerge/>
            <w:tcBorders>
              <w:left w:val="single" w:sz="4" w:space="0" w:color="000000"/>
              <w:right w:val="single" w:sz="4" w:space="0" w:color="000000"/>
            </w:tcBorders>
          </w:tcPr>
          <w:p>
            <w:pPr/>
          </w:p>
        </w:tc>
        <w:tc>
          <w:tcPr>
            <w:tcW w:w="1226" w:type="dxa"/>
            <w:vMerge/>
            <w:tcBorders>
              <w:left w:val="single" w:sz="4" w:space="0" w:color="000000"/>
              <w:right w:val="single" w:sz="4" w:space="0" w:color="000000"/>
            </w:tcBorders>
          </w:tcPr>
          <w:p>
            <w:pPr/>
          </w:p>
        </w:tc>
        <w:tc>
          <w:tcPr>
            <w:tcW w:w="1686" w:type="dxa"/>
            <w:vMerge/>
            <w:tcBorders>
              <w:left w:val="single" w:sz="4" w:space="0" w:color="000000"/>
              <w:right w:val="single" w:sz="4" w:space="0" w:color="000000"/>
            </w:tcBorders>
          </w:tcPr>
          <w:p>
            <w:pPr/>
          </w:p>
        </w:tc>
        <w:tc>
          <w:tcPr>
            <w:tcW w:w="1183" w:type="dxa"/>
            <w:vMerge/>
            <w:tcBorders>
              <w:left w:val="single" w:sz="4" w:space="0" w:color="000000"/>
              <w:right w:val="single" w:sz="4" w:space="0" w:color="000000"/>
            </w:tcBorders>
          </w:tcPr>
          <w:p>
            <w:pPr/>
          </w:p>
        </w:tc>
        <w:tc>
          <w:tcPr>
            <w:tcW w:w="1141" w:type="dxa"/>
            <w:vMerge/>
            <w:tcBorders>
              <w:left w:val="single" w:sz="4" w:space="0" w:color="000000"/>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金净流</w:t>
            </w:r>
          </w:p>
        </w:tc>
      </w:tr>
      <w:tr>
        <w:trPr>
          <w:trHeight w:val="279" w:hRule="exact"/>
        </w:trPr>
        <w:tc>
          <w:tcPr>
            <w:tcW w:w="1354" w:type="dxa"/>
            <w:vMerge/>
            <w:tcBorders>
              <w:left w:val="single" w:sz="4" w:space="0" w:color="000000"/>
              <w:bottom w:val="single" w:sz="4" w:space="0" w:color="000000"/>
              <w:right w:val="single" w:sz="4" w:space="0" w:color="000000"/>
            </w:tcBorders>
          </w:tcPr>
          <w:p>
            <w:pPr/>
          </w:p>
        </w:tc>
        <w:tc>
          <w:tcPr>
            <w:tcW w:w="1686" w:type="dxa"/>
            <w:vMerge/>
            <w:tcBorders>
              <w:left w:val="single" w:sz="4" w:space="0" w:color="000000"/>
              <w:bottom w:val="single" w:sz="4" w:space="0" w:color="000000"/>
              <w:right w:val="single" w:sz="4" w:space="0" w:color="000000"/>
            </w:tcBorders>
          </w:tcPr>
          <w:p>
            <w:pPr/>
          </w:p>
        </w:tc>
        <w:tc>
          <w:tcPr>
            <w:tcW w:w="1226" w:type="dxa"/>
            <w:vMerge/>
            <w:tcBorders>
              <w:left w:val="single" w:sz="4" w:space="0" w:color="000000"/>
              <w:bottom w:val="single" w:sz="4" w:space="0" w:color="000000"/>
              <w:right w:val="single" w:sz="4" w:space="0" w:color="000000"/>
            </w:tcBorders>
          </w:tcPr>
          <w:p>
            <w:pPr/>
          </w:p>
        </w:tc>
        <w:tc>
          <w:tcPr>
            <w:tcW w:w="1686" w:type="dxa"/>
            <w:vMerge/>
            <w:tcBorders>
              <w:left w:val="single" w:sz="4" w:space="0" w:color="000000"/>
              <w:bottom w:val="single" w:sz="4" w:space="0" w:color="000000"/>
              <w:right w:val="single" w:sz="4" w:space="0" w:color="000000"/>
            </w:tcBorders>
          </w:tcPr>
          <w:p>
            <w:pPr/>
          </w:p>
        </w:tc>
        <w:tc>
          <w:tcPr>
            <w:tcW w:w="1183" w:type="dxa"/>
            <w:vMerge/>
            <w:tcBorders>
              <w:left w:val="single" w:sz="4" w:space="0" w:color="000000"/>
              <w:bottom w:val="single" w:sz="4" w:space="0" w:color="000000"/>
              <w:right w:val="single" w:sz="4" w:space="0" w:color="000000"/>
            </w:tcBorders>
          </w:tcPr>
          <w:p>
            <w:pPr/>
          </w:p>
        </w:tc>
        <w:tc>
          <w:tcPr>
            <w:tcW w:w="1141" w:type="dxa"/>
            <w:vMerge/>
            <w:tcBorders>
              <w:left w:val="single" w:sz="4" w:space="0" w:color="000000"/>
              <w:bottom w:val="single" w:sz="4" w:space="0" w:color="000000"/>
              <w:right w:val="single" w:sz="4" w:space="0" w:color="000000"/>
            </w:tcBorders>
          </w:tcPr>
          <w:p>
            <w:pPr/>
          </w:p>
        </w:tc>
        <w:tc>
          <w:tcPr>
            <w:tcW w:w="881"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出增加</w:t>
            </w:r>
          </w:p>
        </w:tc>
      </w:tr>
      <w:tr>
        <w:trPr>
          <w:trHeight w:val="276" w:hRule="exact"/>
        </w:trPr>
        <w:tc>
          <w:tcPr>
            <w:tcW w:w="1354" w:type="dxa"/>
            <w:tcBorders>
              <w:top w:val="single" w:sz="4" w:space="0" w:color="000000"/>
              <w:left w:val="single" w:sz="4" w:space="0" w:color="000000"/>
              <w:bottom w:val="nil" w:sz="6" w:space="0" w:color="auto"/>
              <w:right w:val="single" w:sz="4" w:space="0" w:color="000000"/>
            </w:tcBorders>
          </w:tcPr>
          <w:p>
            <w:pPr/>
          </w:p>
        </w:tc>
        <w:tc>
          <w:tcPr>
            <w:tcW w:w="1686" w:type="dxa"/>
            <w:tcBorders>
              <w:top w:val="single" w:sz="4" w:space="0" w:color="000000"/>
              <w:left w:val="single" w:sz="4" w:space="0" w:color="000000"/>
              <w:bottom w:val="nil" w:sz="6" w:space="0" w:color="auto"/>
              <w:right w:val="single" w:sz="4" w:space="0" w:color="000000"/>
            </w:tcBorders>
          </w:tcPr>
          <w:p>
            <w:pPr/>
          </w:p>
        </w:tc>
        <w:tc>
          <w:tcPr>
            <w:tcW w:w="1226" w:type="dxa"/>
            <w:tcBorders>
              <w:top w:val="single" w:sz="4" w:space="0" w:color="000000"/>
              <w:left w:val="single" w:sz="4" w:space="0" w:color="000000"/>
              <w:bottom w:val="nil" w:sz="6" w:space="0" w:color="auto"/>
              <w:right w:val="single" w:sz="4" w:space="0" w:color="000000"/>
            </w:tcBorders>
          </w:tcPr>
          <w:p>
            <w:pPr/>
          </w:p>
        </w:tc>
        <w:tc>
          <w:tcPr>
            <w:tcW w:w="1686" w:type="dxa"/>
            <w:tcBorders>
              <w:top w:val="single" w:sz="4" w:space="0" w:color="000000"/>
              <w:left w:val="single" w:sz="4" w:space="0" w:color="000000"/>
              <w:bottom w:val="nil" w:sz="6" w:space="0" w:color="auto"/>
              <w:right w:val="single" w:sz="4" w:space="0" w:color="000000"/>
            </w:tcBorders>
          </w:tcPr>
          <w:p>
            <w:pPr/>
          </w:p>
        </w:tc>
        <w:tc>
          <w:tcPr>
            <w:tcW w:w="1183" w:type="dxa"/>
            <w:tcBorders>
              <w:top w:val="single" w:sz="4" w:space="0" w:color="000000"/>
              <w:left w:val="single" w:sz="4" w:space="0" w:color="000000"/>
              <w:bottom w:val="nil" w:sz="6" w:space="0" w:color="auto"/>
              <w:right w:val="single" w:sz="4" w:space="0" w:color="000000"/>
            </w:tcBorders>
          </w:tcPr>
          <w:p>
            <w:pPr/>
          </w:p>
        </w:tc>
        <w:tc>
          <w:tcPr>
            <w:tcW w:w="1141" w:type="dxa"/>
            <w:tcBorders>
              <w:top w:val="single" w:sz="4" w:space="0" w:color="000000"/>
              <w:left w:val="single" w:sz="4" w:space="0" w:color="000000"/>
              <w:bottom w:val="nil" w:sz="6" w:space="0" w:color="auto"/>
              <w:right w:val="single" w:sz="4" w:space="0" w:color="000000"/>
            </w:tcBorders>
          </w:tcPr>
          <w:p>
            <w:pPr/>
          </w:p>
        </w:tc>
        <w:tc>
          <w:tcPr>
            <w:tcW w:w="881"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主要系</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以票据</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88"/>
              <w:jc w:val="right"/>
              <w:rPr>
                <w:rFonts w:ascii="宋体" w:hAnsi="宋体" w:cs="宋体" w:eastAsia="宋体" w:hint="default"/>
                <w:sz w:val="21"/>
                <w:szCs w:val="21"/>
              </w:rPr>
            </w:pPr>
            <w:r>
              <w:rPr>
                <w:rFonts w:ascii="宋体" w:hAnsi="宋体" w:cs="宋体" w:eastAsia="宋体" w:hint="default"/>
                <w:sz w:val="21"/>
                <w:szCs w:val="21"/>
              </w:rPr>
              <w:t>应收票据</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45,883,593.32</w:t>
            </w: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2.39</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27,360,977.28</w:t>
            </w:r>
          </w:p>
        </w:tc>
        <w:tc>
          <w:tcPr>
            <w:tcW w:w="1183"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1.52</w:t>
            </w:r>
            <w:r>
              <w:rPr>
                <w:rFonts w:ascii="宋体"/>
                <w:sz w:val="21"/>
              </w:rPr>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67.70</w:t>
            </w:r>
            <w:r>
              <w:rPr>
                <w:rFonts w:ascii="宋体"/>
                <w:sz w:val="21"/>
              </w:rPr>
            </w: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结算的</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货款增</w:t>
            </w:r>
          </w:p>
        </w:tc>
      </w:tr>
      <w:tr>
        <w:trPr>
          <w:trHeight w:val="279" w:hRule="exact"/>
        </w:trPr>
        <w:tc>
          <w:tcPr>
            <w:tcW w:w="1354"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226"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183" w:type="dxa"/>
            <w:tcBorders>
              <w:top w:val="nil" w:sz="6" w:space="0" w:color="auto"/>
              <w:left w:val="single" w:sz="4" w:space="0" w:color="000000"/>
              <w:bottom w:val="single" w:sz="4" w:space="0" w:color="000000"/>
              <w:right w:val="single" w:sz="4" w:space="0" w:color="000000"/>
            </w:tcBorders>
          </w:tcPr>
          <w:p>
            <w:pPr/>
          </w:p>
        </w:tc>
        <w:tc>
          <w:tcPr>
            <w:tcW w:w="1141" w:type="dxa"/>
            <w:tcBorders>
              <w:top w:val="nil" w:sz="6" w:space="0" w:color="auto"/>
              <w:left w:val="single" w:sz="4" w:space="0" w:color="000000"/>
              <w:bottom w:val="single" w:sz="4" w:space="0" w:color="000000"/>
              <w:right w:val="single" w:sz="4" w:space="0" w:color="000000"/>
            </w:tcBorders>
          </w:tcPr>
          <w:p>
            <w:pPr/>
          </w:p>
        </w:tc>
        <w:tc>
          <w:tcPr>
            <w:tcW w:w="881"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加所致</w:t>
            </w:r>
          </w:p>
        </w:tc>
      </w:tr>
      <w:tr>
        <w:trPr>
          <w:trHeight w:val="276" w:hRule="exact"/>
        </w:trPr>
        <w:tc>
          <w:tcPr>
            <w:tcW w:w="1354" w:type="dxa"/>
            <w:tcBorders>
              <w:top w:val="single" w:sz="4" w:space="0" w:color="000000"/>
              <w:left w:val="single" w:sz="4" w:space="0" w:color="000000"/>
              <w:bottom w:val="nil" w:sz="6" w:space="0" w:color="auto"/>
              <w:right w:val="single" w:sz="4" w:space="0" w:color="000000"/>
            </w:tcBorders>
          </w:tcPr>
          <w:p>
            <w:pPr/>
          </w:p>
        </w:tc>
        <w:tc>
          <w:tcPr>
            <w:tcW w:w="1686" w:type="dxa"/>
            <w:tcBorders>
              <w:top w:val="single" w:sz="4" w:space="0" w:color="000000"/>
              <w:left w:val="single" w:sz="4" w:space="0" w:color="000000"/>
              <w:bottom w:val="nil" w:sz="6" w:space="0" w:color="auto"/>
              <w:right w:val="single" w:sz="4" w:space="0" w:color="000000"/>
            </w:tcBorders>
          </w:tcPr>
          <w:p>
            <w:pPr/>
          </w:p>
        </w:tc>
        <w:tc>
          <w:tcPr>
            <w:tcW w:w="1226" w:type="dxa"/>
            <w:tcBorders>
              <w:top w:val="single" w:sz="4" w:space="0" w:color="000000"/>
              <w:left w:val="single" w:sz="4" w:space="0" w:color="000000"/>
              <w:bottom w:val="nil" w:sz="6" w:space="0" w:color="auto"/>
              <w:right w:val="single" w:sz="4" w:space="0" w:color="000000"/>
            </w:tcBorders>
          </w:tcPr>
          <w:p>
            <w:pPr/>
          </w:p>
        </w:tc>
        <w:tc>
          <w:tcPr>
            <w:tcW w:w="1686" w:type="dxa"/>
            <w:tcBorders>
              <w:top w:val="single" w:sz="4" w:space="0" w:color="000000"/>
              <w:left w:val="single" w:sz="4" w:space="0" w:color="000000"/>
              <w:bottom w:val="nil" w:sz="6" w:space="0" w:color="auto"/>
              <w:right w:val="single" w:sz="4" w:space="0" w:color="000000"/>
            </w:tcBorders>
          </w:tcPr>
          <w:p>
            <w:pPr/>
          </w:p>
        </w:tc>
        <w:tc>
          <w:tcPr>
            <w:tcW w:w="1183" w:type="dxa"/>
            <w:tcBorders>
              <w:top w:val="single" w:sz="4" w:space="0" w:color="000000"/>
              <w:left w:val="single" w:sz="4" w:space="0" w:color="000000"/>
              <w:bottom w:val="nil" w:sz="6" w:space="0" w:color="auto"/>
              <w:right w:val="single" w:sz="4" w:space="0" w:color="000000"/>
            </w:tcBorders>
          </w:tcPr>
          <w:p>
            <w:pPr/>
          </w:p>
        </w:tc>
        <w:tc>
          <w:tcPr>
            <w:tcW w:w="1141" w:type="dxa"/>
            <w:tcBorders>
              <w:top w:val="single" w:sz="4" w:space="0" w:color="000000"/>
              <w:left w:val="single" w:sz="4" w:space="0" w:color="000000"/>
              <w:bottom w:val="nil" w:sz="6" w:space="0" w:color="auto"/>
              <w:right w:val="single" w:sz="4" w:space="0" w:color="000000"/>
            </w:tcBorders>
          </w:tcPr>
          <w:p>
            <w:pPr/>
          </w:p>
        </w:tc>
        <w:tc>
          <w:tcPr>
            <w:tcW w:w="881"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主要系</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购买的</w:t>
            </w:r>
          </w:p>
        </w:tc>
      </w:tr>
      <w:tr>
        <w:trPr>
          <w:trHeight w:val="545" w:hRule="exact"/>
        </w:trPr>
        <w:tc>
          <w:tcPr>
            <w:tcW w:w="1354"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336" w:right="0"/>
              <w:jc w:val="left"/>
              <w:rPr>
                <w:rFonts w:ascii="宋体" w:hAnsi="宋体" w:cs="宋体" w:eastAsia="宋体" w:hint="default"/>
                <w:sz w:val="21"/>
                <w:szCs w:val="21"/>
              </w:rPr>
            </w:pPr>
            <w:r>
              <w:rPr>
                <w:rFonts w:ascii="宋体" w:hAnsi="宋体" w:cs="宋体" w:eastAsia="宋体" w:hint="default"/>
                <w:spacing w:val="15"/>
                <w:sz w:val="21"/>
                <w:szCs w:val="21"/>
              </w:rPr>
              <w:t>其他流动</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41,520,877.70</w:t>
            </w: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2.16</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sz w:val="21"/>
              </w:rPr>
              <w:t>61,006,477.96</w:t>
            </w:r>
          </w:p>
        </w:tc>
        <w:tc>
          <w:tcPr>
            <w:tcW w:w="11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3.38</w:t>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-31.94</w:t>
            </w: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38" w:right="0"/>
              <w:jc w:val="left"/>
              <w:rPr>
                <w:rFonts w:ascii="宋体" w:hAnsi="宋体" w:cs="宋体" w:eastAsia="宋体" w:hint="default"/>
                <w:sz w:val="21"/>
                <w:szCs w:val="21"/>
              </w:rPr>
            </w:pPr>
            <w:r>
              <w:rPr>
                <w:rFonts w:ascii="宋体" w:hAnsi="宋体" w:cs="宋体" w:eastAsia="宋体" w:hint="default"/>
                <w:sz w:val="21"/>
                <w:szCs w:val="21"/>
              </w:rPr>
              <w:t>短期理</w:t>
            </w:r>
          </w:p>
          <w:p>
            <w:pPr>
              <w:pStyle w:val="TableParagraph"/>
              <w:spacing w:line="274" w:lineRule="exact"/>
              <w:ind w:left="138" w:right="0"/>
              <w:jc w:val="left"/>
              <w:rPr>
                <w:rFonts w:ascii="宋体" w:hAnsi="宋体" w:cs="宋体" w:eastAsia="宋体" w:hint="default"/>
                <w:sz w:val="21"/>
                <w:szCs w:val="21"/>
              </w:rPr>
            </w:pPr>
            <w:r>
              <w:rPr>
                <w:rFonts w:ascii="宋体" w:hAnsi="宋体" w:cs="宋体" w:eastAsia="宋体" w:hint="default"/>
                <w:sz w:val="21"/>
                <w:szCs w:val="21"/>
              </w:rPr>
              <w:t>财产品</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减少所</w:t>
            </w:r>
          </w:p>
        </w:tc>
      </w:tr>
      <w:tr>
        <w:trPr>
          <w:trHeight w:val="279" w:hRule="exact"/>
        </w:trPr>
        <w:tc>
          <w:tcPr>
            <w:tcW w:w="1354"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226"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183" w:type="dxa"/>
            <w:tcBorders>
              <w:top w:val="nil" w:sz="6" w:space="0" w:color="auto"/>
              <w:left w:val="single" w:sz="4" w:space="0" w:color="000000"/>
              <w:bottom w:val="single" w:sz="4" w:space="0" w:color="000000"/>
              <w:right w:val="single" w:sz="4" w:space="0" w:color="000000"/>
            </w:tcBorders>
          </w:tcPr>
          <w:p>
            <w:pPr/>
          </w:p>
        </w:tc>
        <w:tc>
          <w:tcPr>
            <w:tcW w:w="1141" w:type="dxa"/>
            <w:tcBorders>
              <w:top w:val="nil" w:sz="6" w:space="0" w:color="auto"/>
              <w:left w:val="single" w:sz="4" w:space="0" w:color="000000"/>
              <w:bottom w:val="single" w:sz="4" w:space="0" w:color="000000"/>
              <w:right w:val="single" w:sz="4" w:space="0" w:color="000000"/>
            </w:tcBorders>
          </w:tcPr>
          <w:p>
            <w:pPr/>
          </w:p>
        </w:tc>
        <w:tc>
          <w:tcPr>
            <w:tcW w:w="881"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致</w:t>
            </w:r>
          </w:p>
        </w:tc>
      </w:tr>
      <w:tr>
        <w:trPr>
          <w:trHeight w:val="276" w:hRule="exact"/>
        </w:trPr>
        <w:tc>
          <w:tcPr>
            <w:tcW w:w="1354" w:type="dxa"/>
            <w:tcBorders>
              <w:top w:val="single" w:sz="4" w:space="0" w:color="000000"/>
              <w:left w:val="single" w:sz="4" w:space="0" w:color="000000"/>
              <w:bottom w:val="nil" w:sz="6" w:space="0" w:color="auto"/>
              <w:right w:val="single" w:sz="4" w:space="0" w:color="000000"/>
            </w:tcBorders>
          </w:tcPr>
          <w:p>
            <w:pPr/>
          </w:p>
        </w:tc>
        <w:tc>
          <w:tcPr>
            <w:tcW w:w="1686" w:type="dxa"/>
            <w:tcBorders>
              <w:top w:val="single" w:sz="4" w:space="0" w:color="000000"/>
              <w:left w:val="single" w:sz="4" w:space="0" w:color="000000"/>
              <w:bottom w:val="nil" w:sz="6" w:space="0" w:color="auto"/>
              <w:right w:val="single" w:sz="4" w:space="0" w:color="000000"/>
            </w:tcBorders>
          </w:tcPr>
          <w:p>
            <w:pPr/>
          </w:p>
        </w:tc>
        <w:tc>
          <w:tcPr>
            <w:tcW w:w="1226" w:type="dxa"/>
            <w:tcBorders>
              <w:top w:val="single" w:sz="4" w:space="0" w:color="000000"/>
              <w:left w:val="single" w:sz="4" w:space="0" w:color="000000"/>
              <w:bottom w:val="nil" w:sz="6" w:space="0" w:color="auto"/>
              <w:right w:val="single" w:sz="4" w:space="0" w:color="000000"/>
            </w:tcBorders>
          </w:tcPr>
          <w:p>
            <w:pPr/>
          </w:p>
        </w:tc>
        <w:tc>
          <w:tcPr>
            <w:tcW w:w="1686" w:type="dxa"/>
            <w:tcBorders>
              <w:top w:val="single" w:sz="4" w:space="0" w:color="000000"/>
              <w:left w:val="single" w:sz="4" w:space="0" w:color="000000"/>
              <w:bottom w:val="nil" w:sz="6" w:space="0" w:color="auto"/>
              <w:right w:val="single" w:sz="4" w:space="0" w:color="000000"/>
            </w:tcBorders>
          </w:tcPr>
          <w:p>
            <w:pPr/>
          </w:p>
        </w:tc>
        <w:tc>
          <w:tcPr>
            <w:tcW w:w="1183" w:type="dxa"/>
            <w:tcBorders>
              <w:top w:val="single" w:sz="4" w:space="0" w:color="000000"/>
              <w:left w:val="single" w:sz="4" w:space="0" w:color="000000"/>
              <w:bottom w:val="nil" w:sz="6" w:space="0" w:color="auto"/>
              <w:right w:val="single" w:sz="4" w:space="0" w:color="000000"/>
            </w:tcBorders>
          </w:tcPr>
          <w:p>
            <w:pPr/>
          </w:p>
        </w:tc>
        <w:tc>
          <w:tcPr>
            <w:tcW w:w="1141" w:type="dxa"/>
            <w:tcBorders>
              <w:top w:val="single" w:sz="4" w:space="0" w:color="000000"/>
              <w:left w:val="single" w:sz="4" w:space="0" w:color="000000"/>
              <w:bottom w:val="nil" w:sz="6" w:space="0" w:color="auto"/>
              <w:right w:val="single" w:sz="4" w:space="0" w:color="000000"/>
            </w:tcBorders>
          </w:tcPr>
          <w:p>
            <w:pPr/>
          </w:p>
        </w:tc>
        <w:tc>
          <w:tcPr>
            <w:tcW w:w="881"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主要系</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全资子</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公司—</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成都金</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证信息</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在建服</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88"/>
              <w:jc w:val="right"/>
              <w:rPr>
                <w:rFonts w:ascii="宋体" w:hAnsi="宋体" w:cs="宋体" w:eastAsia="宋体" w:hint="default"/>
                <w:sz w:val="21"/>
                <w:szCs w:val="21"/>
              </w:rPr>
            </w:pPr>
            <w:r>
              <w:rPr>
                <w:rFonts w:ascii="宋体" w:hAnsi="宋体" w:cs="宋体" w:eastAsia="宋体" w:hint="default"/>
                <w:sz w:val="21"/>
                <w:szCs w:val="21"/>
              </w:rPr>
              <w:t>在建工程</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77,171,939.66</w:t>
            </w: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4.02</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51,199,440.84</w:t>
            </w:r>
          </w:p>
        </w:tc>
        <w:tc>
          <w:tcPr>
            <w:tcW w:w="1183"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2.84</w:t>
            </w:r>
            <w:r>
              <w:rPr>
                <w:rFonts w:ascii="宋体"/>
                <w:sz w:val="21"/>
              </w:rPr>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50.73</w:t>
            </w:r>
            <w:r>
              <w:rPr>
                <w:rFonts w:ascii="宋体"/>
                <w:sz w:val="21"/>
              </w:rPr>
            </w: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务外包</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及金融</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后台服</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务基地</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在建项</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目投资</w:t>
            </w:r>
          </w:p>
        </w:tc>
      </w:tr>
      <w:tr>
        <w:trPr>
          <w:trHeight w:val="278" w:hRule="exact"/>
        </w:trPr>
        <w:tc>
          <w:tcPr>
            <w:tcW w:w="1354"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226"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183" w:type="dxa"/>
            <w:tcBorders>
              <w:top w:val="nil" w:sz="6" w:space="0" w:color="auto"/>
              <w:left w:val="single" w:sz="4" w:space="0" w:color="000000"/>
              <w:bottom w:val="single" w:sz="4" w:space="0" w:color="000000"/>
              <w:right w:val="single" w:sz="4" w:space="0" w:color="000000"/>
            </w:tcBorders>
          </w:tcPr>
          <w:p>
            <w:pPr/>
          </w:p>
        </w:tc>
        <w:tc>
          <w:tcPr>
            <w:tcW w:w="1141" w:type="dxa"/>
            <w:tcBorders>
              <w:top w:val="nil" w:sz="6" w:space="0" w:color="auto"/>
              <w:left w:val="single" w:sz="4" w:space="0" w:color="000000"/>
              <w:bottom w:val="single" w:sz="4" w:space="0" w:color="000000"/>
              <w:right w:val="single" w:sz="4" w:space="0" w:color="000000"/>
            </w:tcBorders>
          </w:tcPr>
          <w:p>
            <w:pPr/>
          </w:p>
        </w:tc>
        <w:tc>
          <w:tcPr>
            <w:tcW w:w="881"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增加</w:t>
            </w:r>
          </w:p>
        </w:tc>
      </w:tr>
      <w:tr>
        <w:trPr>
          <w:trHeight w:val="277" w:hRule="exact"/>
        </w:trPr>
        <w:tc>
          <w:tcPr>
            <w:tcW w:w="1354" w:type="dxa"/>
            <w:tcBorders>
              <w:top w:val="single" w:sz="4" w:space="0" w:color="000000"/>
              <w:left w:val="single" w:sz="4" w:space="0" w:color="000000"/>
              <w:bottom w:val="nil" w:sz="6" w:space="0" w:color="auto"/>
              <w:right w:val="single" w:sz="4" w:space="0" w:color="000000"/>
            </w:tcBorders>
          </w:tcPr>
          <w:p>
            <w:pPr/>
          </w:p>
        </w:tc>
        <w:tc>
          <w:tcPr>
            <w:tcW w:w="1686" w:type="dxa"/>
            <w:tcBorders>
              <w:top w:val="single" w:sz="4" w:space="0" w:color="000000"/>
              <w:left w:val="single" w:sz="4" w:space="0" w:color="000000"/>
              <w:bottom w:val="nil" w:sz="6" w:space="0" w:color="auto"/>
              <w:right w:val="single" w:sz="4" w:space="0" w:color="000000"/>
            </w:tcBorders>
          </w:tcPr>
          <w:p>
            <w:pPr/>
          </w:p>
        </w:tc>
        <w:tc>
          <w:tcPr>
            <w:tcW w:w="1226" w:type="dxa"/>
            <w:tcBorders>
              <w:top w:val="single" w:sz="4" w:space="0" w:color="000000"/>
              <w:left w:val="single" w:sz="4" w:space="0" w:color="000000"/>
              <w:bottom w:val="nil" w:sz="6" w:space="0" w:color="auto"/>
              <w:right w:val="single" w:sz="4" w:space="0" w:color="000000"/>
            </w:tcBorders>
          </w:tcPr>
          <w:p>
            <w:pPr/>
          </w:p>
        </w:tc>
        <w:tc>
          <w:tcPr>
            <w:tcW w:w="1686" w:type="dxa"/>
            <w:tcBorders>
              <w:top w:val="single" w:sz="4" w:space="0" w:color="000000"/>
              <w:left w:val="single" w:sz="4" w:space="0" w:color="000000"/>
              <w:bottom w:val="nil" w:sz="6" w:space="0" w:color="auto"/>
              <w:right w:val="single" w:sz="4" w:space="0" w:color="000000"/>
            </w:tcBorders>
          </w:tcPr>
          <w:p>
            <w:pPr/>
          </w:p>
        </w:tc>
        <w:tc>
          <w:tcPr>
            <w:tcW w:w="1183" w:type="dxa"/>
            <w:tcBorders>
              <w:top w:val="single" w:sz="4" w:space="0" w:color="000000"/>
              <w:left w:val="single" w:sz="4" w:space="0" w:color="000000"/>
              <w:bottom w:val="nil" w:sz="6" w:space="0" w:color="auto"/>
              <w:right w:val="single" w:sz="4" w:space="0" w:color="000000"/>
            </w:tcBorders>
          </w:tcPr>
          <w:p>
            <w:pPr/>
          </w:p>
        </w:tc>
        <w:tc>
          <w:tcPr>
            <w:tcW w:w="1141" w:type="dxa"/>
            <w:tcBorders>
              <w:top w:val="single" w:sz="4" w:space="0" w:color="000000"/>
              <w:left w:val="single" w:sz="4" w:space="0" w:color="000000"/>
              <w:bottom w:val="nil" w:sz="6" w:space="0" w:color="auto"/>
              <w:right w:val="single" w:sz="4" w:space="0" w:color="000000"/>
            </w:tcBorders>
          </w:tcPr>
          <w:p>
            <w:pPr/>
          </w:p>
        </w:tc>
        <w:tc>
          <w:tcPr>
            <w:tcW w:w="881"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主要系</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全资子</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公司—</w:t>
            </w:r>
          </w:p>
        </w:tc>
      </w:tr>
      <w:tr>
        <w:trPr>
          <w:trHeight w:val="545" w:hRule="exact"/>
        </w:trPr>
        <w:tc>
          <w:tcPr>
            <w:tcW w:w="13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88"/>
              <w:jc w:val="right"/>
              <w:rPr>
                <w:rFonts w:ascii="宋体" w:hAnsi="宋体" w:cs="宋体" w:eastAsia="宋体" w:hint="default"/>
                <w:sz w:val="21"/>
                <w:szCs w:val="21"/>
              </w:rPr>
            </w:pPr>
            <w:r>
              <w:rPr>
                <w:rFonts w:ascii="宋体" w:hAnsi="宋体" w:cs="宋体" w:eastAsia="宋体" w:hint="default"/>
                <w:sz w:val="21"/>
                <w:szCs w:val="21"/>
              </w:rPr>
              <w:t>无形资产</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63,034,317.12</w:t>
            </w: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3.29</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sz w:val="21"/>
              </w:rPr>
              <w:t>21,889,180.78</w:t>
            </w:r>
          </w:p>
        </w:tc>
        <w:tc>
          <w:tcPr>
            <w:tcW w:w="11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1.21</w:t>
            </w:r>
            <w:r>
              <w:rPr>
                <w:rFonts w:ascii="宋体"/>
                <w:sz w:val="21"/>
              </w:rPr>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187.97</w:t>
            </w:r>
            <w:r>
              <w:rPr>
                <w:rFonts w:ascii="宋体"/>
                <w:sz w:val="21"/>
              </w:rPr>
            </w: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37" w:right="0"/>
              <w:jc w:val="left"/>
              <w:rPr>
                <w:rFonts w:ascii="宋体" w:hAnsi="宋体" w:cs="宋体" w:eastAsia="宋体" w:hint="default"/>
                <w:sz w:val="21"/>
                <w:szCs w:val="21"/>
              </w:rPr>
            </w:pPr>
            <w:r>
              <w:rPr>
                <w:rFonts w:ascii="宋体" w:hAnsi="宋体" w:cs="宋体" w:eastAsia="宋体" w:hint="default"/>
                <w:sz w:val="21"/>
                <w:szCs w:val="21"/>
              </w:rPr>
              <w:t>南京金</w:t>
            </w:r>
          </w:p>
          <w:p>
            <w:pPr>
              <w:pStyle w:val="TableParagraph"/>
              <w:spacing w:line="274" w:lineRule="exact"/>
              <w:ind w:left="137" w:right="0"/>
              <w:jc w:val="left"/>
              <w:rPr>
                <w:rFonts w:ascii="宋体" w:hAnsi="宋体" w:cs="宋体" w:eastAsia="宋体" w:hint="default"/>
                <w:sz w:val="21"/>
                <w:szCs w:val="21"/>
              </w:rPr>
            </w:pPr>
            <w:r>
              <w:rPr>
                <w:rFonts w:ascii="宋体" w:hAnsi="宋体" w:cs="宋体" w:eastAsia="宋体" w:hint="default"/>
                <w:sz w:val="21"/>
                <w:szCs w:val="21"/>
              </w:rPr>
              <w:t>证信息</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购买土</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地支出</w:t>
            </w:r>
          </w:p>
        </w:tc>
      </w:tr>
      <w:tr>
        <w:trPr>
          <w:trHeight w:val="278" w:hRule="exact"/>
        </w:trPr>
        <w:tc>
          <w:tcPr>
            <w:tcW w:w="1354"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226"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183" w:type="dxa"/>
            <w:tcBorders>
              <w:top w:val="nil" w:sz="6" w:space="0" w:color="auto"/>
              <w:left w:val="single" w:sz="4" w:space="0" w:color="000000"/>
              <w:bottom w:val="single" w:sz="4" w:space="0" w:color="000000"/>
              <w:right w:val="single" w:sz="4" w:space="0" w:color="000000"/>
            </w:tcBorders>
          </w:tcPr>
          <w:p>
            <w:pPr/>
          </w:p>
        </w:tc>
        <w:tc>
          <w:tcPr>
            <w:tcW w:w="1141" w:type="dxa"/>
            <w:tcBorders>
              <w:top w:val="nil" w:sz="6" w:space="0" w:color="auto"/>
              <w:left w:val="single" w:sz="4" w:space="0" w:color="000000"/>
              <w:bottom w:val="single" w:sz="4" w:space="0" w:color="000000"/>
              <w:right w:val="single" w:sz="4" w:space="0" w:color="000000"/>
            </w:tcBorders>
          </w:tcPr>
          <w:p>
            <w:pPr/>
          </w:p>
        </w:tc>
        <w:tc>
          <w:tcPr>
            <w:tcW w:w="881"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增加</w:t>
            </w:r>
          </w:p>
        </w:tc>
      </w:tr>
      <w:tr>
        <w:trPr>
          <w:trHeight w:val="277" w:hRule="exact"/>
        </w:trPr>
        <w:tc>
          <w:tcPr>
            <w:tcW w:w="1354" w:type="dxa"/>
            <w:tcBorders>
              <w:top w:val="single" w:sz="4" w:space="0" w:color="000000"/>
              <w:left w:val="single" w:sz="4" w:space="0" w:color="000000"/>
              <w:bottom w:val="nil" w:sz="6" w:space="0" w:color="auto"/>
              <w:right w:val="single" w:sz="4" w:space="0" w:color="000000"/>
            </w:tcBorders>
          </w:tcPr>
          <w:p>
            <w:pPr/>
          </w:p>
        </w:tc>
        <w:tc>
          <w:tcPr>
            <w:tcW w:w="1686" w:type="dxa"/>
            <w:tcBorders>
              <w:top w:val="single" w:sz="4" w:space="0" w:color="000000"/>
              <w:left w:val="single" w:sz="4" w:space="0" w:color="000000"/>
              <w:bottom w:val="nil" w:sz="6" w:space="0" w:color="auto"/>
              <w:right w:val="single" w:sz="4" w:space="0" w:color="000000"/>
            </w:tcBorders>
          </w:tcPr>
          <w:p>
            <w:pPr/>
          </w:p>
        </w:tc>
        <w:tc>
          <w:tcPr>
            <w:tcW w:w="1226" w:type="dxa"/>
            <w:tcBorders>
              <w:top w:val="single" w:sz="4" w:space="0" w:color="000000"/>
              <w:left w:val="single" w:sz="4" w:space="0" w:color="000000"/>
              <w:bottom w:val="nil" w:sz="6" w:space="0" w:color="auto"/>
              <w:right w:val="single" w:sz="4" w:space="0" w:color="000000"/>
            </w:tcBorders>
          </w:tcPr>
          <w:p>
            <w:pPr/>
          </w:p>
        </w:tc>
        <w:tc>
          <w:tcPr>
            <w:tcW w:w="1686" w:type="dxa"/>
            <w:tcBorders>
              <w:top w:val="single" w:sz="4" w:space="0" w:color="000000"/>
              <w:left w:val="single" w:sz="4" w:space="0" w:color="000000"/>
              <w:bottom w:val="nil" w:sz="6" w:space="0" w:color="auto"/>
              <w:right w:val="single" w:sz="4" w:space="0" w:color="000000"/>
            </w:tcBorders>
          </w:tcPr>
          <w:p>
            <w:pPr/>
          </w:p>
        </w:tc>
        <w:tc>
          <w:tcPr>
            <w:tcW w:w="1183" w:type="dxa"/>
            <w:tcBorders>
              <w:top w:val="single" w:sz="4" w:space="0" w:color="000000"/>
              <w:left w:val="single" w:sz="4" w:space="0" w:color="000000"/>
              <w:bottom w:val="nil" w:sz="6" w:space="0" w:color="auto"/>
              <w:right w:val="single" w:sz="4" w:space="0" w:color="000000"/>
            </w:tcBorders>
          </w:tcPr>
          <w:p>
            <w:pPr/>
          </w:p>
        </w:tc>
        <w:tc>
          <w:tcPr>
            <w:tcW w:w="1141" w:type="dxa"/>
            <w:tcBorders>
              <w:top w:val="single" w:sz="4" w:space="0" w:color="000000"/>
              <w:left w:val="single" w:sz="4" w:space="0" w:color="000000"/>
              <w:bottom w:val="nil" w:sz="6" w:space="0" w:color="auto"/>
              <w:right w:val="single" w:sz="4" w:space="0" w:color="000000"/>
            </w:tcBorders>
          </w:tcPr>
          <w:p>
            <w:pPr/>
          </w:p>
        </w:tc>
        <w:tc>
          <w:tcPr>
            <w:tcW w:w="881"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主要系</w:t>
            </w:r>
          </w:p>
        </w:tc>
      </w:tr>
      <w:tr>
        <w:trPr>
          <w:trHeight w:val="545" w:hRule="exact"/>
        </w:trPr>
        <w:tc>
          <w:tcPr>
            <w:tcW w:w="13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88"/>
              <w:jc w:val="right"/>
              <w:rPr>
                <w:rFonts w:ascii="宋体" w:hAnsi="宋体" w:cs="宋体" w:eastAsia="宋体" w:hint="default"/>
                <w:sz w:val="21"/>
                <w:szCs w:val="21"/>
              </w:rPr>
            </w:pPr>
            <w:r>
              <w:rPr>
                <w:rFonts w:ascii="宋体" w:hAnsi="宋体" w:cs="宋体" w:eastAsia="宋体" w:hint="default"/>
                <w:sz w:val="21"/>
                <w:szCs w:val="21"/>
              </w:rPr>
              <w:t>短期借款</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155,370,000.00</w:t>
            </w: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8.10</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230,090,433.93</w:t>
            </w:r>
          </w:p>
        </w:tc>
        <w:tc>
          <w:tcPr>
            <w:tcW w:w="11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w w:val="95"/>
                <w:sz w:val="21"/>
              </w:rPr>
              <w:t>12.75</w:t>
            </w:r>
            <w:r>
              <w:rPr>
                <w:rFonts w:ascii="宋体"/>
                <w:w w:val="95"/>
                <w:sz w:val="21"/>
              </w:rPr>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2"/>
              <w:jc w:val="right"/>
              <w:rPr>
                <w:rFonts w:ascii="宋体" w:hAnsi="宋体" w:cs="宋体" w:eastAsia="宋体" w:hint="default"/>
                <w:sz w:val="21"/>
                <w:szCs w:val="21"/>
              </w:rPr>
            </w:pPr>
            <w:r>
              <w:rPr>
                <w:rFonts w:ascii="宋体"/>
                <w:spacing w:val="-1"/>
                <w:sz w:val="21"/>
              </w:rPr>
              <w:t>-32.47</w:t>
            </w:r>
            <w:r>
              <w:rPr>
                <w:rFonts w:ascii="宋体"/>
                <w:sz w:val="21"/>
              </w:rPr>
            </w: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37" w:right="0"/>
              <w:jc w:val="left"/>
              <w:rPr>
                <w:rFonts w:ascii="宋体" w:hAnsi="宋体" w:cs="宋体" w:eastAsia="宋体" w:hint="default"/>
                <w:sz w:val="21"/>
                <w:szCs w:val="21"/>
              </w:rPr>
            </w:pPr>
            <w:r>
              <w:rPr>
                <w:rFonts w:ascii="宋体" w:hAnsi="宋体" w:cs="宋体" w:eastAsia="宋体" w:hint="default"/>
                <w:sz w:val="21"/>
                <w:szCs w:val="21"/>
              </w:rPr>
              <w:t>偿还银</w:t>
            </w:r>
          </w:p>
          <w:p>
            <w:pPr>
              <w:pStyle w:val="TableParagraph"/>
              <w:spacing w:line="274" w:lineRule="exact"/>
              <w:ind w:left="137" w:right="0"/>
              <w:jc w:val="left"/>
              <w:rPr>
                <w:rFonts w:ascii="宋体" w:hAnsi="宋体" w:cs="宋体" w:eastAsia="宋体" w:hint="default"/>
                <w:sz w:val="21"/>
                <w:szCs w:val="21"/>
              </w:rPr>
            </w:pPr>
            <w:r>
              <w:rPr>
                <w:rFonts w:ascii="宋体" w:hAnsi="宋体" w:cs="宋体" w:eastAsia="宋体" w:hint="default"/>
                <w:sz w:val="21"/>
                <w:szCs w:val="21"/>
              </w:rPr>
              <w:t>行借款</w:t>
            </w:r>
          </w:p>
        </w:tc>
      </w:tr>
      <w:tr>
        <w:trPr>
          <w:trHeight w:val="279" w:hRule="exact"/>
        </w:trPr>
        <w:tc>
          <w:tcPr>
            <w:tcW w:w="1354"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226"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183" w:type="dxa"/>
            <w:tcBorders>
              <w:top w:val="nil" w:sz="6" w:space="0" w:color="auto"/>
              <w:left w:val="single" w:sz="4" w:space="0" w:color="000000"/>
              <w:bottom w:val="single" w:sz="4" w:space="0" w:color="000000"/>
              <w:right w:val="single" w:sz="4" w:space="0" w:color="000000"/>
            </w:tcBorders>
          </w:tcPr>
          <w:p>
            <w:pPr/>
          </w:p>
        </w:tc>
        <w:tc>
          <w:tcPr>
            <w:tcW w:w="1141" w:type="dxa"/>
            <w:tcBorders>
              <w:top w:val="nil" w:sz="6" w:space="0" w:color="auto"/>
              <w:left w:val="single" w:sz="4" w:space="0" w:color="000000"/>
              <w:bottom w:val="single" w:sz="4" w:space="0" w:color="000000"/>
              <w:right w:val="single" w:sz="4" w:space="0" w:color="000000"/>
            </w:tcBorders>
          </w:tcPr>
          <w:p>
            <w:pPr/>
          </w:p>
        </w:tc>
        <w:tc>
          <w:tcPr>
            <w:tcW w:w="881"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所致</w:t>
            </w:r>
          </w:p>
        </w:tc>
      </w:tr>
      <w:tr>
        <w:trPr>
          <w:trHeight w:val="276" w:hRule="exact"/>
        </w:trPr>
        <w:tc>
          <w:tcPr>
            <w:tcW w:w="1354" w:type="dxa"/>
            <w:tcBorders>
              <w:top w:val="single" w:sz="4" w:space="0" w:color="000000"/>
              <w:left w:val="single" w:sz="4" w:space="0" w:color="000000"/>
              <w:bottom w:val="nil" w:sz="6" w:space="0" w:color="auto"/>
              <w:right w:val="single" w:sz="4" w:space="0" w:color="000000"/>
            </w:tcBorders>
          </w:tcPr>
          <w:p>
            <w:pPr/>
          </w:p>
        </w:tc>
        <w:tc>
          <w:tcPr>
            <w:tcW w:w="1686" w:type="dxa"/>
            <w:tcBorders>
              <w:top w:val="single" w:sz="4" w:space="0" w:color="000000"/>
              <w:left w:val="single" w:sz="4" w:space="0" w:color="000000"/>
              <w:bottom w:val="nil" w:sz="6" w:space="0" w:color="auto"/>
              <w:right w:val="single" w:sz="4" w:space="0" w:color="000000"/>
            </w:tcBorders>
          </w:tcPr>
          <w:p>
            <w:pPr/>
          </w:p>
        </w:tc>
        <w:tc>
          <w:tcPr>
            <w:tcW w:w="1226" w:type="dxa"/>
            <w:tcBorders>
              <w:top w:val="single" w:sz="4" w:space="0" w:color="000000"/>
              <w:left w:val="single" w:sz="4" w:space="0" w:color="000000"/>
              <w:bottom w:val="nil" w:sz="6" w:space="0" w:color="auto"/>
              <w:right w:val="single" w:sz="4" w:space="0" w:color="000000"/>
            </w:tcBorders>
          </w:tcPr>
          <w:p>
            <w:pPr/>
          </w:p>
        </w:tc>
        <w:tc>
          <w:tcPr>
            <w:tcW w:w="1686" w:type="dxa"/>
            <w:tcBorders>
              <w:top w:val="single" w:sz="4" w:space="0" w:color="000000"/>
              <w:left w:val="single" w:sz="4" w:space="0" w:color="000000"/>
              <w:bottom w:val="nil" w:sz="6" w:space="0" w:color="auto"/>
              <w:right w:val="single" w:sz="4" w:space="0" w:color="000000"/>
            </w:tcBorders>
          </w:tcPr>
          <w:p>
            <w:pPr/>
          </w:p>
        </w:tc>
        <w:tc>
          <w:tcPr>
            <w:tcW w:w="1183" w:type="dxa"/>
            <w:tcBorders>
              <w:top w:val="single" w:sz="4" w:space="0" w:color="000000"/>
              <w:left w:val="single" w:sz="4" w:space="0" w:color="000000"/>
              <w:bottom w:val="nil" w:sz="6" w:space="0" w:color="auto"/>
              <w:right w:val="single" w:sz="4" w:space="0" w:color="000000"/>
            </w:tcBorders>
          </w:tcPr>
          <w:p>
            <w:pPr/>
          </w:p>
        </w:tc>
        <w:tc>
          <w:tcPr>
            <w:tcW w:w="1141" w:type="dxa"/>
            <w:tcBorders>
              <w:top w:val="single" w:sz="4" w:space="0" w:color="000000"/>
              <w:left w:val="single" w:sz="4" w:space="0" w:color="000000"/>
              <w:bottom w:val="nil" w:sz="6" w:space="0" w:color="auto"/>
              <w:right w:val="single" w:sz="4" w:space="0" w:color="000000"/>
            </w:tcBorders>
          </w:tcPr>
          <w:p>
            <w:pPr/>
          </w:p>
        </w:tc>
        <w:tc>
          <w:tcPr>
            <w:tcW w:w="881"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主要系</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子公司</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—齐普</w:t>
            </w:r>
          </w:p>
        </w:tc>
      </w:tr>
      <w:tr>
        <w:trPr>
          <w:trHeight w:val="545" w:hRule="exact"/>
        </w:trPr>
        <w:tc>
          <w:tcPr>
            <w:tcW w:w="13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89"/>
              <w:jc w:val="right"/>
              <w:rPr>
                <w:rFonts w:ascii="宋体" w:hAnsi="宋体" w:cs="宋体" w:eastAsia="宋体" w:hint="default"/>
                <w:sz w:val="21"/>
                <w:szCs w:val="21"/>
              </w:rPr>
            </w:pPr>
            <w:r>
              <w:rPr>
                <w:rFonts w:ascii="宋体" w:hAnsi="宋体" w:cs="宋体" w:eastAsia="宋体" w:hint="default"/>
                <w:spacing w:val="-1"/>
                <w:w w:val="95"/>
                <w:sz w:val="21"/>
                <w:szCs w:val="21"/>
              </w:rPr>
              <w:t>应付账款</w:t>
            </w:r>
            <w:r>
              <w:rPr>
                <w:rFonts w:ascii="宋体" w:hAnsi="宋体" w:cs="宋体" w:eastAsia="宋体" w:hint="default"/>
                <w:w w:val="95"/>
                <w:sz w:val="21"/>
                <w:szCs w:val="21"/>
              </w:rPr>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2"/>
              <w:jc w:val="right"/>
              <w:rPr>
                <w:rFonts w:ascii="宋体" w:hAnsi="宋体" w:cs="宋体" w:eastAsia="宋体" w:hint="default"/>
                <w:sz w:val="21"/>
                <w:szCs w:val="21"/>
              </w:rPr>
            </w:pPr>
            <w:r>
              <w:rPr>
                <w:rFonts w:ascii="宋体"/>
                <w:spacing w:val="-1"/>
                <w:sz w:val="21"/>
              </w:rPr>
              <w:t>336,612,097.22</w:t>
            </w:r>
            <w:r>
              <w:rPr>
                <w:rFonts w:ascii="宋体"/>
                <w:sz w:val="21"/>
              </w:rPr>
            </w: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w w:val="95"/>
                <w:sz w:val="21"/>
              </w:rPr>
              <w:t>17.54</w:t>
            </w:r>
            <w:r>
              <w:rPr>
                <w:rFonts w:ascii="宋体"/>
                <w:w w:val="95"/>
                <w:sz w:val="21"/>
              </w:rPr>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253,112,377.07</w:t>
            </w:r>
          </w:p>
        </w:tc>
        <w:tc>
          <w:tcPr>
            <w:tcW w:w="11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w w:val="95"/>
                <w:sz w:val="21"/>
              </w:rPr>
              <w:t>14.02</w:t>
            </w:r>
            <w:r>
              <w:rPr>
                <w:rFonts w:ascii="宋体"/>
                <w:w w:val="95"/>
                <w:sz w:val="21"/>
              </w:rPr>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32.99</w:t>
            </w:r>
            <w:r>
              <w:rPr>
                <w:rFonts w:ascii="宋体"/>
                <w:sz w:val="21"/>
              </w:rPr>
            </w: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38" w:right="0"/>
              <w:jc w:val="left"/>
              <w:rPr>
                <w:rFonts w:ascii="宋体" w:hAnsi="宋体" w:cs="宋体" w:eastAsia="宋体" w:hint="default"/>
                <w:sz w:val="21"/>
                <w:szCs w:val="21"/>
              </w:rPr>
            </w:pPr>
            <w:r>
              <w:rPr>
                <w:rFonts w:ascii="宋体" w:hAnsi="宋体" w:cs="宋体" w:eastAsia="宋体" w:hint="default"/>
                <w:sz w:val="21"/>
                <w:szCs w:val="21"/>
              </w:rPr>
              <w:t>生信息</w:t>
            </w:r>
          </w:p>
          <w:p>
            <w:pPr>
              <w:pStyle w:val="TableParagraph"/>
              <w:spacing w:line="274" w:lineRule="exact"/>
              <w:ind w:left="138" w:right="0"/>
              <w:jc w:val="left"/>
              <w:rPr>
                <w:rFonts w:ascii="宋体" w:hAnsi="宋体" w:cs="宋体" w:eastAsia="宋体" w:hint="default"/>
                <w:sz w:val="21"/>
                <w:szCs w:val="21"/>
              </w:rPr>
            </w:pPr>
            <w:r>
              <w:rPr>
                <w:rFonts w:ascii="宋体" w:hAnsi="宋体" w:cs="宋体" w:eastAsia="宋体" w:hint="default"/>
                <w:sz w:val="21"/>
                <w:szCs w:val="21"/>
              </w:rPr>
              <w:t>科技有</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限公司</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总代业</w:t>
            </w:r>
          </w:p>
        </w:tc>
      </w:tr>
      <w:tr>
        <w:trPr>
          <w:trHeight w:val="279" w:hRule="exact"/>
        </w:trPr>
        <w:tc>
          <w:tcPr>
            <w:tcW w:w="1354"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226"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183" w:type="dxa"/>
            <w:tcBorders>
              <w:top w:val="nil" w:sz="6" w:space="0" w:color="auto"/>
              <w:left w:val="single" w:sz="4" w:space="0" w:color="000000"/>
              <w:bottom w:val="single" w:sz="4" w:space="0" w:color="000000"/>
              <w:right w:val="single" w:sz="4" w:space="0" w:color="000000"/>
            </w:tcBorders>
          </w:tcPr>
          <w:p>
            <w:pPr/>
          </w:p>
        </w:tc>
        <w:tc>
          <w:tcPr>
            <w:tcW w:w="1141" w:type="dxa"/>
            <w:tcBorders>
              <w:top w:val="nil" w:sz="6" w:space="0" w:color="auto"/>
              <w:left w:val="single" w:sz="4" w:space="0" w:color="000000"/>
              <w:bottom w:val="single" w:sz="4" w:space="0" w:color="000000"/>
              <w:right w:val="single" w:sz="4" w:space="0" w:color="000000"/>
            </w:tcBorders>
          </w:tcPr>
          <w:p>
            <w:pPr/>
          </w:p>
        </w:tc>
        <w:tc>
          <w:tcPr>
            <w:tcW w:w="881"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务量增</w:t>
            </w:r>
          </w:p>
        </w:tc>
      </w:tr>
    </w:tbl>
    <w:p>
      <w:pPr>
        <w:spacing w:after="0" w:line="241" w:lineRule="exact"/>
        <w:jc w:val="right"/>
        <w:rPr>
          <w:rFonts w:ascii="宋体" w:hAnsi="宋体" w:cs="宋体" w:eastAsia="宋体" w:hint="default"/>
          <w:sz w:val="21"/>
          <w:szCs w:val="21"/>
        </w:rPr>
        <w:sectPr>
          <w:pgSz w:w="11910" w:h="16840"/>
          <w:pgMar w:header="0" w:footer="1197"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354"/>
        <w:gridCol w:w="1686"/>
        <w:gridCol w:w="1226"/>
        <w:gridCol w:w="1686"/>
        <w:gridCol w:w="1183"/>
        <w:gridCol w:w="1141"/>
        <w:gridCol w:w="881"/>
      </w:tblGrid>
      <w:tr>
        <w:trPr>
          <w:trHeight w:val="276" w:hRule="exact"/>
        </w:trPr>
        <w:tc>
          <w:tcPr>
            <w:tcW w:w="1354" w:type="dxa"/>
            <w:vMerge w:val="restart"/>
            <w:tcBorders>
              <w:top w:val="single" w:sz="4" w:space="0" w:color="000000"/>
              <w:left w:val="single" w:sz="4" w:space="0" w:color="000000"/>
              <w:right w:val="single" w:sz="4" w:space="0" w:color="000000"/>
            </w:tcBorders>
          </w:tcPr>
          <w:p>
            <w:pPr/>
          </w:p>
        </w:tc>
        <w:tc>
          <w:tcPr>
            <w:tcW w:w="1686" w:type="dxa"/>
            <w:vMerge w:val="restart"/>
            <w:tcBorders>
              <w:top w:val="single" w:sz="4" w:space="0" w:color="000000"/>
              <w:left w:val="single" w:sz="4" w:space="0" w:color="000000"/>
              <w:right w:val="single" w:sz="4" w:space="0" w:color="000000"/>
            </w:tcBorders>
          </w:tcPr>
          <w:p>
            <w:pPr/>
          </w:p>
        </w:tc>
        <w:tc>
          <w:tcPr>
            <w:tcW w:w="1226" w:type="dxa"/>
            <w:vMerge w:val="restart"/>
            <w:tcBorders>
              <w:top w:val="single" w:sz="4" w:space="0" w:color="000000"/>
              <w:left w:val="single" w:sz="4" w:space="0" w:color="000000"/>
              <w:right w:val="single" w:sz="4" w:space="0" w:color="000000"/>
            </w:tcBorders>
          </w:tcPr>
          <w:p>
            <w:pPr/>
          </w:p>
        </w:tc>
        <w:tc>
          <w:tcPr>
            <w:tcW w:w="1686" w:type="dxa"/>
            <w:vMerge w:val="restart"/>
            <w:tcBorders>
              <w:top w:val="single" w:sz="4" w:space="0" w:color="000000"/>
              <w:left w:val="single" w:sz="4" w:space="0" w:color="000000"/>
              <w:right w:val="single" w:sz="4" w:space="0" w:color="000000"/>
            </w:tcBorders>
          </w:tcPr>
          <w:p>
            <w:pPr/>
          </w:p>
        </w:tc>
        <w:tc>
          <w:tcPr>
            <w:tcW w:w="1183" w:type="dxa"/>
            <w:vMerge w:val="restart"/>
            <w:tcBorders>
              <w:top w:val="single" w:sz="4" w:space="0" w:color="000000"/>
              <w:left w:val="single" w:sz="4" w:space="0" w:color="000000"/>
              <w:right w:val="single" w:sz="4" w:space="0" w:color="000000"/>
            </w:tcBorders>
          </w:tcPr>
          <w:p>
            <w:pPr/>
          </w:p>
        </w:tc>
        <w:tc>
          <w:tcPr>
            <w:tcW w:w="1141" w:type="dxa"/>
            <w:vMerge w:val="restart"/>
            <w:tcBorders>
              <w:top w:val="single" w:sz="4" w:space="0" w:color="000000"/>
              <w:left w:val="single" w:sz="4" w:space="0" w:color="000000"/>
              <w:right w:val="single" w:sz="4" w:space="0" w:color="000000"/>
            </w:tcBorders>
          </w:tcPr>
          <w:p>
            <w:pPr/>
          </w:p>
        </w:tc>
        <w:tc>
          <w:tcPr>
            <w:tcW w:w="881"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加，存</w:t>
            </w:r>
          </w:p>
        </w:tc>
      </w:tr>
      <w:tr>
        <w:trPr>
          <w:trHeight w:val="272" w:hRule="exact"/>
        </w:trPr>
        <w:tc>
          <w:tcPr>
            <w:tcW w:w="1354" w:type="dxa"/>
            <w:vMerge/>
            <w:tcBorders>
              <w:left w:val="single" w:sz="4" w:space="0" w:color="000000"/>
              <w:right w:val="single" w:sz="4" w:space="0" w:color="000000"/>
            </w:tcBorders>
          </w:tcPr>
          <w:p>
            <w:pPr/>
          </w:p>
        </w:tc>
        <w:tc>
          <w:tcPr>
            <w:tcW w:w="1686" w:type="dxa"/>
            <w:vMerge/>
            <w:tcBorders>
              <w:left w:val="single" w:sz="4" w:space="0" w:color="000000"/>
              <w:right w:val="single" w:sz="4" w:space="0" w:color="000000"/>
            </w:tcBorders>
          </w:tcPr>
          <w:p>
            <w:pPr/>
          </w:p>
        </w:tc>
        <w:tc>
          <w:tcPr>
            <w:tcW w:w="1226" w:type="dxa"/>
            <w:vMerge/>
            <w:tcBorders>
              <w:left w:val="single" w:sz="4" w:space="0" w:color="000000"/>
              <w:right w:val="single" w:sz="4" w:space="0" w:color="000000"/>
            </w:tcBorders>
          </w:tcPr>
          <w:p>
            <w:pPr/>
          </w:p>
        </w:tc>
        <w:tc>
          <w:tcPr>
            <w:tcW w:w="1686" w:type="dxa"/>
            <w:vMerge/>
            <w:tcBorders>
              <w:left w:val="single" w:sz="4" w:space="0" w:color="000000"/>
              <w:right w:val="single" w:sz="4" w:space="0" w:color="000000"/>
            </w:tcBorders>
          </w:tcPr>
          <w:p>
            <w:pPr/>
          </w:p>
        </w:tc>
        <w:tc>
          <w:tcPr>
            <w:tcW w:w="1183" w:type="dxa"/>
            <w:vMerge/>
            <w:tcBorders>
              <w:left w:val="single" w:sz="4" w:space="0" w:color="000000"/>
              <w:right w:val="single" w:sz="4" w:space="0" w:color="000000"/>
            </w:tcBorders>
          </w:tcPr>
          <w:p>
            <w:pPr/>
          </w:p>
        </w:tc>
        <w:tc>
          <w:tcPr>
            <w:tcW w:w="1141" w:type="dxa"/>
            <w:vMerge/>
            <w:tcBorders>
              <w:left w:val="single" w:sz="4" w:space="0" w:color="000000"/>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货增加</w:t>
            </w:r>
          </w:p>
        </w:tc>
      </w:tr>
      <w:tr>
        <w:trPr>
          <w:trHeight w:val="272" w:hRule="exact"/>
        </w:trPr>
        <w:tc>
          <w:tcPr>
            <w:tcW w:w="1354" w:type="dxa"/>
            <w:vMerge/>
            <w:tcBorders>
              <w:left w:val="single" w:sz="4" w:space="0" w:color="000000"/>
              <w:right w:val="single" w:sz="4" w:space="0" w:color="000000"/>
            </w:tcBorders>
          </w:tcPr>
          <w:p>
            <w:pPr/>
          </w:p>
        </w:tc>
        <w:tc>
          <w:tcPr>
            <w:tcW w:w="1686" w:type="dxa"/>
            <w:vMerge/>
            <w:tcBorders>
              <w:left w:val="single" w:sz="4" w:space="0" w:color="000000"/>
              <w:right w:val="single" w:sz="4" w:space="0" w:color="000000"/>
            </w:tcBorders>
          </w:tcPr>
          <w:p>
            <w:pPr/>
          </w:p>
        </w:tc>
        <w:tc>
          <w:tcPr>
            <w:tcW w:w="1226" w:type="dxa"/>
            <w:vMerge/>
            <w:tcBorders>
              <w:left w:val="single" w:sz="4" w:space="0" w:color="000000"/>
              <w:right w:val="single" w:sz="4" w:space="0" w:color="000000"/>
            </w:tcBorders>
          </w:tcPr>
          <w:p>
            <w:pPr/>
          </w:p>
        </w:tc>
        <w:tc>
          <w:tcPr>
            <w:tcW w:w="1686" w:type="dxa"/>
            <w:vMerge/>
            <w:tcBorders>
              <w:left w:val="single" w:sz="4" w:space="0" w:color="000000"/>
              <w:right w:val="single" w:sz="4" w:space="0" w:color="000000"/>
            </w:tcBorders>
          </w:tcPr>
          <w:p>
            <w:pPr/>
          </w:p>
        </w:tc>
        <w:tc>
          <w:tcPr>
            <w:tcW w:w="1183" w:type="dxa"/>
            <w:vMerge/>
            <w:tcBorders>
              <w:left w:val="single" w:sz="4" w:space="0" w:color="000000"/>
              <w:right w:val="single" w:sz="4" w:space="0" w:color="000000"/>
            </w:tcBorders>
          </w:tcPr>
          <w:p>
            <w:pPr/>
          </w:p>
        </w:tc>
        <w:tc>
          <w:tcPr>
            <w:tcW w:w="1141" w:type="dxa"/>
            <w:vMerge/>
            <w:tcBorders>
              <w:left w:val="single" w:sz="4" w:space="0" w:color="000000"/>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导致应</w:t>
            </w:r>
          </w:p>
        </w:tc>
      </w:tr>
      <w:tr>
        <w:trPr>
          <w:trHeight w:val="272" w:hRule="exact"/>
        </w:trPr>
        <w:tc>
          <w:tcPr>
            <w:tcW w:w="1354" w:type="dxa"/>
            <w:vMerge/>
            <w:tcBorders>
              <w:left w:val="single" w:sz="4" w:space="0" w:color="000000"/>
              <w:right w:val="single" w:sz="4" w:space="0" w:color="000000"/>
            </w:tcBorders>
          </w:tcPr>
          <w:p>
            <w:pPr/>
          </w:p>
        </w:tc>
        <w:tc>
          <w:tcPr>
            <w:tcW w:w="1686" w:type="dxa"/>
            <w:vMerge/>
            <w:tcBorders>
              <w:left w:val="single" w:sz="4" w:space="0" w:color="000000"/>
              <w:right w:val="single" w:sz="4" w:space="0" w:color="000000"/>
            </w:tcBorders>
          </w:tcPr>
          <w:p>
            <w:pPr/>
          </w:p>
        </w:tc>
        <w:tc>
          <w:tcPr>
            <w:tcW w:w="1226" w:type="dxa"/>
            <w:vMerge/>
            <w:tcBorders>
              <w:left w:val="single" w:sz="4" w:space="0" w:color="000000"/>
              <w:right w:val="single" w:sz="4" w:space="0" w:color="000000"/>
            </w:tcBorders>
          </w:tcPr>
          <w:p>
            <w:pPr/>
          </w:p>
        </w:tc>
        <w:tc>
          <w:tcPr>
            <w:tcW w:w="1686" w:type="dxa"/>
            <w:vMerge/>
            <w:tcBorders>
              <w:left w:val="single" w:sz="4" w:space="0" w:color="000000"/>
              <w:right w:val="single" w:sz="4" w:space="0" w:color="000000"/>
            </w:tcBorders>
          </w:tcPr>
          <w:p>
            <w:pPr/>
          </w:p>
        </w:tc>
        <w:tc>
          <w:tcPr>
            <w:tcW w:w="1183" w:type="dxa"/>
            <w:vMerge/>
            <w:tcBorders>
              <w:left w:val="single" w:sz="4" w:space="0" w:color="000000"/>
              <w:right w:val="single" w:sz="4" w:space="0" w:color="000000"/>
            </w:tcBorders>
          </w:tcPr>
          <w:p>
            <w:pPr/>
          </w:p>
        </w:tc>
        <w:tc>
          <w:tcPr>
            <w:tcW w:w="1141" w:type="dxa"/>
            <w:vMerge/>
            <w:tcBorders>
              <w:left w:val="single" w:sz="4" w:space="0" w:color="000000"/>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付账款</w:t>
            </w:r>
          </w:p>
        </w:tc>
      </w:tr>
      <w:tr>
        <w:trPr>
          <w:trHeight w:val="279" w:hRule="exact"/>
        </w:trPr>
        <w:tc>
          <w:tcPr>
            <w:tcW w:w="1354" w:type="dxa"/>
            <w:vMerge/>
            <w:tcBorders>
              <w:left w:val="single" w:sz="4" w:space="0" w:color="000000"/>
              <w:bottom w:val="single" w:sz="4" w:space="0" w:color="000000"/>
              <w:right w:val="single" w:sz="4" w:space="0" w:color="000000"/>
            </w:tcBorders>
          </w:tcPr>
          <w:p>
            <w:pPr/>
          </w:p>
        </w:tc>
        <w:tc>
          <w:tcPr>
            <w:tcW w:w="1686" w:type="dxa"/>
            <w:vMerge/>
            <w:tcBorders>
              <w:left w:val="single" w:sz="4" w:space="0" w:color="000000"/>
              <w:bottom w:val="single" w:sz="4" w:space="0" w:color="000000"/>
              <w:right w:val="single" w:sz="4" w:space="0" w:color="000000"/>
            </w:tcBorders>
          </w:tcPr>
          <w:p>
            <w:pPr/>
          </w:p>
        </w:tc>
        <w:tc>
          <w:tcPr>
            <w:tcW w:w="1226" w:type="dxa"/>
            <w:vMerge/>
            <w:tcBorders>
              <w:left w:val="single" w:sz="4" w:space="0" w:color="000000"/>
              <w:bottom w:val="single" w:sz="4" w:space="0" w:color="000000"/>
              <w:right w:val="single" w:sz="4" w:space="0" w:color="000000"/>
            </w:tcBorders>
          </w:tcPr>
          <w:p>
            <w:pPr/>
          </w:p>
        </w:tc>
        <w:tc>
          <w:tcPr>
            <w:tcW w:w="1686" w:type="dxa"/>
            <w:vMerge/>
            <w:tcBorders>
              <w:left w:val="single" w:sz="4" w:space="0" w:color="000000"/>
              <w:bottom w:val="single" w:sz="4" w:space="0" w:color="000000"/>
              <w:right w:val="single" w:sz="4" w:space="0" w:color="000000"/>
            </w:tcBorders>
          </w:tcPr>
          <w:p>
            <w:pPr/>
          </w:p>
        </w:tc>
        <w:tc>
          <w:tcPr>
            <w:tcW w:w="1183" w:type="dxa"/>
            <w:vMerge/>
            <w:tcBorders>
              <w:left w:val="single" w:sz="4" w:space="0" w:color="000000"/>
              <w:bottom w:val="single" w:sz="4" w:space="0" w:color="000000"/>
              <w:right w:val="single" w:sz="4" w:space="0" w:color="000000"/>
            </w:tcBorders>
          </w:tcPr>
          <w:p>
            <w:pPr/>
          </w:p>
        </w:tc>
        <w:tc>
          <w:tcPr>
            <w:tcW w:w="1141" w:type="dxa"/>
            <w:vMerge/>
            <w:tcBorders>
              <w:left w:val="single" w:sz="4" w:space="0" w:color="000000"/>
              <w:bottom w:val="single" w:sz="4" w:space="0" w:color="000000"/>
              <w:right w:val="single" w:sz="4" w:space="0" w:color="000000"/>
            </w:tcBorders>
          </w:tcPr>
          <w:p>
            <w:pPr/>
          </w:p>
        </w:tc>
        <w:tc>
          <w:tcPr>
            <w:tcW w:w="881"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增长</w:t>
            </w:r>
          </w:p>
        </w:tc>
      </w:tr>
      <w:tr>
        <w:trPr>
          <w:trHeight w:val="276" w:hRule="exact"/>
        </w:trPr>
        <w:tc>
          <w:tcPr>
            <w:tcW w:w="1354" w:type="dxa"/>
            <w:tcBorders>
              <w:top w:val="single" w:sz="4" w:space="0" w:color="000000"/>
              <w:left w:val="single" w:sz="4" w:space="0" w:color="000000"/>
              <w:bottom w:val="nil" w:sz="6" w:space="0" w:color="auto"/>
              <w:right w:val="single" w:sz="4" w:space="0" w:color="000000"/>
            </w:tcBorders>
          </w:tcPr>
          <w:p>
            <w:pPr/>
          </w:p>
        </w:tc>
        <w:tc>
          <w:tcPr>
            <w:tcW w:w="1686" w:type="dxa"/>
            <w:tcBorders>
              <w:top w:val="single" w:sz="4" w:space="0" w:color="000000"/>
              <w:left w:val="single" w:sz="4" w:space="0" w:color="000000"/>
              <w:bottom w:val="nil" w:sz="6" w:space="0" w:color="auto"/>
              <w:right w:val="single" w:sz="4" w:space="0" w:color="000000"/>
            </w:tcBorders>
          </w:tcPr>
          <w:p>
            <w:pPr/>
          </w:p>
        </w:tc>
        <w:tc>
          <w:tcPr>
            <w:tcW w:w="1226" w:type="dxa"/>
            <w:tcBorders>
              <w:top w:val="single" w:sz="4" w:space="0" w:color="000000"/>
              <w:left w:val="single" w:sz="4" w:space="0" w:color="000000"/>
              <w:bottom w:val="nil" w:sz="6" w:space="0" w:color="auto"/>
              <w:right w:val="single" w:sz="4" w:space="0" w:color="000000"/>
            </w:tcBorders>
          </w:tcPr>
          <w:p>
            <w:pPr/>
          </w:p>
        </w:tc>
        <w:tc>
          <w:tcPr>
            <w:tcW w:w="1686" w:type="dxa"/>
            <w:tcBorders>
              <w:top w:val="single" w:sz="4" w:space="0" w:color="000000"/>
              <w:left w:val="single" w:sz="4" w:space="0" w:color="000000"/>
              <w:bottom w:val="nil" w:sz="6" w:space="0" w:color="auto"/>
              <w:right w:val="single" w:sz="4" w:space="0" w:color="000000"/>
            </w:tcBorders>
          </w:tcPr>
          <w:p>
            <w:pPr/>
          </w:p>
        </w:tc>
        <w:tc>
          <w:tcPr>
            <w:tcW w:w="1183" w:type="dxa"/>
            <w:tcBorders>
              <w:top w:val="single" w:sz="4" w:space="0" w:color="000000"/>
              <w:left w:val="single" w:sz="4" w:space="0" w:color="000000"/>
              <w:bottom w:val="nil" w:sz="6" w:space="0" w:color="auto"/>
              <w:right w:val="single" w:sz="4" w:space="0" w:color="000000"/>
            </w:tcBorders>
          </w:tcPr>
          <w:p>
            <w:pPr/>
          </w:p>
        </w:tc>
        <w:tc>
          <w:tcPr>
            <w:tcW w:w="1141" w:type="dxa"/>
            <w:tcBorders>
              <w:top w:val="single" w:sz="4" w:space="0" w:color="000000"/>
              <w:left w:val="single" w:sz="4" w:space="0" w:color="000000"/>
              <w:bottom w:val="nil" w:sz="6" w:space="0" w:color="auto"/>
              <w:right w:val="single" w:sz="4" w:space="0" w:color="000000"/>
            </w:tcBorders>
          </w:tcPr>
          <w:p>
            <w:pPr/>
          </w:p>
        </w:tc>
        <w:tc>
          <w:tcPr>
            <w:tcW w:w="881"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主要系</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母公司</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71"/>
                <w:sz w:val="21"/>
                <w:szCs w:val="21"/>
              </w:rPr>
              <w:t> </w:t>
            </w:r>
            <w:r>
              <w:rPr>
                <w:rFonts w:ascii="宋体" w:hAnsi="宋体" w:cs="宋体" w:eastAsia="宋体" w:hint="default"/>
                <w:sz w:val="21"/>
                <w:szCs w:val="21"/>
              </w:rPr>
              <w:t>年</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末预收</w:t>
            </w:r>
          </w:p>
        </w:tc>
      </w:tr>
      <w:tr>
        <w:trPr>
          <w:trHeight w:val="545" w:hRule="exact"/>
        </w:trPr>
        <w:tc>
          <w:tcPr>
            <w:tcW w:w="13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89"/>
              <w:jc w:val="right"/>
              <w:rPr>
                <w:rFonts w:ascii="宋体" w:hAnsi="宋体" w:cs="宋体" w:eastAsia="宋体" w:hint="default"/>
                <w:sz w:val="21"/>
                <w:szCs w:val="21"/>
              </w:rPr>
            </w:pPr>
            <w:r>
              <w:rPr>
                <w:rFonts w:ascii="宋体" w:hAnsi="宋体" w:cs="宋体" w:eastAsia="宋体" w:hint="default"/>
                <w:spacing w:val="-1"/>
                <w:w w:val="95"/>
                <w:sz w:val="21"/>
                <w:szCs w:val="21"/>
              </w:rPr>
              <w:t>预收款项</w:t>
            </w:r>
            <w:r>
              <w:rPr>
                <w:rFonts w:ascii="宋体" w:hAnsi="宋体" w:cs="宋体" w:eastAsia="宋体" w:hint="default"/>
                <w:w w:val="95"/>
                <w:sz w:val="21"/>
                <w:szCs w:val="21"/>
              </w:rPr>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2"/>
              <w:jc w:val="right"/>
              <w:rPr>
                <w:rFonts w:ascii="宋体" w:hAnsi="宋体" w:cs="宋体" w:eastAsia="宋体" w:hint="default"/>
                <w:sz w:val="21"/>
                <w:szCs w:val="21"/>
              </w:rPr>
            </w:pPr>
            <w:r>
              <w:rPr>
                <w:rFonts w:ascii="宋体"/>
                <w:spacing w:val="-1"/>
                <w:sz w:val="21"/>
              </w:rPr>
              <w:t>198,732,838.26</w:t>
            </w:r>
            <w:r>
              <w:rPr>
                <w:rFonts w:ascii="宋体"/>
                <w:sz w:val="21"/>
              </w:rPr>
            </w: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w w:val="95"/>
                <w:sz w:val="21"/>
              </w:rPr>
              <w:t>10.36</w:t>
            </w:r>
            <w:r>
              <w:rPr>
                <w:rFonts w:ascii="宋体"/>
                <w:w w:val="95"/>
                <w:sz w:val="21"/>
              </w:rPr>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267,933,988.72</w:t>
            </w:r>
          </w:p>
        </w:tc>
        <w:tc>
          <w:tcPr>
            <w:tcW w:w="11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w w:val="95"/>
                <w:sz w:val="21"/>
              </w:rPr>
              <w:t>14.84</w:t>
            </w:r>
            <w:r>
              <w:rPr>
                <w:rFonts w:ascii="宋体"/>
                <w:w w:val="95"/>
                <w:sz w:val="21"/>
              </w:rPr>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-25.83</w:t>
            </w:r>
            <w:r>
              <w:rPr>
                <w:rFonts w:ascii="宋体"/>
                <w:sz w:val="21"/>
              </w:rPr>
            </w: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38" w:right="0"/>
              <w:jc w:val="left"/>
              <w:rPr>
                <w:rFonts w:ascii="宋体" w:hAnsi="宋体" w:cs="宋体" w:eastAsia="宋体" w:hint="default"/>
                <w:sz w:val="21"/>
                <w:szCs w:val="21"/>
              </w:rPr>
            </w:pPr>
            <w:r>
              <w:rPr>
                <w:rFonts w:ascii="宋体" w:hAnsi="宋体" w:cs="宋体" w:eastAsia="宋体" w:hint="default"/>
                <w:sz w:val="21"/>
                <w:szCs w:val="21"/>
              </w:rPr>
              <w:t>账款大</w:t>
            </w:r>
          </w:p>
          <w:p>
            <w:pPr>
              <w:pStyle w:val="TableParagraph"/>
              <w:spacing w:line="274" w:lineRule="exact"/>
              <w:ind w:left="138" w:right="0"/>
              <w:jc w:val="left"/>
              <w:rPr>
                <w:rFonts w:ascii="宋体" w:hAnsi="宋体" w:cs="宋体" w:eastAsia="宋体" w:hint="default"/>
                <w:sz w:val="21"/>
                <w:szCs w:val="21"/>
              </w:rPr>
            </w:pPr>
            <w:r>
              <w:rPr>
                <w:rFonts w:ascii="宋体" w:hAnsi="宋体" w:cs="宋体" w:eastAsia="宋体" w:hint="default"/>
                <w:sz w:val="21"/>
                <w:szCs w:val="21"/>
              </w:rPr>
              <w:t>的项目</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71"/>
                <w:sz w:val="21"/>
                <w:szCs w:val="21"/>
              </w:rPr>
              <w:t> </w:t>
            </w:r>
            <w:r>
              <w:rPr>
                <w:rFonts w:ascii="宋体" w:hAnsi="宋体" w:cs="宋体" w:eastAsia="宋体" w:hint="default"/>
                <w:sz w:val="21"/>
                <w:szCs w:val="21"/>
              </w:rPr>
              <w:t>年</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度完工</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确认收</w:t>
            </w:r>
          </w:p>
        </w:tc>
      </w:tr>
      <w:tr>
        <w:trPr>
          <w:trHeight w:val="278" w:hRule="exact"/>
        </w:trPr>
        <w:tc>
          <w:tcPr>
            <w:tcW w:w="1354"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226"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183" w:type="dxa"/>
            <w:tcBorders>
              <w:top w:val="nil" w:sz="6" w:space="0" w:color="auto"/>
              <w:left w:val="single" w:sz="4" w:space="0" w:color="000000"/>
              <w:bottom w:val="single" w:sz="4" w:space="0" w:color="000000"/>
              <w:right w:val="single" w:sz="4" w:space="0" w:color="000000"/>
            </w:tcBorders>
          </w:tcPr>
          <w:p>
            <w:pPr/>
          </w:p>
        </w:tc>
        <w:tc>
          <w:tcPr>
            <w:tcW w:w="1141" w:type="dxa"/>
            <w:tcBorders>
              <w:top w:val="nil" w:sz="6" w:space="0" w:color="auto"/>
              <w:left w:val="single" w:sz="4" w:space="0" w:color="000000"/>
              <w:bottom w:val="single" w:sz="4" w:space="0" w:color="000000"/>
              <w:right w:val="single" w:sz="4" w:space="0" w:color="000000"/>
            </w:tcBorders>
          </w:tcPr>
          <w:p>
            <w:pPr/>
          </w:p>
        </w:tc>
        <w:tc>
          <w:tcPr>
            <w:tcW w:w="881"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入所致</w:t>
            </w:r>
          </w:p>
        </w:tc>
      </w:tr>
      <w:tr>
        <w:trPr>
          <w:trHeight w:val="277" w:hRule="exact"/>
        </w:trPr>
        <w:tc>
          <w:tcPr>
            <w:tcW w:w="1354" w:type="dxa"/>
            <w:tcBorders>
              <w:top w:val="single" w:sz="4" w:space="0" w:color="000000"/>
              <w:left w:val="single" w:sz="4" w:space="0" w:color="000000"/>
              <w:bottom w:val="nil" w:sz="6" w:space="0" w:color="auto"/>
              <w:right w:val="single" w:sz="4" w:space="0" w:color="000000"/>
            </w:tcBorders>
          </w:tcPr>
          <w:p>
            <w:pPr/>
          </w:p>
        </w:tc>
        <w:tc>
          <w:tcPr>
            <w:tcW w:w="1686" w:type="dxa"/>
            <w:tcBorders>
              <w:top w:val="single" w:sz="4" w:space="0" w:color="000000"/>
              <w:left w:val="single" w:sz="4" w:space="0" w:color="000000"/>
              <w:bottom w:val="nil" w:sz="6" w:space="0" w:color="auto"/>
              <w:right w:val="single" w:sz="4" w:space="0" w:color="000000"/>
            </w:tcBorders>
          </w:tcPr>
          <w:p>
            <w:pPr/>
          </w:p>
        </w:tc>
        <w:tc>
          <w:tcPr>
            <w:tcW w:w="1226" w:type="dxa"/>
            <w:tcBorders>
              <w:top w:val="single" w:sz="4" w:space="0" w:color="000000"/>
              <w:left w:val="single" w:sz="4" w:space="0" w:color="000000"/>
              <w:bottom w:val="nil" w:sz="6" w:space="0" w:color="auto"/>
              <w:right w:val="single" w:sz="4" w:space="0" w:color="000000"/>
            </w:tcBorders>
          </w:tcPr>
          <w:p>
            <w:pPr/>
          </w:p>
        </w:tc>
        <w:tc>
          <w:tcPr>
            <w:tcW w:w="1686" w:type="dxa"/>
            <w:tcBorders>
              <w:top w:val="single" w:sz="4" w:space="0" w:color="000000"/>
              <w:left w:val="single" w:sz="4" w:space="0" w:color="000000"/>
              <w:bottom w:val="nil" w:sz="6" w:space="0" w:color="auto"/>
              <w:right w:val="single" w:sz="4" w:space="0" w:color="000000"/>
            </w:tcBorders>
          </w:tcPr>
          <w:p>
            <w:pPr/>
          </w:p>
        </w:tc>
        <w:tc>
          <w:tcPr>
            <w:tcW w:w="1183" w:type="dxa"/>
            <w:tcBorders>
              <w:top w:val="single" w:sz="4" w:space="0" w:color="000000"/>
              <w:left w:val="single" w:sz="4" w:space="0" w:color="000000"/>
              <w:bottom w:val="nil" w:sz="6" w:space="0" w:color="auto"/>
              <w:right w:val="single" w:sz="4" w:space="0" w:color="000000"/>
            </w:tcBorders>
          </w:tcPr>
          <w:p>
            <w:pPr/>
          </w:p>
        </w:tc>
        <w:tc>
          <w:tcPr>
            <w:tcW w:w="1141" w:type="dxa"/>
            <w:tcBorders>
              <w:top w:val="single" w:sz="4" w:space="0" w:color="000000"/>
              <w:left w:val="single" w:sz="4" w:space="0" w:color="000000"/>
              <w:bottom w:val="nil" w:sz="6" w:space="0" w:color="auto"/>
              <w:right w:val="single" w:sz="4" w:space="0" w:color="000000"/>
            </w:tcBorders>
          </w:tcPr>
          <w:p>
            <w:pPr/>
          </w:p>
        </w:tc>
        <w:tc>
          <w:tcPr>
            <w:tcW w:w="881"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主要系</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人员增</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长工资</w:t>
            </w:r>
          </w:p>
        </w:tc>
      </w:tr>
      <w:tr>
        <w:trPr>
          <w:trHeight w:val="545" w:hRule="exact"/>
        </w:trPr>
        <w:tc>
          <w:tcPr>
            <w:tcW w:w="1354"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336" w:right="0"/>
              <w:jc w:val="left"/>
              <w:rPr>
                <w:rFonts w:ascii="宋体" w:hAnsi="宋体" w:cs="宋体" w:eastAsia="宋体" w:hint="default"/>
                <w:sz w:val="21"/>
                <w:szCs w:val="21"/>
              </w:rPr>
            </w:pPr>
            <w:r>
              <w:rPr>
                <w:rFonts w:ascii="宋体" w:hAnsi="宋体" w:cs="宋体" w:eastAsia="宋体" w:hint="default"/>
                <w:spacing w:val="15"/>
                <w:sz w:val="21"/>
                <w:szCs w:val="21"/>
              </w:rPr>
              <w:t>应付职工</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薪酬</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106,114,070.11</w:t>
            </w: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5.53</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sz w:val="21"/>
              </w:rPr>
              <w:t>77,496,017.15</w:t>
            </w:r>
          </w:p>
        </w:tc>
        <w:tc>
          <w:tcPr>
            <w:tcW w:w="11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4.29</w:t>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36.93</w:t>
            </w: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37" w:right="0"/>
              <w:jc w:val="left"/>
              <w:rPr>
                <w:rFonts w:ascii="宋体" w:hAnsi="宋体" w:cs="宋体" w:eastAsia="宋体" w:hint="default"/>
                <w:sz w:val="21"/>
                <w:szCs w:val="21"/>
              </w:rPr>
            </w:pPr>
            <w:r>
              <w:rPr>
                <w:rFonts w:ascii="宋体" w:hAnsi="宋体" w:cs="宋体" w:eastAsia="宋体" w:hint="default"/>
                <w:sz w:val="21"/>
                <w:szCs w:val="21"/>
              </w:rPr>
              <w:t>增加及</w:t>
            </w:r>
          </w:p>
          <w:p>
            <w:pPr>
              <w:pStyle w:val="TableParagraph"/>
              <w:spacing w:line="274" w:lineRule="exact"/>
              <w:ind w:left="137" w:right="0"/>
              <w:jc w:val="left"/>
              <w:rPr>
                <w:rFonts w:ascii="宋体" w:hAnsi="宋体" w:cs="宋体" w:eastAsia="宋体" w:hint="default"/>
                <w:sz w:val="21"/>
                <w:szCs w:val="21"/>
              </w:rPr>
            </w:pPr>
            <w:r>
              <w:rPr>
                <w:rFonts w:ascii="宋体" w:hAnsi="宋体" w:cs="宋体" w:eastAsia="宋体" w:hint="default"/>
                <w:sz w:val="21"/>
                <w:szCs w:val="21"/>
              </w:rPr>
              <w:t>利润增</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长年终</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奖增加</w:t>
            </w:r>
          </w:p>
        </w:tc>
      </w:tr>
      <w:tr>
        <w:trPr>
          <w:trHeight w:val="278" w:hRule="exact"/>
        </w:trPr>
        <w:tc>
          <w:tcPr>
            <w:tcW w:w="1354"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226"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183" w:type="dxa"/>
            <w:tcBorders>
              <w:top w:val="nil" w:sz="6" w:space="0" w:color="auto"/>
              <w:left w:val="single" w:sz="4" w:space="0" w:color="000000"/>
              <w:bottom w:val="single" w:sz="4" w:space="0" w:color="000000"/>
              <w:right w:val="single" w:sz="4" w:space="0" w:color="000000"/>
            </w:tcBorders>
          </w:tcPr>
          <w:p>
            <w:pPr/>
          </w:p>
        </w:tc>
        <w:tc>
          <w:tcPr>
            <w:tcW w:w="1141" w:type="dxa"/>
            <w:tcBorders>
              <w:top w:val="nil" w:sz="6" w:space="0" w:color="auto"/>
              <w:left w:val="single" w:sz="4" w:space="0" w:color="000000"/>
              <w:bottom w:val="single" w:sz="4" w:space="0" w:color="000000"/>
              <w:right w:val="single" w:sz="4" w:space="0" w:color="000000"/>
            </w:tcBorders>
          </w:tcPr>
          <w:p>
            <w:pPr/>
          </w:p>
        </w:tc>
        <w:tc>
          <w:tcPr>
            <w:tcW w:w="881"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所致</w:t>
            </w:r>
          </w:p>
        </w:tc>
      </w:tr>
      <w:tr>
        <w:trPr>
          <w:trHeight w:val="277" w:hRule="exact"/>
        </w:trPr>
        <w:tc>
          <w:tcPr>
            <w:tcW w:w="1354" w:type="dxa"/>
            <w:tcBorders>
              <w:top w:val="single" w:sz="4" w:space="0" w:color="000000"/>
              <w:left w:val="single" w:sz="4" w:space="0" w:color="000000"/>
              <w:bottom w:val="nil" w:sz="6" w:space="0" w:color="auto"/>
              <w:right w:val="single" w:sz="4" w:space="0" w:color="000000"/>
            </w:tcBorders>
          </w:tcPr>
          <w:p>
            <w:pPr/>
          </w:p>
        </w:tc>
        <w:tc>
          <w:tcPr>
            <w:tcW w:w="1686" w:type="dxa"/>
            <w:tcBorders>
              <w:top w:val="single" w:sz="4" w:space="0" w:color="000000"/>
              <w:left w:val="single" w:sz="4" w:space="0" w:color="000000"/>
              <w:bottom w:val="nil" w:sz="6" w:space="0" w:color="auto"/>
              <w:right w:val="single" w:sz="4" w:space="0" w:color="000000"/>
            </w:tcBorders>
          </w:tcPr>
          <w:p>
            <w:pPr/>
          </w:p>
        </w:tc>
        <w:tc>
          <w:tcPr>
            <w:tcW w:w="1226" w:type="dxa"/>
            <w:tcBorders>
              <w:top w:val="single" w:sz="4" w:space="0" w:color="000000"/>
              <w:left w:val="single" w:sz="4" w:space="0" w:color="000000"/>
              <w:bottom w:val="nil" w:sz="6" w:space="0" w:color="auto"/>
              <w:right w:val="single" w:sz="4" w:space="0" w:color="000000"/>
            </w:tcBorders>
          </w:tcPr>
          <w:p>
            <w:pPr/>
          </w:p>
        </w:tc>
        <w:tc>
          <w:tcPr>
            <w:tcW w:w="1686" w:type="dxa"/>
            <w:tcBorders>
              <w:top w:val="single" w:sz="4" w:space="0" w:color="000000"/>
              <w:left w:val="single" w:sz="4" w:space="0" w:color="000000"/>
              <w:bottom w:val="nil" w:sz="6" w:space="0" w:color="auto"/>
              <w:right w:val="single" w:sz="4" w:space="0" w:color="000000"/>
            </w:tcBorders>
          </w:tcPr>
          <w:p>
            <w:pPr/>
          </w:p>
        </w:tc>
        <w:tc>
          <w:tcPr>
            <w:tcW w:w="1183" w:type="dxa"/>
            <w:tcBorders>
              <w:top w:val="single" w:sz="4" w:space="0" w:color="000000"/>
              <w:left w:val="single" w:sz="4" w:space="0" w:color="000000"/>
              <w:bottom w:val="nil" w:sz="6" w:space="0" w:color="auto"/>
              <w:right w:val="single" w:sz="4" w:space="0" w:color="000000"/>
            </w:tcBorders>
          </w:tcPr>
          <w:p>
            <w:pPr/>
          </w:p>
        </w:tc>
        <w:tc>
          <w:tcPr>
            <w:tcW w:w="1141" w:type="dxa"/>
            <w:tcBorders>
              <w:top w:val="single" w:sz="4" w:space="0" w:color="000000"/>
              <w:left w:val="single" w:sz="4" w:space="0" w:color="000000"/>
              <w:bottom w:val="nil" w:sz="6" w:space="0" w:color="auto"/>
              <w:right w:val="single" w:sz="4" w:space="0" w:color="000000"/>
            </w:tcBorders>
          </w:tcPr>
          <w:p>
            <w:pPr/>
          </w:p>
        </w:tc>
        <w:tc>
          <w:tcPr>
            <w:tcW w:w="881"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主要系</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BT</w:t>
            </w:r>
            <w:r>
              <w:rPr>
                <w:rFonts w:ascii="宋体" w:hAnsi="宋体" w:cs="宋体" w:eastAsia="宋体" w:hint="default"/>
                <w:spacing w:val="-70"/>
                <w:sz w:val="21"/>
                <w:szCs w:val="21"/>
              </w:rPr>
              <w:t> </w:t>
            </w:r>
            <w:r>
              <w:rPr>
                <w:rFonts w:ascii="宋体" w:hAnsi="宋体" w:cs="宋体" w:eastAsia="宋体" w:hint="default"/>
                <w:sz w:val="21"/>
                <w:szCs w:val="21"/>
              </w:rPr>
              <w:t>项目</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确认利</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息收入</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增长导</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致应交</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88"/>
              <w:jc w:val="right"/>
              <w:rPr>
                <w:rFonts w:ascii="宋体" w:hAnsi="宋体" w:cs="宋体" w:eastAsia="宋体" w:hint="default"/>
                <w:sz w:val="21"/>
                <w:szCs w:val="21"/>
              </w:rPr>
            </w:pPr>
            <w:r>
              <w:rPr>
                <w:rFonts w:ascii="宋体" w:hAnsi="宋体" w:cs="宋体" w:eastAsia="宋体" w:hint="default"/>
                <w:sz w:val="21"/>
                <w:szCs w:val="21"/>
              </w:rPr>
              <w:t>应交税费</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34,618,492.20</w:t>
            </w: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1.80</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16,661,567.00</w:t>
            </w:r>
          </w:p>
        </w:tc>
        <w:tc>
          <w:tcPr>
            <w:tcW w:w="1183"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0.92</w:t>
            </w:r>
            <w:r>
              <w:rPr>
                <w:rFonts w:ascii="宋体"/>
                <w:sz w:val="21"/>
              </w:rPr>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107.77</w:t>
            </w:r>
            <w:r>
              <w:rPr>
                <w:rFonts w:ascii="宋体"/>
                <w:sz w:val="21"/>
              </w:rPr>
            </w: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营业税</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增加及</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利润增</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长应交</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所得税</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增加所</w:t>
            </w:r>
          </w:p>
        </w:tc>
      </w:tr>
      <w:tr>
        <w:trPr>
          <w:trHeight w:val="279" w:hRule="exact"/>
        </w:trPr>
        <w:tc>
          <w:tcPr>
            <w:tcW w:w="1354"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226"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183" w:type="dxa"/>
            <w:tcBorders>
              <w:top w:val="nil" w:sz="6" w:space="0" w:color="auto"/>
              <w:left w:val="single" w:sz="4" w:space="0" w:color="000000"/>
              <w:bottom w:val="single" w:sz="4" w:space="0" w:color="000000"/>
              <w:right w:val="single" w:sz="4" w:space="0" w:color="000000"/>
            </w:tcBorders>
          </w:tcPr>
          <w:p>
            <w:pPr/>
          </w:p>
        </w:tc>
        <w:tc>
          <w:tcPr>
            <w:tcW w:w="1141" w:type="dxa"/>
            <w:tcBorders>
              <w:top w:val="nil" w:sz="6" w:space="0" w:color="auto"/>
              <w:left w:val="single" w:sz="4" w:space="0" w:color="000000"/>
              <w:bottom w:val="single" w:sz="4" w:space="0" w:color="000000"/>
              <w:right w:val="single" w:sz="4" w:space="0" w:color="000000"/>
            </w:tcBorders>
          </w:tcPr>
          <w:p>
            <w:pPr/>
          </w:p>
        </w:tc>
        <w:tc>
          <w:tcPr>
            <w:tcW w:w="881"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致。</w:t>
            </w:r>
          </w:p>
        </w:tc>
      </w:tr>
      <w:tr>
        <w:trPr>
          <w:trHeight w:val="276" w:hRule="exact"/>
        </w:trPr>
        <w:tc>
          <w:tcPr>
            <w:tcW w:w="1354" w:type="dxa"/>
            <w:tcBorders>
              <w:top w:val="single" w:sz="4" w:space="0" w:color="000000"/>
              <w:left w:val="single" w:sz="4" w:space="0" w:color="000000"/>
              <w:bottom w:val="nil" w:sz="6" w:space="0" w:color="auto"/>
              <w:right w:val="single" w:sz="4" w:space="0" w:color="000000"/>
            </w:tcBorders>
          </w:tcPr>
          <w:p>
            <w:pPr/>
          </w:p>
        </w:tc>
        <w:tc>
          <w:tcPr>
            <w:tcW w:w="1686" w:type="dxa"/>
            <w:tcBorders>
              <w:top w:val="single" w:sz="4" w:space="0" w:color="000000"/>
              <w:left w:val="single" w:sz="4" w:space="0" w:color="000000"/>
              <w:bottom w:val="nil" w:sz="6" w:space="0" w:color="auto"/>
              <w:right w:val="single" w:sz="4" w:space="0" w:color="000000"/>
            </w:tcBorders>
          </w:tcPr>
          <w:p>
            <w:pPr/>
          </w:p>
        </w:tc>
        <w:tc>
          <w:tcPr>
            <w:tcW w:w="1226" w:type="dxa"/>
            <w:tcBorders>
              <w:top w:val="single" w:sz="4" w:space="0" w:color="000000"/>
              <w:left w:val="single" w:sz="4" w:space="0" w:color="000000"/>
              <w:bottom w:val="nil" w:sz="6" w:space="0" w:color="auto"/>
              <w:right w:val="single" w:sz="4" w:space="0" w:color="000000"/>
            </w:tcBorders>
          </w:tcPr>
          <w:p>
            <w:pPr/>
          </w:p>
        </w:tc>
        <w:tc>
          <w:tcPr>
            <w:tcW w:w="1686" w:type="dxa"/>
            <w:tcBorders>
              <w:top w:val="single" w:sz="4" w:space="0" w:color="000000"/>
              <w:left w:val="single" w:sz="4" w:space="0" w:color="000000"/>
              <w:bottom w:val="nil" w:sz="6" w:space="0" w:color="auto"/>
              <w:right w:val="single" w:sz="4" w:space="0" w:color="000000"/>
            </w:tcBorders>
          </w:tcPr>
          <w:p>
            <w:pPr/>
          </w:p>
        </w:tc>
        <w:tc>
          <w:tcPr>
            <w:tcW w:w="1183" w:type="dxa"/>
            <w:tcBorders>
              <w:top w:val="single" w:sz="4" w:space="0" w:color="000000"/>
              <w:left w:val="single" w:sz="4" w:space="0" w:color="000000"/>
              <w:bottom w:val="nil" w:sz="6" w:space="0" w:color="auto"/>
              <w:right w:val="single" w:sz="4" w:space="0" w:color="000000"/>
            </w:tcBorders>
          </w:tcPr>
          <w:p>
            <w:pPr/>
          </w:p>
        </w:tc>
        <w:tc>
          <w:tcPr>
            <w:tcW w:w="1141" w:type="dxa"/>
            <w:tcBorders>
              <w:top w:val="single" w:sz="4" w:space="0" w:color="000000"/>
              <w:left w:val="single" w:sz="4" w:space="0" w:color="000000"/>
              <w:bottom w:val="nil" w:sz="6" w:space="0" w:color="auto"/>
              <w:right w:val="single" w:sz="4" w:space="0" w:color="000000"/>
            </w:tcBorders>
          </w:tcPr>
          <w:p>
            <w:pPr/>
          </w:p>
        </w:tc>
        <w:tc>
          <w:tcPr>
            <w:tcW w:w="881"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主要系</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母公司</w:t>
            </w:r>
          </w:p>
        </w:tc>
      </w:tr>
      <w:tr>
        <w:trPr>
          <w:trHeight w:val="545" w:hRule="exact"/>
        </w:trPr>
        <w:tc>
          <w:tcPr>
            <w:tcW w:w="1354"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336" w:right="0"/>
              <w:jc w:val="left"/>
              <w:rPr>
                <w:rFonts w:ascii="宋体" w:hAnsi="宋体" w:cs="宋体" w:eastAsia="宋体" w:hint="default"/>
                <w:sz w:val="21"/>
                <w:szCs w:val="21"/>
              </w:rPr>
            </w:pPr>
            <w:r>
              <w:rPr>
                <w:rFonts w:ascii="宋体" w:hAnsi="宋体" w:cs="宋体" w:eastAsia="宋体" w:hint="default"/>
                <w:spacing w:val="15"/>
                <w:sz w:val="21"/>
                <w:szCs w:val="21"/>
              </w:rPr>
              <w:t>其他应付</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67,001,990.99</w:t>
            </w: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3.49</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宋体"/>
                <w:sz w:val="21"/>
              </w:rPr>
              <w:t>103,054,701.42</w:t>
            </w:r>
          </w:p>
        </w:tc>
        <w:tc>
          <w:tcPr>
            <w:tcW w:w="11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5.71</w:t>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-34.98</w:t>
            </w: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38" w:right="0" w:hanging="35"/>
              <w:jc w:val="left"/>
              <w:rPr>
                <w:rFonts w:ascii="宋体" w:hAnsi="宋体" w:cs="宋体" w:eastAsia="宋体" w:hint="default"/>
                <w:sz w:val="21"/>
                <w:szCs w:val="21"/>
              </w:rPr>
            </w:pPr>
            <w:r>
              <w:rPr>
                <w:rFonts w:ascii="宋体" w:hAnsi="宋体" w:cs="宋体" w:eastAsia="宋体" w:hint="default"/>
                <w:sz w:val="21"/>
                <w:szCs w:val="21"/>
              </w:rPr>
              <w:t>退还</w:t>
            </w:r>
            <w:r>
              <w:rPr>
                <w:rFonts w:ascii="宋体" w:hAnsi="宋体" w:cs="宋体" w:eastAsia="宋体" w:hint="default"/>
                <w:spacing w:val="-71"/>
                <w:sz w:val="21"/>
                <w:szCs w:val="21"/>
              </w:rPr>
              <w:t> </w:t>
            </w:r>
            <w:r>
              <w:rPr>
                <w:rFonts w:ascii="宋体" w:hAnsi="宋体" w:cs="宋体" w:eastAsia="宋体" w:hint="default"/>
                <w:sz w:val="21"/>
                <w:szCs w:val="21"/>
              </w:rPr>
              <w:t>BT</w:t>
            </w:r>
          </w:p>
          <w:p>
            <w:pPr>
              <w:pStyle w:val="TableParagraph"/>
              <w:spacing w:line="274" w:lineRule="exact"/>
              <w:ind w:left="138" w:right="0"/>
              <w:jc w:val="left"/>
              <w:rPr>
                <w:rFonts w:ascii="宋体" w:hAnsi="宋体" w:cs="宋体" w:eastAsia="宋体" w:hint="default"/>
                <w:sz w:val="21"/>
                <w:szCs w:val="21"/>
              </w:rPr>
            </w:pPr>
            <w:r>
              <w:rPr>
                <w:rFonts w:ascii="宋体" w:hAnsi="宋体" w:cs="宋体" w:eastAsia="宋体" w:hint="default"/>
                <w:sz w:val="21"/>
                <w:szCs w:val="21"/>
              </w:rPr>
              <w:t>项目管</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理保证</w:t>
            </w:r>
          </w:p>
        </w:tc>
      </w:tr>
      <w:tr>
        <w:trPr>
          <w:trHeight w:val="279" w:hRule="exact"/>
        </w:trPr>
        <w:tc>
          <w:tcPr>
            <w:tcW w:w="1354"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226"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183" w:type="dxa"/>
            <w:tcBorders>
              <w:top w:val="nil" w:sz="6" w:space="0" w:color="auto"/>
              <w:left w:val="single" w:sz="4" w:space="0" w:color="000000"/>
              <w:bottom w:val="single" w:sz="4" w:space="0" w:color="000000"/>
              <w:right w:val="single" w:sz="4" w:space="0" w:color="000000"/>
            </w:tcBorders>
          </w:tcPr>
          <w:p>
            <w:pPr/>
          </w:p>
        </w:tc>
        <w:tc>
          <w:tcPr>
            <w:tcW w:w="1141" w:type="dxa"/>
            <w:tcBorders>
              <w:top w:val="nil" w:sz="6" w:space="0" w:color="auto"/>
              <w:left w:val="single" w:sz="4" w:space="0" w:color="000000"/>
              <w:bottom w:val="single" w:sz="4" w:space="0" w:color="000000"/>
              <w:right w:val="single" w:sz="4" w:space="0" w:color="000000"/>
            </w:tcBorders>
          </w:tcPr>
          <w:p>
            <w:pPr/>
          </w:p>
        </w:tc>
        <w:tc>
          <w:tcPr>
            <w:tcW w:w="881"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金所致</w:t>
            </w:r>
          </w:p>
        </w:tc>
      </w:tr>
      <w:tr>
        <w:trPr>
          <w:trHeight w:val="276" w:hRule="exact"/>
        </w:trPr>
        <w:tc>
          <w:tcPr>
            <w:tcW w:w="1354" w:type="dxa"/>
            <w:tcBorders>
              <w:top w:val="single" w:sz="4" w:space="0" w:color="000000"/>
              <w:left w:val="single" w:sz="4" w:space="0" w:color="000000"/>
              <w:bottom w:val="nil" w:sz="6" w:space="0" w:color="auto"/>
              <w:right w:val="single" w:sz="4" w:space="0" w:color="000000"/>
            </w:tcBorders>
          </w:tcPr>
          <w:p>
            <w:pPr/>
          </w:p>
        </w:tc>
        <w:tc>
          <w:tcPr>
            <w:tcW w:w="1686" w:type="dxa"/>
            <w:vMerge w:val="restart"/>
            <w:tcBorders>
              <w:top w:val="single" w:sz="4" w:space="0" w:color="000000"/>
              <w:left w:val="single" w:sz="4" w:space="0" w:color="000000"/>
              <w:right w:val="single" w:sz="4" w:space="0" w:color="000000"/>
            </w:tcBorders>
          </w:tcPr>
          <w:p>
            <w:pPr/>
          </w:p>
        </w:tc>
        <w:tc>
          <w:tcPr>
            <w:tcW w:w="1226" w:type="dxa"/>
            <w:vMerge w:val="restart"/>
            <w:tcBorders>
              <w:top w:val="single" w:sz="4" w:space="0" w:color="000000"/>
              <w:left w:val="single" w:sz="4" w:space="0" w:color="000000"/>
              <w:right w:val="single" w:sz="4" w:space="0" w:color="000000"/>
            </w:tcBorders>
          </w:tcPr>
          <w:p>
            <w:pPr/>
          </w:p>
        </w:tc>
        <w:tc>
          <w:tcPr>
            <w:tcW w:w="1686" w:type="dxa"/>
            <w:tcBorders>
              <w:top w:val="single" w:sz="4" w:space="0" w:color="000000"/>
              <w:left w:val="single" w:sz="4" w:space="0" w:color="000000"/>
              <w:bottom w:val="nil" w:sz="6" w:space="0" w:color="auto"/>
              <w:right w:val="single" w:sz="4" w:space="0" w:color="000000"/>
            </w:tcBorders>
          </w:tcPr>
          <w:p>
            <w:pPr/>
          </w:p>
        </w:tc>
        <w:tc>
          <w:tcPr>
            <w:tcW w:w="1183" w:type="dxa"/>
            <w:tcBorders>
              <w:top w:val="single" w:sz="4" w:space="0" w:color="000000"/>
              <w:left w:val="single" w:sz="4" w:space="0" w:color="000000"/>
              <w:bottom w:val="nil" w:sz="6" w:space="0" w:color="auto"/>
              <w:right w:val="single" w:sz="4" w:space="0" w:color="000000"/>
            </w:tcBorders>
          </w:tcPr>
          <w:p>
            <w:pPr/>
          </w:p>
        </w:tc>
        <w:tc>
          <w:tcPr>
            <w:tcW w:w="1141" w:type="dxa"/>
            <w:tcBorders>
              <w:top w:val="single" w:sz="4" w:space="0" w:color="000000"/>
              <w:left w:val="single" w:sz="4" w:space="0" w:color="000000"/>
              <w:bottom w:val="nil" w:sz="6" w:space="0" w:color="auto"/>
              <w:right w:val="single" w:sz="4" w:space="0" w:color="000000"/>
            </w:tcBorders>
          </w:tcPr>
          <w:p>
            <w:pPr/>
          </w:p>
        </w:tc>
        <w:tc>
          <w:tcPr>
            <w:tcW w:w="881"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主要系</w:t>
            </w:r>
          </w:p>
        </w:tc>
      </w:tr>
      <w:tr>
        <w:trPr>
          <w:trHeight w:val="544" w:hRule="exact"/>
        </w:trPr>
        <w:tc>
          <w:tcPr>
            <w:tcW w:w="1354"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336" w:right="0"/>
              <w:jc w:val="left"/>
              <w:rPr>
                <w:rFonts w:ascii="宋体" w:hAnsi="宋体" w:cs="宋体" w:eastAsia="宋体" w:hint="default"/>
                <w:sz w:val="21"/>
                <w:szCs w:val="21"/>
              </w:rPr>
            </w:pPr>
            <w:r>
              <w:rPr>
                <w:rFonts w:ascii="宋体" w:hAnsi="宋体" w:cs="宋体" w:eastAsia="宋体" w:hint="default"/>
                <w:spacing w:val="15"/>
                <w:sz w:val="21"/>
                <w:szCs w:val="21"/>
              </w:rPr>
              <w:t>长期应付</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686" w:type="dxa"/>
            <w:vMerge/>
            <w:tcBorders>
              <w:left w:val="single" w:sz="4" w:space="0" w:color="000000"/>
              <w:right w:val="single" w:sz="4" w:space="0" w:color="000000"/>
            </w:tcBorders>
          </w:tcPr>
          <w:p>
            <w:pPr/>
          </w:p>
        </w:tc>
        <w:tc>
          <w:tcPr>
            <w:tcW w:w="1226" w:type="dxa"/>
            <w:vMerge/>
            <w:tcBorders>
              <w:left w:val="single" w:sz="4" w:space="0" w:color="000000"/>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sz w:val="21"/>
              </w:rPr>
              <w:t>54,575,551.11</w:t>
            </w:r>
          </w:p>
        </w:tc>
        <w:tc>
          <w:tcPr>
            <w:tcW w:w="11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3.02</w:t>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-100.00</w:t>
            </w:r>
            <w:r>
              <w:rPr>
                <w:rFonts w:ascii="宋体"/>
                <w:sz w:val="21"/>
              </w:rPr>
            </w: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137" w:right="0"/>
              <w:jc w:val="left"/>
              <w:rPr>
                <w:rFonts w:ascii="宋体" w:hAnsi="宋体" w:cs="宋体" w:eastAsia="宋体" w:hint="default"/>
                <w:sz w:val="21"/>
                <w:szCs w:val="21"/>
              </w:rPr>
            </w:pPr>
            <w:r>
              <w:rPr>
                <w:rFonts w:ascii="宋体" w:hAnsi="宋体" w:cs="宋体" w:eastAsia="宋体" w:hint="default"/>
                <w:sz w:val="21"/>
                <w:szCs w:val="21"/>
              </w:rPr>
              <w:t>偿还个</w:t>
            </w:r>
          </w:p>
          <w:p>
            <w:pPr>
              <w:pStyle w:val="TableParagraph"/>
              <w:spacing w:line="274" w:lineRule="exact"/>
              <w:ind w:left="137" w:right="0"/>
              <w:jc w:val="left"/>
              <w:rPr>
                <w:rFonts w:ascii="宋体" w:hAnsi="宋体" w:cs="宋体" w:eastAsia="宋体" w:hint="default"/>
                <w:sz w:val="21"/>
                <w:szCs w:val="21"/>
              </w:rPr>
            </w:pPr>
            <w:r>
              <w:rPr>
                <w:rFonts w:ascii="宋体" w:hAnsi="宋体" w:cs="宋体" w:eastAsia="宋体" w:hint="default"/>
                <w:sz w:val="21"/>
                <w:szCs w:val="21"/>
              </w:rPr>
              <w:t>人借款</w:t>
            </w:r>
          </w:p>
        </w:tc>
      </w:tr>
      <w:tr>
        <w:trPr>
          <w:trHeight w:val="279" w:hRule="exact"/>
        </w:trPr>
        <w:tc>
          <w:tcPr>
            <w:tcW w:w="1354" w:type="dxa"/>
            <w:tcBorders>
              <w:top w:val="nil" w:sz="6" w:space="0" w:color="auto"/>
              <w:left w:val="single" w:sz="4" w:space="0" w:color="000000"/>
              <w:bottom w:val="single" w:sz="4" w:space="0" w:color="000000"/>
              <w:right w:val="single" w:sz="4" w:space="0" w:color="000000"/>
            </w:tcBorders>
          </w:tcPr>
          <w:p>
            <w:pPr/>
          </w:p>
        </w:tc>
        <w:tc>
          <w:tcPr>
            <w:tcW w:w="1686" w:type="dxa"/>
            <w:vMerge/>
            <w:tcBorders>
              <w:left w:val="single" w:sz="4" w:space="0" w:color="000000"/>
              <w:bottom w:val="single" w:sz="4" w:space="0" w:color="000000"/>
              <w:right w:val="single" w:sz="4" w:space="0" w:color="000000"/>
            </w:tcBorders>
          </w:tcPr>
          <w:p>
            <w:pPr/>
          </w:p>
        </w:tc>
        <w:tc>
          <w:tcPr>
            <w:tcW w:w="1226" w:type="dxa"/>
            <w:vMerge/>
            <w:tcBorders>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183" w:type="dxa"/>
            <w:tcBorders>
              <w:top w:val="nil" w:sz="6" w:space="0" w:color="auto"/>
              <w:left w:val="single" w:sz="4" w:space="0" w:color="000000"/>
              <w:bottom w:val="single" w:sz="4" w:space="0" w:color="000000"/>
              <w:right w:val="single" w:sz="4" w:space="0" w:color="000000"/>
            </w:tcBorders>
          </w:tcPr>
          <w:p>
            <w:pPr/>
          </w:p>
        </w:tc>
        <w:tc>
          <w:tcPr>
            <w:tcW w:w="1141" w:type="dxa"/>
            <w:tcBorders>
              <w:top w:val="nil" w:sz="6" w:space="0" w:color="auto"/>
              <w:left w:val="single" w:sz="4" w:space="0" w:color="000000"/>
              <w:bottom w:val="single" w:sz="4" w:space="0" w:color="000000"/>
              <w:right w:val="single" w:sz="4" w:space="0" w:color="000000"/>
            </w:tcBorders>
          </w:tcPr>
          <w:p>
            <w:pPr/>
          </w:p>
        </w:tc>
        <w:tc>
          <w:tcPr>
            <w:tcW w:w="881"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所致</w:t>
            </w:r>
          </w:p>
        </w:tc>
      </w:tr>
      <w:tr>
        <w:trPr>
          <w:trHeight w:val="277" w:hRule="exact"/>
        </w:trPr>
        <w:tc>
          <w:tcPr>
            <w:tcW w:w="1354" w:type="dxa"/>
            <w:tcBorders>
              <w:top w:val="single" w:sz="4" w:space="0" w:color="000000"/>
              <w:left w:val="single" w:sz="4" w:space="0" w:color="000000"/>
              <w:bottom w:val="nil" w:sz="6" w:space="0" w:color="auto"/>
              <w:right w:val="single" w:sz="4" w:space="0" w:color="000000"/>
            </w:tcBorders>
          </w:tcPr>
          <w:p>
            <w:pPr/>
          </w:p>
        </w:tc>
        <w:tc>
          <w:tcPr>
            <w:tcW w:w="1686" w:type="dxa"/>
            <w:tcBorders>
              <w:top w:val="single" w:sz="4" w:space="0" w:color="000000"/>
              <w:left w:val="single" w:sz="4" w:space="0" w:color="000000"/>
              <w:bottom w:val="nil" w:sz="6" w:space="0" w:color="auto"/>
              <w:right w:val="single" w:sz="4" w:space="0" w:color="000000"/>
            </w:tcBorders>
          </w:tcPr>
          <w:p>
            <w:pPr/>
          </w:p>
        </w:tc>
        <w:tc>
          <w:tcPr>
            <w:tcW w:w="1226" w:type="dxa"/>
            <w:tcBorders>
              <w:top w:val="single" w:sz="4" w:space="0" w:color="000000"/>
              <w:left w:val="single" w:sz="4" w:space="0" w:color="000000"/>
              <w:bottom w:val="nil" w:sz="6" w:space="0" w:color="auto"/>
              <w:right w:val="single" w:sz="4" w:space="0" w:color="000000"/>
            </w:tcBorders>
          </w:tcPr>
          <w:p>
            <w:pPr/>
          </w:p>
        </w:tc>
        <w:tc>
          <w:tcPr>
            <w:tcW w:w="1686" w:type="dxa"/>
            <w:tcBorders>
              <w:top w:val="single" w:sz="4" w:space="0" w:color="000000"/>
              <w:left w:val="single" w:sz="4" w:space="0" w:color="000000"/>
              <w:bottom w:val="nil" w:sz="6" w:space="0" w:color="auto"/>
              <w:right w:val="single" w:sz="4" w:space="0" w:color="000000"/>
            </w:tcBorders>
          </w:tcPr>
          <w:p>
            <w:pPr/>
          </w:p>
        </w:tc>
        <w:tc>
          <w:tcPr>
            <w:tcW w:w="1183" w:type="dxa"/>
            <w:tcBorders>
              <w:top w:val="single" w:sz="4" w:space="0" w:color="000000"/>
              <w:left w:val="single" w:sz="4" w:space="0" w:color="000000"/>
              <w:bottom w:val="nil" w:sz="6" w:space="0" w:color="auto"/>
              <w:right w:val="single" w:sz="4" w:space="0" w:color="000000"/>
            </w:tcBorders>
          </w:tcPr>
          <w:p>
            <w:pPr/>
          </w:p>
        </w:tc>
        <w:tc>
          <w:tcPr>
            <w:tcW w:w="1141" w:type="dxa"/>
            <w:tcBorders>
              <w:top w:val="single" w:sz="4" w:space="0" w:color="000000"/>
              <w:left w:val="single" w:sz="4" w:space="0" w:color="000000"/>
              <w:bottom w:val="nil" w:sz="6" w:space="0" w:color="auto"/>
              <w:right w:val="single" w:sz="4" w:space="0" w:color="000000"/>
            </w:tcBorders>
          </w:tcPr>
          <w:p>
            <w:pPr/>
          </w:p>
        </w:tc>
        <w:tc>
          <w:tcPr>
            <w:tcW w:w="881"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主要系</w:t>
            </w:r>
          </w:p>
        </w:tc>
      </w:tr>
      <w:tr>
        <w:trPr>
          <w:trHeight w:val="272" w:hRule="exact"/>
        </w:trPr>
        <w:tc>
          <w:tcPr>
            <w:tcW w:w="1354"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88"/>
              <w:jc w:val="right"/>
              <w:rPr>
                <w:rFonts w:ascii="宋体" w:hAnsi="宋体" w:cs="宋体" w:eastAsia="宋体" w:hint="default"/>
                <w:sz w:val="21"/>
                <w:szCs w:val="21"/>
              </w:rPr>
            </w:pPr>
            <w:r>
              <w:rPr>
                <w:rFonts w:ascii="宋体" w:hAnsi="宋体" w:cs="宋体" w:eastAsia="宋体" w:hint="default"/>
                <w:sz w:val="21"/>
                <w:szCs w:val="21"/>
              </w:rPr>
              <w:t>资本公积</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50,984,909.98</w:t>
            </w: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2.66</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30,393,764.14</w:t>
            </w:r>
          </w:p>
        </w:tc>
        <w:tc>
          <w:tcPr>
            <w:tcW w:w="1183"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1.68</w:t>
            </w:r>
            <w:r>
              <w:rPr>
                <w:rFonts w:ascii="宋体"/>
                <w:sz w:val="21"/>
              </w:rPr>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67.75</w:t>
            </w:r>
            <w:r>
              <w:rPr>
                <w:rFonts w:ascii="宋体"/>
                <w:sz w:val="21"/>
              </w:rPr>
            </w: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股权激</w:t>
            </w:r>
          </w:p>
        </w:tc>
      </w:tr>
      <w:tr>
        <w:trPr>
          <w:trHeight w:val="279" w:hRule="exact"/>
        </w:trPr>
        <w:tc>
          <w:tcPr>
            <w:tcW w:w="1354"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226"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183" w:type="dxa"/>
            <w:tcBorders>
              <w:top w:val="nil" w:sz="6" w:space="0" w:color="auto"/>
              <w:left w:val="single" w:sz="4" w:space="0" w:color="000000"/>
              <w:bottom w:val="single" w:sz="4" w:space="0" w:color="000000"/>
              <w:right w:val="single" w:sz="4" w:space="0" w:color="000000"/>
            </w:tcBorders>
          </w:tcPr>
          <w:p>
            <w:pPr/>
          </w:p>
        </w:tc>
        <w:tc>
          <w:tcPr>
            <w:tcW w:w="1141" w:type="dxa"/>
            <w:tcBorders>
              <w:top w:val="nil" w:sz="6" w:space="0" w:color="auto"/>
              <w:left w:val="single" w:sz="4" w:space="0" w:color="000000"/>
              <w:bottom w:val="single" w:sz="4" w:space="0" w:color="000000"/>
              <w:right w:val="single" w:sz="4" w:space="0" w:color="000000"/>
            </w:tcBorders>
          </w:tcPr>
          <w:p>
            <w:pPr/>
          </w:p>
        </w:tc>
        <w:tc>
          <w:tcPr>
            <w:tcW w:w="881"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励行</w:t>
            </w:r>
          </w:p>
        </w:tc>
      </w:tr>
    </w:tbl>
    <w:p>
      <w:pPr>
        <w:spacing w:after="0" w:line="241" w:lineRule="exact"/>
        <w:jc w:val="right"/>
        <w:rPr>
          <w:rFonts w:ascii="宋体" w:hAnsi="宋体" w:cs="宋体" w:eastAsia="宋体" w:hint="default"/>
          <w:sz w:val="21"/>
          <w:szCs w:val="21"/>
        </w:rPr>
        <w:sectPr>
          <w:pgSz w:w="11910" w:h="16840"/>
          <w:pgMar w:header="0" w:footer="1197"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354"/>
        <w:gridCol w:w="1686"/>
        <w:gridCol w:w="1226"/>
        <w:gridCol w:w="1686"/>
        <w:gridCol w:w="1183"/>
        <w:gridCol w:w="1141"/>
        <w:gridCol w:w="881"/>
      </w:tblGrid>
      <w:tr>
        <w:trPr>
          <w:trHeight w:val="1099" w:hRule="exact"/>
        </w:trPr>
        <w:tc>
          <w:tcPr>
            <w:tcW w:w="135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8" w:right="0"/>
              <w:jc w:val="both"/>
              <w:rPr>
                <w:rFonts w:ascii="宋体" w:hAnsi="宋体" w:cs="宋体" w:eastAsia="宋体" w:hint="default"/>
                <w:sz w:val="21"/>
                <w:szCs w:val="21"/>
              </w:rPr>
            </w:pPr>
            <w:r>
              <w:rPr>
                <w:rFonts w:ascii="宋体" w:hAnsi="宋体" w:cs="宋体" w:eastAsia="宋体" w:hint="default"/>
                <w:sz w:val="21"/>
                <w:szCs w:val="21"/>
              </w:rPr>
              <w:t>权，导</w:t>
            </w:r>
          </w:p>
          <w:p>
            <w:pPr>
              <w:pStyle w:val="TableParagraph"/>
              <w:spacing w:line="272" w:lineRule="exact" w:before="26"/>
              <w:ind w:left="138" w:right="101"/>
              <w:jc w:val="both"/>
              <w:rPr>
                <w:rFonts w:ascii="宋体" w:hAnsi="宋体" w:cs="宋体" w:eastAsia="宋体" w:hint="default"/>
                <w:sz w:val="21"/>
                <w:szCs w:val="21"/>
              </w:rPr>
            </w:pPr>
            <w:r>
              <w:rPr>
                <w:rFonts w:ascii="宋体" w:hAnsi="宋体" w:cs="宋体" w:eastAsia="宋体" w:hint="default"/>
                <w:sz w:val="21"/>
                <w:szCs w:val="21"/>
              </w:rPr>
              <w:t>致资本 公积增 加所致</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3"/>
          <w:szCs w:val="23"/>
        </w:rPr>
      </w:pPr>
    </w:p>
    <w:p>
      <w:pPr>
        <w:spacing w:line="367" w:lineRule="auto" w:before="35"/>
        <w:ind w:left="220" w:right="7251"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28"/>
          <w:sz w:val="21"/>
          <w:szCs w:val="21"/>
        </w:rPr>
        <w:t> </w:t>
      </w:r>
      <w:r>
        <w:rPr>
          <w:rFonts w:ascii="宋体" w:hAnsi="宋体" w:cs="宋体" w:eastAsia="宋体" w:hint="default"/>
          <w:b/>
          <w:bCs/>
          <w:sz w:val="21"/>
          <w:szCs w:val="21"/>
        </w:rPr>
        <w:t>核心竞争力分析</w:t>
      </w:r>
      <w:r>
        <w:rPr>
          <w:rFonts w:ascii="宋体" w:hAnsi="宋体" w:cs="宋体" w:eastAsia="宋体" w:hint="default"/>
          <w:b/>
          <w:bCs/>
          <w:w w:val="99"/>
          <w:sz w:val="21"/>
          <w:szCs w:val="21"/>
        </w:rPr>
        <w:t> </w:t>
      </w:r>
      <w:r>
        <w:rPr>
          <w:rFonts w:ascii="宋体" w:hAnsi="宋体" w:cs="宋体" w:eastAsia="宋体" w:hint="default"/>
          <w:sz w:val="21"/>
          <w:szCs w:val="21"/>
        </w:rPr>
        <w:t>A、领先的产业地位</w:t>
      </w:r>
    </w:p>
    <w:p>
      <w:pPr>
        <w:pStyle w:val="BodyText"/>
        <w:spacing w:line="350" w:lineRule="auto" w:before="13"/>
        <w:ind w:left="220" w:right="220"/>
        <w:jc w:val="both"/>
      </w:pPr>
      <w:r>
        <w:rPr/>
        <w:t>经过</w:t>
      </w:r>
      <w:r>
        <w:rPr>
          <w:spacing w:val="-45"/>
        </w:rPr>
        <w:t> </w:t>
      </w:r>
      <w:r>
        <w:rPr/>
        <w:t>20</w:t>
      </w:r>
      <w:r>
        <w:rPr>
          <w:spacing w:val="-45"/>
        </w:rPr>
        <w:t> </w:t>
      </w:r>
      <w:r>
        <w:rPr/>
        <w:t>余年的发展，公司已成为国内最大的金融证券软件开发商和系统集成商之一，在所处行业</w:t>
      </w:r>
      <w:r>
        <w:rPr/>
        <w:t> </w:t>
      </w:r>
      <w:r>
        <w:rPr>
          <w:spacing w:val="-3"/>
        </w:rPr>
        <w:t>的市场地位、核心技术、核心团队、企业资质、业务协同等方面已取得一定的领先优势，公司的软</w:t>
      </w:r>
      <w:r>
        <w:rPr>
          <w:spacing w:val="-66"/>
        </w:rPr>
        <w:t> </w:t>
      </w:r>
      <w:r>
        <w:rPr>
          <w:spacing w:val="-66"/>
        </w:rPr>
      </w:r>
      <w:r>
        <w:rPr>
          <w:spacing w:val="-3"/>
        </w:rPr>
        <w:t>件品牌也广泛得到了行业和社会的认可。在行业发生变迁的时候，公司凭借前瞻性的需求预判能力</w:t>
      </w:r>
      <w:r>
        <w:rPr>
          <w:spacing w:val="-66"/>
        </w:rPr>
        <w:t> </w:t>
      </w:r>
      <w:r>
        <w:rPr>
          <w:spacing w:val="-66"/>
        </w:rPr>
      </w:r>
      <w:r>
        <w:rPr/>
        <w:t>提前布局，占据互联网金融的制高点，保持了领先的产业地位。</w:t>
      </w:r>
    </w:p>
    <w:p>
      <w:pPr>
        <w:spacing w:line="240" w:lineRule="auto" w:before="0"/>
        <w:rPr>
          <w:rFonts w:ascii="宋体" w:hAnsi="宋体" w:cs="宋体" w:eastAsia="宋体" w:hint="default"/>
          <w:sz w:val="20"/>
          <w:szCs w:val="20"/>
        </w:rPr>
      </w:pPr>
    </w:p>
    <w:p>
      <w:pPr>
        <w:pStyle w:val="BodyText"/>
        <w:spacing w:line="350" w:lineRule="auto" w:before="167"/>
        <w:ind w:left="220" w:right="115"/>
        <w:jc w:val="left"/>
      </w:pPr>
      <w:r>
        <w:rPr/>
        <w:t>B、平台化的管理模式 </w:t>
      </w:r>
      <w:r>
        <w:rPr>
          <w:spacing w:val="-3"/>
        </w:rPr>
        <w:t>公司大力推动"平台化"管理模式的落地，鼓励高管在公司平台创业，推动成熟业务及创新业务成立</w:t>
      </w:r>
      <w:r>
        <w:rPr>
          <w:spacing w:val="-63"/>
        </w:rPr>
        <w:t> </w:t>
      </w:r>
      <w:r>
        <w:rPr>
          <w:spacing w:val="-63"/>
        </w:rPr>
      </w:r>
      <w:r>
        <w:rPr>
          <w:spacing w:val="-3"/>
        </w:rPr>
        <w:t>事业部和子公司，并将管理重心放在塑造平台功能、捕捉市场机会、培育内部业务团队、吸纳外部</w:t>
      </w:r>
      <w:r>
        <w:rPr>
          <w:spacing w:val="-67"/>
        </w:rPr>
        <w:t> </w:t>
      </w:r>
      <w:r>
        <w:rPr>
          <w:spacing w:val="-67"/>
        </w:rPr>
      </w:r>
      <w:r>
        <w:rPr>
          <w:spacing w:val="-3"/>
        </w:rPr>
        <w:t>企业和团队等方面，以孵化新技术新产品，推动技术和产品向市场的转化。平台化的管理模式从组</w:t>
      </w:r>
      <w:r>
        <w:rPr>
          <w:spacing w:val="-66"/>
        </w:rPr>
        <w:t> </w:t>
      </w:r>
      <w:r>
        <w:rPr>
          <w:spacing w:val="-66"/>
        </w:rPr>
      </w:r>
      <w:r>
        <w:rPr>
          <w:spacing w:val="-3"/>
        </w:rPr>
        <w:t>织机制上保障对优势资源与人才的吸引力，使员工能够分享企业成长的收益，充分激发其活力与创</w:t>
      </w:r>
      <w:r>
        <w:rPr>
          <w:spacing w:val="-66"/>
        </w:rPr>
        <w:t> </w:t>
      </w:r>
      <w:r>
        <w:rPr>
          <w:spacing w:val="-66"/>
        </w:rPr>
      </w:r>
      <w:r>
        <w:rPr/>
        <w:t>造力，提升公司的核心竞争能力。</w:t>
      </w:r>
    </w:p>
    <w:p>
      <w:pPr>
        <w:spacing w:line="240" w:lineRule="auto" w:before="0"/>
        <w:rPr>
          <w:rFonts w:ascii="宋体" w:hAnsi="宋体" w:cs="宋体" w:eastAsia="宋体" w:hint="default"/>
          <w:sz w:val="20"/>
          <w:szCs w:val="20"/>
        </w:rPr>
      </w:pPr>
    </w:p>
    <w:p>
      <w:pPr>
        <w:pStyle w:val="BodyText"/>
        <w:spacing w:line="240" w:lineRule="auto" w:before="167"/>
        <w:ind w:left="220" w:right="3956"/>
        <w:jc w:val="left"/>
      </w:pPr>
      <w:r>
        <w:rPr/>
        <w:t>C、行业领先的技术与研发实力</w:t>
      </w:r>
    </w:p>
    <w:p>
      <w:pPr>
        <w:pStyle w:val="BodyText"/>
        <w:spacing w:line="350" w:lineRule="auto" w:before="125"/>
        <w:ind w:left="220" w:right="116"/>
        <w:jc w:val="both"/>
      </w:pPr>
      <w:r>
        <w:rPr/>
        <w:t>公司始终致力于推动金融证券领域的</w:t>
      </w:r>
      <w:r>
        <w:rPr>
          <w:spacing w:val="-45"/>
        </w:rPr>
        <w:t> </w:t>
      </w:r>
      <w:r>
        <w:rPr/>
        <w:t>IT</w:t>
      </w:r>
      <w:r>
        <w:rPr>
          <w:spacing w:val="-45"/>
        </w:rPr>
        <w:t> </w:t>
      </w:r>
      <w:r>
        <w:rPr/>
        <w:t>技术发展，多年的技术积累形成技术平台，并保持着在这</w:t>
      </w:r>
      <w:r>
        <w:rPr/>
        <w:t> </w:t>
      </w:r>
      <w:r>
        <w:rPr>
          <w:spacing w:val="-3"/>
        </w:rPr>
        <w:t>一领域的领先优势。公司是首批国家级高新技术企业，连续十三年跻身中国软件百强，具备国家计</w:t>
      </w:r>
      <w:r>
        <w:rPr>
          <w:spacing w:val="-66"/>
        </w:rPr>
        <w:t> </w:t>
      </w:r>
      <w:r>
        <w:rPr>
          <w:spacing w:val="-66"/>
        </w:rPr>
      </w:r>
      <w:r>
        <w:rPr/>
        <w:t>算机信息系统集成一级等资质，并且通过了</w:t>
      </w:r>
      <w:r>
        <w:rPr>
          <w:spacing w:val="-50"/>
        </w:rPr>
        <w:t> </w:t>
      </w:r>
      <w:r>
        <w:rPr/>
        <w:t>CMMI5</w:t>
      </w:r>
      <w:r>
        <w:rPr>
          <w:spacing w:val="-49"/>
        </w:rPr>
        <w:t> </w:t>
      </w:r>
      <w:r>
        <w:rPr/>
        <w:t>级认证。公司目前拥有研发人才超过</w:t>
      </w:r>
      <w:r>
        <w:rPr>
          <w:spacing w:val="-50"/>
        </w:rPr>
        <w:t> </w:t>
      </w:r>
      <w:r>
        <w:rPr/>
        <w:t>1000</w:t>
      </w:r>
      <w:r>
        <w:rPr>
          <w:spacing w:val="-49"/>
        </w:rPr>
        <w:t> </w:t>
      </w:r>
      <w:r>
        <w:rPr/>
        <w:t>人，</w:t>
      </w:r>
      <w:r>
        <w:rPr/>
        <w:t> </w:t>
      </w:r>
      <w:r>
        <w:rPr>
          <w:spacing w:val="-1"/>
        </w:rPr>
        <w:t>并具备新一代研发平台和新一代证券</w:t>
      </w:r>
      <w:r>
        <w:rPr>
          <w:spacing w:val="-47"/>
        </w:rPr>
        <w:t> </w:t>
      </w:r>
      <w:r>
        <w:rPr>
          <w:spacing w:val="-1"/>
        </w:rPr>
        <w:t>IT</w:t>
      </w:r>
      <w:r>
        <w:rPr>
          <w:spacing w:val="-46"/>
        </w:rPr>
        <w:t> </w:t>
      </w:r>
      <w:r>
        <w:rPr>
          <w:spacing w:val="-4"/>
        </w:rPr>
        <w:t>系统架构，为未来发展提供了强大的技术保障与研发支持。</w:t>
      </w:r>
    </w:p>
    <w:p>
      <w:pPr>
        <w:spacing w:line="240" w:lineRule="auto" w:before="0"/>
        <w:rPr>
          <w:rFonts w:ascii="宋体" w:hAnsi="宋体" w:cs="宋体" w:eastAsia="宋体" w:hint="default"/>
          <w:sz w:val="20"/>
          <w:szCs w:val="20"/>
        </w:rPr>
      </w:pPr>
    </w:p>
    <w:p>
      <w:pPr>
        <w:pStyle w:val="BodyText"/>
        <w:spacing w:line="350" w:lineRule="auto" w:before="167"/>
        <w:ind w:left="220" w:right="204"/>
        <w:jc w:val="left"/>
      </w:pPr>
      <w:r>
        <w:rPr/>
        <w:t>D、成熟的产品线布局优势 经过多年的研发积累，公司已完成金融各细分行业领域的产品线储备，能提供行业内最全面的</w:t>
      </w:r>
      <w:r>
        <w:rPr>
          <w:spacing w:val="-9"/>
        </w:rPr>
        <w:t> </w:t>
      </w:r>
      <w:r>
        <w:rPr/>
        <w:t>IT</w:t>
      </w:r>
      <w:r>
        <w:rPr>
          <w:spacing w:val="-1"/>
        </w:rPr>
        <w:t> </w:t>
      </w:r>
      <w:r>
        <w:rPr/>
        <w:t>服务。公司以证券</w:t>
      </w:r>
      <w:r>
        <w:rPr>
          <w:spacing w:val="-45"/>
        </w:rPr>
        <w:t> </w:t>
      </w:r>
      <w:r>
        <w:rPr/>
        <w:t>IT</w:t>
      </w:r>
      <w:r>
        <w:rPr>
          <w:spacing w:val="-45"/>
        </w:rPr>
        <w:t> </w:t>
      </w:r>
      <w:r>
        <w:rPr/>
        <w:t>为基础，现已具备针对证券、基金、银行、保险、信托、交易所等多类机构</w:t>
      </w:r>
      <w:r>
        <w:rPr/>
        <w:t> </w:t>
      </w:r>
      <w:r>
        <w:rPr>
          <w:spacing w:val="-3"/>
        </w:rPr>
        <w:t>的完整产品线。尤其在金融创新业务领域，公司凭借前瞻性的预判和储备布局，在转融通、债券质</w:t>
      </w:r>
      <w:r>
        <w:rPr>
          <w:spacing w:val="-67"/>
        </w:rPr>
        <w:t> </w:t>
      </w:r>
      <w:r>
        <w:rPr>
          <w:spacing w:val="-67"/>
        </w:rPr>
      </w:r>
      <w:r>
        <w:rPr/>
        <w:t>押式报价回购等产品上均取得良好进展，成为目前创新产品储备最完善的金融</w:t>
      </w:r>
      <w:r>
        <w:rPr>
          <w:spacing w:val="-45"/>
        </w:rPr>
        <w:t> </w:t>
      </w:r>
      <w:r>
        <w:rPr/>
        <w:t>IT</w:t>
      </w:r>
      <w:r>
        <w:rPr>
          <w:spacing w:val="-45"/>
        </w:rPr>
        <w:t> </w:t>
      </w:r>
      <w:r>
        <w:rPr/>
        <w:t>服务提供商。面</w:t>
      </w:r>
      <w:r>
        <w:rPr/>
        <w:t> </w:t>
      </w:r>
      <w:r>
        <w:rPr>
          <w:spacing w:val="-3"/>
        </w:rPr>
        <w:t>对不断变化的下游金融行业，公司依靠成熟完备的各业务产品线，顺利承接市场需求，不断提高竞</w:t>
      </w:r>
      <w:r>
        <w:rPr>
          <w:spacing w:val="-66"/>
        </w:rPr>
        <w:t> </w:t>
      </w:r>
      <w:r>
        <w:rPr>
          <w:spacing w:val="-66"/>
        </w:rPr>
      </w:r>
      <w:r>
        <w:rPr/>
        <w:t>争优势。</w:t>
      </w:r>
    </w:p>
    <w:p>
      <w:pPr>
        <w:spacing w:after="0" w:line="350" w:lineRule="auto"/>
        <w:jc w:val="left"/>
        <w:sectPr>
          <w:footerReference w:type="default" r:id="rId17"/>
          <w:pgSz w:w="11910" w:h="16840"/>
          <w:pgMar w:footer="1197" w:header="0" w:top="1120" w:bottom="1380" w:left="1220" w:right="1300"/>
        </w:sectPr>
      </w:pPr>
    </w:p>
    <w:p>
      <w:pPr>
        <w:spacing w:line="240" w:lineRule="auto" w:before="1"/>
        <w:rPr>
          <w:rFonts w:ascii="宋体" w:hAnsi="宋体" w:cs="宋体" w:eastAsia="宋体" w:hint="default"/>
          <w:sz w:val="2"/>
          <w:szCs w:val="2"/>
        </w:rPr>
      </w:pPr>
    </w:p>
    <w:p>
      <w:pPr>
        <w:spacing w:line="20" w:lineRule="exact"/>
        <w:ind w:left="200" w:right="0" w:firstLine="0"/>
        <w:rPr>
          <w:rFonts w:ascii="宋体" w:hAnsi="宋体" w:cs="宋体" w:eastAsia="宋体" w:hint="default"/>
          <w:sz w:val="2"/>
          <w:szCs w:val="2"/>
        </w:rPr>
      </w:pPr>
      <w:r>
        <w:rPr>
          <w:rFonts w:ascii="宋体" w:hAnsi="宋体" w:cs="宋体" w:eastAsia="宋体" w:hint="default"/>
          <w:sz w:val="2"/>
          <w:szCs w:val="2"/>
        </w:rPr>
        <w:pict>
          <v:group style="width:444.3pt;height:.75pt;mso-position-horizontal-relative:char;mso-position-vertical-relative:line" coordorigin="0,0" coordsize="8886,15">
            <v:group style="position:absolute;left:7;top:7;width:8872;height:2" coordorigin="7,7" coordsize="8872,2">
              <v:shape style="position:absolute;left:7;top:7;width:8872;height:2" coordorigin="7,7" coordsize="8872,0" path="m7,7l8879,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line="272" w:lineRule="exact" w:before="63"/>
        <w:ind w:left="237" w:right="6627" w:firstLine="0"/>
        <w:jc w:val="left"/>
        <w:rPr>
          <w:rFonts w:ascii="宋体" w:hAnsi="宋体" w:cs="宋体" w:eastAsia="宋体" w:hint="default"/>
          <w:sz w:val="21"/>
          <w:szCs w:val="21"/>
        </w:rPr>
      </w:pPr>
      <w:r>
        <w:rPr/>
        <w:pict>
          <v:group style="position:absolute;margin-left:87.629997pt;margin-top:30.770727pt;width:455.15pt;height:336.25pt;mso-position-horizontal-relative:page;mso-position-vertical-relative:paragraph;z-index:-1228984" coordorigin="1753,615" coordsize="9103,6725">
            <v:group style="position:absolute;left:1782;top:630;width:9050;height:2" coordorigin="1782,630" coordsize="9050,2">
              <v:shape style="position:absolute;left:1782;top:630;width:9050;height:2" coordorigin="1782,630" coordsize="9050,0" path="m1782,630l10831,630e" filled="false" stroked="true" strokeweight="1.5pt" strokecolor="#000000">
                <v:path arrowok="t"/>
              </v:shape>
              <v:shape style="position:absolute;left:4306;top:617;width:5722;height:524" type="#_x0000_t75" stroked="false">
                <v:imagedata r:id="rId19" o:title=""/>
              </v:shape>
              <v:shape style="position:absolute;left:1760;top:1092;width:9095;height:741" type="#_x0000_t75" stroked="false">
                <v:imagedata r:id="rId20" o:title=""/>
              </v:shape>
            </v:group>
            <v:group style="position:absolute;left:1782;top:1827;width:8902;height:2" coordorigin="1782,1827" coordsize="8902,2">
              <v:shape style="position:absolute;left:1782;top:1827;width:8902;height:2" coordorigin="1782,1827" coordsize="8902,0" path="m1782,1827l10684,1827e" filled="false" stroked="true" strokeweight="1.5pt" strokecolor="#000000">
                <v:path arrowok="t"/>
              </v:shape>
            </v:group>
            <v:group style="position:absolute;left:10668;top:1827;width:164;height:2" coordorigin="10668,1827" coordsize="164,2">
              <v:shape style="position:absolute;left:10668;top:1827;width:164;height:2" coordorigin="10668,1827" coordsize="164,0" path="m10668,1827l10831,1827e" filled="false" stroked="true" strokeweight="1.5pt" strokecolor="#000000">
                <v:path arrowok="t"/>
              </v:shape>
              <v:shape style="position:absolute;left:3972;top:1842;width:10;height:340" type="#_x0000_t75" stroked="false">
                <v:imagedata r:id="rId21" o:title=""/>
              </v:shape>
              <v:shape style="position:absolute;left:3953;top:2162;width:6726;height:516" type="#_x0000_t75" stroked="false">
                <v:imagedata r:id="rId22" o:title=""/>
              </v:shape>
              <v:shape style="position:absolute;left:1763;top:2640;width:8916;height:865" type="#_x0000_t75" stroked="false">
                <v:imagedata r:id="rId23" o:title=""/>
              </v:shape>
              <v:shape style="position:absolute;left:3972;top:3516;width:10;height:340" type="#_x0000_t75" stroked="false">
                <v:imagedata r:id="rId24" o:title=""/>
              </v:shape>
              <v:shape style="position:absolute;left:3953;top:3836;width:6726;height:516" type="#_x0000_t75" stroked="false">
                <v:imagedata r:id="rId25" o:title=""/>
              </v:shape>
              <v:shape style="position:absolute;left:1763;top:4314;width:8916;height:787" type="#_x0000_t75" stroked="false">
                <v:imagedata r:id="rId26" o:title=""/>
              </v:shape>
            </v:group>
            <v:group style="position:absolute;left:1782;top:5097;width:8872;height:2" coordorigin="1782,5097" coordsize="8872,2">
              <v:shape style="position:absolute;left:1782;top:5097;width:8872;height:2" coordorigin="1782,5097" coordsize="8872,0" path="m1782,5097l10654,5097e" filled="false" stroked="true" strokeweight="1.5pt" strokecolor="#000000">
                <v:path arrowok="t"/>
              </v:shape>
              <v:shape style="position:absolute;left:2689;top:5092;width:3982;height:379" type="#_x0000_t75" stroked="false">
                <v:imagedata r:id="rId27" o:title=""/>
              </v:shape>
              <v:shape style="position:absolute;left:2680;top:5423;width:8008;height:535" type="#_x0000_t75" stroked="false">
                <v:imagedata r:id="rId28" o:title=""/>
              </v:shape>
            </v:group>
            <v:group style="position:absolute;left:1768;top:7325;width:941;height:2" coordorigin="1768,7325" coordsize="941,2">
              <v:shape style="position:absolute;left:1768;top:7325;width:941;height:2" coordorigin="1768,7325" coordsize="941,0" path="m1768,7325l2708,7325e" filled="false" stroked="true" strokeweight="1.5pt" strokecolor="#000000">
                <v:path arrowok="t"/>
              </v:shape>
              <v:shape style="position:absolute;left:1753;top:5900;width:8934;height:1439" type="#_x0000_t75" stroked="false">
                <v:imagedata r:id="rId29" o:title=""/>
              </v:shape>
            </v:group>
            <v:group style="position:absolute;left:2708;top:7325;width:1116;height:2" coordorigin="2708,7325" coordsize="1116,2">
              <v:shape style="position:absolute;left:2708;top:7325;width:1116;height:2" coordorigin="2708,7325" coordsize="1116,0" path="m2708,7325l3824,7325e" filled="false" stroked="true" strokeweight="1.5pt" strokecolor="#000000">
                <v:path arrowok="t"/>
              </v:shape>
              <v:shape style="position:absolute;left:3796;top:6697;width:67;height:642" type="#_x0000_t75" stroked="false">
                <v:imagedata r:id="rId30" o:title=""/>
              </v:shape>
            </v:group>
            <v:group style="position:absolute;left:3824;top:7325;width:939;height:2" coordorigin="3824,7325" coordsize="939,2">
              <v:shape style="position:absolute;left:3824;top:7325;width:939;height:2" coordorigin="3824,7325" coordsize="939,0" path="m3824,7325l4763,7325e" filled="false" stroked="true" strokeweight="1.5pt" strokecolor="#000000">
                <v:path arrowok="t"/>
              </v:shape>
              <v:shape style="position:absolute;left:4734;top:6697;width:67;height:642" type="#_x0000_t75" stroked="false">
                <v:imagedata r:id="rId30" o:title=""/>
              </v:shape>
            </v:group>
            <v:group style="position:absolute;left:4763;top:7325;width:940;height:2" coordorigin="4763,7325" coordsize="940,2">
              <v:shape style="position:absolute;left:4763;top:7325;width:940;height:2" coordorigin="4763,7325" coordsize="940,0" path="m4763,7325l5702,7325e" filled="false" stroked="true" strokeweight="1.5pt" strokecolor="#000000">
                <v:path arrowok="t"/>
              </v:shape>
              <v:shape style="position:absolute;left:5674;top:6697;width:67;height:642" type="#_x0000_t75" stroked="false">
                <v:imagedata r:id="rId31" o:title=""/>
              </v:shape>
            </v:group>
            <v:group style="position:absolute;left:5702;top:7325;width:939;height:2" coordorigin="5702,7325" coordsize="939,2">
              <v:shape style="position:absolute;left:5702;top:7325;width:939;height:2" coordorigin="5702,7325" coordsize="939,0" path="m5702,7325l6641,7325e" filled="false" stroked="true" strokeweight="1.5pt" strokecolor="#000000">
                <v:path arrowok="t"/>
              </v:shape>
              <v:shape style="position:absolute;left:6612;top:6697;width:67;height:642" type="#_x0000_t75" stroked="false">
                <v:imagedata r:id="rId30" o:title=""/>
              </v:shape>
            </v:group>
            <v:group style="position:absolute;left:6641;top:7325;width:1146;height:2" coordorigin="6641,7325" coordsize="1146,2">
              <v:shape style="position:absolute;left:6641;top:7325;width:1146;height:2" coordorigin="6641,7325" coordsize="1146,0" path="m6641,7325l7787,7325e" filled="false" stroked="true" strokeweight="1.5pt" strokecolor="#000000">
                <v:path arrowok="t"/>
              </v:shape>
              <v:shape style="position:absolute;left:7758;top:6697;width:67;height:642" type="#_x0000_t75" stroked="false">
                <v:imagedata r:id="rId30" o:title=""/>
              </v:shape>
            </v:group>
            <v:group style="position:absolute;left:7787;top:7325;width:976;height:2" coordorigin="7787,7325" coordsize="976,2">
              <v:shape style="position:absolute;left:7787;top:7325;width:976;height:2" coordorigin="7787,7325" coordsize="976,0" path="m7787,7325l8762,7325e" filled="false" stroked="true" strokeweight="1.5pt" strokecolor="#000000">
                <v:path arrowok="t"/>
              </v:shape>
              <v:shape style="position:absolute;left:8734;top:6697;width:67;height:642" type="#_x0000_t75" stroked="false">
                <v:imagedata r:id="rId30" o:title=""/>
              </v:shape>
            </v:group>
            <v:group style="position:absolute;left:8762;top:7325;width:936;height:2" coordorigin="8762,7325" coordsize="936,2">
              <v:shape style="position:absolute;left:8762;top:7325;width:936;height:2" coordorigin="8762,7325" coordsize="936,0" path="m8762,7325l9698,7325e" filled="false" stroked="true" strokeweight="1.5pt" strokecolor="#000000">
                <v:path arrowok="t"/>
              </v:shape>
              <v:shape style="position:absolute;left:9670;top:6697;width:67;height:642" type="#_x0000_t75" stroked="false">
                <v:imagedata r:id="rId30" o:title=""/>
              </v:shape>
            </v:group>
            <v:group style="position:absolute;left:9698;top:7325;width:956;height:2" coordorigin="9698,7325" coordsize="956,2">
              <v:shape style="position:absolute;left:9698;top:7325;width:956;height:2" coordorigin="9698,7325" coordsize="956,0" path="m9698,7325l10654,7325e" filled="false" stroked="true" strokeweight="1.5pt" strokecolor="#000000">
                <v:path arrowok="t"/>
              </v:shape>
              <v:shape style="position:absolute;left:1890;top:787;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子公司名称</w:t>
                      </w:r>
                    </w:p>
                  </w:txbxContent>
                </v:textbox>
                <w10:wrap type="none"/>
              </v:shape>
              <v:shape style="position:absolute;left:4084;top:671;width:1264;height:1430" type="#_x0000_t202" filled="false" stroked="false">
                <v:textbox inset="0,0,0,0">
                  <w:txbxContent>
                    <w:p>
                      <w:pPr>
                        <w:spacing w:line="179" w:lineRule="exact" w:before="0"/>
                        <w:ind w:left="363" w:right="0" w:firstLine="0"/>
                        <w:jc w:val="left"/>
                        <w:rPr>
                          <w:rFonts w:ascii="宋体" w:hAnsi="宋体" w:cs="宋体" w:eastAsia="宋体" w:hint="default"/>
                          <w:sz w:val="18"/>
                          <w:szCs w:val="18"/>
                        </w:rPr>
                      </w:pPr>
                      <w:r>
                        <w:rPr>
                          <w:rFonts w:ascii="宋体" w:hAnsi="宋体" w:cs="宋体" w:eastAsia="宋体" w:hint="default"/>
                          <w:sz w:val="18"/>
                          <w:szCs w:val="18"/>
                        </w:rPr>
                        <w:t>少数股东持</w:t>
                      </w:r>
                    </w:p>
                    <w:p>
                      <w:pPr>
                        <w:spacing w:line="285" w:lineRule="auto" w:before="0"/>
                        <w:ind w:left="363" w:right="130" w:firstLine="0"/>
                        <w:jc w:val="left"/>
                        <w:rPr>
                          <w:rFonts w:ascii="宋体" w:hAnsi="宋体" w:cs="宋体" w:eastAsia="宋体" w:hint="default"/>
                          <w:sz w:val="18"/>
                          <w:szCs w:val="18"/>
                        </w:rPr>
                      </w:pPr>
                      <w:r>
                        <w:rPr>
                          <w:rFonts w:ascii="宋体" w:hAnsi="宋体" w:cs="宋体" w:eastAsia="宋体" w:hint="default"/>
                          <w:w w:val="90"/>
                          <w:sz w:val="18"/>
                          <w:szCs w:val="18"/>
                        </w:rPr>
                        <w:t>股比例</w:t>
                      </w:r>
                      <w:r>
                        <w:rPr>
                          <w:rFonts w:ascii="Arial" w:hAnsi="Arial" w:cs="Arial" w:eastAsia="Arial" w:hint="default"/>
                          <w:w w:val="90"/>
                          <w:sz w:val="18"/>
                          <w:szCs w:val="18"/>
                        </w:rPr>
                        <w:t>(%)</w:t>
                      </w:r>
                      <w:r>
                        <w:rPr>
                          <w:rFonts w:ascii="Arial" w:hAnsi="Arial" w:cs="Arial" w:eastAsia="Arial" w:hint="default"/>
                          <w:spacing w:val="-16"/>
                          <w:w w:val="90"/>
                          <w:sz w:val="18"/>
                          <w:szCs w:val="18"/>
                        </w:rPr>
                        <w:t> </w:t>
                      </w:r>
                      <w:r>
                        <w:rPr>
                          <w:rFonts w:ascii="Arial" w:hAnsi="Arial" w:cs="Arial" w:eastAsia="Arial" w:hint="default"/>
                          <w:spacing w:val="-16"/>
                          <w:w w:val="90"/>
                          <w:sz w:val="18"/>
                          <w:szCs w:val="18"/>
                        </w:rPr>
                      </w:r>
                      <w:r>
                        <w:rPr>
                          <w:rFonts w:ascii="宋体" w:hAnsi="宋体" w:cs="宋体" w:eastAsia="宋体" w:hint="default"/>
                          <w:sz w:val="18"/>
                          <w:szCs w:val="18"/>
                        </w:rPr>
                        <w:t>47</w:t>
                      </w:r>
                    </w:p>
                    <w:p>
                      <w:pPr>
                        <w:spacing w:before="80"/>
                        <w:ind w:left="363" w:right="0" w:firstLine="0"/>
                        <w:jc w:val="left"/>
                        <w:rPr>
                          <w:rFonts w:ascii="宋体" w:hAnsi="宋体" w:cs="宋体" w:eastAsia="宋体" w:hint="default"/>
                          <w:sz w:val="18"/>
                          <w:szCs w:val="18"/>
                        </w:rPr>
                      </w:pPr>
                      <w:r>
                        <w:rPr>
                          <w:rFonts w:ascii="宋体"/>
                          <w:sz w:val="18"/>
                        </w:rPr>
                        <w:t>35</w:t>
                      </w:r>
                    </w:p>
                    <w:p>
                      <w:pPr>
                        <w:spacing w:before="134"/>
                        <w:ind w:left="0" w:right="541" w:firstLine="0"/>
                        <w:jc w:val="center"/>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5597;top:671;width:1260;height:1060" type="#_x0000_t202" filled="false" stroked="false">
                <v:textbox inset="0,0,0,0">
                  <w:txbxContent>
                    <w:p>
                      <w:pPr>
                        <w:spacing w:line="179"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本期归属于少数</w:t>
                      </w:r>
                    </w:p>
                    <w:p>
                      <w:pPr>
                        <w:spacing w:line="302" w:lineRule="auto" w:before="0"/>
                        <w:ind w:left="0" w:right="88" w:firstLine="0"/>
                        <w:jc w:val="left"/>
                        <w:rPr>
                          <w:rFonts w:ascii="宋体" w:hAnsi="宋体" w:cs="宋体" w:eastAsia="宋体" w:hint="default"/>
                          <w:sz w:val="18"/>
                          <w:szCs w:val="18"/>
                        </w:rPr>
                      </w:pPr>
                      <w:r>
                        <w:rPr>
                          <w:rFonts w:ascii="宋体" w:hAnsi="宋体" w:cs="宋体" w:eastAsia="宋体" w:hint="default"/>
                          <w:sz w:val="18"/>
                          <w:szCs w:val="18"/>
                        </w:rPr>
                        <w:t>股东损益 18,896,872.22</w:t>
                      </w:r>
                    </w:p>
                    <w:p>
                      <w:pPr>
                        <w:spacing w:before="68"/>
                        <w:ind w:left="0" w:right="0" w:firstLine="0"/>
                        <w:jc w:val="left"/>
                        <w:rPr>
                          <w:rFonts w:ascii="宋体" w:hAnsi="宋体" w:cs="宋体" w:eastAsia="宋体" w:hint="default"/>
                          <w:sz w:val="18"/>
                          <w:szCs w:val="18"/>
                        </w:rPr>
                      </w:pPr>
                      <w:r>
                        <w:rPr>
                          <w:rFonts w:ascii="宋体"/>
                          <w:sz w:val="18"/>
                        </w:rPr>
                        <w:t>4,830,040.55</w:t>
                      </w:r>
                    </w:p>
                  </w:txbxContent>
                </v:textbox>
                <w10:wrap type="none"/>
              </v:shape>
              <v:shape style="position:absolute;left:7078;top:671;width:1081;height:710" type="#_x0000_t202" filled="false" stroked="false">
                <v:textbox inset="0,0,0,0">
                  <w:txbxContent>
                    <w:p>
                      <w:pPr>
                        <w:spacing w:line="179"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本期向少数股</w:t>
                      </w:r>
                    </w:p>
                    <w:p>
                      <w:pPr>
                        <w:spacing w:line="23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东支付股利</w:t>
                      </w:r>
                    </w:p>
                    <w:p>
                      <w:pPr>
                        <w:spacing w:before="61"/>
                        <w:ind w:left="0" w:right="0" w:firstLine="0"/>
                        <w:jc w:val="left"/>
                        <w:rPr>
                          <w:rFonts w:ascii="宋体" w:hAnsi="宋体" w:cs="宋体" w:eastAsia="宋体" w:hint="default"/>
                          <w:sz w:val="18"/>
                          <w:szCs w:val="18"/>
                        </w:rPr>
                      </w:pPr>
                      <w:r>
                        <w:rPr>
                          <w:rFonts w:ascii="宋体"/>
                          <w:sz w:val="18"/>
                        </w:rPr>
                        <w:t>4,700,000.00</w:t>
                      </w:r>
                    </w:p>
                  </w:txbxContent>
                </v:textbox>
                <w10:wrap type="none"/>
              </v:shape>
              <v:shape style="position:absolute;left:8552;top:671;width:1261;height:1060" type="#_x0000_t202" filled="false" stroked="false">
                <v:textbox inset="0,0,0,0">
                  <w:txbxContent>
                    <w:p>
                      <w:pPr>
                        <w:spacing w:line="179"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期末累计少数股</w:t>
                      </w:r>
                    </w:p>
                    <w:p>
                      <w:pPr>
                        <w:spacing w:line="302" w:lineRule="auto" w:before="0"/>
                        <w:ind w:left="0" w:right="88" w:firstLine="0"/>
                        <w:jc w:val="left"/>
                        <w:rPr>
                          <w:rFonts w:ascii="宋体" w:hAnsi="宋体" w:cs="宋体" w:eastAsia="宋体" w:hint="default"/>
                          <w:sz w:val="18"/>
                          <w:szCs w:val="18"/>
                        </w:rPr>
                      </w:pPr>
                      <w:r>
                        <w:rPr>
                          <w:rFonts w:ascii="宋体" w:hAnsi="宋体" w:cs="宋体" w:eastAsia="宋体" w:hint="default"/>
                          <w:sz w:val="18"/>
                          <w:szCs w:val="18"/>
                        </w:rPr>
                        <w:t>东权益 81,815,532.51</w:t>
                      </w:r>
                    </w:p>
                    <w:p>
                      <w:pPr>
                        <w:spacing w:before="68"/>
                        <w:ind w:left="0" w:right="0" w:firstLine="0"/>
                        <w:jc w:val="left"/>
                        <w:rPr>
                          <w:rFonts w:ascii="宋体" w:hAnsi="宋体" w:cs="宋体" w:eastAsia="宋体" w:hint="default"/>
                          <w:sz w:val="18"/>
                          <w:szCs w:val="18"/>
                        </w:rPr>
                      </w:pPr>
                      <w:r>
                        <w:rPr>
                          <w:rFonts w:ascii="宋体"/>
                          <w:sz w:val="18"/>
                        </w:rPr>
                        <w:t>15,283,467.61</w:t>
                      </w:r>
                    </w:p>
                  </w:txbxContent>
                </v:textbox>
                <w10:wrap type="none"/>
              </v:shape>
              <v:shape style="position:absolute;left:10102;top:78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备注</w:t>
                      </w:r>
                    </w:p>
                  </w:txbxContent>
                </v:textbox>
                <w10:wrap type="none"/>
              </v:shape>
              <v:shape style="position:absolute;left:1890;top:1216;width:2100;height:1123"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深圳市齐普生信息科技有限公司</w:t>
                      </w:r>
                    </w:p>
                    <w:p>
                      <w:pPr>
                        <w:spacing w:line="240" w:lineRule="auto" w:before="9"/>
                        <w:rPr>
                          <w:rFonts w:ascii="宋体" w:hAnsi="宋体" w:cs="宋体" w:eastAsia="宋体" w:hint="default"/>
                          <w:b/>
                          <w:bCs/>
                          <w:sz w:val="11"/>
                          <w:szCs w:val="11"/>
                        </w:rPr>
                      </w:pPr>
                    </w:p>
                    <w:p>
                      <w:pPr>
                        <w:spacing w:before="0"/>
                        <w:ind w:left="0" w:right="0" w:firstLine="0"/>
                        <w:jc w:val="left"/>
                        <w:rPr>
                          <w:rFonts w:ascii="宋体" w:hAnsi="宋体" w:cs="宋体" w:eastAsia="宋体" w:hint="default"/>
                          <w:sz w:val="15"/>
                          <w:szCs w:val="15"/>
                        </w:rPr>
                      </w:pPr>
                      <w:r>
                        <w:rPr>
                          <w:rFonts w:ascii="宋体" w:hAnsi="宋体" w:cs="宋体" w:eastAsia="宋体" w:hint="default"/>
                          <w:sz w:val="15"/>
                          <w:szCs w:val="15"/>
                        </w:rPr>
                        <w:t>金证财富南京科技有限公司</w:t>
                      </w:r>
                    </w:p>
                    <w:p>
                      <w:pPr>
                        <w:spacing w:line="240" w:lineRule="auto" w:before="0"/>
                        <w:rPr>
                          <w:rFonts w:ascii="宋体" w:hAnsi="宋体" w:cs="宋体" w:eastAsia="宋体" w:hint="default"/>
                          <w:b/>
                          <w:bCs/>
                          <w:sz w:val="14"/>
                          <w:szCs w:val="14"/>
                        </w:rPr>
                      </w:pPr>
                    </w:p>
                    <w:p>
                      <w:pPr>
                        <w:spacing w:line="240" w:lineRule="auto" w:before="8"/>
                        <w:rPr>
                          <w:rFonts w:ascii="宋体" w:hAnsi="宋体" w:cs="宋体" w:eastAsia="宋体" w:hint="default"/>
                          <w:b/>
                          <w:bCs/>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子公司名称</w:t>
                      </w:r>
                    </w:p>
                  </w:txbxContent>
                </v:textbox>
                <w10:wrap type="none"/>
              </v:shape>
              <v:shape style="position:absolute;left:4084;top:233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流动资产</w:t>
                      </w:r>
                    </w:p>
                  </w:txbxContent>
                </v:textbox>
                <w10:wrap type="none"/>
              </v:shape>
              <v:shape style="position:absolute;left:5189;top:2218;width:720;height:413" type="#_x0000_t202" filled="false" stroked="false">
                <v:textbox inset="0,0,0,0">
                  <w:txbxContent>
                    <w:p>
                      <w:pPr>
                        <w:spacing w:line="179"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非流动资</w:t>
                      </w:r>
                    </w:p>
                    <w:p>
                      <w:pPr>
                        <w:spacing w:line="23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产</w:t>
                      </w:r>
                    </w:p>
                  </w:txbxContent>
                </v:textbox>
                <w10:wrap type="none"/>
              </v:shape>
              <v:shape style="position:absolute;left:6294;top:233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资产合计</w:t>
                      </w:r>
                    </w:p>
                  </w:txbxContent>
                </v:textbox>
                <w10:wrap type="none"/>
              </v:shape>
              <v:shape style="position:absolute;left:7397;top:2334;width:2973;height:180" type="#_x0000_t202" filled="false" stroked="false">
                <v:textbox inset="0,0,0,0">
                  <w:txbxContent>
                    <w:p>
                      <w:pPr>
                        <w:tabs>
                          <w:tab w:pos="1099" w:val="left" w:leader="none"/>
                          <w:tab w:pos="2252"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流动负债</w:t>
                        <w:tab/>
                        <w:t>非流动负债</w:t>
                        <w:tab/>
                        <w:t>负债合计</w:t>
                      </w:r>
                    </w:p>
                  </w:txbxContent>
                </v:textbox>
                <w10:wrap type="none"/>
              </v:shape>
              <v:shape style="position:absolute;left:1890;top:5312;width:540;height:413" type="#_x0000_t202" filled="false" stroked="false">
                <v:textbox inset="0,0,0,0">
                  <w:txbxContent>
                    <w:p>
                      <w:pPr>
                        <w:spacing w:line="179"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子公司</w:t>
                      </w:r>
                    </w:p>
                    <w:p>
                      <w:pPr>
                        <w:spacing w:line="23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名称</w:t>
                      </w:r>
                    </w:p>
                  </w:txbxContent>
                </v:textbox>
                <w10:wrap type="none"/>
              </v:shape>
              <v:shape style="position:absolute;left:2820;top:5190;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本期发生额</w:t>
                      </w:r>
                    </w:p>
                  </w:txbxContent>
                </v:textbox>
                <w10:wrap type="none"/>
              </v:shape>
              <v:shape style="position:absolute;left:6752;top:5190;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上期发生额</w:t>
                      </w:r>
                    </w:p>
                  </w:txbxContent>
                </v:textbox>
                <w10:wrap type="none"/>
              </v:shape>
              <v:shape style="position:absolute;left:2820;top:5486;width:2776;height:414" type="#_x0000_t202" filled="false" stroked="false">
                <v:textbox inset="0,0,0,0">
                  <w:txbxContent>
                    <w:p>
                      <w:pPr>
                        <w:tabs>
                          <w:tab w:pos="1115" w:val="left" w:leader="none"/>
                          <w:tab w:pos="2055" w:val="left" w:leader="none"/>
                        </w:tabs>
                        <w:spacing w:line="238"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营业收入</w:t>
                        <w:tab/>
                        <w:t>净利润</w:t>
                        <w:tab/>
                      </w:r>
                      <w:r>
                        <w:rPr>
                          <w:rFonts w:ascii="宋体" w:hAnsi="宋体" w:cs="宋体" w:eastAsia="宋体" w:hint="default"/>
                          <w:position w:val="12"/>
                          <w:sz w:val="18"/>
                          <w:szCs w:val="18"/>
                        </w:rPr>
                        <w:t>综合收益</w:t>
                      </w:r>
                      <w:r>
                        <w:rPr>
                          <w:rFonts w:ascii="宋体" w:hAnsi="宋体" w:cs="宋体" w:eastAsia="宋体" w:hint="default"/>
                          <w:sz w:val="18"/>
                          <w:szCs w:val="18"/>
                        </w:rPr>
                      </w:r>
                    </w:p>
                    <w:p>
                      <w:pPr>
                        <w:spacing w:line="176" w:lineRule="exact" w:before="0"/>
                        <w:ind w:left="0" w:right="358" w:firstLine="0"/>
                        <w:jc w:val="right"/>
                        <w:rPr>
                          <w:rFonts w:ascii="宋体" w:hAnsi="宋体" w:cs="宋体" w:eastAsia="宋体" w:hint="default"/>
                          <w:sz w:val="18"/>
                          <w:szCs w:val="18"/>
                        </w:rPr>
                      </w:pPr>
                      <w:r>
                        <w:rPr>
                          <w:rFonts w:ascii="宋体" w:hAnsi="宋体" w:cs="宋体" w:eastAsia="宋体" w:hint="default"/>
                          <w:sz w:val="18"/>
                          <w:szCs w:val="18"/>
                        </w:rPr>
                        <w:t>总额</w:t>
                      </w:r>
                    </w:p>
                  </w:txbxContent>
                </v:textbox>
                <w10:wrap type="none"/>
              </v:shape>
              <v:shape style="position:absolute;left:5814;top:5486;width:720;height:414" type="#_x0000_t202" filled="false" stroked="false">
                <v:textbox inset="0,0,0,0">
                  <w:txbxContent>
                    <w:p>
                      <w:pPr>
                        <w:spacing w:line="179"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经营活动</w:t>
                      </w:r>
                    </w:p>
                    <w:p>
                      <w:pPr>
                        <w:spacing w:line="23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现金流量</w:t>
                      </w:r>
                    </w:p>
                  </w:txbxContent>
                </v:textbox>
                <w10:wrap type="none"/>
              </v:shape>
              <v:shape style="position:absolute;left:6752;top:560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营业收入</w:t>
                      </w:r>
                    </w:p>
                  </w:txbxContent>
                </v:textbox>
                <w10:wrap type="none"/>
              </v:shape>
              <v:shape style="position:absolute;left:7898;top:5604;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净利润</w:t>
                      </w:r>
                    </w:p>
                  </w:txbxContent>
                </v:textbox>
                <w10:wrap type="none"/>
              </v:shape>
              <v:shape style="position:absolute;left:8875;top:5486;width:1656;height:180" type="#_x0000_t202" filled="false" stroked="false">
                <v:textbox inset="0,0,0,0">
                  <w:txbxContent>
                    <w:p>
                      <w:pPr>
                        <w:tabs>
                          <w:tab w:pos="935"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综合收益</w:t>
                        <w:tab/>
                        <w:t>经营活动</w:t>
                      </w:r>
                    </w:p>
                  </w:txbxContent>
                </v:textbox>
                <w10:wrap type="none"/>
              </v:shape>
              <v:shape style="position:absolute;left:8875;top:57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总额</w:t>
                      </w:r>
                    </w:p>
                  </w:txbxContent>
                </v:textbox>
                <w10:wrap type="none"/>
              </v:shape>
              <v:shape style="position:absolute;left:9811;top:572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现金流量</w:t>
                      </w:r>
                    </w:p>
                  </w:txbxContent>
                </v:textbox>
                <w10:wrap type="none"/>
              </v:shape>
              <v:shape style="position:absolute;left:1890;top:5960;width:600;height:1328" type="#_x0000_t202" filled="false" stroked="false">
                <v:textbox inset="0,0,0,0">
                  <w:txbxContent>
                    <w:p>
                      <w:pPr>
                        <w:spacing w:line="149"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深圳市齐</w:t>
                      </w:r>
                    </w:p>
                    <w:p>
                      <w:pPr>
                        <w:spacing w:line="240" w:lineRule="auto"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普生信息 科技有限 公司 金证财富 南京科技 有限公司</w:t>
                      </w:r>
                    </w:p>
                  </w:txbxContent>
                </v:textbox>
                <w10:wrap type="none"/>
              </v:shape>
            </v:group>
            <w10:wrap type="none"/>
          </v:group>
        </w:pict>
      </w:r>
      <w:r>
        <w:rPr>
          <w:rFonts w:ascii="宋体" w:hAnsi="宋体" w:cs="宋体" w:eastAsia="宋体" w:hint="default"/>
          <w:sz w:val="21"/>
          <w:szCs w:val="21"/>
        </w:rPr>
        <w:t>主要子公司、参股公司分析 </w:t>
      </w:r>
      <w:r>
        <w:rPr>
          <w:rFonts w:ascii="宋体" w:hAnsi="宋体" w:cs="宋体" w:eastAsia="宋体" w:hint="default"/>
          <w:b/>
          <w:bCs/>
          <w:sz w:val="21"/>
          <w:szCs w:val="21"/>
        </w:rPr>
        <w:t>重要的子公司</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tbl>
      <w:tblPr>
        <w:tblW w:w="0" w:type="auto"/>
        <w:jc w:val="left"/>
        <w:tblInd w:w="222" w:type="dxa"/>
        <w:tblLayout w:type="fixed"/>
        <w:tblCellMar>
          <w:top w:w="0" w:type="dxa"/>
          <w:left w:w="0" w:type="dxa"/>
          <w:bottom w:w="0" w:type="dxa"/>
          <w:right w:w="0" w:type="dxa"/>
        </w:tblCellMar>
        <w:tblLook w:val="01E0"/>
      </w:tblPr>
      <w:tblGrid>
        <w:gridCol w:w="2267"/>
        <w:gridCol w:w="993"/>
        <w:gridCol w:w="1060"/>
        <w:gridCol w:w="1149"/>
        <w:gridCol w:w="1101"/>
        <w:gridCol w:w="991"/>
        <w:gridCol w:w="1311"/>
      </w:tblGrid>
      <w:tr>
        <w:trPr>
          <w:trHeight w:val="253" w:hRule="exact"/>
        </w:trPr>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15"/>
                <w:szCs w:val="15"/>
              </w:rPr>
            </w:pPr>
            <w:r>
              <w:rPr>
                <w:rFonts w:ascii="宋体" w:hAnsi="宋体" w:cs="宋体" w:eastAsia="宋体" w:hint="default"/>
                <w:sz w:val="15"/>
                <w:szCs w:val="15"/>
              </w:rPr>
              <w:t>深圳市齐普生信息科技有限公</w:t>
            </w:r>
          </w:p>
        </w:tc>
        <w:tc>
          <w:tcPr>
            <w:tcW w:w="993"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spacing w:line="209" w:lineRule="exact" w:before="84"/>
              <w:ind w:left="237" w:right="0"/>
              <w:jc w:val="left"/>
              <w:rPr>
                <w:rFonts w:ascii="宋体" w:hAnsi="宋体" w:cs="宋体" w:eastAsia="宋体" w:hint="default"/>
                <w:sz w:val="18"/>
                <w:szCs w:val="18"/>
              </w:rPr>
            </w:pPr>
            <w:r>
              <w:rPr>
                <w:rFonts w:ascii="宋体"/>
                <w:sz w:val="18"/>
              </w:rPr>
              <w:t>631.54</w:t>
            </w:r>
          </w:p>
        </w:tc>
        <w:tc>
          <w:tcPr>
            <w:tcW w:w="4552" w:type="dxa"/>
            <w:gridSpan w:val="4"/>
            <w:tcBorders>
              <w:top w:val="nil" w:sz="6" w:space="0" w:color="auto"/>
              <w:left w:val="nil" w:sz="6" w:space="0" w:color="auto"/>
              <w:bottom w:val="nil" w:sz="6" w:space="0" w:color="auto"/>
              <w:right w:val="nil" w:sz="6" w:space="0" w:color="auto"/>
            </w:tcBorders>
          </w:tcPr>
          <w:p>
            <w:pPr/>
          </w:p>
        </w:tc>
      </w:tr>
      <w:tr>
        <w:trPr>
          <w:trHeight w:val="242" w:hRule="exact"/>
        </w:trPr>
        <w:tc>
          <w:tcPr>
            <w:tcW w:w="2267" w:type="dxa"/>
            <w:tcBorders>
              <w:top w:val="nil" w:sz="6" w:space="0" w:color="auto"/>
              <w:left w:val="nil" w:sz="6" w:space="0" w:color="auto"/>
              <w:bottom w:val="nil" w:sz="6" w:space="0" w:color="auto"/>
              <w:right w:val="nil" w:sz="6" w:space="0" w:color="auto"/>
            </w:tcBorders>
          </w:tcPr>
          <w:p>
            <w:pPr>
              <w:pStyle w:val="TableParagraph"/>
              <w:spacing w:line="150" w:lineRule="exact"/>
              <w:ind w:left="108" w:right="0"/>
              <w:jc w:val="left"/>
              <w:rPr>
                <w:rFonts w:ascii="宋体" w:hAnsi="宋体" w:cs="宋体" w:eastAsia="宋体" w:hint="default"/>
                <w:sz w:val="15"/>
                <w:szCs w:val="15"/>
              </w:rPr>
            </w:pPr>
            <w:r>
              <w:rPr>
                <w:rFonts w:ascii="宋体" w:hAnsi="宋体" w:cs="宋体" w:eastAsia="宋体" w:hint="default"/>
                <w:sz w:val="15"/>
                <w:szCs w:val="15"/>
              </w:rPr>
              <w:t>司</w:t>
            </w:r>
          </w:p>
        </w:tc>
        <w:tc>
          <w:tcPr>
            <w:tcW w:w="993"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宋体" w:hAnsi="宋体" w:cs="宋体" w:eastAsia="宋体" w:hint="default"/>
                <w:sz w:val="18"/>
                <w:szCs w:val="18"/>
              </w:rPr>
            </w:pPr>
            <w:r>
              <w:rPr>
                <w:rFonts w:ascii="宋体"/>
                <w:sz w:val="18"/>
              </w:rPr>
              <w:t>56,888.79</w:t>
            </w:r>
          </w:p>
        </w:tc>
        <w:tc>
          <w:tcPr>
            <w:tcW w:w="1060" w:type="dxa"/>
            <w:tcBorders>
              <w:top w:val="nil" w:sz="6" w:space="0" w:color="auto"/>
              <w:left w:val="nil" w:sz="6" w:space="0" w:color="auto"/>
              <w:bottom w:val="nil" w:sz="6" w:space="0" w:color="auto"/>
              <w:right w:val="nil" w:sz="6" w:space="0" w:color="auto"/>
            </w:tcBorders>
          </w:tcPr>
          <w:p>
            <w:pPr/>
          </w:p>
        </w:tc>
        <w:tc>
          <w:tcPr>
            <w:tcW w:w="1149" w:type="dxa"/>
            <w:tcBorders>
              <w:top w:val="nil" w:sz="6" w:space="0" w:color="auto"/>
              <w:left w:val="nil" w:sz="6" w:space="0" w:color="auto"/>
              <w:bottom w:val="nil" w:sz="6" w:space="0" w:color="auto"/>
              <w:right w:val="nil" w:sz="6" w:space="0" w:color="auto"/>
            </w:tcBorders>
          </w:tcPr>
          <w:p>
            <w:pPr>
              <w:pStyle w:val="TableParagraph"/>
              <w:spacing w:line="184" w:lineRule="exact"/>
              <w:ind w:left="192" w:right="0"/>
              <w:jc w:val="left"/>
              <w:rPr>
                <w:rFonts w:ascii="宋体" w:hAnsi="宋体" w:cs="宋体" w:eastAsia="宋体" w:hint="default"/>
                <w:sz w:val="18"/>
                <w:szCs w:val="18"/>
              </w:rPr>
            </w:pPr>
            <w:r>
              <w:rPr>
                <w:rFonts w:ascii="宋体"/>
                <w:sz w:val="18"/>
              </w:rPr>
              <w:t>57,520.33</w:t>
            </w:r>
          </w:p>
        </w:tc>
        <w:tc>
          <w:tcPr>
            <w:tcW w:w="1101" w:type="dxa"/>
            <w:tcBorders>
              <w:top w:val="nil" w:sz="6" w:space="0" w:color="auto"/>
              <w:left w:val="nil" w:sz="6" w:space="0" w:color="auto"/>
              <w:bottom w:val="nil" w:sz="6" w:space="0" w:color="auto"/>
              <w:right w:val="nil" w:sz="6" w:space="0" w:color="auto"/>
            </w:tcBorders>
          </w:tcPr>
          <w:p>
            <w:pPr>
              <w:pStyle w:val="TableParagraph"/>
              <w:spacing w:line="184" w:lineRule="exact"/>
              <w:ind w:left="146" w:right="0"/>
              <w:jc w:val="left"/>
              <w:rPr>
                <w:rFonts w:ascii="宋体" w:hAnsi="宋体" w:cs="宋体" w:eastAsia="宋体" w:hint="default"/>
                <w:sz w:val="18"/>
                <w:szCs w:val="18"/>
              </w:rPr>
            </w:pPr>
            <w:r>
              <w:rPr>
                <w:rFonts w:ascii="宋体"/>
                <w:sz w:val="18"/>
              </w:rPr>
              <w:t>40,112.77</w:t>
            </w:r>
          </w:p>
        </w:tc>
        <w:tc>
          <w:tcPr>
            <w:tcW w:w="2302" w:type="dxa"/>
            <w:gridSpan w:val="2"/>
            <w:tcBorders>
              <w:top w:val="nil" w:sz="6" w:space="0" w:color="auto"/>
              <w:left w:val="nil" w:sz="6" w:space="0" w:color="auto"/>
              <w:bottom w:val="nil" w:sz="6" w:space="0" w:color="auto"/>
              <w:right w:val="nil" w:sz="6" w:space="0" w:color="auto"/>
            </w:tcBorders>
          </w:tcPr>
          <w:p>
            <w:pPr>
              <w:pStyle w:val="TableParagraph"/>
              <w:spacing w:line="184" w:lineRule="exact"/>
              <w:ind w:left="1297" w:right="0"/>
              <w:jc w:val="left"/>
              <w:rPr>
                <w:rFonts w:ascii="宋体" w:hAnsi="宋体" w:cs="宋体" w:eastAsia="宋体" w:hint="default"/>
                <w:sz w:val="18"/>
                <w:szCs w:val="18"/>
              </w:rPr>
            </w:pPr>
            <w:r>
              <w:rPr>
                <w:rFonts w:ascii="宋体"/>
                <w:sz w:val="18"/>
              </w:rPr>
              <w:t>40,112.77</w:t>
            </w:r>
          </w:p>
        </w:tc>
      </w:tr>
      <w:tr>
        <w:trPr>
          <w:trHeight w:val="335" w:hRule="exact"/>
        </w:trPr>
        <w:tc>
          <w:tcPr>
            <w:tcW w:w="2267" w:type="dxa"/>
            <w:tcBorders>
              <w:top w:val="nil" w:sz="6" w:space="0" w:color="auto"/>
              <w:left w:val="nil" w:sz="6" w:space="0" w:color="auto"/>
              <w:bottom w:val="single" w:sz="12" w:space="0" w:color="000000"/>
              <w:right w:val="nil" w:sz="6" w:space="0" w:color="auto"/>
            </w:tcBorders>
          </w:tcPr>
          <w:p>
            <w:pPr>
              <w:pStyle w:val="TableParagraph"/>
              <w:spacing w:line="240" w:lineRule="auto" w:before="27"/>
              <w:ind w:left="108" w:right="0"/>
              <w:jc w:val="left"/>
              <w:rPr>
                <w:rFonts w:ascii="宋体" w:hAnsi="宋体" w:cs="宋体" w:eastAsia="宋体" w:hint="default"/>
                <w:sz w:val="15"/>
                <w:szCs w:val="15"/>
              </w:rPr>
            </w:pPr>
            <w:r>
              <w:rPr>
                <w:rFonts w:ascii="宋体" w:hAnsi="宋体" w:cs="宋体" w:eastAsia="宋体" w:hint="default"/>
                <w:sz w:val="15"/>
                <w:szCs w:val="15"/>
              </w:rPr>
              <w:t>金证财富南京科技有限公司</w:t>
            </w:r>
          </w:p>
        </w:tc>
        <w:tc>
          <w:tcPr>
            <w:tcW w:w="993"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left="35" w:right="0"/>
              <w:jc w:val="left"/>
              <w:rPr>
                <w:rFonts w:ascii="宋体" w:hAnsi="宋体" w:cs="宋体" w:eastAsia="宋体" w:hint="default"/>
                <w:sz w:val="18"/>
                <w:szCs w:val="18"/>
              </w:rPr>
            </w:pPr>
            <w:r>
              <w:rPr>
                <w:rFonts w:ascii="宋体"/>
                <w:sz w:val="18"/>
              </w:rPr>
              <w:t>5,793.65</w:t>
            </w:r>
          </w:p>
        </w:tc>
        <w:tc>
          <w:tcPr>
            <w:tcW w:w="1060"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left="147" w:right="0"/>
              <w:jc w:val="left"/>
              <w:rPr>
                <w:rFonts w:ascii="宋体" w:hAnsi="宋体" w:cs="宋体" w:eastAsia="宋体" w:hint="default"/>
                <w:sz w:val="18"/>
                <w:szCs w:val="18"/>
              </w:rPr>
            </w:pPr>
            <w:r>
              <w:rPr>
                <w:rFonts w:ascii="宋体"/>
                <w:sz w:val="18"/>
              </w:rPr>
              <w:t>83.29</w:t>
            </w:r>
          </w:p>
        </w:tc>
        <w:tc>
          <w:tcPr>
            <w:tcW w:w="1149"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left="192" w:right="0"/>
              <w:jc w:val="left"/>
              <w:rPr>
                <w:rFonts w:ascii="宋体" w:hAnsi="宋体" w:cs="宋体" w:eastAsia="宋体" w:hint="default"/>
                <w:sz w:val="18"/>
                <w:szCs w:val="18"/>
              </w:rPr>
            </w:pPr>
            <w:r>
              <w:rPr>
                <w:rFonts w:ascii="宋体"/>
                <w:sz w:val="18"/>
              </w:rPr>
              <w:t>5,876.94</w:t>
            </w:r>
          </w:p>
        </w:tc>
        <w:tc>
          <w:tcPr>
            <w:tcW w:w="1101"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left="146" w:right="0"/>
              <w:jc w:val="left"/>
              <w:rPr>
                <w:rFonts w:ascii="宋体" w:hAnsi="宋体" w:cs="宋体" w:eastAsia="宋体" w:hint="default"/>
                <w:sz w:val="18"/>
                <w:szCs w:val="18"/>
              </w:rPr>
            </w:pPr>
            <w:r>
              <w:rPr>
                <w:rFonts w:ascii="宋体"/>
                <w:sz w:val="18"/>
              </w:rPr>
              <w:t>1,510.24</w:t>
            </w:r>
          </w:p>
        </w:tc>
        <w:tc>
          <w:tcPr>
            <w:tcW w:w="2302"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2"/>
              <w:ind w:left="1297" w:right="0"/>
              <w:jc w:val="left"/>
              <w:rPr>
                <w:rFonts w:ascii="宋体" w:hAnsi="宋体" w:cs="宋体" w:eastAsia="宋体" w:hint="default"/>
                <w:sz w:val="18"/>
                <w:szCs w:val="18"/>
              </w:rPr>
            </w:pPr>
            <w:r>
              <w:rPr>
                <w:rFonts w:ascii="宋体"/>
                <w:sz w:val="18"/>
              </w:rPr>
              <w:t>1,510.24</w:t>
            </w:r>
          </w:p>
        </w:tc>
      </w:tr>
      <w:tr>
        <w:trPr>
          <w:trHeight w:val="273" w:hRule="exact"/>
        </w:trPr>
        <w:tc>
          <w:tcPr>
            <w:tcW w:w="2267" w:type="dxa"/>
            <w:tcBorders>
              <w:top w:val="single" w:sz="12" w:space="0" w:color="000000"/>
              <w:left w:val="nil" w:sz="6" w:space="0" w:color="auto"/>
              <w:bottom w:val="nil" w:sz="6" w:space="0" w:color="auto"/>
              <w:right w:val="nil" w:sz="6" w:space="0" w:color="auto"/>
            </w:tcBorders>
          </w:tcPr>
          <w:p>
            <w:pPr/>
          </w:p>
        </w:tc>
        <w:tc>
          <w:tcPr>
            <w:tcW w:w="993" w:type="dxa"/>
            <w:tcBorders>
              <w:top w:val="single" w:sz="12" w:space="0" w:color="000000"/>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0" w:type="dxa"/>
            <w:tcBorders>
              <w:top w:val="single" w:sz="12" w:space="0" w:color="000000"/>
              <w:left w:val="nil" w:sz="6" w:space="0" w:color="auto"/>
              <w:bottom w:val="nil" w:sz="6" w:space="0" w:color="auto"/>
              <w:right w:val="nil" w:sz="6" w:space="0" w:color="auto"/>
            </w:tcBorders>
          </w:tcPr>
          <w:p>
            <w:pPr/>
          </w:p>
        </w:tc>
        <w:tc>
          <w:tcPr>
            <w:tcW w:w="1149" w:type="dxa"/>
            <w:tcBorders>
              <w:top w:val="single" w:sz="12" w:space="0" w:color="000000"/>
              <w:left w:val="nil" w:sz="6" w:space="0" w:color="auto"/>
              <w:bottom w:val="nil" w:sz="6" w:space="0" w:color="auto"/>
              <w:right w:val="nil" w:sz="6" w:space="0" w:color="auto"/>
            </w:tcBorders>
          </w:tcPr>
          <w:p>
            <w:pPr/>
          </w:p>
        </w:tc>
        <w:tc>
          <w:tcPr>
            <w:tcW w:w="1101" w:type="dxa"/>
            <w:tcBorders>
              <w:top w:val="single" w:sz="12" w:space="0" w:color="000000"/>
              <w:left w:val="nil" w:sz="6" w:space="0" w:color="auto"/>
              <w:bottom w:val="nil" w:sz="6" w:space="0" w:color="auto"/>
              <w:right w:val="nil" w:sz="6" w:space="0" w:color="auto"/>
            </w:tcBorders>
          </w:tcPr>
          <w:p>
            <w:pPr/>
          </w:p>
        </w:tc>
        <w:tc>
          <w:tcPr>
            <w:tcW w:w="2302" w:type="dxa"/>
            <w:gridSpan w:val="2"/>
            <w:tcBorders>
              <w:top w:val="single" w:sz="12" w:space="0" w:color="000000"/>
              <w:left w:val="nil" w:sz="6" w:space="0" w:color="auto"/>
              <w:bottom w:val="nil" w:sz="6" w:space="0" w:color="auto"/>
              <w:right w:val="nil" w:sz="6" w:space="0" w:color="auto"/>
            </w:tcBorders>
          </w:tcPr>
          <w:p>
            <w:pPr/>
          </w:p>
        </w:tc>
      </w:tr>
      <w:tr>
        <w:trPr>
          <w:trHeight w:val="382" w:hRule="exact"/>
        </w:trPr>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8"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47" w:right="0"/>
              <w:jc w:val="left"/>
              <w:rPr>
                <w:rFonts w:ascii="宋体" w:hAnsi="宋体" w:cs="宋体" w:eastAsia="宋体" w:hint="default"/>
                <w:sz w:val="18"/>
                <w:szCs w:val="18"/>
              </w:rPr>
            </w:pPr>
            <w:r>
              <w:rPr>
                <w:rFonts w:ascii="宋体" w:hAnsi="宋体" w:cs="宋体" w:eastAsia="宋体" w:hint="default"/>
                <w:sz w:val="18"/>
                <w:szCs w:val="18"/>
              </w:rPr>
              <w:t>非流动资</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3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tabs>
                <w:tab w:pos="1297" w:val="left" w:leader="none"/>
              </w:tabs>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非流动负债</w:t>
              <w:tab/>
              <w:t>负债合计</w:t>
            </w:r>
          </w:p>
        </w:tc>
      </w:tr>
      <w:tr>
        <w:trPr>
          <w:trHeight w:val="219" w:hRule="exact"/>
        </w:trPr>
        <w:tc>
          <w:tcPr>
            <w:tcW w:w="3259" w:type="dxa"/>
            <w:gridSpan w:val="2"/>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spacing w:line="148" w:lineRule="exact"/>
              <w:ind w:left="147"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149" w:type="dxa"/>
            <w:tcBorders>
              <w:top w:val="nil" w:sz="6" w:space="0" w:color="auto"/>
              <w:left w:val="nil" w:sz="6" w:space="0" w:color="auto"/>
              <w:bottom w:val="nil" w:sz="6" w:space="0" w:color="auto"/>
              <w:right w:val="nil" w:sz="6" w:space="0" w:color="auto"/>
            </w:tcBorders>
          </w:tcPr>
          <w:p>
            <w:pPr/>
          </w:p>
        </w:tc>
        <w:tc>
          <w:tcPr>
            <w:tcW w:w="1101"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r>
      <w:tr>
        <w:trPr>
          <w:trHeight w:val="348" w:hRule="exact"/>
        </w:trPr>
        <w:tc>
          <w:tcPr>
            <w:tcW w:w="3259" w:type="dxa"/>
            <w:gridSpan w:val="2"/>
            <w:tcBorders>
              <w:top w:val="nil" w:sz="6" w:space="0" w:color="auto"/>
              <w:left w:val="nil" w:sz="6" w:space="0" w:color="auto"/>
              <w:bottom w:val="nil" w:sz="6" w:space="0" w:color="auto"/>
              <w:right w:val="nil" w:sz="6" w:space="0" w:color="auto"/>
            </w:tcBorders>
          </w:tcPr>
          <w:p>
            <w:pPr>
              <w:pStyle w:val="TableParagraph"/>
              <w:spacing w:line="77" w:lineRule="exact"/>
              <w:ind w:left="108" w:right="0"/>
              <w:jc w:val="left"/>
              <w:rPr>
                <w:rFonts w:ascii="宋体" w:hAnsi="宋体" w:cs="宋体" w:eastAsia="宋体" w:hint="default"/>
                <w:sz w:val="15"/>
                <w:szCs w:val="15"/>
              </w:rPr>
            </w:pPr>
            <w:r>
              <w:rPr>
                <w:rFonts w:ascii="宋体" w:hAnsi="宋体" w:cs="宋体" w:eastAsia="宋体" w:hint="default"/>
                <w:sz w:val="15"/>
                <w:szCs w:val="15"/>
              </w:rPr>
              <w:t>深圳市齐普生信息科技有限公</w:t>
            </w:r>
          </w:p>
          <w:p>
            <w:pPr>
              <w:pStyle w:val="TableParagraph"/>
              <w:tabs>
                <w:tab w:pos="2301" w:val="left" w:leader="none"/>
              </w:tabs>
              <w:spacing w:line="260" w:lineRule="exact"/>
              <w:ind w:left="108" w:right="0"/>
              <w:jc w:val="left"/>
              <w:rPr>
                <w:rFonts w:ascii="宋体" w:hAnsi="宋体" w:cs="宋体" w:eastAsia="宋体" w:hint="default"/>
                <w:sz w:val="18"/>
                <w:szCs w:val="18"/>
              </w:rPr>
            </w:pPr>
            <w:r>
              <w:rPr>
                <w:rFonts w:ascii="宋体" w:hAnsi="宋体" w:cs="宋体" w:eastAsia="宋体" w:hint="default"/>
                <w:position w:val="-8"/>
                <w:sz w:val="15"/>
                <w:szCs w:val="15"/>
              </w:rPr>
              <w:t>司</w:t>
              <w:tab/>
            </w:r>
            <w:r>
              <w:rPr>
                <w:rFonts w:ascii="宋体" w:hAnsi="宋体" w:cs="宋体" w:eastAsia="宋体" w:hint="default"/>
                <w:sz w:val="18"/>
                <w:szCs w:val="18"/>
              </w:rPr>
              <w:t>42,827.47</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7" w:right="0"/>
              <w:jc w:val="left"/>
              <w:rPr>
                <w:rFonts w:ascii="宋体" w:hAnsi="宋体" w:cs="宋体" w:eastAsia="宋体" w:hint="default"/>
                <w:sz w:val="18"/>
                <w:szCs w:val="18"/>
              </w:rPr>
            </w:pPr>
            <w:r>
              <w:rPr>
                <w:rFonts w:ascii="宋体"/>
                <w:sz w:val="18"/>
              </w:rPr>
              <w:t>630.13</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92" w:right="0"/>
              <w:jc w:val="left"/>
              <w:rPr>
                <w:rFonts w:ascii="宋体" w:hAnsi="宋体" w:cs="宋体" w:eastAsia="宋体" w:hint="default"/>
                <w:sz w:val="18"/>
                <w:szCs w:val="18"/>
              </w:rPr>
            </w:pPr>
            <w:r>
              <w:rPr>
                <w:rFonts w:ascii="宋体"/>
                <w:sz w:val="18"/>
              </w:rPr>
              <w:t>43,457.60</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6" w:right="0"/>
              <w:jc w:val="left"/>
              <w:rPr>
                <w:rFonts w:ascii="宋体" w:hAnsi="宋体" w:cs="宋体" w:eastAsia="宋体" w:hint="default"/>
                <w:sz w:val="18"/>
                <w:szCs w:val="18"/>
              </w:rPr>
            </w:pPr>
            <w:r>
              <w:rPr>
                <w:rFonts w:ascii="宋体"/>
                <w:sz w:val="18"/>
              </w:rPr>
              <w:t>28,920.65</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4" w:right="0"/>
              <w:jc w:val="left"/>
              <w:rPr>
                <w:rFonts w:ascii="宋体" w:hAnsi="宋体" w:cs="宋体" w:eastAsia="宋体" w:hint="default"/>
                <w:sz w:val="18"/>
                <w:szCs w:val="18"/>
              </w:rPr>
            </w:pPr>
            <w:r>
              <w:rPr>
                <w:rFonts w:ascii="宋体"/>
                <w:sz w:val="18"/>
              </w:rPr>
              <w:t>150.00</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06" w:right="0"/>
              <w:jc w:val="left"/>
              <w:rPr>
                <w:rFonts w:ascii="宋体" w:hAnsi="宋体" w:cs="宋体" w:eastAsia="宋体" w:hint="default"/>
                <w:sz w:val="18"/>
                <w:szCs w:val="18"/>
              </w:rPr>
            </w:pPr>
            <w:r>
              <w:rPr>
                <w:rFonts w:ascii="宋体"/>
                <w:sz w:val="18"/>
              </w:rPr>
              <w:t>29,070.65</w:t>
            </w:r>
          </w:p>
        </w:tc>
      </w:tr>
      <w:tr>
        <w:trPr>
          <w:trHeight w:val="374" w:hRule="exact"/>
        </w:trPr>
        <w:tc>
          <w:tcPr>
            <w:tcW w:w="3259" w:type="dxa"/>
            <w:gridSpan w:val="2"/>
            <w:tcBorders>
              <w:top w:val="nil" w:sz="6" w:space="0" w:color="auto"/>
              <w:left w:val="nil" w:sz="6" w:space="0" w:color="auto"/>
              <w:bottom w:val="nil" w:sz="6" w:space="0" w:color="auto"/>
              <w:right w:val="nil" w:sz="6" w:space="0" w:color="auto"/>
            </w:tcBorders>
          </w:tcPr>
          <w:p>
            <w:pPr>
              <w:pStyle w:val="TableParagraph"/>
              <w:tabs>
                <w:tab w:pos="2841" w:val="right" w:leader="none"/>
              </w:tabs>
              <w:spacing w:line="240" w:lineRule="auto" w:before="41"/>
              <w:ind w:left="108" w:right="0"/>
              <w:jc w:val="left"/>
              <w:rPr>
                <w:rFonts w:ascii="宋体" w:hAnsi="宋体" w:cs="宋体" w:eastAsia="宋体" w:hint="default"/>
                <w:sz w:val="18"/>
                <w:szCs w:val="18"/>
              </w:rPr>
            </w:pPr>
            <w:r>
              <w:rPr>
                <w:rFonts w:ascii="宋体" w:hAnsi="宋体" w:cs="宋体" w:eastAsia="宋体" w:hint="default"/>
                <w:position w:val="1"/>
                <w:sz w:val="15"/>
                <w:szCs w:val="15"/>
              </w:rPr>
              <w:t>金证财富南京科技有限公司</w:t>
            </w:r>
            <w:r>
              <w:rPr>
                <w:rFonts w:ascii="Times New Roman" w:hAnsi="Times New Roman" w:cs="Times New Roman" w:eastAsia="Times New Roman" w:hint="default"/>
                <w:sz w:val="18"/>
                <w:szCs w:val="18"/>
              </w:rPr>
              <w:tab/>
            </w:r>
            <w:r>
              <w:rPr>
                <w:rFonts w:ascii="宋体" w:hAnsi="宋体" w:cs="宋体" w:eastAsia="宋体" w:hint="default"/>
                <w:sz w:val="18"/>
                <w:szCs w:val="18"/>
              </w:rPr>
              <w:t>829.66</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47" w:right="0"/>
              <w:jc w:val="left"/>
              <w:rPr>
                <w:rFonts w:ascii="宋体" w:hAnsi="宋体" w:cs="宋体" w:eastAsia="宋体" w:hint="default"/>
                <w:sz w:val="18"/>
                <w:szCs w:val="18"/>
              </w:rPr>
            </w:pPr>
            <w:r>
              <w:rPr>
                <w:rFonts w:ascii="宋体"/>
                <w:sz w:val="18"/>
              </w:rPr>
              <w:t>2,301.19</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92" w:right="0"/>
              <w:jc w:val="left"/>
              <w:rPr>
                <w:rFonts w:ascii="宋体" w:hAnsi="宋体" w:cs="宋体" w:eastAsia="宋体" w:hint="default"/>
                <w:sz w:val="18"/>
                <w:szCs w:val="18"/>
              </w:rPr>
            </w:pPr>
            <w:r>
              <w:rPr>
                <w:rFonts w:ascii="宋体"/>
                <w:sz w:val="18"/>
              </w:rPr>
              <w:t>3,130.85</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46" w:right="0"/>
              <w:jc w:val="left"/>
              <w:rPr>
                <w:rFonts w:ascii="宋体" w:hAnsi="宋体" w:cs="宋体" w:eastAsia="宋体" w:hint="default"/>
                <w:sz w:val="18"/>
                <w:szCs w:val="18"/>
              </w:rPr>
            </w:pPr>
            <w:r>
              <w:rPr>
                <w:rFonts w:ascii="宋体"/>
                <w:sz w:val="18"/>
              </w:rPr>
              <w:t>144.16</w:t>
            </w:r>
          </w:p>
        </w:tc>
        <w:tc>
          <w:tcPr>
            <w:tcW w:w="991"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06" w:right="0"/>
              <w:jc w:val="left"/>
              <w:rPr>
                <w:rFonts w:ascii="宋体" w:hAnsi="宋体" w:cs="宋体" w:eastAsia="宋体" w:hint="default"/>
                <w:sz w:val="18"/>
                <w:szCs w:val="18"/>
              </w:rPr>
            </w:pPr>
            <w:r>
              <w:rPr>
                <w:rFonts w:ascii="宋体"/>
                <w:sz w:val="18"/>
              </w:rPr>
              <w:t>144.16</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tbl>
      <w:tblPr>
        <w:tblW w:w="0" w:type="auto"/>
        <w:jc w:val="left"/>
        <w:tblInd w:w="1224" w:type="dxa"/>
        <w:tblLayout w:type="fixed"/>
        <w:tblCellMar>
          <w:top w:w="0" w:type="dxa"/>
          <w:left w:w="0" w:type="dxa"/>
          <w:bottom w:w="0" w:type="dxa"/>
          <w:right w:w="0" w:type="dxa"/>
        </w:tblCellMar>
        <w:tblLook w:val="01E0"/>
      </w:tblPr>
      <w:tblGrid>
        <w:gridCol w:w="1043"/>
        <w:gridCol w:w="938"/>
        <w:gridCol w:w="939"/>
        <w:gridCol w:w="938"/>
        <w:gridCol w:w="1132"/>
        <w:gridCol w:w="971"/>
        <w:gridCol w:w="956"/>
        <w:gridCol w:w="683"/>
      </w:tblGrid>
      <w:tr>
        <w:trPr>
          <w:trHeight w:val="522" w:hRule="exact"/>
        </w:trPr>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8"/>
                <w:szCs w:val="18"/>
              </w:rPr>
            </w:pPr>
            <w:r>
              <w:rPr>
                <w:rFonts w:ascii="宋体"/>
                <w:sz w:val="18"/>
              </w:rPr>
              <w:t>168,829.37</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8" w:right="0"/>
              <w:jc w:val="left"/>
              <w:rPr>
                <w:rFonts w:ascii="宋体" w:hAnsi="宋体" w:cs="宋体" w:eastAsia="宋体" w:hint="default"/>
                <w:sz w:val="18"/>
                <w:szCs w:val="18"/>
              </w:rPr>
            </w:pPr>
            <w:r>
              <w:rPr>
                <w:rFonts w:ascii="宋体"/>
                <w:sz w:val="18"/>
              </w:rPr>
              <w:t>4,020.61</w:t>
            </w: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0"/>
              <w:jc w:val="center"/>
              <w:rPr>
                <w:rFonts w:ascii="宋体" w:hAnsi="宋体" w:cs="宋体" w:eastAsia="宋体" w:hint="default"/>
                <w:sz w:val="18"/>
                <w:szCs w:val="18"/>
              </w:rPr>
            </w:pPr>
            <w:r>
              <w:rPr>
                <w:rFonts w:ascii="宋体"/>
                <w:sz w:val="18"/>
              </w:rPr>
              <w:t>4,020.61</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9" w:right="0"/>
              <w:jc w:val="left"/>
              <w:rPr>
                <w:rFonts w:ascii="宋体" w:hAnsi="宋体" w:cs="宋体" w:eastAsia="宋体" w:hint="default"/>
                <w:sz w:val="17"/>
                <w:szCs w:val="17"/>
              </w:rPr>
            </w:pPr>
            <w:r>
              <w:rPr>
                <w:rFonts w:ascii="宋体"/>
                <w:sz w:val="17"/>
              </w:rPr>
              <w:t>557.01</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9" w:right="0"/>
              <w:jc w:val="left"/>
              <w:rPr>
                <w:rFonts w:ascii="宋体" w:hAnsi="宋体" w:cs="宋体" w:eastAsia="宋体" w:hint="default"/>
                <w:sz w:val="18"/>
                <w:szCs w:val="18"/>
              </w:rPr>
            </w:pPr>
            <w:r>
              <w:rPr>
                <w:rFonts w:ascii="宋体"/>
                <w:sz w:val="18"/>
              </w:rPr>
              <w:t>141,242.30</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23" w:right="0"/>
              <w:jc w:val="left"/>
              <w:rPr>
                <w:rFonts w:ascii="宋体" w:hAnsi="宋体" w:cs="宋体" w:eastAsia="宋体" w:hint="default"/>
                <w:sz w:val="18"/>
                <w:szCs w:val="18"/>
              </w:rPr>
            </w:pPr>
            <w:r>
              <w:rPr>
                <w:rFonts w:ascii="宋体"/>
                <w:sz w:val="18"/>
              </w:rPr>
              <w:t>3,383.40</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28" w:right="0"/>
              <w:jc w:val="left"/>
              <w:rPr>
                <w:rFonts w:ascii="宋体" w:hAnsi="宋体" w:cs="宋体" w:eastAsia="宋体" w:hint="default"/>
                <w:sz w:val="18"/>
                <w:szCs w:val="18"/>
              </w:rPr>
            </w:pPr>
            <w:r>
              <w:rPr>
                <w:rFonts w:ascii="宋体"/>
                <w:sz w:val="18"/>
              </w:rPr>
              <w:t>3,383.40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8" w:right="0"/>
              <w:jc w:val="left"/>
              <w:rPr>
                <w:rFonts w:ascii="宋体" w:hAnsi="宋体" w:cs="宋体" w:eastAsia="宋体" w:hint="default"/>
                <w:sz w:val="18"/>
                <w:szCs w:val="18"/>
              </w:rPr>
            </w:pPr>
            <w:r>
              <w:rPr>
                <w:rFonts w:ascii="宋体"/>
                <w:sz w:val="18"/>
              </w:rPr>
              <w:t>773.30</w:t>
            </w:r>
          </w:p>
        </w:tc>
      </w:tr>
      <w:tr>
        <w:trPr>
          <w:trHeight w:val="536" w:hRule="exact"/>
        </w:trPr>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4,557.36</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sz w:val="18"/>
              </w:rPr>
              <w:t>1,380.01</w:t>
            </w: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1,380.01</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09" w:right="0"/>
              <w:jc w:val="left"/>
              <w:rPr>
                <w:rFonts w:ascii="宋体" w:hAnsi="宋体" w:cs="宋体" w:eastAsia="宋体" w:hint="default"/>
                <w:sz w:val="18"/>
                <w:szCs w:val="18"/>
              </w:rPr>
            </w:pPr>
            <w:r>
              <w:rPr>
                <w:rFonts w:ascii="宋体"/>
                <w:sz w:val="18"/>
              </w:rPr>
              <w:t>1,153.59</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09" w:right="0"/>
              <w:jc w:val="left"/>
              <w:rPr>
                <w:rFonts w:ascii="宋体" w:hAnsi="宋体" w:cs="宋体" w:eastAsia="宋体" w:hint="default"/>
                <w:sz w:val="18"/>
                <w:szCs w:val="18"/>
              </w:rPr>
            </w:pPr>
            <w:r>
              <w:rPr>
                <w:rFonts w:ascii="宋体"/>
                <w:sz w:val="18"/>
              </w:rPr>
              <w:t>106.89</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sz w:val="18"/>
              </w:rPr>
              <w:t>-13.31</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sz w:val="18"/>
              </w:rPr>
              <w:t>-13.31</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sz w:val="18"/>
              </w:rPr>
              <w:t>79.03</w:t>
            </w:r>
          </w:p>
        </w:tc>
      </w:tr>
    </w:tbl>
    <w:p>
      <w:pPr>
        <w:spacing w:line="240" w:lineRule="auto" w:before="7"/>
        <w:rPr>
          <w:rFonts w:ascii="宋体" w:hAnsi="宋体" w:cs="宋体" w:eastAsia="宋体" w:hint="default"/>
          <w:b/>
          <w:bCs/>
          <w:sz w:val="25"/>
          <w:szCs w:val="25"/>
        </w:rPr>
      </w:pPr>
    </w:p>
    <w:p>
      <w:pPr>
        <w:pStyle w:val="Heading3"/>
        <w:spacing w:line="240" w:lineRule="auto"/>
        <w:ind w:left="237" w:right="6627"/>
        <w:jc w:val="left"/>
        <w:rPr>
          <w:b w:val="0"/>
          <w:bCs w:val="0"/>
        </w:rPr>
      </w:pPr>
      <w:r>
        <w:rPr/>
        <w:pict>
          <v:group style="position:absolute;margin-left:87.660004pt;margin-top:111.094421pt;width:432.45pt;height:192pt;mso-position-horizontal-relative:page;mso-position-vertical-relative:paragraph;z-index:-1228960" coordorigin="1753,2222" coordsize="8649,3840">
            <v:shape style="position:absolute;left:4802;top:2222;width:10;height:340" type="#_x0000_t75" stroked="false">
              <v:imagedata r:id="rId32" o:title=""/>
            </v:shape>
            <v:shape style="position:absolute;left:4781;top:2540;width:5621;height:394" type="#_x0000_t75" stroked="false">
              <v:imagedata r:id="rId33" o:title=""/>
            </v:shape>
            <v:shape style="position:absolute;left:1753;top:2890;width:8648;height:3172" type="#_x0000_t75" stroked="false">
              <v:imagedata r:id="rId34" o:title=""/>
            </v:shape>
            <w10:wrap type="none"/>
          </v:group>
        </w:pict>
      </w:r>
      <w:r>
        <w:rPr/>
        <w:t>重要的联营企业</w:t>
      </w:r>
      <w:r>
        <w:rPr>
          <w:b w:val="0"/>
          <w:bCs w:val="0"/>
        </w:rPr>
      </w:r>
    </w:p>
    <w:p>
      <w:pPr>
        <w:spacing w:line="240" w:lineRule="auto" w:before="7"/>
        <w:rPr>
          <w:rFonts w:ascii="宋体" w:hAnsi="宋体" w:cs="宋体" w:eastAsia="宋体" w:hint="default"/>
          <w:b/>
          <w:bCs/>
          <w:sz w:val="2"/>
          <w:szCs w:val="2"/>
        </w:rPr>
      </w:pPr>
    </w:p>
    <w:p>
      <w:pPr>
        <w:spacing w:line="1576" w:lineRule="exact"/>
        <w:ind w:left="100" w:right="0" w:firstLine="0"/>
        <w:rPr>
          <w:rFonts w:ascii="宋体" w:hAnsi="宋体" w:cs="宋体" w:eastAsia="宋体" w:hint="default"/>
          <w:sz w:val="20"/>
          <w:szCs w:val="20"/>
        </w:rPr>
      </w:pPr>
      <w:r>
        <w:rPr>
          <w:rFonts w:ascii="宋体" w:hAnsi="宋体" w:cs="宋体" w:eastAsia="宋体" w:hint="default"/>
          <w:position w:val="-31"/>
          <w:sz w:val="20"/>
          <w:szCs w:val="20"/>
        </w:rPr>
        <w:pict>
          <v:group style="width:455.25pt;height:78.850pt;mso-position-horizontal-relative:char;mso-position-vertical-relative:line" coordorigin="0,0" coordsize="9105,1577">
            <v:group style="position:absolute;left:29;top:15;width:9050;height:2" coordorigin="29,15" coordsize="9050,2">
              <v:shape style="position:absolute;left:29;top:15;width:9050;height:2" coordorigin="29,15" coordsize="9050,0" path="m29,15l9079,15e" filled="false" stroked="true" strokeweight="1.5pt" strokecolor="#000000">
                <v:path arrowok="t"/>
              </v:shape>
              <v:shape style="position:absolute;left:2513;top:10;width:5094;height:731" type="#_x0000_t75" stroked="false">
                <v:imagedata r:id="rId35" o:title=""/>
              </v:shape>
            </v:group>
            <v:group style="position:absolute;left:15;top:1562;width:2520;height:2" coordorigin="15,1562" coordsize="2520,2">
              <v:shape style="position:absolute;left:15;top:1562;width:2520;height:2" coordorigin="15,1562" coordsize="2520,0" path="m15,1562l2535,1562e" filled="false" stroked="true" strokeweight="1.5pt" strokecolor="#000000">
                <v:path arrowok="t"/>
              </v:shape>
              <v:shape style="position:absolute;left:1;top:698;width:9104;height:877" type="#_x0000_t75" stroked="false">
                <v:imagedata r:id="rId36" o:title=""/>
              </v:shape>
            </v:group>
            <v:group style="position:absolute;left:2535;top:1562;width:1114;height:2" coordorigin="2535,1562" coordsize="1114,2">
              <v:shape style="position:absolute;left:2535;top:1562;width:1114;height:2" coordorigin="2535,1562" coordsize="1114,0" path="m2535,1562l3649,1562e" filled="false" stroked="true" strokeweight="1.5pt" strokecolor="#000000">
                <v:path arrowok="t"/>
              </v:shape>
              <v:shape style="position:absolute;left:3620;top:1051;width:67;height:524" type="#_x0000_t75" stroked="false">
                <v:imagedata r:id="rId37" o:title=""/>
              </v:shape>
            </v:group>
            <v:group style="position:absolute;left:3649;top:1562;width:956;height:2" coordorigin="3649,1562" coordsize="956,2">
              <v:shape style="position:absolute;left:3649;top:1562;width:956;height:2" coordorigin="3649,1562" coordsize="956,0" path="m3649,1562l4604,1562e" filled="false" stroked="true" strokeweight="1.5pt" strokecolor="#000000">
                <v:path arrowok="t"/>
              </v:shape>
              <v:shape style="position:absolute;left:4575;top:1051;width:67;height:524" type="#_x0000_t75" stroked="false">
                <v:imagedata r:id="rId38" o:title=""/>
              </v:shape>
            </v:group>
            <v:group style="position:absolute;left:4604;top:1562;width:957;height:2" coordorigin="4604,1562" coordsize="957,2">
              <v:shape style="position:absolute;left:4604;top:1562;width:957;height:2" coordorigin="4604,1562" coordsize="957,0" path="m4604,1562l5560,1562e" filled="false" stroked="true" strokeweight="1.5pt" strokecolor="#000000">
                <v:path arrowok="t"/>
              </v:shape>
              <v:shape style="position:absolute;left:5531;top:1051;width:67;height:524" type="#_x0000_t75" stroked="false">
                <v:imagedata r:id="rId38" o:title=""/>
              </v:shape>
            </v:group>
            <v:group style="position:absolute;left:5560;top:1562;width:1008;height:2" coordorigin="5560,1562" coordsize="1008,2">
              <v:shape style="position:absolute;left:5560;top:1562;width:1008;height:2" coordorigin="5560,1562" coordsize="1008,0" path="m5560,1562l6568,1562e" filled="false" stroked="true" strokeweight="1.5pt" strokecolor="#000000">
                <v:path arrowok="t"/>
              </v:shape>
              <v:shape style="position:absolute;left:6539;top:1051;width:67;height:524" type="#_x0000_t75" stroked="false">
                <v:imagedata r:id="rId38" o:title=""/>
              </v:shape>
            </v:group>
            <v:group style="position:absolute;left:6568;top:1562;width:1008;height:2" coordorigin="6568,1562" coordsize="1008,2">
              <v:shape style="position:absolute;left:6568;top:1562;width:1008;height:2" coordorigin="6568,1562" coordsize="1008,0" path="m6568,1562l7576,1562e" filled="false" stroked="true" strokeweight="1.5pt" strokecolor="#000000">
                <v:path arrowok="t"/>
              </v:shape>
              <v:shape style="position:absolute;left:7547;top:1051;width:67;height:524" type="#_x0000_t75" stroked="false">
                <v:imagedata r:id="rId38" o:title=""/>
              </v:shape>
            </v:group>
            <v:group style="position:absolute;left:7576;top:1562;width:1503;height:2" coordorigin="7576,1562" coordsize="1503,2">
              <v:shape style="position:absolute;left:7576;top:1562;width:1503;height:2" coordorigin="7576,1562" coordsize="1503,0" path="m7576,1562l9079,1562e" filled="false" stroked="true" strokeweight="1.5pt" strokecolor="#000000">
                <v:path arrowok="t"/>
              </v:shape>
              <v:shape style="position:absolute;left:137;top:283;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联营企业名称</w:t>
                      </w:r>
                    </w:p>
                  </w:txbxContent>
                </v:textbox>
                <w10:wrap type="none"/>
              </v:shape>
              <v:shape style="position:absolute;left:2647;top:167;width:1655;height:413" type="#_x0000_t202" filled="false" stroked="false">
                <v:textbox inset="0,0,0,0">
                  <w:txbxContent>
                    <w:p>
                      <w:pPr>
                        <w:spacing w:line="12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主要经营</w:t>
                      </w:r>
                    </w:p>
                    <w:p>
                      <w:pPr>
                        <w:tabs>
                          <w:tab w:pos="1114" w:val="left" w:leader="none"/>
                        </w:tabs>
                        <w:spacing w:line="292" w:lineRule="exact" w:before="0"/>
                        <w:ind w:left="0" w:right="0" w:firstLine="0"/>
                        <w:jc w:val="left"/>
                        <w:rPr>
                          <w:rFonts w:ascii="宋体" w:hAnsi="宋体" w:cs="宋体" w:eastAsia="宋体" w:hint="default"/>
                          <w:sz w:val="18"/>
                          <w:szCs w:val="18"/>
                        </w:rPr>
                      </w:pPr>
                      <w:r>
                        <w:rPr>
                          <w:rFonts w:ascii="宋体" w:hAnsi="宋体" w:cs="宋体" w:eastAsia="宋体" w:hint="default"/>
                          <w:position w:val="-11"/>
                          <w:sz w:val="18"/>
                          <w:szCs w:val="18"/>
                        </w:rPr>
                        <w:t>地</w:t>
                        <w:tab/>
                      </w:r>
                      <w:r>
                        <w:rPr>
                          <w:rFonts w:ascii="宋体" w:hAnsi="宋体" w:cs="宋体" w:eastAsia="宋体" w:hint="default"/>
                          <w:sz w:val="18"/>
                          <w:szCs w:val="18"/>
                        </w:rPr>
                        <w:t>注册地</w:t>
                      </w:r>
                    </w:p>
                  </w:txbxContent>
                </v:textbox>
                <w10:wrap type="none"/>
              </v:shape>
              <v:shape style="position:absolute;left:4715;top:167;width:360;height:413" type="#_x0000_t202" filled="false" stroked="false">
                <v:textbox inset="0,0,0,0">
                  <w:txbxContent>
                    <w:p>
                      <w:pPr>
                        <w:spacing w:line="179"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业务</w:t>
                      </w:r>
                    </w:p>
                    <w:p>
                      <w:pPr>
                        <w:spacing w:line="23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性质</w:t>
                      </w:r>
                    </w:p>
                  </w:txbxContent>
                </v:textbox>
                <w10:wrap type="none"/>
              </v:shape>
              <v:shape style="position:absolute;left:2647;top:80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深圳市</w:t>
                      </w:r>
                    </w:p>
                  </w:txbxContent>
                </v:textbox>
                <w10:wrap type="none"/>
              </v:shape>
              <v:shape style="position:absolute;left:3761;top:80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深圳市</w:t>
                      </w:r>
                    </w:p>
                  </w:txbxContent>
                </v:textbox>
                <w10:wrap type="none"/>
              </v:shape>
              <v:shape style="position:absolute;left:4715;top:80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信息技术</w:t>
                      </w:r>
                    </w:p>
                  </w:txbxContent>
                </v:textbox>
                <w10:wrap type="none"/>
              </v:shape>
              <v:shape style="position:absolute;left:5672;top:108;width:948;height:872" type="#_x0000_t202" filled="false" stroked="false">
                <v:textbox inset="0,0,0,0">
                  <w:txbxContent>
                    <w:p>
                      <w:pPr>
                        <w:spacing w:line="193" w:lineRule="exact" w:before="0"/>
                        <w:ind w:left="0" w:right="0" w:firstLine="0"/>
                        <w:jc w:val="left"/>
                        <w:rPr>
                          <w:rFonts w:ascii="Arial" w:hAnsi="Arial" w:cs="Arial" w:eastAsia="Arial" w:hint="default"/>
                          <w:sz w:val="18"/>
                          <w:szCs w:val="18"/>
                        </w:rPr>
                      </w:pPr>
                      <w:r>
                        <w:rPr>
                          <w:rFonts w:ascii="宋体" w:hAnsi="宋体" w:cs="宋体" w:eastAsia="宋体" w:hint="default"/>
                          <w:w w:val="90"/>
                          <w:sz w:val="18"/>
                          <w:szCs w:val="18"/>
                        </w:rPr>
                        <w:t>持股比例</w:t>
                      </w:r>
                      <w:r>
                        <w:rPr>
                          <w:rFonts w:ascii="Arial" w:hAnsi="Arial" w:cs="Arial" w:eastAsia="Arial" w:hint="default"/>
                          <w:w w:val="90"/>
                          <w:sz w:val="18"/>
                          <w:szCs w:val="18"/>
                        </w:rPr>
                        <w:t>(%)</w:t>
                      </w:r>
                      <w:r>
                        <w:rPr>
                          <w:rFonts w:ascii="Arial" w:hAnsi="Arial" w:cs="Arial" w:eastAsia="Arial" w:hint="default"/>
                          <w:sz w:val="18"/>
                          <w:szCs w:val="18"/>
                        </w:rPr>
                      </w:r>
                    </w:p>
                    <w:p>
                      <w:pPr>
                        <w:spacing w:before="102"/>
                        <w:ind w:left="0" w:right="0" w:firstLine="0"/>
                        <w:jc w:val="left"/>
                        <w:rPr>
                          <w:rFonts w:ascii="宋体" w:hAnsi="宋体" w:cs="宋体" w:eastAsia="宋体" w:hint="default"/>
                          <w:sz w:val="18"/>
                          <w:szCs w:val="18"/>
                        </w:rPr>
                      </w:pPr>
                      <w:r>
                        <w:rPr>
                          <w:rFonts w:ascii="宋体" w:hAnsi="宋体" w:cs="宋体" w:eastAsia="宋体" w:hint="default"/>
                          <w:sz w:val="18"/>
                          <w:szCs w:val="18"/>
                        </w:rPr>
                        <w:t>直接</w:t>
                      </w:r>
                    </w:p>
                    <w:p>
                      <w:pPr>
                        <w:spacing w:line="240" w:lineRule="auto" w:before="2"/>
                        <w:rPr>
                          <w:rFonts w:ascii="宋体" w:hAnsi="宋体" w:cs="宋体" w:eastAsia="宋体" w:hint="default"/>
                          <w:b/>
                          <w:bCs/>
                          <w:sz w:val="13"/>
                          <w:szCs w:val="13"/>
                        </w:rPr>
                      </w:pPr>
                    </w:p>
                    <w:p>
                      <w:pPr>
                        <w:spacing w:line="169" w:lineRule="exact" w:before="0"/>
                        <w:ind w:left="0" w:right="0" w:firstLine="0"/>
                        <w:jc w:val="left"/>
                        <w:rPr>
                          <w:rFonts w:ascii="Arial" w:hAnsi="Arial" w:cs="Arial" w:eastAsia="Arial" w:hint="default"/>
                          <w:sz w:val="15"/>
                          <w:szCs w:val="15"/>
                        </w:rPr>
                      </w:pPr>
                      <w:r>
                        <w:rPr>
                          <w:rFonts w:ascii="Arial"/>
                          <w:sz w:val="15"/>
                        </w:rPr>
                        <w:t>30.00</w:t>
                      </w:r>
                    </w:p>
                  </w:txbxContent>
                </v:textbox>
                <w10:wrap type="none"/>
              </v:shape>
              <v:shape style="position:absolute;left:7689;top:283;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会计处理方法</w:t>
                      </w:r>
                    </w:p>
                  </w:txbxContent>
                </v:textbox>
                <w10:wrap type="none"/>
              </v:shape>
              <v:shape style="position:absolute;left:6680;top:45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间接</w:t>
                      </w:r>
                    </w:p>
                  </w:txbxContent>
                </v:textbox>
                <w10:wrap type="none"/>
              </v:shape>
              <v:shape style="position:absolute;left:137;top:809;width:2160;height:71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深圳中科金证科技有限公司</w:t>
                      </w:r>
                    </w:p>
                    <w:p>
                      <w:pPr>
                        <w:spacing w:line="232" w:lineRule="exact" w:before="85"/>
                        <w:ind w:left="0" w:right="0" w:firstLine="0"/>
                        <w:jc w:val="left"/>
                        <w:rPr>
                          <w:rFonts w:ascii="宋体" w:hAnsi="宋体" w:cs="宋体" w:eastAsia="宋体" w:hint="default"/>
                          <w:sz w:val="18"/>
                          <w:szCs w:val="18"/>
                        </w:rPr>
                      </w:pPr>
                      <w:r>
                        <w:rPr>
                          <w:rFonts w:ascii="宋体" w:hAnsi="宋体" w:cs="宋体" w:eastAsia="宋体" w:hint="default"/>
                          <w:sz w:val="18"/>
                          <w:szCs w:val="18"/>
                        </w:rPr>
                        <w:t>广州佳时达软件股份有限公 司</w:t>
                      </w:r>
                    </w:p>
                  </w:txbxContent>
                </v:textbox>
                <w10:wrap type="none"/>
              </v:shape>
              <v:shape style="position:absolute;left:7689;top:80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权益法</w:t>
                      </w:r>
                    </w:p>
                  </w:txbxContent>
                </v:textbox>
                <w10:wrap type="none"/>
              </v:shape>
              <v:shape style="position:absolute;left:2647;top:122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广州市</w:t>
                      </w:r>
                    </w:p>
                  </w:txbxContent>
                </v:textbox>
                <w10:wrap type="none"/>
              </v:shape>
              <v:shape style="position:absolute;left:3761;top:122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广州市</w:t>
                      </w:r>
                    </w:p>
                  </w:txbxContent>
                </v:textbox>
                <w10:wrap type="none"/>
              </v:shape>
              <v:shape style="position:absolute;left:4715;top:122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信息技术</w:t>
                      </w:r>
                    </w:p>
                  </w:txbxContent>
                </v:textbox>
                <w10:wrap type="none"/>
              </v:shape>
              <v:shape style="position:absolute;left:5672;top:1244;width:309;height:150" type="#_x0000_t202" filled="false" stroked="false">
                <v:textbox inset="0,0,0,0">
                  <w:txbxContent>
                    <w:p>
                      <w:pPr>
                        <w:spacing w:line="150" w:lineRule="exact" w:before="0"/>
                        <w:ind w:left="0" w:right="0" w:firstLine="0"/>
                        <w:jc w:val="left"/>
                        <w:rPr>
                          <w:rFonts w:ascii="Arial" w:hAnsi="Arial" w:cs="Arial" w:eastAsia="Arial" w:hint="default"/>
                          <w:sz w:val="15"/>
                          <w:szCs w:val="15"/>
                        </w:rPr>
                      </w:pPr>
                      <w:r>
                        <w:rPr>
                          <w:rFonts w:ascii="Arial"/>
                          <w:w w:val="80"/>
                          <w:sz w:val="15"/>
                        </w:rPr>
                        <w:t>10.00</w:t>
                      </w:r>
                      <w:r>
                        <w:rPr>
                          <w:rFonts w:ascii="Arial"/>
                          <w:sz w:val="15"/>
                        </w:rPr>
                      </w:r>
                    </w:p>
                  </w:txbxContent>
                </v:textbox>
                <w10:wrap type="none"/>
              </v:shape>
              <v:shape style="position:absolute;left:7689;top:122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权益法</w:t>
                      </w:r>
                    </w:p>
                  </w:txbxContent>
                </v:textbox>
                <w10:wrap type="none"/>
              </v:shape>
            </v:group>
          </v:group>
        </w:pict>
      </w:r>
      <w:r>
        <w:rPr>
          <w:rFonts w:ascii="宋体" w:hAnsi="宋体" w:cs="宋体" w:eastAsia="宋体" w:hint="default"/>
          <w:position w:val="-31"/>
          <w:sz w:val="20"/>
          <w:szCs w:val="20"/>
        </w:rPr>
      </w:r>
    </w:p>
    <w:p>
      <w:pPr>
        <w:spacing w:line="240" w:lineRule="auto" w:before="0"/>
        <w:rPr>
          <w:rFonts w:ascii="宋体" w:hAnsi="宋体" w:cs="宋体" w:eastAsia="宋体" w:hint="default"/>
          <w:b/>
          <w:bCs/>
          <w:sz w:val="22"/>
          <w:szCs w:val="22"/>
        </w:rPr>
      </w:pPr>
    </w:p>
    <w:tbl>
      <w:tblPr>
        <w:tblW w:w="0" w:type="auto"/>
        <w:jc w:val="left"/>
        <w:tblInd w:w="295" w:type="dxa"/>
        <w:tblLayout w:type="fixed"/>
        <w:tblCellMar>
          <w:top w:w="0" w:type="dxa"/>
          <w:left w:w="0" w:type="dxa"/>
          <w:bottom w:w="0" w:type="dxa"/>
          <w:right w:w="0" w:type="dxa"/>
        </w:tblCellMar>
        <w:tblLook w:val="01E0"/>
      </w:tblPr>
      <w:tblGrid>
        <w:gridCol w:w="2087"/>
        <w:gridCol w:w="3572"/>
        <w:gridCol w:w="2784"/>
      </w:tblGrid>
      <w:tr>
        <w:trPr>
          <w:trHeight w:val="709" w:hRule="exact"/>
        </w:trPr>
        <w:tc>
          <w:tcPr>
            <w:tcW w:w="2087" w:type="dxa"/>
            <w:tcBorders>
              <w:top w:val="single" w:sz="12"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572" w:type="dxa"/>
            <w:tcBorders>
              <w:top w:val="single" w:sz="12" w:space="0" w:color="000000"/>
              <w:left w:val="nil" w:sz="6" w:space="0" w:color="auto"/>
              <w:bottom w:val="nil" w:sz="6" w:space="0" w:color="auto"/>
              <w:right w:val="nil" w:sz="6" w:space="0" w:color="auto"/>
            </w:tcBorders>
          </w:tcPr>
          <w:p>
            <w:pPr>
              <w:pStyle w:val="TableParagraph"/>
              <w:spacing w:line="338" w:lineRule="auto" w:before="22"/>
              <w:ind w:left="971" w:right="438"/>
              <w:jc w:val="left"/>
              <w:rPr>
                <w:rFonts w:ascii="宋体" w:hAnsi="宋体" w:cs="宋体" w:eastAsia="宋体" w:hint="default"/>
                <w:sz w:val="18"/>
                <w:szCs w:val="18"/>
              </w:rPr>
            </w:pPr>
            <w:r>
              <w:rPr>
                <w:rFonts w:ascii="宋体" w:hAnsi="宋体" w:cs="宋体" w:eastAsia="宋体" w:hint="default"/>
                <w:sz w:val="18"/>
                <w:szCs w:val="18"/>
              </w:rPr>
              <w:t>期末余额</w:t>
            </w:r>
            <w:r>
              <w:rPr>
                <w:rFonts w:ascii="Arial" w:hAnsi="Arial" w:cs="Arial" w:eastAsia="Arial" w:hint="default"/>
                <w:sz w:val="18"/>
                <w:szCs w:val="18"/>
              </w:rPr>
              <w:t>/</w:t>
            </w:r>
            <w:r>
              <w:rPr>
                <w:rFonts w:ascii="宋体" w:hAnsi="宋体" w:cs="宋体" w:eastAsia="宋体" w:hint="default"/>
                <w:sz w:val="18"/>
                <w:szCs w:val="18"/>
              </w:rPr>
              <w:t>本期发生额 深圳中科金证科技有限公司</w:t>
            </w:r>
          </w:p>
        </w:tc>
        <w:tc>
          <w:tcPr>
            <w:tcW w:w="2784"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107" w:right="0"/>
              <w:jc w:val="left"/>
              <w:rPr>
                <w:rFonts w:ascii="宋体" w:hAnsi="宋体" w:cs="宋体" w:eastAsia="宋体" w:hint="default"/>
                <w:sz w:val="18"/>
                <w:szCs w:val="18"/>
              </w:rPr>
            </w:pPr>
            <w:r>
              <w:rPr>
                <w:rFonts w:ascii="宋体" w:hAnsi="宋体" w:cs="宋体" w:eastAsia="宋体" w:hint="default"/>
                <w:sz w:val="18"/>
                <w:szCs w:val="18"/>
              </w:rPr>
              <w:t>广州佳时达软件股份有限公司</w:t>
            </w:r>
          </w:p>
        </w:tc>
      </w:tr>
      <w:tr>
        <w:trPr>
          <w:trHeight w:val="350" w:hRule="exact"/>
        </w:trPr>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57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7,312,502.51</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42,595,138.18</w:t>
            </w:r>
          </w:p>
        </w:tc>
      </w:tr>
      <w:tr>
        <w:trPr>
          <w:trHeight w:val="350" w:hRule="exact"/>
        </w:trPr>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57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5,231,515.82</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1,711,176.12</w:t>
            </w:r>
          </w:p>
        </w:tc>
      </w:tr>
      <w:tr>
        <w:trPr>
          <w:trHeight w:val="525" w:hRule="exact"/>
        </w:trPr>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57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12,544,018.33</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44,306,314.30</w:t>
            </w:r>
          </w:p>
        </w:tc>
      </w:tr>
      <w:tr>
        <w:trPr>
          <w:trHeight w:val="525" w:hRule="exact"/>
        </w:trPr>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5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3,780,862.75</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33"/>
              <w:jc w:val="right"/>
              <w:rPr>
                <w:rFonts w:ascii="宋体" w:hAnsi="宋体" w:cs="宋体" w:eastAsia="宋体" w:hint="default"/>
                <w:sz w:val="18"/>
                <w:szCs w:val="18"/>
              </w:rPr>
            </w:pPr>
            <w:r>
              <w:rPr>
                <w:rFonts w:ascii="宋体"/>
                <w:sz w:val="18"/>
              </w:rPr>
              <w:t>3,693,017.54</w:t>
            </w:r>
          </w:p>
        </w:tc>
      </w:tr>
      <w:tr>
        <w:trPr>
          <w:trHeight w:val="350" w:hRule="exact"/>
        </w:trPr>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57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600,000.00</w:t>
            </w:r>
          </w:p>
        </w:tc>
        <w:tc>
          <w:tcPr>
            <w:tcW w:w="2784" w:type="dxa"/>
            <w:tcBorders>
              <w:top w:val="nil" w:sz="6" w:space="0" w:color="auto"/>
              <w:left w:val="nil" w:sz="6" w:space="0" w:color="auto"/>
              <w:bottom w:val="nil" w:sz="6" w:space="0" w:color="auto"/>
              <w:right w:val="nil" w:sz="6" w:space="0" w:color="auto"/>
            </w:tcBorders>
          </w:tcPr>
          <w:p>
            <w:pPr/>
          </w:p>
        </w:tc>
      </w:tr>
      <w:tr>
        <w:trPr>
          <w:trHeight w:val="525" w:hRule="exact"/>
        </w:trPr>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57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4,380,862.75</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3,693,017.54</w:t>
            </w:r>
          </w:p>
        </w:tc>
      </w:tr>
      <w:tr>
        <w:trPr>
          <w:trHeight w:val="536" w:hRule="exact"/>
        </w:trPr>
        <w:tc>
          <w:tcPr>
            <w:tcW w:w="2087" w:type="dxa"/>
            <w:tcBorders>
              <w:top w:val="nil" w:sz="6" w:space="0" w:color="auto"/>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572" w:type="dxa"/>
            <w:tcBorders>
              <w:top w:val="nil" w:sz="6" w:space="0" w:color="auto"/>
              <w:left w:val="nil" w:sz="6" w:space="0" w:color="auto"/>
              <w:bottom w:val="single" w:sz="12" w:space="0" w:color="000000"/>
              <w:right w:val="nil" w:sz="6" w:space="0" w:color="auto"/>
            </w:tcBorders>
          </w:tcPr>
          <w:p>
            <w:pPr/>
          </w:p>
        </w:tc>
        <w:tc>
          <w:tcPr>
            <w:tcW w:w="2784" w:type="dxa"/>
            <w:tcBorders>
              <w:top w:val="nil" w:sz="6" w:space="0" w:color="auto"/>
              <w:left w:val="nil" w:sz="6" w:space="0" w:color="auto"/>
              <w:bottom w:val="single" w:sz="12" w:space="0" w:color="000000"/>
              <w:right w:val="nil" w:sz="6" w:space="0" w:color="auto"/>
            </w:tcBorders>
          </w:tcPr>
          <w:p>
            <w:pPr/>
          </w:p>
        </w:tc>
      </w:tr>
    </w:tbl>
    <w:p>
      <w:pPr>
        <w:spacing w:after="0"/>
        <w:sectPr>
          <w:footerReference w:type="default" r:id="rId18"/>
          <w:pgSz w:w="11910" w:h="16840"/>
          <w:pgMar w:footer="1197" w:header="0" w:top="1080" w:bottom="1380" w:left="1560" w:right="940"/>
          <w:pgNumType w:start="21"/>
        </w:sectPr>
      </w:pPr>
    </w:p>
    <w:p>
      <w:pPr>
        <w:spacing w:line="240" w:lineRule="auto" w:before="0"/>
        <w:rPr>
          <w:rFonts w:ascii="Times New Roman" w:hAnsi="Times New Roman" w:cs="Times New Roman" w:eastAsia="Times New Roman" w:hint="default"/>
          <w:sz w:val="20"/>
          <w:szCs w:val="20"/>
        </w:rPr>
      </w:pPr>
      <w:r>
        <w:rPr/>
        <w:pict>
          <v:group style="position:absolute;margin-left:87.660004pt;margin-top:77.760002pt;width:432.8pt;height:328.65pt;mso-position-horizontal-relative:page;mso-position-vertical-relative:page;z-index:-1228936" coordorigin="1753,1555" coordsize="8656,6573">
            <v:shape style="position:absolute;left:4802;top:1555;width:10;height:340" type="#_x0000_t75" stroked="false">
              <v:imagedata r:id="rId39" o:title=""/>
            </v:shape>
            <v:shape style="position:absolute;left:4781;top:1873;width:5621;height:394" type="#_x0000_t75" stroked="false">
              <v:imagedata r:id="rId40" o:title=""/>
            </v:shape>
            <v:shape style="position:absolute;left:1753;top:2224;width:8656;height:5904" type="#_x0000_t75" stroked="false">
              <v:imagedata r:id="rId41" o:title=""/>
            </v:shape>
            <v:shape style="position:absolute;left:7481;top:7603;width:67;height:524" type="#_x0000_t75" stroked="false">
              <v:imagedata r:id="rId42" o:title=""/>
            </v:shape>
            <w10:wrap type="none"/>
          </v:group>
        </w:pict>
      </w:r>
      <w:r>
        <w:rPr/>
        <w:pict>
          <v:group style="position:absolute;margin-left:87.660004pt;margin-top:421.559998pt;width:432.8pt;height:332pt;mso-position-horizontal-relative:page;mso-position-vertical-relative:page;z-index:-1228912" coordorigin="1753,8431" coordsize="8656,6640">
            <v:shape style="position:absolute;left:5705;top:8431;width:10;height:340" type="#_x0000_t75" stroked="false">
              <v:imagedata r:id="rId43" o:title=""/>
            </v:shape>
            <v:shape style="position:absolute;left:5676;top:8742;width:4733;height:394" type="#_x0000_t75" stroked="false">
              <v:imagedata r:id="rId44" o:title=""/>
            </v:shape>
            <v:shape style="position:absolute;left:1753;top:9092;width:8656;height:5978" type="#_x0000_t75" stroked="false">
              <v:imagedata r:id="rId45" o:title=""/>
            </v:shape>
            <w10:wrap type="none"/>
          </v:group>
        </w:pict>
      </w:r>
    </w:p>
    <w:p>
      <w:pPr>
        <w:spacing w:line="240" w:lineRule="auto" w:before="10"/>
        <w:rPr>
          <w:rFonts w:ascii="Times New Roman" w:hAnsi="Times New Roman" w:cs="Times New Roman" w:eastAsia="Times New Roman" w:hint="default"/>
          <w:sz w:val="19"/>
          <w:szCs w:val="19"/>
        </w:rPr>
      </w:pPr>
    </w:p>
    <w:tbl>
      <w:tblPr>
        <w:tblW w:w="0" w:type="auto"/>
        <w:jc w:val="left"/>
        <w:tblInd w:w="141" w:type="dxa"/>
        <w:tblLayout w:type="fixed"/>
        <w:tblCellMar>
          <w:top w:w="0" w:type="dxa"/>
          <w:left w:w="0" w:type="dxa"/>
          <w:bottom w:w="0" w:type="dxa"/>
          <w:right w:w="0" w:type="dxa"/>
        </w:tblCellMar>
        <w:tblLook w:val="01E0"/>
      </w:tblPr>
      <w:tblGrid>
        <w:gridCol w:w="2970"/>
        <w:gridCol w:w="2762"/>
        <w:gridCol w:w="2857"/>
      </w:tblGrid>
      <w:tr>
        <w:trPr>
          <w:trHeight w:val="709" w:hRule="exact"/>
        </w:trPr>
        <w:tc>
          <w:tcPr>
            <w:tcW w:w="2970"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62" w:type="dxa"/>
            <w:tcBorders>
              <w:top w:val="single" w:sz="12" w:space="0" w:color="000000"/>
              <w:left w:val="nil" w:sz="6" w:space="0" w:color="auto"/>
              <w:bottom w:val="nil" w:sz="6" w:space="0" w:color="auto"/>
              <w:right w:val="nil" w:sz="6" w:space="0" w:color="auto"/>
            </w:tcBorders>
          </w:tcPr>
          <w:p>
            <w:pPr>
              <w:pStyle w:val="TableParagraph"/>
              <w:spacing w:line="338" w:lineRule="auto" w:before="22"/>
              <w:ind w:left="161" w:right="438"/>
              <w:jc w:val="left"/>
              <w:rPr>
                <w:rFonts w:ascii="宋体" w:hAnsi="宋体" w:cs="宋体" w:eastAsia="宋体" w:hint="default"/>
                <w:sz w:val="18"/>
                <w:szCs w:val="18"/>
              </w:rPr>
            </w:pPr>
            <w:r>
              <w:rPr>
                <w:rFonts w:ascii="宋体" w:hAnsi="宋体" w:cs="宋体" w:eastAsia="宋体" w:hint="default"/>
                <w:sz w:val="18"/>
                <w:szCs w:val="18"/>
              </w:rPr>
              <w:t>期末余额</w:t>
            </w:r>
            <w:r>
              <w:rPr>
                <w:rFonts w:ascii="Arial" w:hAnsi="Arial" w:cs="Arial" w:eastAsia="Arial" w:hint="default"/>
                <w:sz w:val="18"/>
                <w:szCs w:val="18"/>
              </w:rPr>
              <w:t>/</w:t>
            </w:r>
            <w:r>
              <w:rPr>
                <w:rFonts w:ascii="宋体" w:hAnsi="宋体" w:cs="宋体" w:eastAsia="宋体" w:hint="default"/>
                <w:sz w:val="18"/>
                <w:szCs w:val="18"/>
              </w:rPr>
              <w:t>本期发生额 深圳中科金证科技有限公司</w:t>
            </w:r>
          </w:p>
        </w:tc>
        <w:tc>
          <w:tcPr>
            <w:tcW w:w="2857"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广州佳时达软件股份有限公司</w:t>
            </w:r>
          </w:p>
        </w:tc>
      </w:tr>
      <w:tr>
        <w:trPr>
          <w:trHeight w:val="525"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76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8,163,155.58</w:t>
            </w:r>
          </w:p>
        </w:tc>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79" w:right="0"/>
              <w:jc w:val="left"/>
              <w:rPr>
                <w:rFonts w:ascii="宋体" w:hAnsi="宋体" w:cs="宋体" w:eastAsia="宋体" w:hint="default"/>
                <w:sz w:val="18"/>
                <w:szCs w:val="18"/>
              </w:rPr>
            </w:pPr>
            <w:r>
              <w:rPr>
                <w:rFonts w:ascii="宋体"/>
                <w:sz w:val="18"/>
              </w:rPr>
              <w:t>40,306,314.30</w:t>
            </w:r>
          </w:p>
        </w:tc>
      </w:tr>
      <w:tr>
        <w:trPr>
          <w:trHeight w:val="525"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27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2,448,946.68</w:t>
            </w:r>
          </w:p>
        </w:tc>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69" w:right="0"/>
              <w:jc w:val="left"/>
              <w:rPr>
                <w:rFonts w:ascii="宋体" w:hAnsi="宋体" w:cs="宋体" w:eastAsia="宋体" w:hint="default"/>
                <w:sz w:val="18"/>
                <w:szCs w:val="18"/>
              </w:rPr>
            </w:pPr>
            <w:r>
              <w:rPr>
                <w:rFonts w:ascii="宋体"/>
                <w:sz w:val="18"/>
              </w:rPr>
              <w:t>4,030,631.43</w:t>
            </w:r>
          </w:p>
        </w:tc>
      </w:tr>
      <w:tr>
        <w:trPr>
          <w:trHeight w:val="350"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2762" w:type="dxa"/>
            <w:tcBorders>
              <w:top w:val="nil" w:sz="6" w:space="0" w:color="auto"/>
              <w:left w:val="nil" w:sz="6" w:space="0" w:color="auto"/>
              <w:bottom w:val="nil" w:sz="6" w:space="0" w:color="auto"/>
              <w:right w:val="nil" w:sz="6" w:space="0" w:color="auto"/>
            </w:tcBorders>
          </w:tcPr>
          <w:p>
            <w:pPr/>
          </w:p>
        </w:tc>
        <w:tc>
          <w:tcPr>
            <w:tcW w:w="2857" w:type="dxa"/>
            <w:tcBorders>
              <w:top w:val="nil" w:sz="6" w:space="0" w:color="auto"/>
              <w:left w:val="nil" w:sz="6" w:space="0" w:color="auto"/>
              <w:bottom w:val="nil" w:sz="6" w:space="0" w:color="auto"/>
              <w:right w:val="nil" w:sz="6" w:space="0" w:color="auto"/>
            </w:tcBorders>
          </w:tcPr>
          <w:p>
            <w:pPr/>
          </w:p>
        </w:tc>
      </w:tr>
      <w:tr>
        <w:trPr>
          <w:trHeight w:val="354"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商誉</w:t>
            </w:r>
          </w:p>
        </w:tc>
        <w:tc>
          <w:tcPr>
            <w:tcW w:w="276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5,625,000.00</w:t>
            </w:r>
          </w:p>
        </w:tc>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669" w:right="0"/>
              <w:jc w:val="left"/>
              <w:rPr>
                <w:rFonts w:ascii="宋体" w:hAnsi="宋体" w:cs="宋体" w:eastAsia="宋体" w:hint="default"/>
                <w:sz w:val="18"/>
                <w:szCs w:val="18"/>
              </w:rPr>
            </w:pPr>
            <w:r>
              <w:rPr>
                <w:rFonts w:ascii="宋体"/>
                <w:sz w:val="18"/>
              </w:rPr>
              <w:t>5,969,368.57</w:t>
            </w:r>
          </w:p>
        </w:tc>
      </w:tr>
      <w:tr>
        <w:trPr>
          <w:trHeight w:val="350"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内部交易未实现利润</w:t>
            </w:r>
          </w:p>
        </w:tc>
        <w:tc>
          <w:tcPr>
            <w:tcW w:w="276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-1,641,474.02</w:t>
            </w:r>
          </w:p>
        </w:tc>
        <w:tc>
          <w:tcPr>
            <w:tcW w:w="2857" w:type="dxa"/>
            <w:tcBorders>
              <w:top w:val="nil" w:sz="6" w:space="0" w:color="auto"/>
              <w:left w:val="nil" w:sz="6" w:space="0" w:color="auto"/>
              <w:bottom w:val="nil" w:sz="6" w:space="0" w:color="auto"/>
              <w:right w:val="nil" w:sz="6" w:space="0" w:color="auto"/>
            </w:tcBorders>
          </w:tcPr>
          <w:p>
            <w:pPr/>
          </w:p>
        </w:tc>
      </w:tr>
      <w:tr>
        <w:trPr>
          <w:trHeight w:val="350"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其他</w:t>
            </w:r>
          </w:p>
        </w:tc>
        <w:tc>
          <w:tcPr>
            <w:tcW w:w="2762" w:type="dxa"/>
            <w:tcBorders>
              <w:top w:val="nil" w:sz="6" w:space="0" w:color="auto"/>
              <w:left w:val="nil" w:sz="6" w:space="0" w:color="auto"/>
              <w:bottom w:val="nil" w:sz="6" w:space="0" w:color="auto"/>
              <w:right w:val="nil" w:sz="6" w:space="0" w:color="auto"/>
            </w:tcBorders>
          </w:tcPr>
          <w:p>
            <w:pPr/>
          </w:p>
        </w:tc>
        <w:tc>
          <w:tcPr>
            <w:tcW w:w="2857" w:type="dxa"/>
            <w:tcBorders>
              <w:top w:val="nil" w:sz="6" w:space="0" w:color="auto"/>
              <w:left w:val="nil" w:sz="6" w:space="0" w:color="auto"/>
              <w:bottom w:val="nil" w:sz="6" w:space="0" w:color="auto"/>
              <w:right w:val="nil" w:sz="6" w:space="0" w:color="auto"/>
            </w:tcBorders>
          </w:tcPr>
          <w:p>
            <w:pPr/>
          </w:p>
        </w:tc>
      </w:tr>
      <w:tr>
        <w:trPr>
          <w:trHeight w:val="319"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276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7"/>
              <w:jc w:val="right"/>
              <w:rPr>
                <w:rFonts w:ascii="宋体" w:hAnsi="宋体" w:cs="宋体" w:eastAsia="宋体" w:hint="default"/>
                <w:sz w:val="18"/>
                <w:szCs w:val="18"/>
              </w:rPr>
            </w:pPr>
            <w:r>
              <w:rPr>
                <w:rFonts w:ascii="宋体"/>
                <w:sz w:val="18"/>
              </w:rPr>
              <w:t>6,432,472.66</w:t>
            </w:r>
          </w:p>
        </w:tc>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579" w:right="0"/>
              <w:jc w:val="left"/>
              <w:rPr>
                <w:rFonts w:ascii="宋体" w:hAnsi="宋体" w:cs="宋体" w:eastAsia="宋体" w:hint="default"/>
                <w:sz w:val="18"/>
                <w:szCs w:val="18"/>
              </w:rPr>
            </w:pPr>
            <w:r>
              <w:rPr>
                <w:rFonts w:ascii="宋体"/>
                <w:sz w:val="18"/>
              </w:rPr>
              <w:t>10,000,000.00</w:t>
            </w:r>
          </w:p>
        </w:tc>
      </w:tr>
      <w:tr>
        <w:trPr>
          <w:trHeight w:val="705"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32" w:lineRule="exact" w:before="28"/>
              <w:ind w:left="108" w:right="161"/>
              <w:jc w:val="left"/>
              <w:rPr>
                <w:rFonts w:ascii="宋体" w:hAnsi="宋体" w:cs="宋体" w:eastAsia="宋体" w:hint="default"/>
                <w:sz w:val="18"/>
                <w:szCs w:val="18"/>
              </w:rPr>
            </w:pPr>
            <w:r>
              <w:rPr>
                <w:rFonts w:ascii="宋体" w:hAnsi="宋体" w:cs="宋体" w:eastAsia="宋体" w:hint="default"/>
                <w:sz w:val="18"/>
                <w:szCs w:val="18"/>
              </w:rPr>
              <w:t>存在公开报价的权益投资的公允价 值</w:t>
            </w:r>
          </w:p>
        </w:tc>
        <w:tc>
          <w:tcPr>
            <w:tcW w:w="2762" w:type="dxa"/>
            <w:tcBorders>
              <w:top w:val="nil" w:sz="6" w:space="0" w:color="auto"/>
              <w:left w:val="nil" w:sz="6" w:space="0" w:color="auto"/>
              <w:bottom w:val="nil" w:sz="6" w:space="0" w:color="auto"/>
              <w:right w:val="nil" w:sz="6" w:space="0" w:color="auto"/>
            </w:tcBorders>
          </w:tcPr>
          <w:p>
            <w:pPr/>
          </w:p>
        </w:tc>
        <w:tc>
          <w:tcPr>
            <w:tcW w:w="2857" w:type="dxa"/>
            <w:tcBorders>
              <w:top w:val="nil" w:sz="6" w:space="0" w:color="auto"/>
              <w:left w:val="nil" w:sz="6" w:space="0" w:color="auto"/>
              <w:bottom w:val="nil" w:sz="6" w:space="0" w:color="auto"/>
              <w:right w:val="nil" w:sz="6" w:space="0" w:color="auto"/>
            </w:tcBorders>
          </w:tcPr>
          <w:p>
            <w:pPr/>
          </w:p>
        </w:tc>
      </w:tr>
      <w:tr>
        <w:trPr>
          <w:trHeight w:val="499"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7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9,912,519.34</w:t>
            </w:r>
          </w:p>
        </w:tc>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579" w:right="0"/>
              <w:jc w:val="left"/>
              <w:rPr>
                <w:rFonts w:ascii="宋体" w:hAnsi="宋体" w:cs="宋体" w:eastAsia="宋体" w:hint="default"/>
                <w:sz w:val="18"/>
                <w:szCs w:val="18"/>
              </w:rPr>
            </w:pPr>
            <w:r>
              <w:rPr>
                <w:rFonts w:ascii="宋体"/>
                <w:sz w:val="18"/>
              </w:rPr>
              <w:t>13,784,173.81</w:t>
            </w:r>
          </w:p>
        </w:tc>
      </w:tr>
      <w:tr>
        <w:trPr>
          <w:trHeight w:val="350"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76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-2,797,287.81</w:t>
            </w:r>
          </w:p>
        </w:tc>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669" w:right="0"/>
              <w:jc w:val="left"/>
              <w:rPr>
                <w:rFonts w:ascii="宋体" w:hAnsi="宋体" w:cs="宋体" w:eastAsia="宋体" w:hint="default"/>
                <w:sz w:val="18"/>
                <w:szCs w:val="18"/>
              </w:rPr>
            </w:pPr>
            <w:r>
              <w:rPr>
                <w:rFonts w:ascii="宋体"/>
                <w:sz w:val="18"/>
              </w:rPr>
              <w:t>4,252,253.74</w:t>
            </w:r>
          </w:p>
        </w:tc>
      </w:tr>
      <w:tr>
        <w:trPr>
          <w:trHeight w:val="350"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2762" w:type="dxa"/>
            <w:tcBorders>
              <w:top w:val="nil" w:sz="6" w:space="0" w:color="auto"/>
              <w:left w:val="nil" w:sz="6" w:space="0" w:color="auto"/>
              <w:bottom w:val="nil" w:sz="6" w:space="0" w:color="auto"/>
              <w:right w:val="nil" w:sz="6" w:space="0" w:color="auto"/>
            </w:tcBorders>
          </w:tcPr>
          <w:p>
            <w:pPr/>
          </w:p>
        </w:tc>
        <w:tc>
          <w:tcPr>
            <w:tcW w:w="2857" w:type="dxa"/>
            <w:tcBorders>
              <w:top w:val="nil" w:sz="6" w:space="0" w:color="auto"/>
              <w:left w:val="nil" w:sz="6" w:space="0" w:color="auto"/>
              <w:bottom w:val="nil" w:sz="6" w:space="0" w:color="auto"/>
              <w:right w:val="nil" w:sz="6" w:space="0" w:color="auto"/>
            </w:tcBorders>
          </w:tcPr>
          <w:p>
            <w:pPr/>
          </w:p>
        </w:tc>
      </w:tr>
      <w:tr>
        <w:trPr>
          <w:trHeight w:val="350"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762" w:type="dxa"/>
            <w:tcBorders>
              <w:top w:val="nil" w:sz="6" w:space="0" w:color="auto"/>
              <w:left w:val="nil" w:sz="6" w:space="0" w:color="auto"/>
              <w:bottom w:val="nil" w:sz="6" w:space="0" w:color="auto"/>
              <w:right w:val="nil" w:sz="6" w:space="0" w:color="auto"/>
            </w:tcBorders>
          </w:tcPr>
          <w:p>
            <w:pPr/>
          </w:p>
        </w:tc>
        <w:tc>
          <w:tcPr>
            <w:tcW w:w="2857" w:type="dxa"/>
            <w:tcBorders>
              <w:top w:val="nil" w:sz="6" w:space="0" w:color="auto"/>
              <w:left w:val="nil" w:sz="6" w:space="0" w:color="auto"/>
              <w:bottom w:val="nil" w:sz="6" w:space="0" w:color="auto"/>
              <w:right w:val="nil" w:sz="6" w:space="0" w:color="auto"/>
            </w:tcBorders>
          </w:tcPr>
          <w:p>
            <w:pPr/>
          </w:p>
        </w:tc>
      </w:tr>
      <w:tr>
        <w:trPr>
          <w:trHeight w:val="323"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76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-2,797,287.81</w:t>
            </w:r>
          </w:p>
        </w:tc>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669" w:right="0"/>
              <w:jc w:val="left"/>
              <w:rPr>
                <w:rFonts w:ascii="宋体" w:hAnsi="宋体" w:cs="宋体" w:eastAsia="宋体" w:hint="default"/>
                <w:sz w:val="18"/>
                <w:szCs w:val="18"/>
              </w:rPr>
            </w:pPr>
            <w:r>
              <w:rPr>
                <w:rFonts w:ascii="宋体"/>
                <w:sz w:val="18"/>
              </w:rPr>
              <w:t>4,252,253.74</w:t>
            </w:r>
          </w:p>
        </w:tc>
      </w:tr>
      <w:tr>
        <w:trPr>
          <w:trHeight w:val="515" w:hRule="exact"/>
        </w:trPr>
        <w:tc>
          <w:tcPr>
            <w:tcW w:w="2970" w:type="dxa"/>
            <w:tcBorders>
              <w:top w:val="nil" w:sz="6" w:space="0" w:color="auto"/>
              <w:left w:val="nil" w:sz="6" w:space="0" w:color="auto"/>
              <w:bottom w:val="single" w:sz="12" w:space="0" w:color="000000"/>
              <w:right w:val="nil" w:sz="6" w:space="0" w:color="auto"/>
            </w:tcBorders>
          </w:tcPr>
          <w:p>
            <w:pPr>
              <w:pStyle w:val="TableParagraph"/>
              <w:spacing w:line="232" w:lineRule="exact" w:before="27"/>
              <w:ind w:left="108" w:right="161"/>
              <w:jc w:val="left"/>
              <w:rPr>
                <w:rFonts w:ascii="宋体" w:hAnsi="宋体" w:cs="宋体" w:eastAsia="宋体" w:hint="default"/>
                <w:sz w:val="18"/>
                <w:szCs w:val="18"/>
              </w:rPr>
            </w:pPr>
            <w:r>
              <w:rPr>
                <w:rFonts w:ascii="宋体" w:hAnsi="宋体" w:cs="宋体" w:eastAsia="宋体" w:hint="default"/>
                <w:sz w:val="18"/>
                <w:szCs w:val="18"/>
              </w:rPr>
              <w:t>企业本期收到的来自联营企业的股 利</w:t>
            </w:r>
          </w:p>
        </w:tc>
        <w:tc>
          <w:tcPr>
            <w:tcW w:w="2762" w:type="dxa"/>
            <w:tcBorders>
              <w:top w:val="nil" w:sz="6" w:space="0" w:color="auto"/>
              <w:left w:val="nil" w:sz="6" w:space="0" w:color="auto"/>
              <w:bottom w:val="single" w:sz="12" w:space="0" w:color="000000"/>
              <w:right w:val="nil" w:sz="6" w:space="0" w:color="auto"/>
            </w:tcBorders>
          </w:tcPr>
          <w:p>
            <w:pPr/>
          </w:p>
        </w:tc>
        <w:tc>
          <w:tcPr>
            <w:tcW w:w="2857" w:type="dxa"/>
            <w:tcBorders>
              <w:top w:val="nil" w:sz="6" w:space="0" w:color="auto"/>
              <w:left w:val="nil" w:sz="6" w:space="0" w:color="auto"/>
              <w:bottom w:val="single" w:sz="12" w:space="0" w:color="000000"/>
              <w:right w:val="nil" w:sz="6" w:space="0" w:color="auto"/>
            </w:tcBorders>
          </w:tcPr>
          <w:p>
            <w:pPr/>
          </w:p>
        </w:tc>
      </w:tr>
    </w:tbl>
    <w:p>
      <w:pPr>
        <w:spacing w:line="240" w:lineRule="auto" w:before="8"/>
        <w:rPr>
          <w:rFonts w:ascii="Times New Roman" w:hAnsi="Times New Roman" w:cs="Times New Roman" w:eastAsia="Times New Roman" w:hint="default"/>
          <w:sz w:val="23"/>
          <w:szCs w:val="23"/>
        </w:rPr>
      </w:pPr>
    </w:p>
    <w:tbl>
      <w:tblPr>
        <w:tblW w:w="0" w:type="auto"/>
        <w:jc w:val="left"/>
        <w:tblInd w:w="215" w:type="dxa"/>
        <w:tblLayout w:type="fixed"/>
        <w:tblCellMar>
          <w:top w:w="0" w:type="dxa"/>
          <w:left w:w="0" w:type="dxa"/>
          <w:bottom w:w="0" w:type="dxa"/>
          <w:right w:w="0" w:type="dxa"/>
        </w:tblCellMar>
        <w:tblLook w:val="01E0"/>
      </w:tblPr>
      <w:tblGrid>
        <w:gridCol w:w="5732"/>
        <w:gridCol w:w="2784"/>
        <w:gridCol w:w="73"/>
      </w:tblGrid>
      <w:tr>
        <w:trPr>
          <w:trHeight w:val="709" w:hRule="exact"/>
        </w:trPr>
        <w:tc>
          <w:tcPr>
            <w:tcW w:w="5732"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84" w:type="dxa"/>
            <w:tcBorders>
              <w:top w:val="single" w:sz="12" w:space="0" w:color="000000"/>
              <w:left w:val="nil" w:sz="6" w:space="0" w:color="auto"/>
              <w:bottom w:val="nil" w:sz="6" w:space="0" w:color="auto"/>
              <w:right w:val="nil" w:sz="6" w:space="0" w:color="auto"/>
            </w:tcBorders>
          </w:tcPr>
          <w:p>
            <w:pPr>
              <w:pStyle w:val="TableParagraph"/>
              <w:spacing w:line="338" w:lineRule="auto" w:before="22"/>
              <w:ind w:left="2207" w:right="-1584" w:firstLine="249"/>
              <w:jc w:val="left"/>
              <w:rPr>
                <w:rFonts w:ascii="宋体" w:hAnsi="宋体" w:cs="宋体" w:eastAsia="宋体" w:hint="default"/>
                <w:sz w:val="18"/>
                <w:szCs w:val="18"/>
              </w:rPr>
            </w:pPr>
            <w:r>
              <w:rPr>
                <w:rFonts w:ascii="宋体" w:hAnsi="宋体" w:cs="宋体" w:eastAsia="宋体" w:hint="default"/>
                <w:sz w:val="18"/>
                <w:szCs w:val="18"/>
              </w:rPr>
              <w:t>期初余额</w:t>
            </w:r>
            <w:r>
              <w:rPr>
                <w:rFonts w:ascii="Arial" w:hAnsi="Arial" w:cs="Arial" w:eastAsia="Arial" w:hint="default"/>
                <w:sz w:val="18"/>
                <w:szCs w:val="18"/>
              </w:rPr>
              <w:t>/</w:t>
            </w:r>
            <w:r>
              <w:rPr>
                <w:rFonts w:ascii="宋体" w:hAnsi="宋体" w:cs="宋体" w:eastAsia="宋体" w:hint="default"/>
                <w:sz w:val="18"/>
                <w:szCs w:val="18"/>
              </w:rPr>
              <w:t>上期发生额 深圳中科金证科技有限公司</w:t>
            </w:r>
          </w:p>
        </w:tc>
        <w:tc>
          <w:tcPr>
            <w:tcW w:w="73" w:type="dxa"/>
            <w:tcBorders>
              <w:top w:val="nil" w:sz="6" w:space="0" w:color="auto"/>
              <w:left w:val="nil" w:sz="6" w:space="0" w:color="auto"/>
              <w:bottom w:val="nil" w:sz="6" w:space="0" w:color="auto"/>
              <w:right w:val="nil" w:sz="6" w:space="0" w:color="auto"/>
            </w:tcBorders>
          </w:tcPr>
          <w:p>
            <w:pPr/>
          </w:p>
        </w:tc>
      </w:tr>
      <w:tr>
        <w:trPr>
          <w:trHeight w:val="350" w:hRule="exact"/>
        </w:trPr>
        <w:tc>
          <w:tcPr>
            <w:tcW w:w="573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728"/>
              <w:jc w:val="right"/>
              <w:rPr>
                <w:rFonts w:ascii="宋体" w:hAnsi="宋体" w:cs="宋体" w:eastAsia="宋体" w:hint="default"/>
                <w:sz w:val="18"/>
                <w:szCs w:val="18"/>
              </w:rPr>
            </w:pPr>
            <w:r>
              <w:rPr>
                <w:rFonts w:ascii="宋体"/>
                <w:sz w:val="18"/>
              </w:rPr>
              <w:t>9,624,866.64</w:t>
            </w:r>
          </w:p>
        </w:tc>
        <w:tc>
          <w:tcPr>
            <w:tcW w:w="73" w:type="dxa"/>
            <w:tcBorders>
              <w:top w:val="nil" w:sz="6" w:space="0" w:color="auto"/>
              <w:left w:val="nil" w:sz="6" w:space="0" w:color="auto"/>
              <w:bottom w:val="nil" w:sz="6" w:space="0" w:color="auto"/>
              <w:right w:val="nil" w:sz="6" w:space="0" w:color="auto"/>
            </w:tcBorders>
          </w:tcPr>
          <w:p>
            <w:pPr/>
          </w:p>
        </w:tc>
      </w:tr>
      <w:tr>
        <w:trPr>
          <w:trHeight w:val="350" w:hRule="exact"/>
        </w:trPr>
        <w:tc>
          <w:tcPr>
            <w:tcW w:w="573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728"/>
              <w:jc w:val="right"/>
              <w:rPr>
                <w:rFonts w:ascii="宋体" w:hAnsi="宋体" w:cs="宋体" w:eastAsia="宋体" w:hint="default"/>
                <w:sz w:val="18"/>
                <w:szCs w:val="18"/>
              </w:rPr>
            </w:pPr>
            <w:r>
              <w:rPr>
                <w:rFonts w:ascii="宋体"/>
                <w:sz w:val="18"/>
              </w:rPr>
              <w:t>2,985,701.42</w:t>
            </w:r>
          </w:p>
        </w:tc>
        <w:tc>
          <w:tcPr>
            <w:tcW w:w="73" w:type="dxa"/>
            <w:tcBorders>
              <w:top w:val="nil" w:sz="6" w:space="0" w:color="auto"/>
              <w:left w:val="nil" w:sz="6" w:space="0" w:color="auto"/>
              <w:bottom w:val="nil" w:sz="6" w:space="0" w:color="auto"/>
              <w:right w:val="nil" w:sz="6" w:space="0" w:color="auto"/>
            </w:tcBorders>
          </w:tcPr>
          <w:p>
            <w:pPr/>
          </w:p>
        </w:tc>
      </w:tr>
      <w:tr>
        <w:trPr>
          <w:trHeight w:val="525" w:hRule="exact"/>
        </w:trPr>
        <w:tc>
          <w:tcPr>
            <w:tcW w:w="573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728"/>
              <w:jc w:val="right"/>
              <w:rPr>
                <w:rFonts w:ascii="宋体" w:hAnsi="宋体" w:cs="宋体" w:eastAsia="宋体" w:hint="default"/>
                <w:sz w:val="18"/>
                <w:szCs w:val="18"/>
              </w:rPr>
            </w:pPr>
            <w:r>
              <w:rPr>
                <w:rFonts w:ascii="宋体"/>
                <w:sz w:val="18"/>
              </w:rPr>
              <w:t>12,610,568.06</w:t>
            </w:r>
          </w:p>
        </w:tc>
        <w:tc>
          <w:tcPr>
            <w:tcW w:w="73" w:type="dxa"/>
            <w:tcBorders>
              <w:top w:val="nil" w:sz="6" w:space="0" w:color="auto"/>
              <w:left w:val="nil" w:sz="6" w:space="0" w:color="auto"/>
              <w:bottom w:val="nil" w:sz="6" w:space="0" w:color="auto"/>
              <w:right w:val="nil" w:sz="6" w:space="0" w:color="auto"/>
            </w:tcBorders>
          </w:tcPr>
          <w:p>
            <w:pPr/>
          </w:p>
        </w:tc>
      </w:tr>
      <w:tr>
        <w:trPr>
          <w:trHeight w:val="525" w:hRule="exact"/>
        </w:trPr>
        <w:tc>
          <w:tcPr>
            <w:tcW w:w="573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728"/>
              <w:jc w:val="right"/>
              <w:rPr>
                <w:rFonts w:ascii="宋体" w:hAnsi="宋体" w:cs="宋体" w:eastAsia="宋体" w:hint="default"/>
                <w:sz w:val="18"/>
                <w:szCs w:val="18"/>
              </w:rPr>
            </w:pPr>
            <w:r>
              <w:rPr>
                <w:rFonts w:ascii="宋体"/>
                <w:sz w:val="18"/>
              </w:rPr>
              <w:t>1,650,124.67</w:t>
            </w:r>
          </w:p>
        </w:tc>
        <w:tc>
          <w:tcPr>
            <w:tcW w:w="73" w:type="dxa"/>
            <w:tcBorders>
              <w:top w:val="nil" w:sz="6" w:space="0" w:color="auto"/>
              <w:left w:val="nil" w:sz="6" w:space="0" w:color="auto"/>
              <w:bottom w:val="nil" w:sz="6" w:space="0" w:color="auto"/>
              <w:right w:val="nil" w:sz="6" w:space="0" w:color="auto"/>
            </w:tcBorders>
          </w:tcPr>
          <w:p>
            <w:pPr/>
          </w:p>
        </w:tc>
      </w:tr>
      <w:tr>
        <w:trPr>
          <w:trHeight w:val="350" w:hRule="exact"/>
        </w:trPr>
        <w:tc>
          <w:tcPr>
            <w:tcW w:w="573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784" w:type="dxa"/>
            <w:tcBorders>
              <w:top w:val="nil" w:sz="6" w:space="0" w:color="auto"/>
              <w:left w:val="nil" w:sz="6" w:space="0" w:color="auto"/>
              <w:bottom w:val="nil" w:sz="6" w:space="0" w:color="auto"/>
              <w:right w:val="nil" w:sz="6" w:space="0" w:color="auto"/>
            </w:tcBorders>
          </w:tcPr>
          <w:p>
            <w:pPr/>
          </w:p>
        </w:tc>
        <w:tc>
          <w:tcPr>
            <w:tcW w:w="73" w:type="dxa"/>
            <w:tcBorders>
              <w:top w:val="nil" w:sz="6" w:space="0" w:color="auto"/>
              <w:left w:val="nil" w:sz="6" w:space="0" w:color="auto"/>
              <w:bottom w:val="nil" w:sz="6" w:space="0" w:color="auto"/>
              <w:right w:val="nil" w:sz="6" w:space="0" w:color="auto"/>
            </w:tcBorders>
          </w:tcPr>
          <w:p>
            <w:pPr/>
          </w:p>
        </w:tc>
      </w:tr>
      <w:tr>
        <w:trPr>
          <w:trHeight w:val="525" w:hRule="exact"/>
        </w:trPr>
        <w:tc>
          <w:tcPr>
            <w:tcW w:w="573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728"/>
              <w:jc w:val="right"/>
              <w:rPr>
                <w:rFonts w:ascii="宋体" w:hAnsi="宋体" w:cs="宋体" w:eastAsia="宋体" w:hint="default"/>
                <w:sz w:val="18"/>
                <w:szCs w:val="18"/>
              </w:rPr>
            </w:pPr>
            <w:r>
              <w:rPr>
                <w:rFonts w:ascii="宋体"/>
                <w:sz w:val="18"/>
              </w:rPr>
              <w:t>1,650,124.67</w:t>
            </w:r>
          </w:p>
        </w:tc>
        <w:tc>
          <w:tcPr>
            <w:tcW w:w="73" w:type="dxa"/>
            <w:tcBorders>
              <w:top w:val="nil" w:sz="6" w:space="0" w:color="auto"/>
              <w:left w:val="nil" w:sz="6" w:space="0" w:color="auto"/>
              <w:bottom w:val="nil" w:sz="6" w:space="0" w:color="auto"/>
              <w:right w:val="nil" w:sz="6" w:space="0" w:color="auto"/>
            </w:tcBorders>
          </w:tcPr>
          <w:p>
            <w:pPr/>
          </w:p>
        </w:tc>
      </w:tr>
      <w:tr>
        <w:trPr>
          <w:trHeight w:val="525" w:hRule="exact"/>
        </w:trPr>
        <w:tc>
          <w:tcPr>
            <w:tcW w:w="573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784" w:type="dxa"/>
            <w:tcBorders>
              <w:top w:val="nil" w:sz="6" w:space="0" w:color="auto"/>
              <w:left w:val="nil" w:sz="6" w:space="0" w:color="auto"/>
              <w:bottom w:val="nil" w:sz="6" w:space="0" w:color="auto"/>
              <w:right w:val="nil" w:sz="6" w:space="0" w:color="auto"/>
            </w:tcBorders>
          </w:tcPr>
          <w:p>
            <w:pPr/>
          </w:p>
        </w:tc>
        <w:tc>
          <w:tcPr>
            <w:tcW w:w="73" w:type="dxa"/>
            <w:tcBorders>
              <w:top w:val="nil" w:sz="6" w:space="0" w:color="auto"/>
              <w:left w:val="nil" w:sz="6" w:space="0" w:color="auto"/>
              <w:bottom w:val="nil" w:sz="6" w:space="0" w:color="auto"/>
              <w:right w:val="nil" w:sz="6" w:space="0" w:color="auto"/>
            </w:tcBorders>
          </w:tcPr>
          <w:p>
            <w:pPr/>
          </w:p>
        </w:tc>
      </w:tr>
      <w:tr>
        <w:trPr>
          <w:trHeight w:val="525" w:hRule="exact"/>
        </w:trPr>
        <w:tc>
          <w:tcPr>
            <w:tcW w:w="573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728"/>
              <w:jc w:val="right"/>
              <w:rPr>
                <w:rFonts w:ascii="宋体" w:hAnsi="宋体" w:cs="宋体" w:eastAsia="宋体" w:hint="default"/>
                <w:sz w:val="18"/>
                <w:szCs w:val="18"/>
              </w:rPr>
            </w:pPr>
            <w:r>
              <w:rPr>
                <w:rFonts w:ascii="宋体"/>
                <w:sz w:val="18"/>
              </w:rPr>
              <w:t>10,960,443.39</w:t>
            </w:r>
          </w:p>
        </w:tc>
        <w:tc>
          <w:tcPr>
            <w:tcW w:w="73" w:type="dxa"/>
            <w:tcBorders>
              <w:top w:val="nil" w:sz="6" w:space="0" w:color="auto"/>
              <w:left w:val="nil" w:sz="6" w:space="0" w:color="auto"/>
              <w:bottom w:val="nil" w:sz="6" w:space="0" w:color="auto"/>
              <w:right w:val="nil" w:sz="6" w:space="0" w:color="auto"/>
            </w:tcBorders>
          </w:tcPr>
          <w:p>
            <w:pPr/>
          </w:p>
        </w:tc>
      </w:tr>
      <w:tr>
        <w:trPr>
          <w:trHeight w:val="525" w:hRule="exact"/>
        </w:trPr>
        <w:tc>
          <w:tcPr>
            <w:tcW w:w="573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728"/>
              <w:jc w:val="right"/>
              <w:rPr>
                <w:rFonts w:ascii="宋体" w:hAnsi="宋体" w:cs="宋体" w:eastAsia="宋体" w:hint="default"/>
                <w:sz w:val="18"/>
                <w:szCs w:val="18"/>
              </w:rPr>
            </w:pPr>
            <w:r>
              <w:rPr>
                <w:rFonts w:ascii="宋体"/>
                <w:sz w:val="18"/>
              </w:rPr>
              <w:t>3,288,133.02</w:t>
            </w:r>
          </w:p>
        </w:tc>
        <w:tc>
          <w:tcPr>
            <w:tcW w:w="73" w:type="dxa"/>
            <w:tcBorders>
              <w:top w:val="nil" w:sz="6" w:space="0" w:color="auto"/>
              <w:left w:val="nil" w:sz="6" w:space="0" w:color="auto"/>
              <w:bottom w:val="nil" w:sz="6" w:space="0" w:color="auto"/>
              <w:right w:val="nil" w:sz="6" w:space="0" w:color="auto"/>
            </w:tcBorders>
          </w:tcPr>
          <w:p>
            <w:pPr/>
          </w:p>
        </w:tc>
      </w:tr>
      <w:tr>
        <w:trPr>
          <w:trHeight w:val="350" w:hRule="exact"/>
        </w:trPr>
        <w:tc>
          <w:tcPr>
            <w:tcW w:w="573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2784" w:type="dxa"/>
            <w:tcBorders>
              <w:top w:val="nil" w:sz="6" w:space="0" w:color="auto"/>
              <w:left w:val="nil" w:sz="6" w:space="0" w:color="auto"/>
              <w:bottom w:val="nil" w:sz="6" w:space="0" w:color="auto"/>
              <w:right w:val="nil" w:sz="6" w:space="0" w:color="auto"/>
            </w:tcBorders>
          </w:tcPr>
          <w:p>
            <w:pPr/>
          </w:p>
        </w:tc>
        <w:tc>
          <w:tcPr>
            <w:tcW w:w="73" w:type="dxa"/>
            <w:tcBorders>
              <w:top w:val="nil" w:sz="6" w:space="0" w:color="auto"/>
              <w:left w:val="nil" w:sz="6" w:space="0" w:color="auto"/>
              <w:bottom w:val="nil" w:sz="6" w:space="0" w:color="auto"/>
              <w:right w:val="nil" w:sz="6" w:space="0" w:color="auto"/>
            </w:tcBorders>
          </w:tcPr>
          <w:p>
            <w:pPr/>
          </w:p>
        </w:tc>
      </w:tr>
      <w:tr>
        <w:trPr>
          <w:trHeight w:val="1411" w:hRule="exact"/>
        </w:trPr>
        <w:tc>
          <w:tcPr>
            <w:tcW w:w="5732" w:type="dxa"/>
            <w:tcBorders>
              <w:top w:val="nil" w:sz="6" w:space="0" w:color="auto"/>
              <w:left w:val="nil" w:sz="6" w:space="0" w:color="auto"/>
              <w:bottom w:val="single" w:sz="12" w:space="0" w:color="000000"/>
              <w:right w:val="nil" w:sz="6" w:space="0" w:color="auto"/>
            </w:tcBorders>
          </w:tcPr>
          <w:p>
            <w:pPr>
              <w:pStyle w:val="TableParagraph"/>
              <w:spacing w:line="240" w:lineRule="auto" w:before="29"/>
              <w:ind w:left="108"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商誉</w:t>
            </w:r>
          </w:p>
          <w:p>
            <w:pPr>
              <w:pStyle w:val="TableParagraph"/>
              <w:spacing w:line="240" w:lineRule="auto" w:before="102"/>
              <w:ind w:left="108"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内部交易未实现利润</w:t>
            </w:r>
          </w:p>
          <w:p>
            <w:pPr>
              <w:pStyle w:val="TableParagraph"/>
              <w:spacing w:line="338" w:lineRule="auto" w:before="102"/>
              <w:ind w:left="108" w:right="3102"/>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其他 对联营企业权益投资的账面价值</w:t>
            </w:r>
          </w:p>
        </w:tc>
        <w:tc>
          <w:tcPr>
            <w:tcW w:w="2784" w:type="dxa"/>
            <w:tcBorders>
              <w:top w:val="nil" w:sz="6" w:space="0" w:color="auto"/>
              <w:left w:val="nil" w:sz="6" w:space="0" w:color="auto"/>
              <w:bottom w:val="single" w:sz="12" w:space="0" w:color="000000"/>
              <w:right w:val="nil" w:sz="6" w:space="0" w:color="auto"/>
            </w:tcBorders>
          </w:tcPr>
          <w:p>
            <w:pPr>
              <w:pStyle w:val="TableParagraph"/>
              <w:spacing w:line="240" w:lineRule="auto" w:before="29"/>
              <w:ind w:right="-2728"/>
              <w:jc w:val="right"/>
              <w:rPr>
                <w:rFonts w:ascii="宋体" w:hAnsi="宋体" w:cs="宋体" w:eastAsia="宋体" w:hint="default"/>
                <w:sz w:val="18"/>
                <w:szCs w:val="18"/>
              </w:rPr>
            </w:pPr>
            <w:r>
              <w:rPr>
                <w:rFonts w:ascii="宋体"/>
                <w:sz w:val="18"/>
              </w:rPr>
              <w:t>5,625,000.00</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728"/>
              <w:jc w:val="right"/>
              <w:rPr>
                <w:rFonts w:ascii="宋体" w:hAnsi="宋体" w:cs="宋体" w:eastAsia="宋体" w:hint="default"/>
                <w:sz w:val="18"/>
                <w:szCs w:val="18"/>
              </w:rPr>
            </w:pPr>
            <w:r>
              <w:rPr>
                <w:rFonts w:ascii="宋体"/>
                <w:sz w:val="18"/>
              </w:rPr>
              <w:t>8,913,133.02</w:t>
            </w:r>
          </w:p>
        </w:tc>
        <w:tc>
          <w:tcPr>
            <w:tcW w:w="73"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1197" w:top="1080" w:bottom="1380" w:left="1640" w:right="114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p>
      <w:pPr>
        <w:spacing w:line="3549" w:lineRule="exact"/>
        <w:ind w:left="11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0"/>
          <w:sz w:val="20"/>
          <w:szCs w:val="20"/>
        </w:rPr>
        <w:pict>
          <v:group style="width:432.85pt;height:177.5pt;mso-position-horizontal-relative:char;mso-position-vertical-relative:line" coordorigin="0,0" coordsize="8657,3550">
            <v:group style="position:absolute;left:29;top:15;width:8590;height:2" coordorigin="29,15" coordsize="8590,2">
              <v:shape style="position:absolute;left:29;top:15;width:8590;height:2" coordorigin="29,15" coordsize="8590,0" path="m29,15l8619,15e" filled="false" stroked="true" strokeweight="1.5pt" strokecolor="#000000">
                <v:path arrowok="t"/>
              </v:shape>
              <v:shape style="position:absolute;left:3952;top:30;width:10;height:340" type="#_x0000_t75" stroked="false">
                <v:imagedata r:id="rId39" o:title=""/>
              </v:shape>
              <v:shape style="position:absolute;left:3923;top:341;width:4733;height:394" type="#_x0000_t75" stroked="false">
                <v:imagedata r:id="rId46" o:title=""/>
              </v:shape>
            </v:group>
            <v:group style="position:absolute;left:15;top:3535;width:3938;height:2" coordorigin="15,3535" coordsize="3938,2">
              <v:shape style="position:absolute;left:15;top:3535;width:3938;height:2" coordorigin="15,3535" coordsize="3938,0" path="m15,3535l3952,3535e" filled="false" stroked="true" strokeweight="1.5pt" strokecolor="#000000">
                <v:path arrowok="t"/>
              </v:shape>
              <v:shape style="position:absolute;left:1;top:691;width:8656;height:2828" type="#_x0000_t75" stroked="false">
                <v:imagedata r:id="rId47" o:title=""/>
              </v:shape>
            </v:group>
            <v:group style="position:absolute;left:3952;top:3535;width:4667;height:2" coordorigin="3952,3535" coordsize="4667,2">
              <v:shape style="position:absolute;left:3952;top:3535;width:4667;height:2" coordorigin="3952,3535" coordsize="4667,0" path="m3952,3535l8619,3535e" filled="false" stroked="true" strokeweight="1.5pt" strokecolor="#000000">
                <v:path arrowok="t"/>
              </v:shape>
              <v:shape style="position:absolute;left:137;top:28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5207;top:108;width:2160;height:531" type="#_x0000_t202" filled="false" stroked="false">
                <v:textbox inset="0,0,0,0">
                  <w:txbxContent>
                    <w:p>
                      <w:pPr>
                        <w:spacing w:line="193"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Arial" w:hAnsi="Arial" w:cs="Arial" w:eastAsia="Arial" w:hint="default"/>
                          <w:sz w:val="18"/>
                          <w:szCs w:val="18"/>
                        </w:rPr>
                        <w:t>/</w:t>
                      </w:r>
                      <w:r>
                        <w:rPr>
                          <w:rFonts w:ascii="宋体" w:hAnsi="宋体" w:cs="宋体" w:eastAsia="宋体" w:hint="default"/>
                          <w:sz w:val="18"/>
                          <w:szCs w:val="18"/>
                        </w:rPr>
                        <w:t>上期发生额</w:t>
                      </w:r>
                    </w:p>
                    <w:p>
                      <w:pPr>
                        <w:spacing w:before="102"/>
                        <w:ind w:left="0" w:right="0" w:firstLine="0"/>
                        <w:jc w:val="center"/>
                        <w:rPr>
                          <w:rFonts w:ascii="宋体" w:hAnsi="宋体" w:cs="宋体" w:eastAsia="宋体" w:hint="default"/>
                          <w:sz w:val="18"/>
                          <w:szCs w:val="18"/>
                        </w:rPr>
                      </w:pPr>
                      <w:r>
                        <w:rPr>
                          <w:rFonts w:ascii="宋体" w:hAnsi="宋体" w:cs="宋体" w:eastAsia="宋体" w:hint="default"/>
                          <w:sz w:val="18"/>
                          <w:szCs w:val="18"/>
                        </w:rPr>
                        <w:t>深圳中科金证科技有限公司</w:t>
                      </w:r>
                    </w:p>
                  </w:txbxContent>
                </v:textbox>
                <w10:wrap type="none"/>
              </v:shape>
              <v:shape style="position:absolute;left:137;top:809;width:28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存在公开报价的权益投资的公允价值</w:t>
                      </w:r>
                    </w:p>
                  </w:txbxContent>
                </v:textbox>
                <w10:wrap type="none"/>
              </v:shape>
              <v:shape style="position:absolute;left:137;top:1509;width:2880;height:193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营业收入</w:t>
                      </w:r>
                    </w:p>
                    <w:p>
                      <w:pPr>
                        <w:spacing w:line="357" w:lineRule="auto" w:before="115"/>
                        <w:ind w:left="0" w:right="1438" w:firstLine="0"/>
                        <w:jc w:val="left"/>
                        <w:rPr>
                          <w:rFonts w:ascii="宋体" w:hAnsi="宋体" w:cs="宋体" w:eastAsia="宋体" w:hint="default"/>
                          <w:sz w:val="18"/>
                          <w:szCs w:val="18"/>
                        </w:rPr>
                      </w:pPr>
                      <w:r>
                        <w:rPr>
                          <w:rFonts w:ascii="宋体" w:hAnsi="宋体" w:cs="宋体" w:eastAsia="宋体" w:hint="default"/>
                          <w:sz w:val="18"/>
                          <w:szCs w:val="18"/>
                        </w:rPr>
                        <w:t>净利润 终止经营的净利润 其他综合收益 综合收益总额</w:t>
                      </w:r>
                    </w:p>
                    <w:p>
                      <w:pPr>
                        <w:spacing w:before="25"/>
                        <w:ind w:left="0" w:right="0" w:firstLine="0"/>
                        <w:jc w:val="left"/>
                        <w:rPr>
                          <w:rFonts w:ascii="宋体" w:hAnsi="宋体" w:cs="宋体" w:eastAsia="宋体" w:hint="default"/>
                          <w:sz w:val="18"/>
                          <w:szCs w:val="18"/>
                        </w:rPr>
                      </w:pPr>
                      <w:r>
                        <w:rPr>
                          <w:rFonts w:ascii="宋体" w:hAnsi="宋体" w:cs="宋体" w:eastAsia="宋体" w:hint="default"/>
                          <w:sz w:val="18"/>
                          <w:szCs w:val="18"/>
                        </w:rPr>
                        <w:t>企业本期收到的来自联营企业的股利</w:t>
                      </w:r>
                    </w:p>
                  </w:txbxContent>
                </v:textbox>
                <w10:wrap type="none"/>
              </v:shape>
              <v:shape style="position:absolute;left:7251;top:1509;width:1260;height:531" type="#_x0000_t202" filled="false" stroked="false">
                <v:textbox inset="0,0,0,0">
                  <w:txbxContent>
                    <w:p>
                      <w:pPr>
                        <w:spacing w:line="180" w:lineRule="exact" w:before="0"/>
                        <w:ind w:left="179" w:right="0" w:firstLine="0"/>
                        <w:jc w:val="center"/>
                        <w:rPr>
                          <w:rFonts w:ascii="宋体" w:hAnsi="宋体" w:cs="宋体" w:eastAsia="宋体" w:hint="default"/>
                          <w:sz w:val="18"/>
                          <w:szCs w:val="18"/>
                        </w:rPr>
                      </w:pPr>
                      <w:r>
                        <w:rPr>
                          <w:rFonts w:ascii="宋体"/>
                          <w:sz w:val="18"/>
                        </w:rPr>
                        <w:t>6,269,877.11</w:t>
                      </w:r>
                    </w:p>
                    <w:p>
                      <w:pPr>
                        <w:spacing w:before="115"/>
                        <w:ind w:left="0" w:right="0" w:firstLine="0"/>
                        <w:jc w:val="center"/>
                        <w:rPr>
                          <w:rFonts w:ascii="宋体" w:hAnsi="宋体" w:cs="宋体" w:eastAsia="宋体" w:hint="default"/>
                          <w:sz w:val="18"/>
                          <w:szCs w:val="18"/>
                        </w:rPr>
                      </w:pPr>
                      <w:r>
                        <w:rPr>
                          <w:rFonts w:ascii="宋体"/>
                          <w:sz w:val="18"/>
                        </w:rPr>
                        <w:t>-12,026,617.00</w:t>
                      </w:r>
                    </w:p>
                  </w:txbxContent>
                </v:textbox>
                <w10:wrap type="none"/>
              </v:shape>
              <v:shape style="position:absolute;left:7251;top:2909;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-12,026,617.00</w:t>
                      </w:r>
                    </w:p>
                  </w:txbxContent>
                </v:textbox>
                <w10:wrap type="none"/>
              </v:shape>
            </v:group>
          </v:group>
        </w:pict>
      </w:r>
      <w:r>
        <w:rPr>
          <w:rFonts w:ascii="Times New Roman" w:hAnsi="Times New Roman" w:cs="Times New Roman" w:eastAsia="Times New Roman" w:hint="default"/>
          <w:position w:val="-70"/>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p>
      <w:pPr>
        <w:pStyle w:val="Heading3"/>
        <w:spacing w:line="384" w:lineRule="auto"/>
        <w:ind w:left="157" w:right="4941"/>
        <w:jc w:val="left"/>
        <w:rPr>
          <w:rFonts w:ascii="宋体" w:hAnsi="宋体" w:cs="宋体" w:eastAsia="宋体" w:hint="default"/>
          <w:b w:val="0"/>
          <w:bCs w:val="0"/>
        </w:rPr>
      </w:pPr>
      <w:r>
        <w:rPr/>
        <w:t>二、董事会关于公司未来发展的讨论与分析</w:t>
      </w:r>
      <w:r>
        <w:rPr>
          <w:w w:val="99"/>
        </w:rPr>
        <w:t> </w:t>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9"/>
        </w:rPr>
        <w:t> </w:t>
      </w:r>
      <w:r>
        <w:rPr/>
        <w:t>行业竞争格局和发展趋势</w:t>
      </w:r>
      <w:r>
        <w:rPr>
          <w:w w:val="99"/>
        </w:rPr>
        <w:t> </w:t>
      </w:r>
      <w:r>
        <w:rPr>
          <w:rFonts w:ascii="宋体" w:hAnsi="宋体" w:cs="宋体" w:eastAsia="宋体" w:hint="default"/>
          <w:b w:val="0"/>
          <w:bCs w:val="0"/>
        </w:rPr>
        <w:t>1）行业发展趋势</w:t>
      </w:r>
    </w:p>
    <w:p>
      <w:pPr>
        <w:pStyle w:val="BodyText"/>
        <w:spacing w:line="350" w:lineRule="auto"/>
        <w:ind w:left="157" w:right="121"/>
        <w:jc w:val="left"/>
      </w:pPr>
      <w:r>
        <w:rPr/>
        <w:t>A、资本市场改革加速进行，金融</w:t>
      </w:r>
      <w:r>
        <w:rPr>
          <w:spacing w:val="-54"/>
        </w:rPr>
        <w:t> </w:t>
      </w:r>
      <w:r>
        <w:rPr/>
        <w:t>IT</w:t>
      </w:r>
      <w:r>
        <w:rPr>
          <w:spacing w:val="-54"/>
        </w:rPr>
        <w:t> </w:t>
      </w:r>
      <w:r>
        <w:rPr/>
        <w:t>企业竞争加剧。</w:t>
      </w:r>
      <w:r>
        <w:rPr>
          <w:spacing w:val="-1"/>
        </w:rPr>
        <w:t> </w:t>
      </w:r>
      <w:r>
        <w:rPr/>
        <w:t>目前我国资本市场正呈现出多层次、全方位、国际化的市场化改革加速趋势，利率市场化、资产</w:t>
      </w:r>
      <w:r>
        <w:rPr/>
        <w:t> 证券化、注册制、沪港通与深港通、“一人一户”、新三板等领域的变革正在全面快速推进：在 利率市场化与金融机构设立门槛放低的背景下，我国经济正进入降息周期，构成资本市场长期牛 市的重要基础，同时大量新机构的设立将逐渐改变行业格局；资产证券化业务限制的逐步放开， 将激活大量的存量资产，资产流动性将快速提升，未来泛资产管理机构数量将持续增加；注册制 </w:t>
      </w:r>
      <w:r>
        <w:rPr>
          <w:spacing w:val="-5"/>
        </w:rPr>
        <w:t>的逐步推出将使资本市场环境面临巨变，资本市场</w:t>
      </w:r>
      <w:r>
        <w:rPr>
          <w:spacing w:val="-43"/>
        </w:rPr>
        <w:t> </w:t>
      </w:r>
      <w:r>
        <w:rPr/>
        <w:t>IPO</w:t>
      </w:r>
      <w:r>
        <w:rPr>
          <w:spacing w:val="-42"/>
        </w:rPr>
        <w:t> </w:t>
      </w:r>
      <w:r>
        <w:rPr>
          <w:spacing w:val="-6"/>
        </w:rPr>
        <w:t>企业数量与交易规模将显著上升；伴随“一</w:t>
      </w:r>
      <w:r>
        <w:rPr>
          <w:spacing w:val="-103"/>
        </w:rPr>
        <w:t> </w:t>
      </w:r>
      <w:r>
        <w:rPr>
          <w:spacing w:val="-103"/>
        </w:rPr>
      </w:r>
      <w:r>
        <w:rPr/>
        <w:t>人一户”限制的逐步放开，券商行业竞争格局将面临变化；新三板市场的逐步完善有利于我国多 层次资本市场体系的建立和完善，未来金融体制改革将进一步深化。 长期来看，在加速变革的资本市场与政策环境中，金融机构混业经营发展将成为主流趋势，跨界 融合将逐渐从“互联网+金融”逐步过渡到“产业+互联网+金融”，对金融</w:t>
      </w:r>
      <w:r>
        <w:rPr>
          <w:spacing w:val="-67"/>
        </w:rPr>
        <w:t> </w:t>
      </w:r>
      <w:r>
        <w:rPr/>
        <w:t>IT</w:t>
      </w:r>
      <w:r>
        <w:rPr>
          <w:spacing w:val="-66"/>
        </w:rPr>
        <w:t> </w:t>
      </w:r>
      <w:r>
        <w:rPr/>
        <w:t>企业的技术能力、</w:t>
      </w:r>
      <w:r>
        <w:rPr>
          <w:spacing w:val="-1"/>
        </w:rPr>
        <w:t> </w:t>
      </w:r>
      <w:r>
        <w:rPr>
          <w:spacing w:val="-4"/>
        </w:rPr>
        <w:t>产品能力、服务能力也提出了更高的要求，而越来越多的市场参与者也将加剧金融</w:t>
      </w:r>
      <w:r>
        <w:rPr>
          <w:spacing w:val="-49"/>
        </w:rPr>
        <w:t> </w:t>
      </w:r>
      <w:r>
        <w:rPr/>
        <w:t>IT</w:t>
      </w:r>
      <w:r>
        <w:rPr>
          <w:spacing w:val="-49"/>
        </w:rPr>
        <w:t> </w:t>
      </w:r>
      <w:r>
        <w:rPr/>
        <w:t>企业之间的</w:t>
      </w:r>
      <w:r>
        <w:rPr>
          <w:spacing w:val="-101"/>
        </w:rPr>
        <w:t> </w:t>
      </w:r>
      <w:r>
        <w:rPr>
          <w:spacing w:val="-101"/>
        </w:rPr>
      </w:r>
      <w:r>
        <w:rPr/>
        <w:t>竞争。</w:t>
      </w:r>
    </w:p>
    <w:p>
      <w:pPr>
        <w:spacing w:line="240" w:lineRule="auto" w:before="0"/>
        <w:rPr>
          <w:rFonts w:ascii="宋体" w:hAnsi="宋体" w:cs="宋体" w:eastAsia="宋体" w:hint="default"/>
          <w:sz w:val="20"/>
          <w:szCs w:val="20"/>
        </w:rPr>
      </w:pPr>
    </w:p>
    <w:p>
      <w:pPr>
        <w:pStyle w:val="BodyText"/>
        <w:spacing w:line="350" w:lineRule="auto" w:before="167"/>
        <w:ind w:left="157" w:right="127"/>
        <w:jc w:val="left"/>
      </w:pPr>
      <w:r>
        <w:rPr/>
        <w:t>B、互联网金融生态逐步建立，从混乱走向有序。 在大数据、云计算、移动互联网等新一代信息技术的快速发展影响下，金融业及传统行业将面临 深度互联网化与移动互联网化的挑战。金融新业态、新技术、新模式层出不穷，尤其是多种形式 的互联网金融异军突起，正改变金融行业的运营模式与次序，搅动以券商为代表的直接融资体系 和以银行为代表的间接融资体系，金融行业的原始边界在逐渐消融。同时，《征信业管理条例》 的出台解决了征信业发展中无法可依的问题，互联网企业、第三方征信机构基于交易数据、小额</w:t>
      </w:r>
    </w:p>
    <w:p>
      <w:pPr>
        <w:spacing w:after="0" w:line="350" w:lineRule="auto"/>
        <w:jc w:val="left"/>
        <w:sectPr>
          <w:pgSz w:w="11910" w:h="16840"/>
          <w:pgMar w:header="0" w:footer="1197" w:top="1080" w:bottom="1380" w:left="164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350" w:lineRule="auto" w:before="35"/>
        <w:ind w:left="137" w:right="182"/>
        <w:jc w:val="left"/>
      </w:pPr>
      <w:r>
        <w:rPr/>
        <w:t>贷款记录、P2P</w:t>
      </w:r>
      <w:r>
        <w:rPr>
          <w:spacing w:val="-53"/>
        </w:rPr>
        <w:t> </w:t>
      </w:r>
      <w:r>
        <w:rPr/>
        <w:t>信用记录等大数据建立起的征信体系将逐步与银行征信系统对接，为互联网金融</w:t>
      </w:r>
      <w:r>
        <w:rPr/>
        <w:t> 的发展提供了良好的信用环境基础。此外，国家政策的支持也为互联网金融的发展提供了保障， 2015</w:t>
      </w:r>
      <w:r>
        <w:rPr>
          <w:spacing w:val="-53"/>
        </w:rPr>
        <w:t> </w:t>
      </w:r>
      <w:r>
        <w:rPr/>
        <w:t>年两会的政府工作报告更是把“促进互联网金融健康发展”放在“深化金融体制改革”部</w:t>
      </w:r>
      <w:r>
        <w:rPr/>
        <w:t> 分，放在报告的“调整产业结构，培育新增长点、新业态”部分，互联网金融将迎来更大的发展 周期。未来伴随互联网金融的进一步发展，以互联网金融消费者、金融机构、电商平台、互联网 企业、金融</w:t>
      </w:r>
      <w:r>
        <w:rPr>
          <w:spacing w:val="-54"/>
        </w:rPr>
        <w:t> </w:t>
      </w:r>
      <w:r>
        <w:rPr/>
        <w:t>IT</w:t>
      </w:r>
      <w:r>
        <w:rPr>
          <w:spacing w:val="-53"/>
        </w:rPr>
        <w:t> </w:t>
      </w:r>
      <w:r>
        <w:rPr/>
        <w:t>企业、监管机构等为主体的生态将逐步建立。</w:t>
      </w:r>
      <w:r>
        <w:rPr>
          <w:spacing w:val="-1"/>
        </w:rPr>
        <w:t> </w:t>
      </w:r>
      <w:r>
        <w:rPr/>
        <w:t>目前，央行正在牵头制定《关于促进互联网金融健康发展的指导意见》，将按照“适度监管、分</w:t>
      </w:r>
      <w:r>
        <w:rPr/>
        <w:t> 类监管、协同监管、创新监管”的原则，建立和完善互联网金融监管框架，根据新的监管框架， 互联网金融企业在与传统金融相同的业务领域，将面临与传统金融机构同等的监管，互联网金融 </w:t>
      </w:r>
      <w:r>
        <w:rPr>
          <w:spacing w:val="-3"/>
        </w:rPr>
        <w:t>生态将逐步由混乱走向有序，基于细分领域的差异化竞争将更加激烈。在此背景下，金融</w:t>
      </w:r>
      <w:r>
        <w:rPr>
          <w:spacing w:val="-44"/>
        </w:rPr>
        <w:t> </w:t>
      </w:r>
      <w:r>
        <w:rPr/>
        <w:t>IT</w:t>
      </w:r>
      <w:r>
        <w:rPr>
          <w:spacing w:val="-44"/>
        </w:rPr>
        <w:t> </w:t>
      </w:r>
      <w:r>
        <w:rPr/>
        <w:t>企业</w:t>
      </w:r>
      <w:r>
        <w:rPr>
          <w:spacing w:val="-103"/>
        </w:rPr>
        <w:t> </w:t>
      </w:r>
      <w:r>
        <w:rPr>
          <w:spacing w:val="-103"/>
        </w:rPr>
      </w:r>
      <w:r>
        <w:rPr/>
        <w:t>利用、大数据云计算、移动互联网等技术实现从软件工具与应用服务提供商转型为平台入口、服 务运营商的转变将成为未来发展的重要方向。</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3"/>
        <w:spacing w:line="240" w:lineRule="auto" w:before="0"/>
        <w:ind w:left="137" w:right="182"/>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公司发展战略</w:t>
      </w:r>
      <w:r>
        <w:rPr>
          <w:b w:val="0"/>
          <w:bCs w:val="0"/>
        </w:rPr>
      </w:r>
    </w:p>
    <w:p>
      <w:pPr>
        <w:pStyle w:val="BodyText"/>
        <w:spacing w:line="350" w:lineRule="auto" w:before="159"/>
        <w:ind w:left="137" w:right="190"/>
        <w:jc w:val="both"/>
      </w:pPr>
      <w:r>
        <w:rPr/>
        <w:t>2015</w:t>
      </w:r>
      <w:r>
        <w:rPr>
          <w:spacing w:val="-54"/>
        </w:rPr>
        <w:t> </w:t>
      </w:r>
      <w:r>
        <w:rPr/>
        <w:t>年是公司“回归金融</w:t>
      </w:r>
      <w:r>
        <w:rPr>
          <w:spacing w:val="-55"/>
        </w:rPr>
        <w:t> </w:t>
      </w:r>
      <w:r>
        <w:rPr/>
        <w:t>IT”战略升级年，公司在“回归金融</w:t>
      </w:r>
      <w:r>
        <w:rPr>
          <w:spacing w:val="-55"/>
        </w:rPr>
        <w:t> </w:t>
      </w:r>
      <w:r>
        <w:rPr/>
        <w:t>IT”战略的基础上，紧紧抓住在</w:t>
      </w:r>
      <w:r>
        <w:rPr/>
        <w:t> 金融创新、互联网金融兴起背景下行业爆发出来的种种机遇，勇于探索、不断创新，在对商业模 式进行积极探索的基础上，提出“回归金融</w:t>
      </w:r>
      <w:r>
        <w:rPr>
          <w:spacing w:val="-86"/>
        </w:rPr>
        <w:t> </w:t>
      </w:r>
      <w:r>
        <w:rPr/>
        <w:t>IT”战略的优化与升级——金证互联网金融战略。公</w:t>
      </w:r>
      <w:r>
        <w:rPr/>
        <w:t> 司将分三个阶段，推动公司互联网金融相关业务发展：</w:t>
      </w:r>
    </w:p>
    <w:p>
      <w:pPr>
        <w:spacing w:line="240" w:lineRule="auto" w:before="0"/>
        <w:rPr>
          <w:rFonts w:ascii="宋体" w:hAnsi="宋体" w:cs="宋体" w:eastAsia="宋体" w:hint="default"/>
          <w:sz w:val="20"/>
          <w:szCs w:val="20"/>
        </w:rPr>
      </w:pPr>
    </w:p>
    <w:p>
      <w:pPr>
        <w:pStyle w:val="BodyText"/>
        <w:spacing w:line="350" w:lineRule="auto" w:before="166"/>
        <w:ind w:left="137" w:right="191"/>
        <w:jc w:val="both"/>
      </w:pPr>
      <w:r>
        <w:rPr>
          <w:spacing w:val="-5"/>
        </w:rPr>
        <w:t>第一阶段：以技术积累为优势，打造金融</w:t>
      </w:r>
      <w:r>
        <w:rPr>
          <w:spacing w:val="-44"/>
        </w:rPr>
        <w:t> </w:t>
      </w:r>
      <w:r>
        <w:rPr/>
        <w:t>IT</w:t>
      </w:r>
      <w:r>
        <w:rPr>
          <w:spacing w:val="-43"/>
        </w:rPr>
        <w:t> </w:t>
      </w:r>
      <w:r>
        <w:rPr>
          <w:spacing w:val="-3"/>
        </w:rPr>
        <w:t>行业互联网金融解决方案。公司将以技术积累与行业</w:t>
      </w:r>
      <w:r>
        <w:rPr>
          <w:spacing w:val="-97"/>
        </w:rPr>
        <w:t> </w:t>
      </w:r>
      <w:r>
        <w:rPr>
          <w:spacing w:val="-97"/>
        </w:rPr>
      </w:r>
      <w:r>
        <w:rPr/>
        <w:t>地位为优势，在确保传统业务优势的基础上，向“咨询化、应用化、运营化”升级。业务层面： 公司将更加积极主动的推进金融行业（证券、基金、泛金融）客户在互联网金融环境下的需求引 导，推动基于互联网金融的架构升级与模块优化，完善金融行业（证券、基金、泛金融）互联网 金融转型解决方案。产品层面：加快互联网金融相关业务的</w:t>
      </w:r>
      <w:r>
        <w:rPr>
          <w:spacing w:val="-54"/>
        </w:rPr>
        <w:t> </w:t>
      </w:r>
      <w:r>
        <w:rPr/>
        <w:t>B2B2C</w:t>
      </w:r>
      <w:r>
        <w:rPr>
          <w:spacing w:val="-53"/>
        </w:rPr>
        <w:t> </w:t>
      </w:r>
      <w:r>
        <w:rPr/>
        <w:t>型产品线的移动化、应用化、</w:t>
      </w:r>
      <w:r>
        <w:rPr/>
        <w:t> 前端化布局；强化与互联网企业、金融机构的创新型合作，实现增量价值的挖掘。</w:t>
      </w:r>
    </w:p>
    <w:p>
      <w:pPr>
        <w:spacing w:line="240" w:lineRule="auto" w:before="0"/>
        <w:rPr>
          <w:rFonts w:ascii="宋体" w:hAnsi="宋体" w:cs="宋体" w:eastAsia="宋体" w:hint="default"/>
          <w:sz w:val="20"/>
          <w:szCs w:val="20"/>
        </w:rPr>
      </w:pPr>
    </w:p>
    <w:p>
      <w:pPr>
        <w:pStyle w:val="BodyText"/>
        <w:spacing w:line="350" w:lineRule="auto" w:before="167"/>
        <w:ind w:left="137" w:right="0"/>
        <w:jc w:val="left"/>
      </w:pPr>
      <w:r>
        <w:rPr>
          <w:spacing w:val="-3"/>
        </w:rPr>
        <w:t>第二阶段：以流量共享为方式，力争打造互联网金融</w:t>
      </w:r>
      <w:r>
        <w:rPr>
          <w:spacing w:val="-51"/>
        </w:rPr>
        <w:t> </w:t>
      </w:r>
      <w:r>
        <w:rPr/>
        <w:t>IT</w:t>
      </w:r>
      <w:r>
        <w:rPr>
          <w:spacing w:val="-50"/>
        </w:rPr>
        <w:t> </w:t>
      </w:r>
      <w:r>
        <w:rPr>
          <w:spacing w:val="-4"/>
        </w:rPr>
        <w:t>解决方案。公司将以金融机构、互联网企</w:t>
      </w:r>
      <w:r>
        <w:rPr>
          <w:spacing w:val="-99"/>
        </w:rPr>
        <w:t> </w:t>
      </w:r>
      <w:r>
        <w:rPr>
          <w:spacing w:val="-99"/>
        </w:rPr>
      </w:r>
      <w:r>
        <w:rPr/>
        <w:t>业、传统行业企业作为服务主体，打造以流量共享方式分享行业成长的互联网金融</w:t>
      </w:r>
      <w:r>
        <w:rPr>
          <w:spacing w:val="-68"/>
        </w:rPr>
        <w:t> </w:t>
      </w:r>
      <w:r>
        <w:rPr/>
        <w:t>IT</w:t>
      </w:r>
      <w:r>
        <w:rPr>
          <w:spacing w:val="-67"/>
        </w:rPr>
        <w:t> </w:t>
      </w:r>
      <w:r>
        <w:rPr/>
        <w:t>解决方案。</w:t>
      </w:r>
      <w:r>
        <w:rPr>
          <w:spacing w:val="-1"/>
        </w:rPr>
        <w:t> </w:t>
      </w:r>
      <w:r>
        <w:rPr/>
        <w:t>为证券、基金、银行、保险、信托、期货、泛金融等传统金融机构的互联网化提供互联网金融转</w:t>
      </w:r>
      <w:r>
        <w:rPr/>
        <w:t> 型解决方案；为电商、门户、支付、搜索、P2P、众筹等互联网企业的金融化提供</w:t>
      </w:r>
      <w:r>
        <w:rPr>
          <w:spacing w:val="-62"/>
        </w:rPr>
        <w:t> </w:t>
      </w:r>
      <w:r>
        <w:rPr/>
        <w:t>IT</w:t>
      </w:r>
      <w:r>
        <w:rPr>
          <w:spacing w:val="-61"/>
        </w:rPr>
        <w:t> </w:t>
      </w:r>
      <w:r>
        <w:rPr/>
        <w:t>服务与产品</w:t>
      </w:r>
      <w:r>
        <w:rPr>
          <w:spacing w:val="-1"/>
        </w:rPr>
        <w:t> </w:t>
      </w:r>
      <w:r>
        <w:rPr/>
        <w:t>支持；为零售、通信、农业、医疗、交通等传统行业企业的互联网金融改造提供互联网金融系统</w:t>
      </w:r>
      <w:r>
        <w:rPr/>
        <w:t> 解决方案；目标将公司打造成为互联网金融</w:t>
      </w:r>
      <w:r>
        <w:rPr>
          <w:spacing w:val="-67"/>
        </w:rPr>
        <w:t> </w:t>
      </w:r>
      <w:r>
        <w:rPr/>
        <w:t>IT</w:t>
      </w:r>
      <w:r>
        <w:rPr>
          <w:spacing w:val="-67"/>
        </w:rPr>
        <w:t> </w:t>
      </w:r>
      <w:r>
        <w:rPr/>
        <w:t>解决方案第一品牌。</w:t>
      </w:r>
    </w:p>
    <w:p>
      <w:pPr>
        <w:spacing w:after="0" w:line="350" w:lineRule="auto"/>
        <w:jc w:val="left"/>
        <w:sectPr>
          <w:pgSz w:w="11910" w:h="16840"/>
          <w:pgMar w:header="0" w:footer="1197" w:top="1080" w:bottom="1380" w:left="1660" w:right="10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350" w:lineRule="auto" w:before="35"/>
        <w:ind w:left="137" w:right="224"/>
        <w:jc w:val="both"/>
      </w:pPr>
      <w:r>
        <w:rPr/>
        <w:t>第三阶段：以平台服务为基础，争取成为互联网金融内容服务商。公司将在前两阶段的基础上， 进一步整合已有优势，积累用户资源，以流量沉淀、数据挖掘等方式，争取向平台型业务延伸； 以平台为基础，以运营能力为核心，以大数据为手段，以产业链延伸为方式，参与理财平台、在 线交易、供应链金融、三方征信等互联网金融内容服务，争取将公司打造成为互联网金融内容服 务提供商。</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3"/>
        <w:spacing w:line="240" w:lineRule="auto" w:before="0"/>
        <w:ind w:left="137"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经营计划</w:t>
      </w:r>
      <w:r>
        <w:rPr>
          <w:b w:val="0"/>
          <w:bCs w:val="0"/>
        </w:rPr>
      </w:r>
    </w:p>
    <w:p>
      <w:pPr>
        <w:pStyle w:val="BodyText"/>
        <w:spacing w:line="350" w:lineRule="auto" w:before="158"/>
        <w:ind w:left="137" w:right="211"/>
        <w:jc w:val="both"/>
      </w:pPr>
      <w:r>
        <w:rPr/>
        <w:t>证券</w:t>
      </w:r>
      <w:r>
        <w:rPr>
          <w:spacing w:val="-45"/>
        </w:rPr>
        <w:t> </w:t>
      </w:r>
      <w:r>
        <w:rPr/>
        <w:t>IT</w:t>
      </w:r>
      <w:r>
        <w:rPr>
          <w:spacing w:val="-44"/>
        </w:rPr>
        <w:t> </w:t>
      </w:r>
      <w:r>
        <w:rPr>
          <w:spacing w:val="-4"/>
        </w:rPr>
        <w:t>业务：面对证券行业新一轮的复苏与变革，公司将在保持传统业务优势的基础上进一步挖</w:t>
      </w:r>
      <w:r>
        <w:rPr>
          <w:spacing w:val="-98"/>
        </w:rPr>
        <w:t> </w:t>
      </w:r>
      <w:r>
        <w:rPr>
          <w:spacing w:val="-98"/>
        </w:rPr>
      </w:r>
      <w:r>
        <w:rPr/>
        <w:t>掘、实现客户的需求；同时，公司还将加大对金融创新业务的投入与推广，不断提升公司在证券</w:t>
      </w:r>
      <w:r>
        <w:rPr/>
        <w:t> 行业的解决方案提供能力，为证券行业创新发展提供保障。</w:t>
      </w:r>
    </w:p>
    <w:p>
      <w:pPr>
        <w:spacing w:line="240" w:lineRule="auto" w:before="0"/>
        <w:rPr>
          <w:rFonts w:ascii="宋体" w:hAnsi="宋体" w:cs="宋体" w:eastAsia="宋体" w:hint="default"/>
          <w:sz w:val="20"/>
          <w:szCs w:val="20"/>
        </w:rPr>
      </w:pPr>
    </w:p>
    <w:p>
      <w:pPr>
        <w:pStyle w:val="BodyText"/>
        <w:spacing w:line="350" w:lineRule="auto" w:before="167"/>
        <w:ind w:left="137" w:right="211"/>
        <w:jc w:val="both"/>
      </w:pPr>
      <w:r>
        <w:rPr/>
        <w:t>基金</w:t>
      </w:r>
      <w:r>
        <w:rPr>
          <w:spacing w:val="-61"/>
        </w:rPr>
        <w:t> </w:t>
      </w:r>
      <w:r>
        <w:rPr/>
        <w:t>IT</w:t>
      </w:r>
      <w:r>
        <w:rPr>
          <w:spacing w:val="-60"/>
        </w:rPr>
        <w:t> </w:t>
      </w:r>
      <w:r>
        <w:rPr/>
        <w:t>业务：继续抓住资产管理业务领域大发展的契机，加快在资产管理行业开展</w:t>
      </w:r>
      <w:r>
        <w:rPr>
          <w:spacing w:val="-61"/>
        </w:rPr>
        <w:t> </w:t>
      </w:r>
      <w:r>
        <w:rPr/>
        <w:t>IT</w:t>
      </w:r>
      <w:r>
        <w:rPr>
          <w:spacing w:val="-60"/>
        </w:rPr>
        <w:t> </w:t>
      </w:r>
      <w:r>
        <w:rPr/>
        <w:t>外包服务</w:t>
      </w:r>
      <w:r>
        <w:rPr/>
        <w:t> </w:t>
      </w:r>
      <w:r>
        <w:rPr>
          <w:spacing w:val="-4"/>
        </w:rPr>
        <w:t>和资管云服务的上线推广工作，强化、引导老基金公司系统的转型升级，推进信托、保险</w:t>
      </w:r>
      <w:r>
        <w:rPr>
          <w:spacing w:val="-44"/>
        </w:rPr>
        <w:t> </w:t>
      </w:r>
      <w:r>
        <w:rPr/>
        <w:t>IT</w:t>
      </w:r>
      <w:r>
        <w:rPr>
          <w:spacing w:val="-44"/>
        </w:rPr>
        <w:t> </w:t>
      </w:r>
      <w:r>
        <w:rPr/>
        <w:t>的技</w:t>
      </w:r>
      <w:r>
        <w:rPr>
          <w:spacing w:val="-97"/>
        </w:rPr>
        <w:t> </w:t>
      </w:r>
      <w:r>
        <w:rPr>
          <w:spacing w:val="-97"/>
        </w:rPr>
      </w:r>
      <w:r>
        <w:rPr/>
        <w:t>术研发投入，逐步形成行业整体解决方案。同时，持续大力发展基于行业的互联网金融业务解决</w:t>
      </w:r>
      <w:r>
        <w:rPr/>
        <w:t> 方案，不断探索新的业务模式，保持行业领先优势。</w:t>
      </w:r>
    </w:p>
    <w:p>
      <w:pPr>
        <w:spacing w:line="240" w:lineRule="auto" w:before="0"/>
        <w:rPr>
          <w:rFonts w:ascii="宋体" w:hAnsi="宋体" w:cs="宋体" w:eastAsia="宋体" w:hint="default"/>
          <w:sz w:val="20"/>
          <w:szCs w:val="20"/>
        </w:rPr>
      </w:pPr>
    </w:p>
    <w:p>
      <w:pPr>
        <w:pStyle w:val="BodyText"/>
        <w:spacing w:line="350" w:lineRule="auto" w:before="166"/>
        <w:ind w:left="137" w:right="98"/>
        <w:jc w:val="left"/>
      </w:pPr>
      <w:r>
        <w:rPr/>
        <w:t>泛金融</w:t>
      </w:r>
      <w:r>
        <w:rPr>
          <w:spacing w:val="-39"/>
        </w:rPr>
        <w:t> </w:t>
      </w:r>
      <w:r>
        <w:rPr/>
        <w:t>IT</w:t>
      </w:r>
      <w:r>
        <w:rPr>
          <w:spacing w:val="-38"/>
        </w:rPr>
        <w:t> </w:t>
      </w:r>
      <w:r>
        <w:rPr>
          <w:spacing w:val="-6"/>
        </w:rPr>
        <w:t>业务：重点围绕现有优势业务，推进相关业务的延伸，加速泛金融云业务的落地与发展，</w:t>
      </w:r>
      <w:r>
        <w:rPr>
          <w:spacing w:val="-102"/>
        </w:rPr>
        <w:t> </w:t>
      </w:r>
      <w:r>
        <w:rPr>
          <w:spacing w:val="-102"/>
        </w:rPr>
      </w:r>
      <w:r>
        <w:rPr/>
        <w:t>为公司打造新的核心业务和利润增长点；同时，积极探索泛金融领域的互联网金融业务创新，实 现商业模式的创新。</w:t>
      </w:r>
    </w:p>
    <w:p>
      <w:pPr>
        <w:spacing w:line="240" w:lineRule="auto" w:before="0"/>
        <w:rPr>
          <w:rFonts w:ascii="宋体" w:hAnsi="宋体" w:cs="宋体" w:eastAsia="宋体" w:hint="default"/>
          <w:sz w:val="20"/>
          <w:szCs w:val="20"/>
        </w:rPr>
      </w:pPr>
    </w:p>
    <w:p>
      <w:pPr>
        <w:pStyle w:val="BodyText"/>
        <w:spacing w:line="348" w:lineRule="auto" w:before="167"/>
        <w:ind w:left="137" w:right="211"/>
        <w:jc w:val="both"/>
      </w:pPr>
      <w:r>
        <w:rPr/>
        <w:t>互联网金融</w:t>
      </w:r>
      <w:r>
        <w:rPr>
          <w:spacing w:val="-49"/>
        </w:rPr>
        <w:t> </w:t>
      </w:r>
      <w:r>
        <w:rPr/>
        <w:t>IT</w:t>
      </w:r>
      <w:r>
        <w:rPr>
          <w:spacing w:val="-48"/>
        </w:rPr>
        <w:t> </w:t>
      </w:r>
      <w:r>
        <w:rPr>
          <w:spacing w:val="-4"/>
        </w:rPr>
        <w:t>业务：以现有与券商、银行、互联网企业的合作为契机，加速互联网金融相关产品</w:t>
      </w:r>
      <w:r>
        <w:rPr>
          <w:spacing w:val="-101"/>
        </w:rPr>
        <w:t> </w:t>
      </w:r>
      <w:r>
        <w:rPr>
          <w:spacing w:val="-101"/>
        </w:rPr>
      </w:r>
      <w:r>
        <w:rPr/>
        <w:t>的开发与上线，加强金证互联网金融业务在行业中的影响力，逐步深化与金融机构、互联网企业</w:t>
      </w:r>
      <w:r>
        <w:rPr/>
        <w:t> 在互联网金融领域的合作，并在这个过程中逐步探索实现公司商业模式的转型升级。</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line="357" w:lineRule="auto" w:before="0"/>
        <w:ind w:left="137" w:right="207"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29"/>
          <w:sz w:val="21"/>
          <w:szCs w:val="21"/>
        </w:rPr>
        <w:t> </w:t>
      </w:r>
      <w:r>
        <w:rPr>
          <w:rFonts w:ascii="宋体" w:hAnsi="宋体" w:cs="宋体" w:eastAsia="宋体" w:hint="default"/>
          <w:b/>
          <w:bCs/>
          <w:sz w:val="21"/>
          <w:szCs w:val="21"/>
        </w:rPr>
        <w:t>因维持当前业务并完成在建投资项目公司所需的资金需求</w:t>
      </w:r>
      <w:r>
        <w:rPr>
          <w:rFonts w:ascii="宋体" w:hAnsi="宋体" w:cs="宋体" w:eastAsia="宋体" w:hint="default"/>
          <w:b/>
          <w:bCs/>
          <w:w w:val="99"/>
          <w:sz w:val="21"/>
          <w:szCs w:val="21"/>
        </w:rPr>
        <w:t> </w:t>
      </w:r>
      <w:r>
        <w:rPr>
          <w:rFonts w:ascii="宋体" w:hAnsi="宋体" w:cs="宋体" w:eastAsia="宋体" w:hint="default"/>
          <w:sz w:val="21"/>
          <w:szCs w:val="21"/>
        </w:rPr>
        <w:t>公司将严格控制各项费用支出，合理调度运营资金。同时公司将采取多渠道融资的办法，保证生 产经营资金的需要。</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367" w:lineRule="auto" w:before="0"/>
        <w:ind w:left="137" w:right="7134"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五</w:t>
      </w:r>
      <w:r>
        <w:rPr>
          <w:rFonts w:ascii="Calibri" w:hAnsi="Calibri" w:cs="Calibri" w:eastAsia="Calibri" w:hint="default"/>
          <w:b/>
          <w:bCs/>
          <w:sz w:val="21"/>
          <w:szCs w:val="21"/>
        </w:rPr>
        <w:t>)</w:t>
      </w:r>
      <w:r>
        <w:rPr>
          <w:rFonts w:ascii="Calibri" w:hAnsi="Calibri" w:cs="Calibri" w:eastAsia="Calibri" w:hint="default"/>
          <w:b/>
          <w:bCs/>
          <w:spacing w:val="28"/>
          <w:sz w:val="21"/>
          <w:szCs w:val="21"/>
        </w:rPr>
        <w:t> </w:t>
      </w:r>
      <w:r>
        <w:rPr>
          <w:rFonts w:ascii="宋体" w:hAnsi="宋体" w:cs="宋体" w:eastAsia="宋体" w:hint="default"/>
          <w:b/>
          <w:bCs/>
          <w:sz w:val="21"/>
          <w:szCs w:val="21"/>
        </w:rPr>
        <w:t>可能面对的风险</w:t>
      </w:r>
      <w:r>
        <w:rPr>
          <w:rFonts w:ascii="宋体" w:hAnsi="宋体" w:cs="宋体" w:eastAsia="宋体" w:hint="default"/>
          <w:b/>
          <w:bCs/>
          <w:w w:val="99"/>
          <w:sz w:val="21"/>
          <w:szCs w:val="21"/>
        </w:rPr>
        <w:t> </w:t>
      </w:r>
      <w:r>
        <w:rPr>
          <w:rFonts w:ascii="宋体" w:hAnsi="宋体" w:cs="宋体" w:eastAsia="宋体" w:hint="default"/>
          <w:sz w:val="21"/>
          <w:szCs w:val="21"/>
        </w:rPr>
        <w:t>产业变迁风险</w:t>
      </w:r>
    </w:p>
    <w:p>
      <w:pPr>
        <w:pStyle w:val="BodyText"/>
        <w:spacing w:line="348" w:lineRule="auto" w:before="13"/>
        <w:ind w:left="137" w:right="224"/>
        <w:jc w:val="both"/>
      </w:pPr>
      <w:r>
        <w:rPr/>
        <w:t>IT</w:t>
      </w:r>
      <w:r>
        <w:rPr>
          <w:spacing w:val="-53"/>
        </w:rPr>
        <w:t> </w:t>
      </w:r>
      <w:r>
        <w:rPr/>
        <w:t>行业是一个迅速变迁的行业，未来纯粹的</w:t>
      </w:r>
      <w:r>
        <w:rPr>
          <w:spacing w:val="-54"/>
        </w:rPr>
        <w:t> </w:t>
      </w:r>
      <w:r>
        <w:rPr/>
        <w:t>IT</w:t>
      </w:r>
      <w:r>
        <w:rPr>
          <w:spacing w:val="-54"/>
        </w:rPr>
        <w:t> </w:t>
      </w:r>
      <w:r>
        <w:rPr/>
        <w:t>企业很有可能会逐渐衰落。IT</w:t>
      </w:r>
      <w:r>
        <w:rPr>
          <w:spacing w:val="-53"/>
        </w:rPr>
        <w:t> </w:t>
      </w:r>
      <w:r>
        <w:rPr/>
        <w:t>行业会朝着“咨询</w:t>
      </w:r>
      <w:r>
        <w:rPr/>
        <w:t> 化、应用化、运营化”的方向升级，咨询化是指从需求实现向需求引导升级，应用化是指从后台</w:t>
      </w:r>
    </w:p>
    <w:p>
      <w:pPr>
        <w:spacing w:after="0" w:line="348" w:lineRule="auto"/>
        <w:jc w:val="both"/>
        <w:sectPr>
          <w:pgSz w:w="11910" w:h="16840"/>
          <w:pgMar w:header="0" w:footer="1197" w:top="1080" w:bottom="1380" w:left="1660" w:right="10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348" w:lineRule="auto" w:before="35"/>
        <w:ind w:left="137" w:right="207"/>
        <w:jc w:val="left"/>
      </w:pPr>
      <w:r>
        <w:rPr/>
        <w:t>系统向前端应用渗透，运营化是指从项目开发向运营服务延伸。公司在前瞻性研判的基础上，沿 着行业变迁的方向，积极引导</w:t>
      </w:r>
      <w:r>
        <w:rPr>
          <w:spacing w:val="-65"/>
        </w:rPr>
        <w:t> </w:t>
      </w:r>
      <w:r>
        <w:rPr/>
        <w:t>IT</w:t>
      </w:r>
      <w:r>
        <w:rPr>
          <w:spacing w:val="-64"/>
        </w:rPr>
        <w:t> </w:t>
      </w:r>
      <w:r>
        <w:rPr/>
        <w:t>产品和服务的升级。</w:t>
      </w:r>
    </w:p>
    <w:p>
      <w:pPr>
        <w:spacing w:line="240" w:lineRule="auto" w:before="0"/>
        <w:rPr>
          <w:rFonts w:ascii="宋体" w:hAnsi="宋体" w:cs="宋体" w:eastAsia="宋体" w:hint="default"/>
          <w:sz w:val="20"/>
          <w:szCs w:val="20"/>
        </w:rPr>
      </w:pPr>
    </w:p>
    <w:p>
      <w:pPr>
        <w:pStyle w:val="BodyText"/>
        <w:spacing w:line="240" w:lineRule="auto" w:before="169"/>
        <w:ind w:left="137" w:right="98"/>
        <w:jc w:val="left"/>
      </w:pPr>
      <w:r>
        <w:rPr/>
        <w:t>下游行业周期风险</w:t>
      </w:r>
    </w:p>
    <w:p>
      <w:pPr>
        <w:pStyle w:val="BodyText"/>
        <w:spacing w:line="350" w:lineRule="auto" w:before="125"/>
        <w:ind w:left="137" w:right="98"/>
        <w:jc w:val="left"/>
      </w:pPr>
      <w:r>
        <w:rPr/>
        <w:t>公司主营业务为证券</w:t>
      </w:r>
      <w:r>
        <w:rPr>
          <w:spacing w:val="-68"/>
        </w:rPr>
        <w:t> </w:t>
      </w:r>
      <w:r>
        <w:rPr/>
        <w:t>IT，下游证券行业具有明显的周期性。资本市场低迷时期，证券客户经营压</w:t>
      </w:r>
      <w:r>
        <w:rPr/>
        <w:t> 力增加，可能削减或延后其</w:t>
      </w:r>
      <w:r>
        <w:rPr>
          <w:spacing w:val="-68"/>
        </w:rPr>
        <w:t> </w:t>
      </w:r>
      <w:r>
        <w:rPr/>
        <w:t>IT</w:t>
      </w:r>
      <w:r>
        <w:rPr>
          <w:spacing w:val="-67"/>
        </w:rPr>
        <w:t> </w:t>
      </w:r>
      <w:r>
        <w:rPr/>
        <w:t>投入。上述情况可能对公司的业务发展、财务状况造成不利影响。</w:t>
      </w:r>
      <w:r>
        <w:rPr>
          <w:spacing w:val="-1"/>
        </w:rPr>
        <w:t> </w:t>
      </w:r>
      <w:r>
        <w:rPr/>
        <w:t>公司在立足证券</w:t>
      </w:r>
      <w:r>
        <w:rPr>
          <w:spacing w:val="-59"/>
        </w:rPr>
        <w:t> </w:t>
      </w:r>
      <w:r>
        <w:rPr/>
        <w:t>IT</w:t>
      </w:r>
      <w:r>
        <w:rPr>
          <w:spacing w:val="-58"/>
        </w:rPr>
        <w:t> </w:t>
      </w:r>
      <w:r>
        <w:rPr/>
        <w:t>的同时，通过对大金融</w:t>
      </w:r>
      <w:r>
        <w:rPr>
          <w:spacing w:val="-59"/>
        </w:rPr>
        <w:t> </w:t>
      </w:r>
      <w:r>
        <w:rPr/>
        <w:t>IT</w:t>
      </w:r>
      <w:r>
        <w:rPr>
          <w:spacing w:val="-58"/>
        </w:rPr>
        <w:t> </w:t>
      </w:r>
      <w:r>
        <w:rPr/>
        <w:t>行业领域的拓展和产品线的扩充，积极应对下游行</w:t>
      </w:r>
      <w:r>
        <w:rPr>
          <w:spacing w:val="-1"/>
        </w:rPr>
        <w:t> </w:t>
      </w:r>
      <w:r>
        <w:rPr/>
        <w:t>业周期风险。</w:t>
      </w:r>
    </w:p>
    <w:p>
      <w:pPr>
        <w:spacing w:line="240" w:lineRule="auto" w:before="0"/>
        <w:rPr>
          <w:rFonts w:ascii="宋体" w:hAnsi="宋体" w:cs="宋体" w:eastAsia="宋体" w:hint="default"/>
          <w:sz w:val="20"/>
          <w:szCs w:val="20"/>
        </w:rPr>
      </w:pPr>
    </w:p>
    <w:p>
      <w:pPr>
        <w:pStyle w:val="BodyText"/>
        <w:spacing w:line="240" w:lineRule="auto" w:before="167"/>
        <w:ind w:left="137" w:right="98"/>
        <w:jc w:val="left"/>
      </w:pPr>
      <w:r>
        <w:rPr/>
        <w:t>政策推进速度风险</w:t>
      </w:r>
    </w:p>
    <w:p>
      <w:pPr>
        <w:pStyle w:val="BodyText"/>
        <w:spacing w:line="350" w:lineRule="auto" w:before="125"/>
        <w:ind w:left="137" w:right="211"/>
        <w:jc w:val="both"/>
      </w:pPr>
      <w:r>
        <w:rPr>
          <w:spacing w:val="-4"/>
        </w:rPr>
        <w:t>公司目前所处的证券、基金、银行等金融行业的</w:t>
      </w:r>
      <w:r>
        <w:rPr>
          <w:spacing w:val="-42"/>
        </w:rPr>
        <w:t> </w:t>
      </w:r>
      <w:r>
        <w:rPr/>
        <w:t>IT</w:t>
      </w:r>
      <w:r>
        <w:rPr>
          <w:spacing w:val="-41"/>
        </w:rPr>
        <w:t> </w:t>
      </w:r>
      <w:r>
        <w:rPr>
          <w:spacing w:val="-4"/>
        </w:rPr>
        <w:t>市场，其规模总体不断扩大，但市场需求和容</w:t>
      </w:r>
      <w:r>
        <w:rPr>
          <w:spacing w:val="-95"/>
        </w:rPr>
        <w:t> </w:t>
      </w:r>
      <w:r>
        <w:rPr>
          <w:spacing w:val="-95"/>
        </w:rPr>
      </w:r>
      <w:r>
        <w:rPr/>
        <w:t>量的增长速度在很大程度上受到政策导向的影响。例如，若金融创新政策未来推进速度放缓，将</w:t>
      </w:r>
      <w:r>
        <w:rPr/>
        <w:t> 会给公司的研发、营销各个环节带来不利影响。上述情况给公司的业务发展带来不确定性。公司 积极研究行业发展趋势和政策方向，尽可能降低政策风险。</w:t>
      </w:r>
    </w:p>
    <w:p>
      <w:pPr>
        <w:spacing w:line="240" w:lineRule="auto" w:before="0"/>
        <w:rPr>
          <w:rFonts w:ascii="宋体" w:hAnsi="宋体" w:cs="宋体" w:eastAsia="宋体" w:hint="default"/>
          <w:sz w:val="20"/>
          <w:szCs w:val="20"/>
        </w:rPr>
      </w:pPr>
    </w:p>
    <w:p>
      <w:pPr>
        <w:pStyle w:val="BodyText"/>
        <w:spacing w:line="240" w:lineRule="auto" w:before="167"/>
        <w:ind w:left="137" w:right="98"/>
        <w:jc w:val="left"/>
      </w:pPr>
      <w:r>
        <w:rPr/>
        <w:t>行业技术升级风险</w:t>
      </w:r>
    </w:p>
    <w:p>
      <w:pPr>
        <w:pStyle w:val="BodyText"/>
        <w:spacing w:line="350" w:lineRule="auto" w:before="125"/>
        <w:ind w:left="137" w:right="98"/>
        <w:jc w:val="left"/>
      </w:pPr>
      <w:r>
        <w:rPr/>
        <w:t>对于金融</w:t>
      </w:r>
      <w:r>
        <w:rPr>
          <w:spacing w:val="-50"/>
        </w:rPr>
        <w:t> </w:t>
      </w:r>
      <w:r>
        <w:rPr/>
        <w:t>IT</w:t>
      </w:r>
      <w:r>
        <w:rPr>
          <w:spacing w:val="-50"/>
        </w:rPr>
        <w:t> </w:t>
      </w:r>
      <w:r>
        <w:rPr>
          <w:spacing w:val="-4"/>
        </w:rPr>
        <w:t>企业来说，技术及产品开发是核心竞争要素。如果不能及时跟踪技术的发展升级，或</w:t>
      </w:r>
      <w:r>
        <w:rPr>
          <w:spacing w:val="-95"/>
        </w:rPr>
        <w:t> </w:t>
      </w:r>
      <w:r>
        <w:rPr>
          <w:spacing w:val="-95"/>
        </w:rPr>
      </w:r>
      <w:r>
        <w:rPr>
          <w:spacing w:val="-3"/>
        </w:rPr>
        <w:t>者不能及时将储备技术开发成符合市场需求的新产品，公司可能会在新一轮竞争中丧失已有优势。</w:t>
      </w:r>
      <w:r>
        <w:rPr>
          <w:spacing w:val="-69"/>
        </w:rPr>
        <w:t> </w:t>
      </w:r>
      <w:r>
        <w:rPr>
          <w:spacing w:val="-69"/>
        </w:rPr>
      </w:r>
      <w:r>
        <w:rPr>
          <w:spacing w:val="-3"/>
        </w:rPr>
        <w:t>针对上述风险，公司将保持灵活的市场需求反应体系，继续加大在基础技术和产品开发上的投入，</w:t>
      </w:r>
      <w:r>
        <w:rPr>
          <w:spacing w:val="-68"/>
        </w:rPr>
        <w:t> </w:t>
      </w:r>
      <w:r>
        <w:rPr>
          <w:spacing w:val="-68"/>
        </w:rPr>
      </w:r>
      <w:r>
        <w:rPr/>
        <w:t>通过技术平台的升级、技术规范的落实、技术考核的加强、以及技术梯队的完善，把公司的技术 与研发能力提升到一个新的高度。</w:t>
      </w:r>
    </w:p>
    <w:p>
      <w:pPr>
        <w:spacing w:line="240" w:lineRule="auto" w:before="0"/>
        <w:rPr>
          <w:rFonts w:ascii="宋体" w:hAnsi="宋体" w:cs="宋体" w:eastAsia="宋体" w:hint="default"/>
          <w:sz w:val="20"/>
          <w:szCs w:val="20"/>
        </w:rPr>
      </w:pPr>
    </w:p>
    <w:p>
      <w:pPr>
        <w:pStyle w:val="BodyText"/>
        <w:spacing w:line="350" w:lineRule="auto" w:before="166"/>
        <w:ind w:left="137" w:right="98"/>
        <w:jc w:val="left"/>
      </w:pPr>
      <w:r>
        <w:rPr/>
        <w:t>人力成本上升风险 </w:t>
      </w:r>
      <w:r>
        <w:rPr>
          <w:spacing w:val="-3"/>
        </w:rPr>
        <w:t>软件企业的人才竞争非常激烈，随着规模及业务量的不断扩大，公司将面临着人力资源成本上升、</w:t>
      </w:r>
      <w:r>
        <w:rPr>
          <w:spacing w:val="-68"/>
        </w:rPr>
        <w:t> </w:t>
      </w:r>
      <w:r>
        <w:rPr>
          <w:spacing w:val="-68"/>
        </w:rPr>
      </w:r>
      <w:r>
        <w:rPr/>
        <w:t>技术人员和核心业务骨干缺乏的风险。若公司的管理能力和人力资源不能适应新的环境变化，将 会给公司带来不利影响。公司将持续改进人力资源管理工作，在保证员工满意度的前提下，控制 人力成本上升风险。</w:t>
      </w:r>
    </w:p>
    <w:p>
      <w:pPr>
        <w:spacing w:line="240" w:lineRule="auto" w:before="0"/>
        <w:rPr>
          <w:rFonts w:ascii="宋体" w:hAnsi="宋体" w:cs="宋体" w:eastAsia="宋体" w:hint="default"/>
          <w:sz w:val="20"/>
          <w:szCs w:val="20"/>
        </w:rPr>
      </w:pPr>
    </w:p>
    <w:p>
      <w:pPr>
        <w:pStyle w:val="BodyText"/>
        <w:spacing w:line="240" w:lineRule="auto" w:before="166"/>
        <w:ind w:left="137" w:right="98"/>
        <w:jc w:val="left"/>
      </w:pPr>
      <w:r>
        <w:rPr/>
        <w:t>应收账款坏账风险</w:t>
      </w:r>
    </w:p>
    <w:p>
      <w:pPr>
        <w:pStyle w:val="BodyText"/>
        <w:spacing w:line="350" w:lineRule="auto" w:before="126"/>
        <w:ind w:left="137" w:right="98"/>
        <w:jc w:val="left"/>
      </w:pPr>
      <w:r>
        <w:rPr/>
        <w:t>受行业支付习惯及定制化软件项目账期的影响，金融</w:t>
      </w:r>
      <w:r>
        <w:rPr>
          <w:spacing w:val="-68"/>
        </w:rPr>
        <w:t> </w:t>
      </w:r>
      <w:r>
        <w:rPr/>
        <w:t>IT</w:t>
      </w:r>
      <w:r>
        <w:rPr>
          <w:spacing w:val="-67"/>
        </w:rPr>
        <w:t> </w:t>
      </w:r>
      <w:r>
        <w:rPr/>
        <w:t>企业普遍存在应收账款占比较高的情况。</w:t>
      </w:r>
      <w:r>
        <w:rPr>
          <w:spacing w:val="-1"/>
        </w:rPr>
        <w:t> </w:t>
      </w:r>
      <w:r>
        <w:rPr/>
        <w:t>如果不能有效控制和收回应收款项，公司将存在形成呆坏账的风险。本公司下游客户多为大型金</w:t>
      </w:r>
      <w:r>
        <w:rPr/>
        <w:t> 融机构、政府等，信用资质良好，应收账款回款情况较为顺畅。报告期内，公司未发生重大账款 未收回的情形，账款情况总体与实际业务经营相匹配。未来，公司将进一步加强应收账款管理， 降低应收账款回收风险。</w:t>
      </w:r>
    </w:p>
    <w:p>
      <w:pPr>
        <w:spacing w:after="0" w:line="350" w:lineRule="auto"/>
        <w:jc w:val="left"/>
        <w:sectPr>
          <w:pgSz w:w="11910" w:h="16840"/>
          <w:pgMar w:header="0" w:footer="1197" w:top="108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Heading3"/>
        <w:spacing w:line="240" w:lineRule="auto"/>
        <w:ind w:right="11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1"/>
        </w:rPr>
        <w:t> </w:t>
      </w:r>
      <w:r>
        <w:rPr/>
        <w:t>公司近三年（含报告期）的利润分配方案或预案、资本公积金转增股本方案或预案</w:t>
      </w:r>
      <w:r>
        <w:rPr>
          <w:b w:val="0"/>
          <w:bCs w:val="0"/>
        </w:rPr>
      </w:r>
    </w:p>
    <w:p>
      <w:pPr>
        <w:pStyle w:val="BodyText"/>
        <w:tabs>
          <w:tab w:pos="1259" w:val="left" w:leader="none"/>
        </w:tabs>
        <w:spacing w:line="240" w:lineRule="auto" w:before="30"/>
        <w:ind w:left="0" w:right="231"/>
        <w:jc w:val="right"/>
      </w:pPr>
      <w:r>
        <w:rPr/>
        <w:t>单位：万元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012"/>
        <w:gridCol w:w="1211"/>
        <w:gridCol w:w="1208"/>
        <w:gridCol w:w="1211"/>
        <w:gridCol w:w="1266"/>
        <w:gridCol w:w="1582"/>
        <w:gridCol w:w="1560"/>
      </w:tblGrid>
      <w:tr>
        <w:trPr>
          <w:trHeight w:val="1099"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90" w:right="289"/>
              <w:jc w:val="left"/>
              <w:rPr>
                <w:rFonts w:ascii="宋体" w:hAnsi="宋体" w:cs="宋体" w:eastAsia="宋体" w:hint="default"/>
                <w:sz w:val="21"/>
                <w:szCs w:val="21"/>
              </w:rPr>
            </w:pPr>
            <w:r>
              <w:rPr>
                <w:rFonts w:ascii="宋体" w:hAnsi="宋体" w:cs="宋体" w:eastAsia="宋体" w:hint="default"/>
                <w:sz w:val="21"/>
                <w:szCs w:val="21"/>
              </w:rPr>
              <w:t>分红 年度</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27" w:right="126"/>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股送</w:t>
            </w:r>
            <w:r>
              <w:rPr>
                <w:rFonts w:ascii="宋体" w:hAnsi="宋体" w:cs="宋体" w:eastAsia="宋体" w:hint="default"/>
                <w:sz w:val="21"/>
                <w:szCs w:val="21"/>
              </w:rPr>
              <w:t> 红股数</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77" w:right="125" w:hanging="5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股派</w:t>
            </w:r>
            <w:r>
              <w:rPr>
                <w:rFonts w:ascii="宋体" w:hAnsi="宋体" w:cs="宋体" w:eastAsia="宋体" w:hint="default"/>
                <w:sz w:val="21"/>
                <w:szCs w:val="21"/>
              </w:rPr>
              <w:t> 息数(元)</w:t>
            </w:r>
          </w:p>
          <w:p>
            <w:pPr>
              <w:pStyle w:val="TableParagraph"/>
              <w:spacing w:line="248" w:lineRule="exact"/>
              <w:ind w:left="177"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3" w:right="47" w:firstLine="25"/>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股转</w:t>
            </w:r>
            <w:r>
              <w:rPr>
                <w:rFonts w:ascii="宋体" w:hAnsi="宋体" w:cs="宋体" w:eastAsia="宋体" w:hint="default"/>
                <w:sz w:val="21"/>
                <w:szCs w:val="21"/>
              </w:rPr>
              <w:t> 增数（股）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101"/>
              <w:jc w:val="center"/>
              <w:rPr>
                <w:rFonts w:ascii="宋体" w:hAnsi="宋体" w:cs="宋体" w:eastAsia="宋体" w:hint="default"/>
                <w:sz w:val="21"/>
                <w:szCs w:val="21"/>
              </w:rPr>
            </w:pPr>
            <w:r>
              <w:rPr>
                <w:rFonts w:ascii="宋体" w:hAnsi="宋体" w:cs="宋体" w:eastAsia="宋体" w:hint="default"/>
                <w:sz w:val="21"/>
                <w:szCs w:val="21"/>
              </w:rPr>
              <w:t>现金分红的 数额</w:t>
            </w:r>
          </w:p>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（含税）</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分红年度合并</w:t>
            </w:r>
          </w:p>
          <w:p>
            <w:pPr>
              <w:pStyle w:val="TableParagraph"/>
              <w:spacing w:line="272" w:lineRule="exact" w:before="26"/>
              <w:ind w:left="156" w:right="155"/>
              <w:jc w:val="center"/>
              <w:rPr>
                <w:rFonts w:ascii="宋体" w:hAnsi="宋体" w:cs="宋体" w:eastAsia="宋体" w:hint="default"/>
                <w:sz w:val="21"/>
                <w:szCs w:val="21"/>
              </w:rPr>
            </w:pPr>
            <w:r>
              <w:rPr>
                <w:rFonts w:ascii="宋体" w:hAnsi="宋体" w:cs="宋体" w:eastAsia="宋体" w:hint="default"/>
                <w:sz w:val="21"/>
                <w:szCs w:val="21"/>
              </w:rPr>
              <w:t>报表中归属于 上市公司股东 的净利润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4" w:right="0"/>
              <w:jc w:val="both"/>
              <w:rPr>
                <w:rFonts w:ascii="宋体" w:hAnsi="宋体" w:cs="宋体" w:eastAsia="宋体" w:hint="default"/>
                <w:sz w:val="21"/>
                <w:szCs w:val="21"/>
              </w:rPr>
            </w:pPr>
            <w:r>
              <w:rPr>
                <w:rFonts w:ascii="宋体" w:hAnsi="宋体" w:cs="宋体" w:eastAsia="宋体" w:hint="default"/>
                <w:sz w:val="21"/>
                <w:szCs w:val="21"/>
              </w:rPr>
              <w:t>占合并报表中</w:t>
            </w:r>
          </w:p>
          <w:p>
            <w:pPr>
              <w:pStyle w:val="TableParagraph"/>
              <w:spacing w:line="272" w:lineRule="exact" w:before="26"/>
              <w:ind w:left="144" w:right="144"/>
              <w:jc w:val="both"/>
              <w:rPr>
                <w:rFonts w:ascii="宋体" w:hAnsi="宋体" w:cs="宋体" w:eastAsia="宋体" w:hint="default"/>
                <w:sz w:val="21"/>
                <w:szCs w:val="21"/>
              </w:rPr>
            </w:pPr>
            <w:r>
              <w:rPr>
                <w:rFonts w:ascii="宋体" w:hAnsi="宋体" w:cs="宋体" w:eastAsia="宋体" w:hint="default"/>
                <w:sz w:val="21"/>
                <w:szCs w:val="21"/>
              </w:rPr>
              <w:t>归属于上市公 司股东的净利 润的比率(%)</w:t>
            </w:r>
          </w:p>
        </w:tc>
      </w:tr>
      <w:tr>
        <w:trPr>
          <w:trHeight w:val="283"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3,081.37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15,335.30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20.09%</w:t>
            </w:r>
          </w:p>
        </w:tc>
      </w:tr>
      <w:tr>
        <w:trPr>
          <w:trHeight w:val="282"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2,205.88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10,920.80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20.20%</w:t>
            </w:r>
          </w:p>
        </w:tc>
      </w:tr>
      <w:tr>
        <w:trPr>
          <w:trHeight w:val="282"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2,611.36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7,110.40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36.73%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Heading1"/>
        <w:tabs>
          <w:tab w:pos="1259" w:val="left" w:leader="none"/>
        </w:tabs>
        <w:spacing w:line="240" w:lineRule="auto"/>
        <w:ind w:right="15"/>
        <w:jc w:val="center"/>
        <w:rPr>
          <w:b w:val="0"/>
          <w:bCs w:val="0"/>
        </w:rPr>
      </w:pPr>
      <w:bookmarkStart w:name="_TOC_250006" w:id="3"/>
      <w:r>
        <w:rPr>
          <w:w w:val="95"/>
        </w:rPr>
        <w:t>第五节</w:t>
        <w:tab/>
      </w:r>
      <w:r>
        <w:rPr/>
        <w:t>重要事项</w:t>
      </w:r>
      <w:bookmarkEnd w:id="3"/>
      <w:r>
        <w:rPr>
          <w:b w:val="0"/>
          <w:bCs w:val="0"/>
        </w:rPr>
      </w:r>
    </w:p>
    <w:p>
      <w:pPr>
        <w:spacing w:after="0" w:line="240" w:lineRule="auto"/>
        <w:jc w:val="center"/>
        <w:sectPr>
          <w:pgSz w:w="11910" w:h="16840"/>
          <w:pgMar w:header="0" w:footer="1197" w:top="1080" w:bottom="1380" w:left="1580" w:right="1040"/>
        </w:sectPr>
      </w:pPr>
    </w:p>
    <w:p>
      <w:pPr>
        <w:spacing w:line="240" w:lineRule="auto" w:before="4"/>
        <w:rPr>
          <w:rFonts w:ascii="黑体" w:hAnsi="黑体" w:cs="黑体" w:eastAsia="黑体" w:hint="default"/>
          <w:b/>
          <w:bCs/>
          <w:sz w:val="25"/>
          <w:szCs w:val="25"/>
        </w:rPr>
      </w:pPr>
    </w:p>
    <w:p>
      <w:pPr>
        <w:pStyle w:val="Heading3"/>
        <w:spacing w:line="240" w:lineRule="auto"/>
        <w:ind w:left="237" w:right="0"/>
        <w:jc w:val="left"/>
        <w:rPr>
          <w:b w:val="0"/>
          <w:bCs w:val="0"/>
        </w:rPr>
      </w:pPr>
      <w:r>
        <w:rPr/>
        <w:t>一、资产交易、企业合并事项</w:t>
      </w:r>
      <w:r>
        <w:rPr>
          <w:b w:val="0"/>
          <w:bCs w:val="0"/>
        </w:rPr>
      </w:r>
    </w:p>
    <w:p>
      <w:pPr>
        <w:pStyle w:val="BodyText"/>
        <w:spacing w:line="240" w:lineRule="auto" w:before="57"/>
        <w:ind w:left="237" w:right="0"/>
        <w:jc w:val="left"/>
      </w:pPr>
      <w:r>
        <w:rPr/>
        <w:t>√适用□不适用</w:t>
      </w:r>
    </w:p>
    <w:p>
      <w:pPr>
        <w:pStyle w:val="Heading3"/>
        <w:spacing w:line="240" w:lineRule="auto" w:before="57"/>
        <w:ind w:left="237"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3"/>
        </w:rPr>
        <w:t> </w:t>
      </w:r>
      <w:r>
        <w:rPr/>
        <w:t>公司收购、出售资产和企业合并事项已在临时公告披露且后续实施无变化的</w:t>
      </w:r>
      <w:r>
        <w:rPr>
          <w:b w:val="0"/>
          <w:bCs w:val="0"/>
        </w:rPr>
      </w:r>
    </w:p>
    <w:p>
      <w:pPr>
        <w:spacing w:line="240" w:lineRule="auto" w:before="1"/>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8126"/>
        <w:gridCol w:w="5855"/>
      </w:tblGrid>
      <w:tr>
        <w:trPr>
          <w:trHeight w:val="282" w:hRule="exact"/>
        </w:trPr>
        <w:tc>
          <w:tcPr>
            <w:tcW w:w="8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1"/>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5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76" w:hRule="exact"/>
        </w:trPr>
        <w:tc>
          <w:tcPr>
            <w:tcW w:w="8126"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经公司第五届董事会</w:t>
            </w:r>
            <w:r>
              <w:rPr>
                <w:rFonts w:ascii="宋体" w:hAnsi="宋体" w:cs="宋体" w:eastAsia="宋体" w:hint="default"/>
                <w:spacing w:val="-72"/>
                <w:sz w:val="21"/>
                <w:szCs w:val="21"/>
              </w:rPr>
              <w:t> </w:t>
            </w:r>
            <w:r>
              <w:rPr>
                <w:rFonts w:ascii="宋体" w:hAnsi="宋体" w:cs="宋体" w:eastAsia="宋体" w:hint="default"/>
                <w:sz w:val="21"/>
                <w:szCs w:val="21"/>
              </w:rPr>
              <w:t>2014</w:t>
            </w:r>
            <w:r>
              <w:rPr>
                <w:rFonts w:ascii="宋体" w:hAnsi="宋体" w:cs="宋体" w:eastAsia="宋体" w:hint="default"/>
                <w:spacing w:val="-72"/>
                <w:sz w:val="21"/>
                <w:szCs w:val="21"/>
              </w:rPr>
              <w:t> </w:t>
            </w:r>
            <w:r>
              <w:rPr>
                <w:rFonts w:ascii="宋体" w:hAnsi="宋体" w:cs="宋体" w:eastAsia="宋体" w:hint="default"/>
                <w:sz w:val="21"/>
                <w:szCs w:val="21"/>
              </w:rPr>
              <w:t>年第十一次会议审议通过，公司与广州佳时达软件股份有限</w:t>
            </w:r>
          </w:p>
        </w:tc>
        <w:tc>
          <w:tcPr>
            <w:tcW w:w="5855"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公告内容详见</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日《中国证券报》、《证券时</w:t>
            </w:r>
          </w:p>
        </w:tc>
      </w:tr>
      <w:tr>
        <w:trPr>
          <w:trHeight w:val="272" w:hRule="exact"/>
        </w:trPr>
        <w:tc>
          <w:tcPr>
            <w:tcW w:w="81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公司（以下简称为：佳时达）签订增资扩股协议，以现金认购佳时达新增注册资本</w:t>
            </w:r>
          </w:p>
        </w:tc>
        <w:tc>
          <w:tcPr>
            <w:tcW w:w="585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报》及上海证券交易所网站</w:t>
            </w:r>
          </w:p>
        </w:tc>
      </w:tr>
      <w:tr>
        <w:trPr>
          <w:trHeight w:val="272" w:hRule="exact"/>
        </w:trPr>
        <w:tc>
          <w:tcPr>
            <w:tcW w:w="81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277.7778</w:t>
            </w:r>
            <w:r>
              <w:rPr>
                <w:rFonts w:ascii="宋体" w:hAnsi="宋体" w:cs="宋体" w:eastAsia="宋体" w:hint="default"/>
                <w:spacing w:val="-51"/>
                <w:sz w:val="21"/>
                <w:szCs w:val="21"/>
              </w:rPr>
              <w:t> </w:t>
            </w:r>
            <w:r>
              <w:rPr>
                <w:rFonts w:ascii="宋体" w:hAnsi="宋体" w:cs="宋体" w:eastAsia="宋体" w:hint="default"/>
                <w:spacing w:val="-3"/>
                <w:sz w:val="21"/>
                <w:szCs w:val="21"/>
              </w:rPr>
              <w:t>万元，认购价为人民币</w:t>
            </w:r>
            <w:r>
              <w:rPr>
                <w:rFonts w:ascii="宋体" w:hAnsi="宋体" w:cs="宋体" w:eastAsia="宋体" w:hint="default"/>
                <w:spacing w:val="-52"/>
                <w:sz w:val="21"/>
                <w:szCs w:val="21"/>
              </w:rPr>
              <w:t> </w:t>
            </w:r>
            <w:r>
              <w:rPr>
                <w:rFonts w:ascii="宋体" w:hAnsi="宋体" w:cs="宋体" w:eastAsia="宋体" w:hint="default"/>
                <w:sz w:val="21"/>
                <w:szCs w:val="21"/>
              </w:rPr>
              <w:t>1,000</w:t>
            </w:r>
            <w:r>
              <w:rPr>
                <w:rFonts w:ascii="宋体" w:hAnsi="宋体" w:cs="宋体" w:eastAsia="宋体" w:hint="default"/>
                <w:spacing w:val="-51"/>
                <w:sz w:val="21"/>
                <w:szCs w:val="21"/>
              </w:rPr>
              <w:t> </w:t>
            </w:r>
            <w:r>
              <w:rPr>
                <w:rFonts w:ascii="宋体" w:hAnsi="宋体" w:cs="宋体" w:eastAsia="宋体" w:hint="default"/>
                <w:spacing w:val="-3"/>
                <w:sz w:val="21"/>
                <w:szCs w:val="21"/>
              </w:rPr>
              <w:t>万元，增资完成后，本公司持有佳时达</w:t>
            </w:r>
            <w:r>
              <w:rPr>
                <w:rFonts w:ascii="宋体" w:hAnsi="宋体" w:cs="宋体" w:eastAsia="宋体" w:hint="default"/>
                <w:spacing w:val="-52"/>
                <w:sz w:val="21"/>
                <w:szCs w:val="21"/>
              </w:rPr>
              <w:t> </w:t>
            </w:r>
            <w:r>
              <w:rPr>
                <w:rFonts w:ascii="宋体" w:hAnsi="宋体" w:cs="宋体" w:eastAsia="宋体" w:hint="default"/>
                <w:sz w:val="21"/>
                <w:szCs w:val="21"/>
              </w:rPr>
              <w:t>10%的股</w:t>
            </w:r>
          </w:p>
        </w:tc>
        <w:tc>
          <w:tcPr>
            <w:tcW w:w="5855"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812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份,为该公司第三大股东。</w:t>
            </w:r>
          </w:p>
        </w:tc>
        <w:tc>
          <w:tcPr>
            <w:tcW w:w="5855" w:type="dxa"/>
            <w:tcBorders>
              <w:top w:val="nil" w:sz="6" w:space="0" w:color="auto"/>
              <w:left w:val="single" w:sz="4" w:space="0" w:color="000000"/>
              <w:bottom w:val="single" w:sz="4" w:space="0" w:color="000000"/>
              <w:right w:val="single" w:sz="4" w:space="0" w:color="000000"/>
            </w:tcBorders>
          </w:tcPr>
          <w:p>
            <w:pPr/>
          </w:p>
        </w:tc>
      </w:tr>
      <w:tr>
        <w:trPr>
          <w:trHeight w:val="283" w:hRule="exact"/>
        </w:trPr>
        <w:tc>
          <w:tcPr>
            <w:tcW w:w="8126" w:type="dxa"/>
            <w:tcBorders>
              <w:top w:val="single" w:sz="4" w:space="0" w:color="000000"/>
              <w:left w:val="single" w:sz="4" w:space="0" w:color="000000"/>
              <w:bottom w:val="single" w:sz="4" w:space="0" w:color="000000"/>
              <w:right w:val="single" w:sz="4" w:space="0" w:color="000000"/>
            </w:tcBorders>
          </w:tcPr>
          <w:p>
            <w:pPr/>
          </w:p>
        </w:tc>
        <w:tc>
          <w:tcPr>
            <w:tcW w:w="5855"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40" w:lineRule="auto" w:before="24"/>
        <w:ind w:left="237" w:right="0"/>
        <w:jc w:val="left"/>
        <w:rPr>
          <w:b w:val="0"/>
          <w:bCs w:val="0"/>
        </w:rPr>
      </w:pPr>
      <w:r>
        <w:rPr/>
        <w:t>1、</w:t>
      </w:r>
      <w:r>
        <w:rPr>
          <w:spacing w:val="-6"/>
        </w:rPr>
        <w:t> </w:t>
      </w:r>
      <w:r>
        <w:rPr/>
        <w:t>企业合并情况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40" w:lineRule="auto" w:before="139"/>
        <w:ind w:left="237" w:right="0"/>
        <w:jc w:val="left"/>
        <w:rPr>
          <w:b w:val="0"/>
          <w:bCs w:val="0"/>
        </w:rPr>
      </w:pPr>
      <w:r>
        <w:rPr/>
        <w:t>二、公司股权激励情况及其影响</w:t>
      </w:r>
      <w:r>
        <w:rPr>
          <w:b w:val="0"/>
          <w:bCs w:val="0"/>
        </w:rPr>
      </w:r>
    </w:p>
    <w:p>
      <w:pPr>
        <w:pStyle w:val="BodyText"/>
        <w:spacing w:line="240" w:lineRule="auto" w:before="57"/>
        <w:ind w:left="237" w:right="0"/>
        <w:jc w:val="left"/>
      </w:pPr>
      <w:r>
        <w:rPr/>
        <w:t>√适用</w:t>
      </w:r>
      <w:r>
        <w:rPr>
          <w:spacing w:val="-2"/>
        </w:rPr>
        <w:t> </w:t>
      </w:r>
      <w:r>
        <w:rPr/>
        <w:t>□不适用</w:t>
      </w:r>
    </w:p>
    <w:p>
      <w:pPr>
        <w:pStyle w:val="Heading3"/>
        <w:spacing w:line="240" w:lineRule="auto" w:before="57"/>
        <w:ind w:left="237"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4"/>
        </w:rPr>
        <w:t> </w:t>
      </w:r>
      <w:r>
        <w:rPr/>
        <w:t>相关股权激励事项已在临时公告披露且后续实施无进展或变化的</w:t>
      </w:r>
      <w:r>
        <w:rPr>
          <w:b w:val="0"/>
          <w:bCs w:val="0"/>
        </w:rPr>
      </w:r>
    </w:p>
    <w:p>
      <w:pPr>
        <w:spacing w:line="240" w:lineRule="auto" w:before="12"/>
        <w:rPr>
          <w:rFonts w:ascii="宋体" w:hAnsi="宋体" w:cs="宋体" w:eastAsia="宋体" w:hint="default"/>
          <w:b/>
          <w:bCs/>
          <w:sz w:val="4"/>
          <w:szCs w:val="4"/>
        </w:rPr>
      </w:pPr>
    </w:p>
    <w:tbl>
      <w:tblPr>
        <w:tblW w:w="0" w:type="auto"/>
        <w:jc w:val="left"/>
        <w:tblInd w:w="124" w:type="dxa"/>
        <w:tblLayout w:type="fixed"/>
        <w:tblCellMar>
          <w:top w:w="0" w:type="dxa"/>
          <w:left w:w="0" w:type="dxa"/>
          <w:bottom w:w="0" w:type="dxa"/>
          <w:right w:w="0" w:type="dxa"/>
        </w:tblCellMar>
        <w:tblLook w:val="01E0"/>
      </w:tblPr>
      <w:tblGrid>
        <w:gridCol w:w="11591"/>
        <w:gridCol w:w="2267"/>
      </w:tblGrid>
      <w:tr>
        <w:trPr>
          <w:trHeight w:val="283" w:hRule="exact"/>
        </w:trPr>
        <w:tc>
          <w:tcPr>
            <w:tcW w:w="1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7" w:right="0"/>
              <w:jc w:val="left"/>
              <w:rPr>
                <w:rFonts w:ascii="宋体" w:hAnsi="宋体" w:cs="宋体" w:eastAsia="宋体" w:hint="default"/>
                <w:sz w:val="21"/>
                <w:szCs w:val="21"/>
              </w:rPr>
            </w:pPr>
            <w:r>
              <w:rPr>
                <w:rFonts w:ascii="宋体" w:hAnsi="宋体" w:cs="宋体" w:eastAsia="宋体" w:hint="default"/>
                <w:sz w:val="21"/>
                <w:szCs w:val="21"/>
              </w:rPr>
              <w:t>查询索引</w:t>
            </w:r>
          </w:p>
        </w:tc>
      </w:tr>
      <w:tr>
        <w:trPr>
          <w:trHeight w:val="276" w:hRule="exact"/>
        </w:trPr>
        <w:tc>
          <w:tcPr>
            <w:tcW w:w="11591"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深圳市金证科技股份有限公司（以下简称“公司”）股票期权激励计划股票期权第二个行权期行权条件已满足，经公司第五</w:t>
            </w:r>
          </w:p>
        </w:tc>
        <w:tc>
          <w:tcPr>
            <w:tcW w:w="2267"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公告内容详见</w:t>
            </w:r>
            <w:r>
              <w:rPr>
                <w:rFonts w:ascii="宋体" w:hAnsi="宋体" w:cs="宋体" w:eastAsia="宋体" w:hint="default"/>
                <w:spacing w:val="-57"/>
                <w:sz w:val="21"/>
                <w:szCs w:val="21"/>
              </w:rPr>
              <w:t> </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p>
        </w:tc>
      </w:tr>
      <w:tr>
        <w:trPr>
          <w:trHeight w:val="544" w:hRule="exact"/>
        </w:trPr>
        <w:tc>
          <w:tcPr>
            <w:tcW w:w="115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届董事会</w:t>
            </w:r>
            <w:r>
              <w:rPr>
                <w:rFonts w:ascii="宋体" w:hAnsi="宋体" w:cs="宋体" w:eastAsia="宋体" w:hint="default"/>
                <w:spacing w:val="-19"/>
                <w:sz w:val="21"/>
                <w:szCs w:val="21"/>
              </w:rPr>
              <w:t> </w:t>
            </w:r>
            <w:r>
              <w:rPr>
                <w:rFonts w:ascii="宋体" w:hAnsi="宋体" w:cs="宋体" w:eastAsia="宋体" w:hint="default"/>
                <w:sz w:val="21"/>
                <w:szCs w:val="21"/>
              </w:rPr>
              <w:t>2014</w:t>
            </w:r>
            <w:r>
              <w:rPr>
                <w:rFonts w:ascii="宋体" w:hAnsi="宋体" w:cs="宋体" w:eastAsia="宋体" w:hint="default"/>
                <w:spacing w:val="-19"/>
                <w:sz w:val="21"/>
                <w:szCs w:val="21"/>
              </w:rPr>
              <w:t> </w:t>
            </w:r>
            <w:r>
              <w:rPr>
                <w:rFonts w:ascii="宋体" w:hAnsi="宋体" w:cs="宋体" w:eastAsia="宋体" w:hint="default"/>
                <w:sz w:val="21"/>
                <w:szCs w:val="21"/>
              </w:rPr>
              <w:t>年第五次临时会议审议通过，公司股票期权激励计划股票期权的</w:t>
            </w:r>
            <w:r>
              <w:rPr>
                <w:rFonts w:ascii="宋体" w:hAnsi="宋体" w:cs="宋体" w:eastAsia="宋体" w:hint="default"/>
                <w:spacing w:val="-62"/>
                <w:sz w:val="21"/>
                <w:szCs w:val="21"/>
              </w:rPr>
              <w:t> </w:t>
            </w:r>
            <w:r>
              <w:rPr>
                <w:rFonts w:ascii="宋体" w:hAnsi="宋体" w:cs="宋体" w:eastAsia="宋体" w:hint="default"/>
                <w:sz w:val="21"/>
                <w:szCs w:val="21"/>
              </w:rPr>
              <w:t>61</w:t>
            </w:r>
            <w:r>
              <w:rPr>
                <w:rFonts w:ascii="宋体" w:hAnsi="宋体" w:cs="宋体" w:eastAsia="宋体" w:hint="default"/>
                <w:spacing w:val="-62"/>
                <w:sz w:val="21"/>
                <w:szCs w:val="21"/>
              </w:rPr>
              <w:t> </w:t>
            </w:r>
            <w:r>
              <w:rPr>
                <w:rFonts w:ascii="宋体" w:hAnsi="宋体" w:cs="宋体" w:eastAsia="宋体" w:hint="default"/>
                <w:sz w:val="21"/>
                <w:szCs w:val="21"/>
              </w:rPr>
              <w:t>名激励对象在第二个行权期可行权数量</w:t>
            </w:r>
          </w:p>
        </w:tc>
        <w:tc>
          <w:tcPr>
            <w:tcW w:w="2267"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日《中国证券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报》、《证券时报》和</w:t>
            </w:r>
          </w:p>
        </w:tc>
      </w:tr>
      <w:tr>
        <w:trPr>
          <w:trHeight w:val="341" w:hRule="exact"/>
        </w:trPr>
        <w:tc>
          <w:tcPr>
            <w:tcW w:w="11591"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153.9</w:t>
            </w:r>
            <w:r>
              <w:rPr>
                <w:rFonts w:ascii="宋体" w:hAnsi="宋体" w:cs="宋体" w:eastAsia="宋体" w:hint="default"/>
                <w:spacing w:val="-54"/>
                <w:sz w:val="21"/>
                <w:szCs w:val="21"/>
              </w:rPr>
              <w:t> </w:t>
            </w:r>
            <w:r>
              <w:rPr>
                <w:rFonts w:ascii="宋体" w:hAnsi="宋体" w:cs="宋体" w:eastAsia="宋体" w:hint="default"/>
                <w:sz w:val="21"/>
                <w:szCs w:val="21"/>
              </w:rPr>
              <w:t>万股股票期权，本次实际行权数量为</w:t>
            </w:r>
            <w:r>
              <w:rPr>
                <w:rFonts w:ascii="宋体" w:hAnsi="宋体" w:cs="宋体" w:eastAsia="宋体" w:hint="default"/>
                <w:spacing w:val="-55"/>
                <w:sz w:val="21"/>
                <w:szCs w:val="21"/>
              </w:rPr>
              <w:t> </w:t>
            </w:r>
            <w:r>
              <w:rPr>
                <w:rFonts w:ascii="宋体" w:hAnsi="宋体" w:cs="宋体" w:eastAsia="宋体" w:hint="default"/>
                <w:sz w:val="21"/>
                <w:szCs w:val="21"/>
              </w:rPr>
              <w:t>153.9</w:t>
            </w:r>
            <w:r>
              <w:rPr>
                <w:rFonts w:ascii="宋体" w:hAnsi="宋体" w:cs="宋体" w:eastAsia="宋体" w:hint="default"/>
                <w:spacing w:val="-54"/>
                <w:sz w:val="21"/>
                <w:szCs w:val="21"/>
              </w:rPr>
              <w:t> </w:t>
            </w:r>
            <w:r>
              <w:rPr>
                <w:rFonts w:ascii="宋体" w:hAnsi="宋体" w:cs="宋体" w:eastAsia="宋体" w:hint="default"/>
                <w:sz w:val="21"/>
                <w:szCs w:val="21"/>
              </w:rPr>
              <w:t>万股股票期权</w:t>
            </w:r>
          </w:p>
        </w:tc>
        <w:tc>
          <w:tcPr>
            <w:tcW w:w="2267"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tc>
      </w:tr>
      <w:tr>
        <w:trPr>
          <w:trHeight w:val="409" w:hRule="exact"/>
        </w:trPr>
        <w:tc>
          <w:tcPr>
            <w:tcW w:w="11591"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本次行权股份中无限售条件股份的上市时间为</w:t>
            </w:r>
            <w:r>
              <w:rPr>
                <w:rFonts w:ascii="宋体" w:hAnsi="宋体" w:cs="宋体" w:eastAsia="宋体" w:hint="default"/>
                <w:spacing w:val="-62"/>
                <w:sz w:val="21"/>
                <w:szCs w:val="21"/>
              </w:rPr>
              <w:t> </w:t>
            </w:r>
            <w:r>
              <w:rPr>
                <w:rFonts w:ascii="宋体" w:hAnsi="宋体" w:cs="宋体" w:eastAsia="宋体" w:hint="default"/>
                <w:sz w:val="21"/>
                <w:szCs w:val="21"/>
              </w:rPr>
              <w:t>2014</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5</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30</w:t>
            </w:r>
            <w:r>
              <w:rPr>
                <w:rFonts w:ascii="宋体" w:hAnsi="宋体" w:cs="宋体" w:eastAsia="宋体" w:hint="default"/>
                <w:spacing w:val="-61"/>
                <w:sz w:val="21"/>
                <w:szCs w:val="21"/>
              </w:rPr>
              <w:t> </w:t>
            </w:r>
            <w:r>
              <w:rPr>
                <w:rFonts w:ascii="宋体" w:hAnsi="宋体" w:cs="宋体" w:eastAsia="宋体" w:hint="default"/>
                <w:sz w:val="21"/>
                <w:szCs w:val="21"/>
              </w:rPr>
              <w:t>日，本次申请行权的激励对象王开因为本公司董事、周永洪、</w:t>
            </w:r>
          </w:p>
        </w:tc>
        <w:tc>
          <w:tcPr>
            <w:tcW w:w="2267" w:type="dxa"/>
            <w:tcBorders>
              <w:top w:val="nil" w:sz="6" w:space="0" w:color="auto"/>
              <w:left w:val="single" w:sz="4" w:space="0" w:color="000000"/>
              <w:bottom w:val="nil" w:sz="6" w:space="0" w:color="auto"/>
              <w:right w:val="single" w:sz="4" w:space="0" w:color="000000"/>
            </w:tcBorders>
          </w:tcPr>
          <w:p>
            <w:pPr/>
          </w:p>
        </w:tc>
      </w:tr>
      <w:tr>
        <w:trPr>
          <w:trHeight w:val="482" w:hRule="exact"/>
        </w:trPr>
        <w:tc>
          <w:tcPr>
            <w:tcW w:w="115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吴晓琳、王清若、王凯、王桂菊、杜玉巍为本公司高级管理人员，其所获股份将按照规定锁定六个月 。</w:t>
            </w:r>
          </w:p>
        </w:tc>
        <w:tc>
          <w:tcPr>
            <w:tcW w:w="2267" w:type="dxa"/>
            <w:tcBorders>
              <w:top w:val="nil" w:sz="6" w:space="0" w:color="auto"/>
              <w:left w:val="single" w:sz="4" w:space="0" w:color="000000"/>
              <w:bottom w:val="single" w:sz="4" w:space="0" w:color="000000"/>
              <w:right w:val="single" w:sz="4" w:space="0" w:color="000000"/>
            </w:tcBorders>
          </w:tcPr>
          <w:p>
            <w:pPr/>
          </w:p>
        </w:tc>
      </w:tr>
      <w:tr>
        <w:trPr>
          <w:trHeight w:val="283" w:hRule="exact"/>
        </w:trPr>
        <w:tc>
          <w:tcPr>
            <w:tcW w:w="11591"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8"/>
          <w:footerReference w:type="default" r:id="rId49"/>
          <w:pgSz w:w="16840" w:h="11910" w:orient="landscape"/>
          <w:pgMar w:header="882" w:footer="1193" w:top="1120" w:bottom="1380" w:left="1560" w:right="1040"/>
          <w:pgNumType w:start="28"/>
        </w:sectPr>
      </w:pPr>
    </w:p>
    <w:p>
      <w:pPr>
        <w:spacing w:line="252" w:lineRule="auto" w:before="24"/>
        <w:ind w:left="237" w:right="-16"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25"/>
          <w:sz w:val="21"/>
          <w:szCs w:val="21"/>
        </w:rPr>
        <w:t> </w:t>
      </w:r>
      <w:r>
        <w:rPr>
          <w:rFonts w:ascii="宋体" w:hAnsi="宋体" w:cs="宋体" w:eastAsia="宋体" w:hint="default"/>
          <w:b/>
          <w:bCs/>
          <w:sz w:val="21"/>
          <w:szCs w:val="21"/>
        </w:rPr>
        <w:t>临时公告未披露或有后续进展的股权激励情况</w:t>
      </w:r>
      <w:r>
        <w:rPr>
          <w:rFonts w:ascii="宋体" w:hAnsi="宋体" w:cs="宋体" w:eastAsia="宋体" w:hint="default"/>
          <w:b/>
          <w:bCs/>
          <w:w w:val="99"/>
          <w:sz w:val="21"/>
          <w:szCs w:val="21"/>
        </w:rPr>
        <w:t> </w:t>
      </w:r>
      <w:r>
        <w:rPr>
          <w:rFonts w:ascii="宋体" w:hAnsi="宋体" w:cs="宋体" w:eastAsia="宋体" w:hint="default"/>
          <w:sz w:val="21"/>
          <w:szCs w:val="21"/>
        </w:rPr>
        <w:t>激励方式:股票期权 标的股票来源:向激励对象发行股份</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37" w:right="0"/>
        <w:jc w:val="left"/>
      </w:pPr>
      <w:r>
        <w:rPr/>
        <w:t>单位：份</w:t>
      </w:r>
    </w:p>
    <w:p>
      <w:pPr>
        <w:spacing w:after="0" w:line="240" w:lineRule="auto"/>
        <w:jc w:val="left"/>
        <w:sectPr>
          <w:type w:val="continuous"/>
          <w:pgSz w:w="16840" w:h="11910" w:orient="landscape"/>
          <w:pgMar w:top="1080" w:bottom="1380" w:left="1560" w:right="1040"/>
          <w:cols w:num="2" w:equalWidth="0">
            <w:col w:w="4872" w:space="8053"/>
            <w:col w:w="1315"/>
          </w:cols>
        </w:sectPr>
      </w:pPr>
    </w:p>
    <w:p>
      <w:pPr>
        <w:spacing w:line="240" w:lineRule="auto" w:before="2"/>
        <w:rPr>
          <w:rFonts w:ascii="宋体" w:hAnsi="宋体" w:cs="宋体" w:eastAsia="宋体" w:hint="default"/>
          <w:sz w:val="2"/>
          <w:szCs w:val="2"/>
        </w:rPr>
      </w:pPr>
    </w:p>
    <w:p>
      <w:pPr>
        <w:spacing w:line="301" w:lineRule="exact"/>
        <w:ind w:left="11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693.85pt;height:15.1pt;mso-position-horizontal-relative:char;mso-position-vertical-relative:line" coordorigin="0,0" coordsize="13877,302">
            <v:group style="position:absolute;left:5;top:10;width:13868;height:2" coordorigin="5,10" coordsize="13868,2">
              <v:shape style="position:absolute;left:5;top:10;width:13868;height:2" coordorigin="5,10" coordsize="13868,0" path="m5,10l13872,10e" filled="false" stroked="true" strokeweight=".48001pt" strokecolor="#000000">
                <v:path arrowok="t"/>
              </v:shape>
            </v:group>
            <v:group style="position:absolute;left:10;top:5;width:2;height:292" coordorigin="10,5" coordsize="2,292">
              <v:shape style="position:absolute;left:10;top:5;width:2;height:292" coordorigin="10,5" coordsize="0,292" path="m10,5l10,296e" filled="false" stroked="true" strokeweight=".48001pt" strokecolor="#000000">
                <v:path arrowok="t"/>
              </v:shape>
            </v:group>
            <v:group style="position:absolute;left:5;top:292;width:6516;height:2" coordorigin="5,292" coordsize="6516,2">
              <v:shape style="position:absolute;left:5;top:292;width:6516;height:2" coordorigin="5,292" coordsize="6516,0" path="m5,292l6521,292e" filled="false" stroked="true" strokeweight=".47998pt" strokecolor="#000000">
                <v:path arrowok="t"/>
              </v:shape>
            </v:group>
            <v:group style="position:absolute;left:6526;top:14;width:2;height:282" coordorigin="6526,14" coordsize="2,282">
              <v:shape style="position:absolute;left:6526;top:14;width:2;height:282" coordorigin="6526,14" coordsize="0,282" path="m6526,14l6526,296e" filled="false" stroked="true" strokeweight=".48001pt" strokecolor="#000000">
                <v:path arrowok="t"/>
              </v:shape>
            </v:group>
            <v:group style="position:absolute;left:6530;top:292;width:7332;height:2" coordorigin="6530,292" coordsize="7332,2">
              <v:shape style="position:absolute;left:6530;top:292;width:7332;height:2" coordorigin="6530,292" coordsize="7332,0" path="m6530,292l13862,292e" filled="false" stroked="true" strokeweight=".47998pt" strokecolor="#000000">
                <v:path arrowok="t"/>
              </v:shape>
            </v:group>
            <v:group style="position:absolute;left:13867;top:5;width:2;height:292" coordorigin="13867,5" coordsize="2,292">
              <v:shape style="position:absolute;left:13867;top:5;width:2;height:292" coordorigin="13867,5" coordsize="0,292" path="m13867,5l13867,296e" filled="false" stroked="true" strokeweight=".48004pt" strokecolor="#000000">
                <v:path arrowok="t"/>
              </v:shape>
              <v:shape style="position:absolute;left:10;top:10;width:6516;height:282" type="#_x0000_t202" filled="false" stroked="false">
                <v:textbox inset="0,0,0,0">
                  <w:txbxContent>
                    <w:p>
                      <w:pPr>
                        <w:spacing w:line="244"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报告期内激励对象的范围</w:t>
                      </w:r>
                    </w:p>
                  </w:txbxContent>
                </v:textbox>
                <w10:wrap type="none"/>
              </v:shape>
              <v:shape style="position:absolute;left:6526;top:10;width:7342;height:282" type="#_x0000_t202" filled="false" stroked="false">
                <v:textbox inset="0,0,0,0">
                  <w:txbxContent>
                    <w:p>
                      <w:pPr>
                        <w:spacing w:line="244" w:lineRule="exact" w:before="0"/>
                        <w:ind w:left="106" w:right="0" w:firstLine="0"/>
                        <w:jc w:val="left"/>
                        <w:rPr>
                          <w:rFonts w:ascii="宋体" w:hAnsi="宋体" w:cs="宋体" w:eastAsia="宋体" w:hint="default"/>
                          <w:sz w:val="21"/>
                          <w:szCs w:val="21"/>
                        </w:rPr>
                      </w:pPr>
                      <w:r>
                        <w:rPr>
                          <w:rFonts w:ascii="宋体" w:hAnsi="宋体" w:cs="宋体" w:eastAsia="宋体" w:hint="default"/>
                          <w:sz w:val="21"/>
                          <w:szCs w:val="21"/>
                        </w:rPr>
                        <w:t>本激励计划涉及的激励对象包括公司董事、高级管理人员、中层管理人员、公</w:t>
                      </w:r>
                    </w:p>
                  </w:txbxContent>
                </v:textbox>
                <w10:wrap type="none"/>
              </v:shape>
            </v:group>
          </v:group>
        </w:pict>
      </w:r>
      <w:r>
        <w:rPr>
          <w:rFonts w:ascii="宋体" w:hAnsi="宋体" w:cs="宋体" w:eastAsia="宋体" w:hint="default"/>
          <w:position w:val="-5"/>
          <w:sz w:val="20"/>
          <w:szCs w:val="20"/>
        </w:rPr>
      </w:r>
    </w:p>
    <w:p>
      <w:pPr>
        <w:spacing w:after="0" w:line="301" w:lineRule="exact"/>
        <w:rPr>
          <w:rFonts w:ascii="宋体" w:hAnsi="宋体" w:cs="宋体" w:eastAsia="宋体" w:hint="default"/>
          <w:sz w:val="20"/>
          <w:szCs w:val="20"/>
        </w:rPr>
        <w:sectPr>
          <w:type w:val="continuous"/>
          <w:pgSz w:w="16840" w:h="11910" w:orient="landscape"/>
          <w:pgMar w:top="1080" w:bottom="1380" w:left="156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3136"/>
        <w:gridCol w:w="3380"/>
        <w:gridCol w:w="2458"/>
        <w:gridCol w:w="2503"/>
        <w:gridCol w:w="2381"/>
      </w:tblGrid>
      <w:tr>
        <w:trPr>
          <w:trHeight w:val="554" w:hRule="exact"/>
        </w:trPr>
        <w:tc>
          <w:tcPr>
            <w:tcW w:w="6516" w:type="dxa"/>
            <w:gridSpan w:val="2"/>
            <w:tcBorders>
              <w:top w:val="single" w:sz="4" w:space="0" w:color="000000"/>
              <w:left w:val="single" w:sz="4" w:space="0" w:color="000000"/>
              <w:bottom w:val="single" w:sz="4" w:space="0" w:color="000000"/>
              <w:right w:val="single" w:sz="4" w:space="0" w:color="000000"/>
            </w:tcBorders>
          </w:tcPr>
          <w:p>
            <w:pPr/>
          </w:p>
        </w:tc>
        <w:tc>
          <w:tcPr>
            <w:tcW w:w="73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司核心技术（业务）人员以及董事会认为需要激励的其他人员共计</w:t>
            </w:r>
            <w:r>
              <w:rPr>
                <w:rFonts w:ascii="宋体" w:hAnsi="宋体" w:cs="宋体" w:eastAsia="宋体" w:hint="default"/>
                <w:spacing w:val="-54"/>
                <w:sz w:val="21"/>
                <w:szCs w:val="21"/>
              </w:rPr>
              <w:t> </w:t>
            </w:r>
            <w:r>
              <w:rPr>
                <w:rFonts w:ascii="Arial" w:hAnsi="Arial" w:cs="Arial" w:eastAsia="Arial" w:hint="default"/>
                <w:sz w:val="21"/>
                <w:szCs w:val="21"/>
              </w:rPr>
              <w:t>65</w:t>
            </w:r>
            <w:r>
              <w:rPr>
                <w:rFonts w:ascii="Arial" w:hAnsi="Arial" w:cs="Arial" w:eastAsia="Arial" w:hint="default"/>
                <w:spacing w:val="-7"/>
                <w:sz w:val="21"/>
                <w:szCs w:val="21"/>
              </w:rPr>
              <w:t> </w:t>
            </w:r>
            <w:r>
              <w:rPr>
                <w:rFonts w:ascii="宋体" w:hAnsi="宋体" w:cs="宋体" w:eastAsia="宋体" w:hint="default"/>
                <w:sz w:val="21"/>
                <w:szCs w:val="21"/>
              </w:rPr>
              <w:t>人，占</w:t>
            </w:r>
          </w:p>
          <w:p>
            <w:pPr>
              <w:pStyle w:val="TableParagraph"/>
              <w:spacing w:line="281" w:lineRule="exact"/>
              <w:ind w:left="101" w:right="0"/>
              <w:jc w:val="left"/>
              <w:rPr>
                <w:rFonts w:ascii="宋体" w:hAnsi="宋体" w:cs="宋体" w:eastAsia="宋体" w:hint="default"/>
                <w:sz w:val="21"/>
                <w:szCs w:val="21"/>
              </w:rPr>
            </w:pPr>
            <w:r>
              <w:rPr>
                <w:rFonts w:ascii="宋体" w:hAnsi="宋体" w:cs="宋体" w:eastAsia="宋体" w:hint="default"/>
                <w:sz w:val="21"/>
                <w:szCs w:val="21"/>
              </w:rPr>
              <w:t>当时金证股份在册员工总数</w:t>
            </w:r>
            <w:r>
              <w:rPr>
                <w:rFonts w:ascii="宋体" w:hAnsi="宋体" w:cs="宋体" w:eastAsia="宋体" w:hint="default"/>
                <w:spacing w:val="-56"/>
                <w:sz w:val="21"/>
                <w:szCs w:val="21"/>
              </w:rPr>
              <w:t> </w:t>
            </w:r>
            <w:r>
              <w:rPr>
                <w:rFonts w:ascii="Arial" w:hAnsi="Arial" w:cs="Arial" w:eastAsia="Arial" w:hint="default"/>
                <w:sz w:val="21"/>
                <w:szCs w:val="21"/>
              </w:rPr>
              <w:t>1333</w:t>
            </w:r>
            <w:r>
              <w:rPr>
                <w:rFonts w:ascii="Arial" w:hAnsi="Arial" w:cs="Arial" w:eastAsia="Arial" w:hint="default"/>
                <w:spacing w:val="-9"/>
                <w:sz w:val="21"/>
                <w:szCs w:val="21"/>
              </w:rPr>
              <w:t> </w:t>
            </w:r>
            <w:r>
              <w:rPr>
                <w:rFonts w:ascii="宋体" w:hAnsi="宋体" w:cs="宋体" w:eastAsia="宋体" w:hint="default"/>
                <w:sz w:val="21"/>
                <w:szCs w:val="21"/>
              </w:rPr>
              <w:t>人的</w:t>
            </w:r>
            <w:r>
              <w:rPr>
                <w:rFonts w:ascii="宋体" w:hAnsi="宋体" w:cs="宋体" w:eastAsia="宋体" w:hint="default"/>
                <w:spacing w:val="-56"/>
                <w:sz w:val="21"/>
                <w:szCs w:val="21"/>
              </w:rPr>
              <w:t> </w:t>
            </w:r>
            <w:r>
              <w:rPr>
                <w:rFonts w:ascii="Arial" w:hAnsi="Arial" w:cs="Arial" w:eastAsia="Arial" w:hint="default"/>
                <w:sz w:val="21"/>
                <w:szCs w:val="21"/>
              </w:rPr>
              <w:t>4.88%</w:t>
            </w:r>
            <w:r>
              <w:rPr>
                <w:rFonts w:ascii="宋体" w:hAnsi="宋体" w:cs="宋体" w:eastAsia="宋体" w:hint="default"/>
                <w:sz w:val="21"/>
                <w:szCs w:val="21"/>
              </w:rPr>
              <w:t>。</w:t>
            </w:r>
          </w:p>
        </w:tc>
      </w:tr>
      <w:tr>
        <w:trPr>
          <w:trHeight w:val="282" w:hRule="exact"/>
        </w:trPr>
        <w:tc>
          <w:tcPr>
            <w:tcW w:w="6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报告期内授出的权益总额</w:t>
            </w:r>
          </w:p>
        </w:tc>
        <w:tc>
          <w:tcPr>
            <w:tcW w:w="73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r>
        <w:trPr>
          <w:trHeight w:val="283" w:hRule="exact"/>
        </w:trPr>
        <w:tc>
          <w:tcPr>
            <w:tcW w:w="6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报告期内行使的权益总额</w:t>
            </w:r>
          </w:p>
        </w:tc>
        <w:tc>
          <w:tcPr>
            <w:tcW w:w="73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1,539,000</w:t>
            </w:r>
          </w:p>
        </w:tc>
      </w:tr>
      <w:tr>
        <w:trPr>
          <w:trHeight w:val="282" w:hRule="exact"/>
        </w:trPr>
        <w:tc>
          <w:tcPr>
            <w:tcW w:w="6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报告期内失效的权益总额</w:t>
            </w:r>
          </w:p>
        </w:tc>
        <w:tc>
          <w:tcPr>
            <w:tcW w:w="73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76,000</w:t>
            </w:r>
          </w:p>
        </w:tc>
      </w:tr>
      <w:tr>
        <w:trPr>
          <w:trHeight w:val="282" w:hRule="exact"/>
        </w:trPr>
        <w:tc>
          <w:tcPr>
            <w:tcW w:w="6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至报告期末累计已授出但尚未行使的权益总额</w:t>
            </w:r>
          </w:p>
        </w:tc>
        <w:tc>
          <w:tcPr>
            <w:tcW w:w="73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314,800</w:t>
            </w:r>
          </w:p>
        </w:tc>
      </w:tr>
      <w:tr>
        <w:trPr>
          <w:trHeight w:val="283" w:hRule="exact"/>
        </w:trPr>
        <w:tc>
          <w:tcPr>
            <w:tcW w:w="6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至报告期末累计已授出且已行使的权益总额</w:t>
            </w:r>
          </w:p>
        </w:tc>
        <w:tc>
          <w:tcPr>
            <w:tcW w:w="73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300.8</w:t>
            </w:r>
          </w:p>
        </w:tc>
      </w:tr>
      <w:tr>
        <w:trPr>
          <w:trHeight w:val="1099" w:hRule="exact"/>
        </w:trPr>
        <w:tc>
          <w:tcPr>
            <w:tcW w:w="6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3" w:right="101"/>
              <w:jc w:val="left"/>
              <w:rPr>
                <w:rFonts w:ascii="宋体" w:hAnsi="宋体" w:cs="宋体" w:eastAsia="宋体" w:hint="default"/>
                <w:sz w:val="21"/>
                <w:szCs w:val="21"/>
              </w:rPr>
            </w:pPr>
            <w:r>
              <w:rPr>
                <w:rFonts w:ascii="宋体" w:hAnsi="宋体" w:cs="宋体" w:eastAsia="宋体" w:hint="default"/>
                <w:sz w:val="21"/>
                <w:szCs w:val="21"/>
              </w:rPr>
              <w:t>报告期内授予价格与行权价格历次调整的情况以及经调整后的最新授 予价格与行权价格</w:t>
            </w:r>
          </w:p>
        </w:tc>
        <w:tc>
          <w:tcPr>
            <w:tcW w:w="73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日，公司第五届董事会</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年第五次会议审议通过了《关于调</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整股票期权激励计划的期权行权价格的议案》，</w:t>
            </w:r>
            <w:r>
              <w:rPr>
                <w:rFonts w:ascii="宋体" w:hAnsi="宋体" w:cs="宋体" w:eastAsia="宋体" w:hint="default"/>
                <w:spacing w:val="-40"/>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pacing w:val="-11"/>
                <w:sz w:val="21"/>
                <w:szCs w:val="21"/>
              </w:rPr>
              <w:t>日，公司</w:t>
            </w:r>
            <w:r>
              <w:rPr>
                <w:rFonts w:ascii="宋体" w:hAnsi="宋体" w:cs="宋体" w:eastAsia="宋体" w:hint="default"/>
                <w:spacing w:val="-54"/>
                <w:sz w:val="21"/>
                <w:szCs w:val="21"/>
              </w:rPr>
              <w:t> </w:t>
            </w:r>
            <w:r>
              <w:rPr>
                <w:rFonts w:ascii="宋体" w:hAnsi="宋体" w:cs="宋体" w:eastAsia="宋体" w:hint="default"/>
                <w:sz w:val="21"/>
                <w:szCs w:val="21"/>
              </w:rPr>
              <w:t>2013</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年度股东大会审议通过了公司</w:t>
            </w:r>
            <w:r>
              <w:rPr>
                <w:rFonts w:ascii="宋体" w:hAnsi="宋体" w:cs="宋体" w:eastAsia="宋体" w:hint="default"/>
                <w:spacing w:val="-70"/>
                <w:sz w:val="21"/>
                <w:szCs w:val="21"/>
              </w:rPr>
              <w:t> </w:t>
            </w:r>
            <w:r>
              <w:rPr>
                <w:rFonts w:ascii="宋体" w:hAnsi="宋体" w:cs="宋体" w:eastAsia="宋体" w:hint="default"/>
                <w:sz w:val="21"/>
                <w:szCs w:val="21"/>
              </w:rPr>
              <w:t>2013</w:t>
            </w:r>
            <w:r>
              <w:rPr>
                <w:rFonts w:ascii="宋体" w:hAnsi="宋体" w:cs="宋体" w:eastAsia="宋体" w:hint="default"/>
                <w:spacing w:val="-70"/>
                <w:sz w:val="21"/>
                <w:szCs w:val="21"/>
              </w:rPr>
              <w:t> </w:t>
            </w:r>
            <w:r>
              <w:rPr>
                <w:rFonts w:ascii="宋体" w:hAnsi="宋体" w:cs="宋体" w:eastAsia="宋体" w:hint="default"/>
                <w:sz w:val="21"/>
                <w:szCs w:val="21"/>
              </w:rPr>
              <w:t>年度利润分配方案，公司股票期权行权价</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格调整为</w:t>
            </w:r>
            <w:r>
              <w:rPr>
                <w:rFonts w:ascii="宋体" w:hAnsi="宋体" w:cs="宋体" w:eastAsia="宋体" w:hint="default"/>
                <w:spacing w:val="-57"/>
                <w:sz w:val="21"/>
                <w:szCs w:val="21"/>
              </w:rPr>
              <w:t> </w:t>
            </w:r>
            <w:r>
              <w:rPr>
                <w:rFonts w:ascii="宋体" w:hAnsi="宋体" w:cs="宋体" w:eastAsia="宋体" w:hint="default"/>
                <w:sz w:val="21"/>
                <w:szCs w:val="21"/>
              </w:rPr>
              <w:t>7.35</w:t>
            </w:r>
            <w:r>
              <w:rPr>
                <w:rFonts w:ascii="宋体" w:hAnsi="宋体" w:cs="宋体" w:eastAsia="宋体" w:hint="default"/>
                <w:spacing w:val="-56"/>
                <w:sz w:val="21"/>
                <w:szCs w:val="21"/>
              </w:rPr>
              <w:t> </w:t>
            </w:r>
            <w:r>
              <w:rPr>
                <w:rFonts w:ascii="宋体" w:hAnsi="宋体" w:cs="宋体" w:eastAsia="宋体" w:hint="default"/>
                <w:sz w:val="21"/>
                <w:szCs w:val="21"/>
              </w:rPr>
              <w:t>元。</w:t>
            </w:r>
          </w:p>
        </w:tc>
      </w:tr>
      <w:tr>
        <w:trPr>
          <w:trHeight w:val="349" w:hRule="exact"/>
        </w:trPr>
        <w:tc>
          <w:tcPr>
            <w:tcW w:w="13858" w:type="dxa"/>
            <w:gridSpan w:val="5"/>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298" w:right="0"/>
              <w:jc w:val="left"/>
              <w:rPr>
                <w:rFonts w:ascii="宋体" w:hAnsi="宋体" w:cs="宋体" w:eastAsia="宋体" w:hint="default"/>
                <w:sz w:val="21"/>
                <w:szCs w:val="21"/>
              </w:rPr>
            </w:pPr>
            <w:r>
              <w:rPr>
                <w:rFonts w:ascii="宋体" w:hAnsi="宋体" w:cs="宋体" w:eastAsia="宋体" w:hint="default"/>
                <w:sz w:val="21"/>
                <w:szCs w:val="21"/>
              </w:rPr>
              <w:t>董事、监事、高级管理人员报告期内获授和行使权益情况</w:t>
            </w:r>
          </w:p>
        </w:tc>
      </w:tr>
      <w:tr>
        <w:trPr>
          <w:trHeight w:val="556"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职务</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报告期内获授</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权益数量</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报告期内行使</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权益数量</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报告期末尚未</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行使的权益数量</w:t>
            </w:r>
          </w:p>
        </w:tc>
      </w:tr>
      <w:tr>
        <w:trPr>
          <w:trHeight w:val="349"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吴晓琳</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高级管理人员</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sz w:val="21"/>
              </w:rPr>
              <w:t>0</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sz w:val="21"/>
              </w:rPr>
              <w:t>38,000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70" w:right="0"/>
              <w:jc w:val="left"/>
              <w:rPr>
                <w:rFonts w:ascii="宋体" w:hAnsi="宋体" w:cs="宋体" w:eastAsia="宋体" w:hint="default"/>
                <w:sz w:val="21"/>
                <w:szCs w:val="21"/>
              </w:rPr>
            </w:pPr>
            <w:r>
              <w:rPr>
                <w:rFonts w:ascii="宋体"/>
                <w:sz w:val="21"/>
              </w:rPr>
              <w:t>76,000</w:t>
            </w:r>
          </w:p>
        </w:tc>
      </w:tr>
      <w:tr>
        <w:trPr>
          <w:trHeight w:val="350"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王清若</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高级管理人员</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0</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38,000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70" w:right="0"/>
              <w:jc w:val="left"/>
              <w:rPr>
                <w:rFonts w:ascii="宋体" w:hAnsi="宋体" w:cs="宋体" w:eastAsia="宋体" w:hint="default"/>
                <w:sz w:val="21"/>
                <w:szCs w:val="21"/>
              </w:rPr>
            </w:pPr>
            <w:r>
              <w:rPr>
                <w:rFonts w:ascii="宋体"/>
                <w:sz w:val="21"/>
              </w:rPr>
              <w:t>76,000</w:t>
            </w:r>
          </w:p>
        </w:tc>
      </w:tr>
      <w:tr>
        <w:trPr>
          <w:trHeight w:val="350"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周永洪</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高级管理人员</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sz w:val="21"/>
              </w:rPr>
              <w:t>0</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sz w:val="21"/>
              </w:rPr>
              <w:t>38,000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68" w:right="0"/>
              <w:jc w:val="left"/>
              <w:rPr>
                <w:rFonts w:ascii="宋体" w:hAnsi="宋体" w:cs="宋体" w:eastAsia="宋体" w:hint="default"/>
                <w:sz w:val="21"/>
                <w:szCs w:val="21"/>
              </w:rPr>
            </w:pPr>
            <w:r>
              <w:rPr>
                <w:rFonts w:ascii="宋体"/>
                <w:sz w:val="21"/>
              </w:rPr>
              <w:t>76,000</w:t>
            </w:r>
          </w:p>
        </w:tc>
      </w:tr>
      <w:tr>
        <w:trPr>
          <w:trHeight w:val="349"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杜玉巍</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高级管理人员</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sz w:val="21"/>
              </w:rPr>
              <w:t>0</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sz w:val="21"/>
              </w:rPr>
              <w:t>38,000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68" w:right="0"/>
              <w:jc w:val="left"/>
              <w:rPr>
                <w:rFonts w:ascii="宋体" w:hAnsi="宋体" w:cs="宋体" w:eastAsia="宋体" w:hint="default"/>
                <w:sz w:val="21"/>
                <w:szCs w:val="21"/>
              </w:rPr>
            </w:pPr>
            <w:r>
              <w:rPr>
                <w:rFonts w:ascii="宋体"/>
                <w:sz w:val="21"/>
              </w:rPr>
              <w:t>76,000</w:t>
            </w:r>
          </w:p>
        </w:tc>
      </w:tr>
      <w:tr>
        <w:trPr>
          <w:trHeight w:val="350"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王凯</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高级管理人员</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1"/>
                <w:szCs w:val="21"/>
              </w:rPr>
            </w:pPr>
            <w:r>
              <w:rPr>
                <w:rFonts w:ascii="宋体"/>
                <w:sz w:val="21"/>
              </w:rPr>
              <w:t>0</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38,000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69" w:right="0"/>
              <w:jc w:val="left"/>
              <w:rPr>
                <w:rFonts w:ascii="宋体" w:hAnsi="宋体" w:cs="宋体" w:eastAsia="宋体" w:hint="default"/>
                <w:sz w:val="21"/>
                <w:szCs w:val="21"/>
              </w:rPr>
            </w:pPr>
            <w:r>
              <w:rPr>
                <w:rFonts w:ascii="宋体"/>
                <w:sz w:val="21"/>
              </w:rPr>
              <w:t>76,000</w:t>
            </w:r>
          </w:p>
        </w:tc>
      </w:tr>
      <w:tr>
        <w:trPr>
          <w:trHeight w:val="350"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王桂菊</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高级管理人员</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sz w:val="21"/>
              </w:rPr>
              <w:t>0</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sz w:val="21"/>
              </w:rPr>
              <w:t>38,000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68" w:right="0"/>
              <w:jc w:val="left"/>
              <w:rPr>
                <w:rFonts w:ascii="宋体" w:hAnsi="宋体" w:cs="宋体" w:eastAsia="宋体" w:hint="default"/>
                <w:sz w:val="21"/>
                <w:szCs w:val="21"/>
              </w:rPr>
            </w:pPr>
            <w:r>
              <w:rPr>
                <w:rFonts w:ascii="宋体"/>
                <w:sz w:val="21"/>
              </w:rPr>
              <w:t>76,000</w:t>
            </w:r>
          </w:p>
        </w:tc>
      </w:tr>
      <w:tr>
        <w:trPr>
          <w:trHeight w:val="349"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王开因</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sz w:val="21"/>
              </w:rPr>
              <w:t>0</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sz w:val="21"/>
              </w:rPr>
              <w:t>38,000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69" w:right="0"/>
              <w:jc w:val="left"/>
              <w:rPr>
                <w:rFonts w:ascii="宋体" w:hAnsi="宋体" w:cs="宋体" w:eastAsia="宋体" w:hint="default"/>
                <w:sz w:val="21"/>
                <w:szCs w:val="21"/>
              </w:rPr>
            </w:pPr>
            <w:r>
              <w:rPr>
                <w:rFonts w:ascii="宋体"/>
                <w:sz w:val="21"/>
              </w:rPr>
              <w:t>76,000</w:t>
            </w:r>
          </w:p>
        </w:tc>
      </w:tr>
      <w:tr>
        <w:trPr>
          <w:trHeight w:val="554" w:hRule="exact"/>
        </w:trPr>
        <w:tc>
          <w:tcPr>
            <w:tcW w:w="6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因激励对象行权所引起的股本变动情况</w:t>
            </w:r>
          </w:p>
        </w:tc>
        <w:tc>
          <w:tcPr>
            <w:tcW w:w="73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公司激励对象行权数量为</w:t>
            </w:r>
            <w:r>
              <w:rPr>
                <w:rFonts w:ascii="宋体" w:hAnsi="宋体" w:cs="宋体" w:eastAsia="宋体" w:hint="default"/>
                <w:spacing w:val="-59"/>
                <w:sz w:val="21"/>
                <w:szCs w:val="21"/>
              </w:rPr>
              <w:t> </w:t>
            </w:r>
            <w:r>
              <w:rPr>
                <w:rFonts w:ascii="Arial" w:hAnsi="Arial" w:cs="Arial" w:eastAsia="Arial" w:hint="default"/>
                <w:sz w:val="21"/>
                <w:szCs w:val="21"/>
              </w:rPr>
              <w:t>153.9</w:t>
            </w:r>
            <w:r>
              <w:rPr>
                <w:rFonts w:ascii="Arial" w:hAnsi="Arial" w:cs="Arial" w:eastAsia="Arial" w:hint="default"/>
                <w:spacing w:val="-13"/>
                <w:sz w:val="21"/>
                <w:szCs w:val="21"/>
              </w:rPr>
              <w:t> </w:t>
            </w:r>
            <w:r>
              <w:rPr>
                <w:rFonts w:ascii="宋体" w:hAnsi="宋体" w:cs="宋体" w:eastAsia="宋体" w:hint="default"/>
                <w:sz w:val="21"/>
                <w:szCs w:val="21"/>
              </w:rPr>
              <w:t>万份，本次行权后公公司股本将增加</w:t>
            </w:r>
            <w:r>
              <w:rPr>
                <w:rFonts w:ascii="宋体" w:hAnsi="宋体" w:cs="宋体" w:eastAsia="宋体" w:hint="default"/>
                <w:spacing w:val="-59"/>
                <w:sz w:val="21"/>
                <w:szCs w:val="21"/>
              </w:rPr>
              <w:t> </w:t>
            </w:r>
            <w:r>
              <w:rPr>
                <w:rFonts w:ascii="Arial" w:hAnsi="Arial" w:cs="Arial" w:eastAsia="Arial" w:hint="default"/>
                <w:sz w:val="21"/>
                <w:szCs w:val="21"/>
              </w:rPr>
              <w:t>153.9</w:t>
            </w:r>
            <w:r>
              <w:rPr>
                <w:rFonts w:ascii="Arial" w:hAnsi="Arial" w:cs="Arial" w:eastAsia="Arial" w:hint="default"/>
                <w:spacing w:val="-13"/>
                <w:sz w:val="21"/>
                <w:szCs w:val="21"/>
              </w:rPr>
              <w:t> </w:t>
            </w:r>
            <w:r>
              <w:rPr>
                <w:rFonts w:ascii="宋体" w:hAnsi="宋体" w:cs="宋体" w:eastAsia="宋体" w:hint="default"/>
                <w:sz w:val="21"/>
                <w:szCs w:val="21"/>
              </w:rPr>
              <w:t>万</w:t>
            </w:r>
          </w:p>
          <w:p>
            <w:pPr>
              <w:pStyle w:val="TableParagraph"/>
              <w:spacing w:line="281" w:lineRule="exact"/>
              <w:ind w:left="101" w:right="0"/>
              <w:jc w:val="left"/>
              <w:rPr>
                <w:rFonts w:ascii="Arial" w:hAnsi="Arial" w:cs="Arial" w:eastAsia="Arial" w:hint="default"/>
                <w:sz w:val="21"/>
                <w:szCs w:val="21"/>
              </w:rPr>
            </w:pPr>
            <w:r>
              <w:rPr>
                <w:rFonts w:ascii="宋体" w:hAnsi="宋体" w:cs="宋体" w:eastAsia="宋体" w:hint="default"/>
                <w:sz w:val="21"/>
                <w:szCs w:val="21"/>
              </w:rPr>
              <w:t>股</w:t>
            </w:r>
            <w:r>
              <w:rPr>
                <w:rFonts w:ascii="Arial" w:hAnsi="Arial" w:cs="Arial" w:eastAsia="Arial" w:hint="default"/>
                <w:sz w:val="21"/>
                <w:szCs w:val="21"/>
              </w:rPr>
              <w:t>.</w:t>
            </w:r>
          </w:p>
        </w:tc>
      </w:tr>
      <w:tr>
        <w:trPr>
          <w:trHeight w:val="283" w:hRule="exact"/>
        </w:trPr>
        <w:tc>
          <w:tcPr>
            <w:tcW w:w="6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权益工具公允价值的计量方法</w:t>
            </w:r>
          </w:p>
        </w:tc>
        <w:tc>
          <w:tcPr>
            <w:tcW w:w="73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参照布莱克-斯科尔斯期权定价模型确定</w:t>
            </w:r>
          </w:p>
        </w:tc>
      </w:tr>
      <w:tr>
        <w:trPr>
          <w:trHeight w:val="554" w:hRule="exact"/>
        </w:trPr>
        <w:tc>
          <w:tcPr>
            <w:tcW w:w="6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估值技术采用的模型、参数及选取标准</w:t>
            </w:r>
          </w:p>
        </w:tc>
        <w:tc>
          <w:tcPr>
            <w:tcW w:w="73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参考公司过去</w:t>
            </w:r>
            <w:r>
              <w:rPr>
                <w:rFonts w:ascii="宋体" w:hAnsi="宋体" w:cs="宋体" w:eastAsia="宋体" w:hint="default"/>
                <w:spacing w:val="-61"/>
                <w:sz w:val="21"/>
                <w:szCs w:val="21"/>
              </w:rPr>
              <w:t> </w:t>
            </w:r>
            <w:r>
              <w:rPr>
                <w:rFonts w:ascii="宋体" w:hAnsi="宋体" w:cs="宋体" w:eastAsia="宋体" w:hint="default"/>
                <w:sz w:val="21"/>
                <w:szCs w:val="21"/>
              </w:rPr>
              <w:t>5</w:t>
            </w:r>
            <w:r>
              <w:rPr>
                <w:rFonts w:ascii="宋体" w:hAnsi="宋体" w:cs="宋体" w:eastAsia="宋体" w:hint="default"/>
                <w:spacing w:val="-60"/>
                <w:sz w:val="21"/>
                <w:szCs w:val="21"/>
              </w:rPr>
              <w:t> </w:t>
            </w:r>
            <w:r>
              <w:rPr>
                <w:rFonts w:ascii="宋体" w:hAnsi="宋体" w:cs="宋体" w:eastAsia="宋体" w:hint="default"/>
                <w:sz w:val="21"/>
                <w:szCs w:val="21"/>
              </w:rPr>
              <w:t>年人员离职率及对行权条件所确定的业绩目标预期达成情况确</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定。</w:t>
            </w:r>
          </w:p>
        </w:tc>
      </w:tr>
      <w:tr>
        <w:trPr>
          <w:trHeight w:val="283" w:hRule="exact"/>
        </w:trPr>
        <w:tc>
          <w:tcPr>
            <w:tcW w:w="6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权益工具公允价值的分摊期间及结果</w:t>
            </w:r>
          </w:p>
        </w:tc>
        <w:tc>
          <w:tcPr>
            <w:tcW w:w="73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以权益结算的股份支付确认的费用总额</w:t>
            </w:r>
            <w:r>
              <w:rPr>
                <w:rFonts w:ascii="宋体" w:hAnsi="宋体" w:cs="宋体" w:eastAsia="宋体" w:hint="default"/>
                <w:spacing w:val="-53"/>
                <w:sz w:val="21"/>
                <w:szCs w:val="21"/>
              </w:rPr>
              <w:t> </w:t>
            </w:r>
            <w:r>
              <w:rPr>
                <w:rFonts w:ascii="宋体" w:hAnsi="宋体" w:cs="宋体" w:eastAsia="宋体" w:hint="default"/>
                <w:sz w:val="18"/>
                <w:szCs w:val="18"/>
              </w:rPr>
              <w:t>1,907,303.48</w:t>
            </w:r>
            <w:r>
              <w:rPr>
                <w:rFonts w:ascii="宋体" w:hAnsi="宋体" w:cs="宋体" w:eastAsia="宋体" w:hint="default"/>
                <w:spacing w:val="-46"/>
                <w:sz w:val="18"/>
                <w:szCs w:val="18"/>
              </w:rPr>
              <w:t> </w:t>
            </w:r>
            <w:r>
              <w:rPr>
                <w:rFonts w:ascii="宋体" w:hAnsi="宋体" w:cs="宋体" w:eastAsia="宋体" w:hint="default"/>
                <w:sz w:val="21"/>
                <w:szCs w:val="21"/>
              </w:rPr>
              <w:t>元</w:t>
            </w:r>
          </w:p>
        </w:tc>
      </w:tr>
    </w:tbl>
    <w:p>
      <w:pPr>
        <w:spacing w:after="0" w:line="240" w:lineRule="exact"/>
        <w:jc w:val="left"/>
        <w:rPr>
          <w:rFonts w:ascii="宋体" w:hAnsi="宋体" w:cs="宋体" w:eastAsia="宋体" w:hint="default"/>
          <w:sz w:val="21"/>
          <w:szCs w:val="21"/>
        </w:rPr>
        <w:sectPr>
          <w:pgSz w:w="16840" w:h="11910" w:orient="landscape"/>
          <w:pgMar w:header="882" w:footer="1193" w:top="1120" w:bottom="1380" w:left="1580" w:right="11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357" w:lineRule="auto" w:before="159"/>
        <w:ind w:left="137" w:right="487"/>
        <w:jc w:val="left"/>
      </w:pPr>
      <w:r>
        <w:rPr>
          <w:rFonts w:ascii="Calibri" w:hAnsi="Calibri" w:cs="Calibri" w:eastAsia="Calibri" w:hint="default"/>
          <w:b/>
          <w:bCs/>
        </w:rPr>
        <w:t>(</w:t>
      </w:r>
      <w:r>
        <w:rPr>
          <w:rFonts w:ascii="宋体" w:hAnsi="宋体" w:cs="宋体" w:eastAsia="宋体" w:hint="default"/>
          <w:b/>
          <w:bCs/>
        </w:rPr>
        <w:t>三</w:t>
      </w:r>
      <w:r>
        <w:rPr>
          <w:rFonts w:ascii="Calibri" w:hAnsi="Calibri" w:cs="Calibri" w:eastAsia="Calibri" w:hint="default"/>
          <w:b/>
          <w:bCs/>
        </w:rPr>
        <w:t>)</w:t>
      </w:r>
      <w:r>
        <w:rPr>
          <w:rFonts w:ascii="Calibri" w:hAnsi="Calibri" w:cs="Calibri" w:eastAsia="Calibri" w:hint="default"/>
          <w:b/>
          <w:bCs/>
          <w:spacing w:val="29"/>
        </w:rPr>
        <w:t> </w:t>
      </w:r>
      <w:r>
        <w:rPr>
          <w:rFonts w:ascii="宋体" w:hAnsi="宋体" w:cs="宋体" w:eastAsia="宋体" w:hint="default"/>
          <w:b/>
          <w:bCs/>
        </w:rPr>
        <w:t>报告期公司股权激励相关情况说明</w:t>
      </w:r>
      <w:r>
        <w:rPr>
          <w:rFonts w:ascii="宋体" w:hAnsi="宋体" w:cs="宋体" w:eastAsia="宋体" w:hint="default"/>
          <w:b/>
          <w:bCs/>
          <w:w w:val="99"/>
        </w:rPr>
        <w:t> </w:t>
      </w:r>
      <w:r>
        <w:rPr/>
        <w:t>深圳市金证科技股份有限公司（以下简称"公司"）股票期权激励计划股票期权第二个行权期行权 条件已满足，经公司第五届董事会 2014</w:t>
      </w:r>
      <w:r>
        <w:rPr>
          <w:spacing w:val="-54"/>
        </w:rPr>
        <w:t> </w:t>
      </w:r>
      <w:r>
        <w:rPr/>
        <w:t>年第五次临时会议审议通过，公司股票期权激励计划股</w:t>
      </w:r>
    </w:p>
    <w:p>
      <w:pPr>
        <w:pStyle w:val="BodyText"/>
        <w:spacing w:line="240" w:lineRule="auto" w:before="23"/>
        <w:ind w:left="137" w:right="487"/>
        <w:jc w:val="left"/>
      </w:pPr>
      <w:r>
        <w:rPr/>
        <w:t>票期权的</w:t>
      </w:r>
      <w:r>
        <w:rPr>
          <w:spacing w:val="-63"/>
        </w:rPr>
        <w:t> </w:t>
      </w:r>
      <w:r>
        <w:rPr/>
        <w:t>61</w:t>
      </w:r>
      <w:r>
        <w:rPr>
          <w:spacing w:val="-63"/>
        </w:rPr>
        <w:t> </w:t>
      </w:r>
      <w:r>
        <w:rPr/>
        <w:t>名激励对象在第二个行权期可行权数量</w:t>
      </w:r>
      <w:r>
        <w:rPr>
          <w:spacing w:val="-63"/>
        </w:rPr>
        <w:t> </w:t>
      </w:r>
      <w:r>
        <w:rPr/>
        <w:t>153.9</w:t>
      </w:r>
      <w:r>
        <w:rPr>
          <w:spacing w:val="-63"/>
        </w:rPr>
        <w:t> </w:t>
      </w:r>
      <w:r>
        <w:rPr/>
        <w:t>万股股票期权，本次实际行权数量为</w:t>
      </w:r>
    </w:p>
    <w:p>
      <w:pPr>
        <w:pStyle w:val="BodyText"/>
        <w:spacing w:line="240" w:lineRule="auto" w:before="125"/>
        <w:ind w:left="137" w:right="0"/>
        <w:jc w:val="left"/>
      </w:pPr>
      <w:r>
        <w:rPr/>
        <w:t>153.9</w:t>
      </w:r>
      <w:r>
        <w:rPr>
          <w:spacing w:val="-58"/>
        </w:rPr>
        <w:t> </w:t>
      </w:r>
      <w:r>
        <w:rPr/>
        <w:t>万股股票期权.有关公司股票激励第二期行权情况详见</w:t>
      </w:r>
      <w:r>
        <w:rPr>
          <w:spacing w:val="-59"/>
        </w:rPr>
        <w:t> </w:t>
      </w:r>
      <w:r>
        <w:rPr/>
        <w:t>2014</w:t>
      </w:r>
      <w:r>
        <w:rPr>
          <w:spacing w:val="-58"/>
        </w:rPr>
        <w:t> </w:t>
      </w:r>
      <w:r>
        <w:rPr/>
        <w:t>年</w:t>
      </w:r>
      <w:r>
        <w:rPr>
          <w:spacing w:val="-60"/>
        </w:rPr>
        <w:t> </w:t>
      </w:r>
      <w:r>
        <w:rPr/>
        <w:t>5</w:t>
      </w:r>
      <w:r>
        <w:rPr>
          <w:spacing w:val="-58"/>
        </w:rPr>
        <w:t> </w:t>
      </w:r>
      <w:r>
        <w:rPr/>
        <w:t>月</w:t>
      </w:r>
      <w:r>
        <w:rPr>
          <w:spacing w:val="-60"/>
        </w:rPr>
        <w:t> </w:t>
      </w:r>
      <w:r>
        <w:rPr/>
        <w:t>26</w:t>
      </w:r>
      <w:r>
        <w:rPr>
          <w:spacing w:val="-58"/>
        </w:rPr>
        <w:t> </w:t>
      </w:r>
      <w:r>
        <w:rPr/>
        <w:t>日《中国证券报》、</w:t>
      </w:r>
    </w:p>
    <w:p>
      <w:pPr>
        <w:pStyle w:val="BodyText"/>
        <w:spacing w:line="240" w:lineRule="auto" w:before="125"/>
        <w:ind w:left="137" w:right="487"/>
        <w:jc w:val="left"/>
      </w:pPr>
      <w:r>
        <w:rPr/>
        <w:t>《证券时报》和上海证券交易所网站。</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50"/>
          <w:footerReference w:type="default" r:id="rId51"/>
          <w:pgSz w:w="11910" w:h="16840"/>
          <w:pgMar w:header="882" w:footer="1197" w:top="1120" w:bottom="1380" w:left="1660" w:right="780"/>
          <w:pgNumType w:start="30"/>
        </w:sectPr>
      </w:pPr>
    </w:p>
    <w:p>
      <w:pPr>
        <w:pStyle w:val="Heading3"/>
        <w:tabs>
          <w:tab w:pos="557" w:val="left" w:leader="none"/>
        </w:tabs>
        <w:spacing w:line="240" w:lineRule="auto"/>
        <w:ind w:left="137" w:right="-19"/>
        <w:jc w:val="left"/>
        <w:rPr>
          <w:b w:val="0"/>
          <w:bCs w:val="0"/>
        </w:rPr>
      </w:pPr>
      <w:r>
        <w:rPr>
          <w:w w:val="95"/>
        </w:rPr>
        <w:t>1</w:t>
        <w:tab/>
      </w:r>
      <w:r>
        <w:rPr/>
        <w:t>担保情况</w:t>
      </w:r>
      <w:r>
        <w:rPr>
          <w:b w:val="0"/>
          <w:bCs w:val="0"/>
        </w:rPr>
      </w:r>
    </w:p>
    <w:p>
      <w:pPr>
        <w:pStyle w:val="BodyText"/>
        <w:spacing w:line="240" w:lineRule="auto" w:before="97"/>
        <w:ind w:left="137"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tabs>
          <w:tab w:pos="1397" w:val="left" w:leader="none"/>
        </w:tabs>
        <w:spacing w:line="240" w:lineRule="auto"/>
        <w:ind w:left="137" w:right="0"/>
        <w:jc w:val="left"/>
      </w:pPr>
      <w:r>
        <w:rPr/>
        <w:t>单位: 万元</w:t>
        <w:tab/>
        <w:t>币种:</w:t>
      </w:r>
      <w:r>
        <w:rPr>
          <w:spacing w:val="-3"/>
        </w:rPr>
        <w:t> </w:t>
      </w:r>
      <w:r>
        <w:rPr/>
        <w:t>人民币</w:t>
      </w:r>
    </w:p>
    <w:p>
      <w:pPr>
        <w:spacing w:after="0" w:line="240" w:lineRule="auto"/>
        <w:jc w:val="left"/>
        <w:sectPr>
          <w:type w:val="continuous"/>
          <w:pgSz w:w="11910" w:h="16840"/>
          <w:pgMar w:top="1080" w:bottom="1380" w:left="1660" w:right="780"/>
          <w:cols w:num="2" w:equalWidth="0">
            <w:col w:w="1712" w:space="4917"/>
            <w:col w:w="2841"/>
          </w:cols>
        </w:sectPr>
      </w:pPr>
    </w:p>
    <w:p>
      <w:pPr>
        <w:spacing w:line="240" w:lineRule="auto" w:before="13"/>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664"/>
        <w:gridCol w:w="661"/>
        <w:gridCol w:w="662"/>
        <w:gridCol w:w="666"/>
        <w:gridCol w:w="638"/>
        <w:gridCol w:w="712"/>
        <w:gridCol w:w="704"/>
        <w:gridCol w:w="589"/>
        <w:gridCol w:w="694"/>
        <w:gridCol w:w="708"/>
        <w:gridCol w:w="708"/>
        <w:gridCol w:w="709"/>
        <w:gridCol w:w="704"/>
        <w:gridCol w:w="425"/>
      </w:tblGrid>
      <w:tr>
        <w:trPr>
          <w:trHeight w:val="322" w:hRule="exact"/>
        </w:trPr>
        <w:tc>
          <w:tcPr>
            <w:tcW w:w="9245"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17"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570" w:hRule="exact"/>
        </w:trPr>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55" w:right="54"/>
              <w:jc w:val="both"/>
              <w:rPr>
                <w:rFonts w:ascii="宋体" w:hAnsi="宋体" w:cs="宋体" w:eastAsia="宋体" w:hint="default"/>
                <w:sz w:val="18"/>
                <w:szCs w:val="18"/>
              </w:rPr>
            </w:pPr>
            <w:r>
              <w:rPr>
                <w:rFonts w:ascii="宋体" w:hAnsi="宋体" w:cs="宋体" w:eastAsia="宋体" w:hint="default"/>
                <w:sz w:val="18"/>
                <w:szCs w:val="18"/>
              </w:rPr>
              <w:t>担保方 与上市 公司的 关系</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36" w:right="54" w:hanging="180"/>
              <w:jc w:val="left"/>
              <w:rPr>
                <w:rFonts w:ascii="宋体" w:hAnsi="宋体" w:cs="宋体" w:eastAsia="宋体" w:hint="default"/>
                <w:sz w:val="18"/>
                <w:szCs w:val="18"/>
              </w:rPr>
            </w:pPr>
            <w:r>
              <w:rPr>
                <w:rFonts w:ascii="宋体" w:hAnsi="宋体" w:cs="宋体" w:eastAsia="宋体" w:hint="default"/>
                <w:sz w:val="18"/>
                <w:szCs w:val="18"/>
              </w:rPr>
              <w:t>被担保 方</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36" w:right="59" w:hanging="180"/>
              <w:jc w:val="left"/>
              <w:rPr>
                <w:rFonts w:ascii="宋体" w:hAnsi="宋体" w:cs="宋体" w:eastAsia="宋体" w:hint="default"/>
                <w:sz w:val="18"/>
                <w:szCs w:val="18"/>
              </w:rPr>
            </w:pPr>
            <w:r>
              <w:rPr>
                <w:rFonts w:ascii="宋体" w:hAnsi="宋体" w:cs="宋体" w:eastAsia="宋体" w:hint="default"/>
                <w:sz w:val="18"/>
                <w:szCs w:val="18"/>
              </w:rPr>
              <w:t>担保金 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3" w:right="43"/>
              <w:jc w:val="center"/>
              <w:rPr>
                <w:rFonts w:ascii="宋体" w:hAnsi="宋体" w:cs="宋体" w:eastAsia="宋体" w:hint="default"/>
                <w:sz w:val="18"/>
                <w:szCs w:val="18"/>
              </w:rPr>
            </w:pPr>
            <w:r>
              <w:rPr>
                <w:rFonts w:ascii="宋体" w:hAnsi="宋体" w:cs="宋体" w:eastAsia="宋体" w:hint="default"/>
                <w:sz w:val="18"/>
                <w:szCs w:val="18"/>
              </w:rPr>
              <w:t>担保发 生日期 (协议 签署 日)</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79" w:right="80" w:firstLine="90"/>
              <w:jc w:val="left"/>
              <w:rPr>
                <w:rFonts w:ascii="宋体" w:hAnsi="宋体" w:cs="宋体" w:eastAsia="宋体" w:hint="default"/>
                <w:sz w:val="18"/>
                <w:szCs w:val="18"/>
              </w:rPr>
            </w:pPr>
            <w:r>
              <w:rPr>
                <w:rFonts w:ascii="宋体" w:hAnsi="宋体" w:cs="宋体" w:eastAsia="宋体" w:hint="default"/>
                <w:sz w:val="18"/>
                <w:szCs w:val="18"/>
              </w:rPr>
              <w:t>担保 起始日</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75" w:right="77" w:firstLine="90"/>
              <w:jc w:val="left"/>
              <w:rPr>
                <w:rFonts w:ascii="宋体" w:hAnsi="宋体" w:cs="宋体" w:eastAsia="宋体" w:hint="default"/>
                <w:sz w:val="18"/>
                <w:szCs w:val="18"/>
              </w:rPr>
            </w:pPr>
            <w:r>
              <w:rPr>
                <w:rFonts w:ascii="宋体" w:hAnsi="宋体" w:cs="宋体" w:eastAsia="宋体" w:hint="default"/>
                <w:sz w:val="18"/>
                <w:szCs w:val="18"/>
              </w:rPr>
              <w:t>担保 到期日</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9" w:right="108"/>
              <w:jc w:val="left"/>
              <w:rPr>
                <w:rFonts w:ascii="宋体" w:hAnsi="宋体" w:cs="宋体" w:eastAsia="宋体" w:hint="default"/>
                <w:sz w:val="18"/>
                <w:szCs w:val="18"/>
              </w:rPr>
            </w:pPr>
            <w:r>
              <w:rPr>
                <w:rFonts w:ascii="宋体" w:hAnsi="宋体" w:cs="宋体" w:eastAsia="宋体" w:hint="default"/>
                <w:sz w:val="18"/>
                <w:szCs w:val="18"/>
              </w:rPr>
              <w:t>担保 类型</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70" w:right="71"/>
              <w:jc w:val="center"/>
              <w:rPr>
                <w:rFonts w:ascii="宋体" w:hAnsi="宋体" w:cs="宋体" w:eastAsia="宋体" w:hint="default"/>
                <w:sz w:val="18"/>
                <w:szCs w:val="18"/>
              </w:rPr>
            </w:pPr>
            <w:r>
              <w:rPr>
                <w:rFonts w:ascii="宋体" w:hAnsi="宋体" w:cs="宋体" w:eastAsia="宋体" w:hint="default"/>
                <w:sz w:val="18"/>
                <w:szCs w:val="18"/>
              </w:rPr>
              <w:t>担保是 否已经 履行完 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77" w:right="78"/>
              <w:jc w:val="left"/>
              <w:rPr>
                <w:rFonts w:ascii="宋体" w:hAnsi="宋体" w:cs="宋体" w:eastAsia="宋体" w:hint="default"/>
                <w:sz w:val="18"/>
                <w:szCs w:val="18"/>
              </w:rPr>
            </w:pPr>
            <w:r>
              <w:rPr>
                <w:rFonts w:ascii="宋体" w:hAnsi="宋体" w:cs="宋体" w:eastAsia="宋体" w:hint="default"/>
                <w:sz w:val="18"/>
                <w:szCs w:val="18"/>
              </w:rPr>
              <w:t>担保是 否逾期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77" w:right="78"/>
              <w:jc w:val="left"/>
              <w:rPr>
                <w:rFonts w:ascii="宋体" w:hAnsi="宋体" w:cs="宋体" w:eastAsia="宋体" w:hint="default"/>
                <w:sz w:val="18"/>
                <w:szCs w:val="18"/>
              </w:rPr>
            </w:pPr>
            <w:r>
              <w:rPr>
                <w:rFonts w:ascii="宋体" w:hAnsi="宋体" w:cs="宋体" w:eastAsia="宋体" w:hint="default"/>
                <w:sz w:val="18"/>
                <w:szCs w:val="18"/>
              </w:rPr>
              <w:t>担保逾 期金额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79" w:right="78"/>
              <w:jc w:val="center"/>
              <w:rPr>
                <w:rFonts w:ascii="宋体" w:hAnsi="宋体" w:cs="宋体" w:eastAsia="宋体" w:hint="default"/>
                <w:sz w:val="18"/>
                <w:szCs w:val="18"/>
              </w:rPr>
            </w:pPr>
            <w:r>
              <w:rPr>
                <w:rFonts w:ascii="宋体" w:hAnsi="宋体" w:cs="宋体" w:eastAsia="宋体" w:hint="default"/>
                <w:sz w:val="18"/>
                <w:szCs w:val="18"/>
              </w:rPr>
              <w:t>是否存 在反担 保</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76" w:right="77"/>
              <w:jc w:val="both"/>
              <w:rPr>
                <w:rFonts w:ascii="宋体" w:hAnsi="宋体" w:cs="宋体" w:eastAsia="宋体" w:hint="default"/>
                <w:sz w:val="18"/>
                <w:szCs w:val="18"/>
              </w:rPr>
            </w:pPr>
            <w:r>
              <w:rPr>
                <w:rFonts w:ascii="宋体" w:hAnsi="宋体" w:cs="宋体" w:eastAsia="宋体" w:hint="default"/>
                <w:sz w:val="18"/>
                <w:szCs w:val="18"/>
              </w:rPr>
              <w:t>是否为 关联方 担保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7" w:right="25"/>
              <w:jc w:val="left"/>
              <w:rPr>
                <w:rFonts w:ascii="宋体" w:hAnsi="宋体" w:cs="宋体" w:eastAsia="宋体" w:hint="default"/>
                <w:sz w:val="18"/>
                <w:szCs w:val="18"/>
              </w:rPr>
            </w:pPr>
            <w:r>
              <w:rPr>
                <w:rFonts w:ascii="宋体" w:hAnsi="宋体" w:cs="宋体" w:eastAsia="宋体" w:hint="default"/>
                <w:sz w:val="18"/>
                <w:szCs w:val="18"/>
              </w:rPr>
              <w:t>关联 关系</w:t>
            </w:r>
          </w:p>
        </w:tc>
      </w:tr>
      <w:tr>
        <w:trPr>
          <w:trHeight w:val="1571" w:hRule="exact"/>
        </w:trPr>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56" w:right="55"/>
              <w:jc w:val="both"/>
              <w:rPr>
                <w:rFonts w:ascii="宋体" w:hAnsi="宋体" w:cs="宋体" w:eastAsia="宋体" w:hint="default"/>
                <w:sz w:val="18"/>
                <w:szCs w:val="18"/>
              </w:rPr>
            </w:pPr>
            <w:r>
              <w:rPr>
                <w:rFonts w:ascii="宋体" w:hAnsi="宋体" w:cs="宋体" w:eastAsia="宋体" w:hint="default"/>
                <w:sz w:val="18"/>
                <w:szCs w:val="18"/>
              </w:rPr>
              <w:t>深圳市 齐普生 信息科 技有限 公司</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145" w:right="54" w:hanging="9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z w:val="18"/>
              </w:rPr>
              <w:t>15,000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2014年</w:t>
            </w:r>
          </w:p>
          <w:p>
            <w:pPr>
              <w:pStyle w:val="TableParagraph"/>
              <w:spacing w:line="240" w:lineRule="auto" w:before="76"/>
              <w:ind w:left="62" w:right="0"/>
              <w:jc w:val="left"/>
              <w:rPr>
                <w:rFonts w:ascii="宋体" w:hAnsi="宋体" w:cs="宋体" w:eastAsia="宋体" w:hint="default"/>
                <w:sz w:val="18"/>
                <w:szCs w:val="18"/>
              </w:rPr>
            </w:pPr>
            <w:r>
              <w:rPr>
                <w:rFonts w:ascii="宋体" w:hAnsi="宋体" w:cs="宋体" w:eastAsia="宋体" w:hint="default"/>
                <w:sz w:val="18"/>
                <w:szCs w:val="18"/>
              </w:rPr>
              <w:t>9月2日</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2014年9</w:t>
            </w:r>
          </w:p>
          <w:p>
            <w:pPr>
              <w:pStyle w:val="TableParagraph"/>
              <w:spacing w:line="240" w:lineRule="auto" w:before="76"/>
              <w:ind w:left="199" w:right="0"/>
              <w:jc w:val="center"/>
              <w:rPr>
                <w:rFonts w:ascii="宋体" w:hAnsi="宋体" w:cs="宋体" w:eastAsia="宋体" w:hint="default"/>
                <w:sz w:val="18"/>
                <w:szCs w:val="18"/>
              </w:rPr>
            </w:pPr>
            <w:r>
              <w:rPr>
                <w:rFonts w:ascii="宋体" w:hAnsi="宋体" w:cs="宋体" w:eastAsia="宋体" w:hint="default"/>
                <w:sz w:val="18"/>
                <w:szCs w:val="18"/>
              </w:rPr>
              <w:t>月2日</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2015年9</w:t>
            </w:r>
          </w:p>
          <w:p>
            <w:pPr>
              <w:pStyle w:val="TableParagraph"/>
              <w:spacing w:line="240" w:lineRule="auto" w:before="76"/>
              <w:ind w:left="192" w:right="0"/>
              <w:jc w:val="center"/>
              <w:rPr>
                <w:rFonts w:ascii="宋体" w:hAnsi="宋体" w:cs="宋体" w:eastAsia="宋体" w:hint="default"/>
                <w:sz w:val="18"/>
                <w:szCs w:val="18"/>
              </w:rPr>
            </w:pPr>
            <w:r>
              <w:rPr>
                <w:rFonts w:ascii="宋体" w:hAnsi="宋体" w:cs="宋体" w:eastAsia="宋体" w:hint="default"/>
                <w:sz w:val="18"/>
                <w:szCs w:val="18"/>
              </w:rPr>
              <w:t>月2日</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109" w:right="108"/>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7" w:right="25"/>
              <w:jc w:val="both"/>
              <w:rPr>
                <w:rFonts w:ascii="宋体" w:hAnsi="宋体" w:cs="宋体" w:eastAsia="宋体" w:hint="default"/>
                <w:sz w:val="18"/>
                <w:szCs w:val="18"/>
              </w:rPr>
            </w:pPr>
            <w:r>
              <w:rPr>
                <w:rFonts w:ascii="宋体" w:hAnsi="宋体" w:cs="宋体" w:eastAsia="宋体" w:hint="default"/>
                <w:sz w:val="18"/>
                <w:szCs w:val="18"/>
              </w:rPr>
              <w:t>控股 子公 司</w:t>
            </w:r>
          </w:p>
        </w:tc>
      </w:tr>
      <w:tr>
        <w:trPr>
          <w:trHeight w:val="1570" w:hRule="exact"/>
        </w:trPr>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6" w:right="55"/>
              <w:jc w:val="center"/>
              <w:rPr>
                <w:rFonts w:ascii="宋体" w:hAnsi="宋体" w:cs="宋体" w:eastAsia="宋体" w:hint="default"/>
                <w:sz w:val="18"/>
                <w:szCs w:val="18"/>
              </w:rPr>
            </w:pPr>
            <w:r>
              <w:rPr>
                <w:rFonts w:ascii="宋体" w:hAnsi="宋体" w:cs="宋体" w:eastAsia="宋体" w:hint="default"/>
                <w:sz w:val="18"/>
                <w:szCs w:val="18"/>
              </w:rPr>
              <w:t>深圳市 金证软 银科技 有限公 司</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45" w:right="54" w:hanging="90"/>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z w:val="18"/>
              </w:rPr>
              <w:t>5,000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2014年</w:t>
            </w:r>
          </w:p>
          <w:p>
            <w:pPr>
              <w:pStyle w:val="TableParagraph"/>
              <w:spacing w:line="240" w:lineRule="auto" w:before="76"/>
              <w:ind w:left="62" w:right="0"/>
              <w:jc w:val="left"/>
              <w:rPr>
                <w:rFonts w:ascii="宋体" w:hAnsi="宋体" w:cs="宋体" w:eastAsia="宋体" w:hint="default"/>
                <w:sz w:val="18"/>
                <w:szCs w:val="18"/>
              </w:rPr>
            </w:pPr>
            <w:r>
              <w:rPr>
                <w:rFonts w:ascii="宋体" w:hAnsi="宋体" w:cs="宋体" w:eastAsia="宋体" w:hint="default"/>
                <w:sz w:val="18"/>
                <w:szCs w:val="18"/>
              </w:rPr>
              <w:t>8月5日</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2014年8</w:t>
            </w:r>
          </w:p>
          <w:p>
            <w:pPr>
              <w:pStyle w:val="TableParagraph"/>
              <w:spacing w:line="240" w:lineRule="auto" w:before="76"/>
              <w:ind w:left="199" w:right="0"/>
              <w:jc w:val="center"/>
              <w:rPr>
                <w:rFonts w:ascii="宋体" w:hAnsi="宋体" w:cs="宋体" w:eastAsia="宋体" w:hint="default"/>
                <w:sz w:val="18"/>
                <w:szCs w:val="18"/>
              </w:rPr>
            </w:pPr>
            <w:r>
              <w:rPr>
                <w:rFonts w:ascii="宋体" w:hAnsi="宋体" w:cs="宋体" w:eastAsia="宋体" w:hint="default"/>
                <w:sz w:val="18"/>
                <w:szCs w:val="18"/>
              </w:rPr>
              <w:t>月5日</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2016年8</w:t>
            </w:r>
          </w:p>
          <w:p>
            <w:pPr>
              <w:pStyle w:val="TableParagraph"/>
              <w:spacing w:line="240" w:lineRule="auto" w:before="76"/>
              <w:ind w:left="191" w:right="0"/>
              <w:jc w:val="center"/>
              <w:rPr>
                <w:rFonts w:ascii="宋体" w:hAnsi="宋体" w:cs="宋体" w:eastAsia="宋体" w:hint="default"/>
                <w:sz w:val="18"/>
                <w:szCs w:val="18"/>
              </w:rPr>
            </w:pPr>
            <w:r>
              <w:rPr>
                <w:rFonts w:ascii="宋体" w:hAnsi="宋体" w:cs="宋体" w:eastAsia="宋体" w:hint="default"/>
                <w:sz w:val="18"/>
                <w:szCs w:val="18"/>
              </w:rPr>
              <w:t>月5日</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9" w:right="108"/>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7" w:right="25"/>
              <w:jc w:val="both"/>
              <w:rPr>
                <w:rFonts w:ascii="宋体" w:hAnsi="宋体" w:cs="宋体" w:eastAsia="宋体" w:hint="default"/>
                <w:sz w:val="18"/>
                <w:szCs w:val="18"/>
              </w:rPr>
            </w:pPr>
            <w:r>
              <w:rPr>
                <w:rFonts w:ascii="宋体" w:hAnsi="宋体" w:cs="宋体" w:eastAsia="宋体" w:hint="default"/>
                <w:sz w:val="18"/>
                <w:szCs w:val="18"/>
              </w:rPr>
              <w:t>全资 子公 司</w:t>
            </w:r>
          </w:p>
        </w:tc>
      </w:tr>
      <w:tr>
        <w:trPr>
          <w:trHeight w:val="1570" w:hRule="exact"/>
        </w:trPr>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6" w:right="55"/>
              <w:jc w:val="center"/>
              <w:rPr>
                <w:rFonts w:ascii="宋体" w:hAnsi="宋体" w:cs="宋体" w:eastAsia="宋体" w:hint="default"/>
                <w:sz w:val="18"/>
                <w:szCs w:val="18"/>
              </w:rPr>
            </w:pPr>
            <w:r>
              <w:rPr>
                <w:rFonts w:ascii="宋体" w:hAnsi="宋体" w:cs="宋体" w:eastAsia="宋体" w:hint="default"/>
                <w:sz w:val="18"/>
                <w:szCs w:val="18"/>
              </w:rPr>
              <w:t>深圳市 金证软 银科技 有限公 司</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45" w:right="54" w:hanging="90"/>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z w:val="18"/>
              </w:rPr>
              <w:t>12,500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2014年</w:t>
            </w:r>
          </w:p>
          <w:p>
            <w:pPr>
              <w:pStyle w:val="TableParagraph"/>
              <w:spacing w:line="240" w:lineRule="auto" w:before="76"/>
              <w:ind w:right="24"/>
              <w:jc w:val="right"/>
              <w:rPr>
                <w:rFonts w:ascii="宋体" w:hAnsi="宋体" w:cs="宋体" w:eastAsia="宋体" w:hint="default"/>
                <w:sz w:val="18"/>
                <w:szCs w:val="18"/>
              </w:rPr>
            </w:pPr>
            <w:r>
              <w:rPr>
                <w:rFonts w:ascii="宋体" w:hAnsi="宋体" w:cs="宋体" w:eastAsia="宋体" w:hint="default"/>
                <w:sz w:val="18"/>
                <w:szCs w:val="18"/>
              </w:rPr>
              <w:t>7月10</w:t>
            </w:r>
          </w:p>
          <w:p>
            <w:pPr>
              <w:pStyle w:val="TableParagraph"/>
              <w:spacing w:line="240" w:lineRule="auto" w:before="76"/>
              <w:ind w:right="24"/>
              <w:jc w:val="right"/>
              <w:rPr>
                <w:rFonts w:ascii="宋体" w:hAnsi="宋体" w:cs="宋体" w:eastAsia="宋体" w:hint="default"/>
                <w:sz w:val="18"/>
                <w:szCs w:val="18"/>
              </w:rPr>
            </w:pPr>
            <w:r>
              <w:rPr>
                <w:rFonts w:ascii="宋体" w:hAnsi="宋体" w:cs="宋体" w:eastAsia="宋体" w:hint="default"/>
                <w:sz w:val="18"/>
                <w:szCs w:val="18"/>
              </w:rPr>
              <w:t>日</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2014年7</w:t>
            </w:r>
          </w:p>
          <w:p>
            <w:pPr>
              <w:pStyle w:val="TableParagraph"/>
              <w:spacing w:line="240" w:lineRule="auto" w:before="76"/>
              <w:ind w:left="135" w:right="0"/>
              <w:jc w:val="left"/>
              <w:rPr>
                <w:rFonts w:ascii="宋体" w:hAnsi="宋体" w:cs="宋体" w:eastAsia="宋体" w:hint="default"/>
                <w:sz w:val="18"/>
                <w:szCs w:val="18"/>
              </w:rPr>
            </w:pPr>
            <w:r>
              <w:rPr>
                <w:rFonts w:ascii="宋体" w:hAnsi="宋体" w:cs="宋体" w:eastAsia="宋体" w:hint="default"/>
                <w:sz w:val="18"/>
                <w:szCs w:val="18"/>
              </w:rPr>
              <w:t>月10日</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2015年7</w:t>
            </w:r>
          </w:p>
          <w:p>
            <w:pPr>
              <w:pStyle w:val="TableParagraph"/>
              <w:spacing w:line="240" w:lineRule="auto" w:before="76"/>
              <w:ind w:left="191" w:right="0"/>
              <w:jc w:val="center"/>
              <w:rPr>
                <w:rFonts w:ascii="宋体" w:hAnsi="宋体" w:cs="宋体" w:eastAsia="宋体" w:hint="default"/>
                <w:sz w:val="18"/>
                <w:szCs w:val="18"/>
              </w:rPr>
            </w:pPr>
            <w:r>
              <w:rPr>
                <w:rFonts w:ascii="宋体" w:hAnsi="宋体" w:cs="宋体" w:eastAsia="宋体" w:hint="default"/>
                <w:sz w:val="18"/>
                <w:szCs w:val="18"/>
              </w:rPr>
              <w:t>月7日</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9" w:right="108"/>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7" w:right="25"/>
              <w:jc w:val="both"/>
              <w:rPr>
                <w:rFonts w:ascii="宋体" w:hAnsi="宋体" w:cs="宋体" w:eastAsia="宋体" w:hint="default"/>
                <w:sz w:val="18"/>
                <w:szCs w:val="18"/>
              </w:rPr>
            </w:pPr>
            <w:r>
              <w:rPr>
                <w:rFonts w:ascii="宋体" w:hAnsi="宋体" w:cs="宋体" w:eastAsia="宋体" w:hint="default"/>
                <w:sz w:val="18"/>
                <w:szCs w:val="18"/>
              </w:rPr>
              <w:t>全资 子公 司</w:t>
            </w:r>
          </w:p>
        </w:tc>
      </w:tr>
      <w:tr>
        <w:trPr>
          <w:trHeight w:val="1571" w:hRule="exact"/>
        </w:trPr>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56" w:right="55"/>
              <w:jc w:val="both"/>
              <w:rPr>
                <w:rFonts w:ascii="宋体" w:hAnsi="宋体" w:cs="宋体" w:eastAsia="宋体" w:hint="default"/>
                <w:sz w:val="18"/>
                <w:szCs w:val="18"/>
              </w:rPr>
            </w:pPr>
            <w:r>
              <w:rPr>
                <w:rFonts w:ascii="宋体" w:hAnsi="宋体" w:cs="宋体" w:eastAsia="宋体" w:hint="default"/>
                <w:sz w:val="18"/>
                <w:szCs w:val="18"/>
              </w:rPr>
              <w:t>深圳市 齐普生 信息科 技有限 公司</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145" w:right="54" w:hanging="9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z w:val="18"/>
              </w:rPr>
              <w:t>20,000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2014年</w:t>
            </w:r>
          </w:p>
          <w:p>
            <w:pPr>
              <w:pStyle w:val="TableParagraph"/>
              <w:spacing w:line="240" w:lineRule="auto" w:before="76"/>
              <w:ind w:right="24"/>
              <w:jc w:val="right"/>
              <w:rPr>
                <w:rFonts w:ascii="宋体" w:hAnsi="宋体" w:cs="宋体" w:eastAsia="宋体" w:hint="default"/>
                <w:sz w:val="18"/>
                <w:szCs w:val="18"/>
              </w:rPr>
            </w:pPr>
            <w:r>
              <w:rPr>
                <w:rFonts w:ascii="宋体" w:hAnsi="宋体" w:cs="宋体" w:eastAsia="宋体" w:hint="default"/>
                <w:sz w:val="18"/>
                <w:szCs w:val="18"/>
              </w:rPr>
              <w:t>6月10</w:t>
            </w:r>
          </w:p>
          <w:p>
            <w:pPr>
              <w:pStyle w:val="TableParagraph"/>
              <w:spacing w:line="240" w:lineRule="auto" w:before="76"/>
              <w:ind w:right="24"/>
              <w:jc w:val="right"/>
              <w:rPr>
                <w:rFonts w:ascii="宋体" w:hAnsi="宋体" w:cs="宋体" w:eastAsia="宋体" w:hint="default"/>
                <w:sz w:val="18"/>
                <w:szCs w:val="18"/>
              </w:rPr>
            </w:pPr>
            <w:r>
              <w:rPr>
                <w:rFonts w:ascii="宋体" w:hAnsi="宋体" w:cs="宋体" w:eastAsia="宋体" w:hint="default"/>
                <w:sz w:val="18"/>
                <w:szCs w:val="18"/>
              </w:rPr>
              <w:t>日</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2014年6</w:t>
            </w:r>
          </w:p>
          <w:p>
            <w:pPr>
              <w:pStyle w:val="TableParagraph"/>
              <w:spacing w:line="240" w:lineRule="auto" w:before="76"/>
              <w:ind w:left="135" w:right="0"/>
              <w:jc w:val="left"/>
              <w:rPr>
                <w:rFonts w:ascii="宋体" w:hAnsi="宋体" w:cs="宋体" w:eastAsia="宋体" w:hint="default"/>
                <w:sz w:val="18"/>
                <w:szCs w:val="18"/>
              </w:rPr>
            </w:pPr>
            <w:r>
              <w:rPr>
                <w:rFonts w:ascii="宋体" w:hAnsi="宋体" w:cs="宋体" w:eastAsia="宋体" w:hint="default"/>
                <w:sz w:val="18"/>
                <w:szCs w:val="18"/>
              </w:rPr>
              <w:t>月10日</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2015年6</w:t>
            </w:r>
          </w:p>
          <w:p>
            <w:pPr>
              <w:pStyle w:val="TableParagraph"/>
              <w:spacing w:line="240" w:lineRule="auto" w:before="76"/>
              <w:ind w:left="128" w:right="0"/>
              <w:jc w:val="left"/>
              <w:rPr>
                <w:rFonts w:ascii="宋体" w:hAnsi="宋体" w:cs="宋体" w:eastAsia="宋体" w:hint="default"/>
                <w:sz w:val="18"/>
                <w:szCs w:val="18"/>
              </w:rPr>
            </w:pPr>
            <w:r>
              <w:rPr>
                <w:rFonts w:ascii="宋体" w:hAnsi="宋体" w:cs="宋体" w:eastAsia="宋体" w:hint="default"/>
                <w:sz w:val="18"/>
                <w:szCs w:val="18"/>
              </w:rPr>
              <w:t>月10日</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109" w:right="108"/>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7" w:right="25"/>
              <w:jc w:val="both"/>
              <w:rPr>
                <w:rFonts w:ascii="宋体" w:hAnsi="宋体" w:cs="宋体" w:eastAsia="宋体" w:hint="default"/>
                <w:sz w:val="18"/>
                <w:szCs w:val="18"/>
              </w:rPr>
            </w:pPr>
            <w:r>
              <w:rPr>
                <w:rFonts w:ascii="宋体" w:hAnsi="宋体" w:cs="宋体" w:eastAsia="宋体" w:hint="default"/>
                <w:sz w:val="18"/>
                <w:szCs w:val="18"/>
              </w:rPr>
              <w:t>控股 子公 司</w:t>
            </w:r>
          </w:p>
        </w:tc>
      </w:tr>
      <w:tr>
        <w:trPr>
          <w:trHeight w:val="946" w:hRule="exact"/>
        </w:trPr>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6" w:right="55"/>
              <w:jc w:val="both"/>
              <w:rPr>
                <w:rFonts w:ascii="宋体" w:hAnsi="宋体" w:cs="宋体" w:eastAsia="宋体" w:hint="default"/>
                <w:sz w:val="18"/>
                <w:szCs w:val="18"/>
              </w:rPr>
            </w:pPr>
            <w:r>
              <w:rPr>
                <w:rFonts w:ascii="宋体" w:hAnsi="宋体" w:cs="宋体" w:eastAsia="宋体" w:hint="default"/>
                <w:sz w:val="18"/>
                <w:szCs w:val="18"/>
              </w:rPr>
              <w:t>深圳市 金证软 银科技</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45" w:right="54" w:hanging="90"/>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4"/>
              <w:jc w:val="right"/>
              <w:rPr>
                <w:rFonts w:ascii="宋体" w:hAnsi="宋体" w:cs="宋体" w:eastAsia="宋体" w:hint="default"/>
                <w:sz w:val="18"/>
                <w:szCs w:val="18"/>
              </w:rPr>
            </w:pPr>
            <w:r>
              <w:rPr>
                <w:rFonts w:ascii="宋体"/>
                <w:sz w:val="18"/>
              </w:rPr>
              <w:t>4,000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2014年</w:t>
            </w:r>
          </w:p>
          <w:p>
            <w:pPr>
              <w:pStyle w:val="TableParagraph"/>
              <w:spacing w:line="240" w:lineRule="auto" w:before="76"/>
              <w:ind w:left="62" w:right="0"/>
              <w:jc w:val="left"/>
              <w:rPr>
                <w:rFonts w:ascii="宋体" w:hAnsi="宋体" w:cs="宋体" w:eastAsia="宋体" w:hint="default"/>
                <w:sz w:val="18"/>
                <w:szCs w:val="18"/>
              </w:rPr>
            </w:pPr>
            <w:r>
              <w:rPr>
                <w:rFonts w:ascii="宋体" w:hAnsi="宋体" w:cs="宋体" w:eastAsia="宋体" w:hint="default"/>
                <w:sz w:val="18"/>
                <w:szCs w:val="18"/>
              </w:rPr>
              <w:t>3月9日</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2014年3</w:t>
            </w:r>
          </w:p>
          <w:p>
            <w:pPr>
              <w:pStyle w:val="TableParagraph"/>
              <w:spacing w:line="240" w:lineRule="auto" w:before="76"/>
              <w:ind w:left="199" w:right="0"/>
              <w:jc w:val="center"/>
              <w:rPr>
                <w:rFonts w:ascii="宋体" w:hAnsi="宋体" w:cs="宋体" w:eastAsia="宋体" w:hint="default"/>
                <w:sz w:val="18"/>
                <w:szCs w:val="18"/>
              </w:rPr>
            </w:pPr>
            <w:r>
              <w:rPr>
                <w:rFonts w:ascii="宋体" w:hAnsi="宋体" w:cs="宋体" w:eastAsia="宋体" w:hint="default"/>
                <w:sz w:val="18"/>
                <w:szCs w:val="18"/>
              </w:rPr>
              <w:t>月9日</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2016年3</w:t>
            </w:r>
          </w:p>
          <w:p>
            <w:pPr>
              <w:pStyle w:val="TableParagraph"/>
              <w:spacing w:line="240" w:lineRule="auto" w:before="76"/>
              <w:ind w:left="192" w:right="0"/>
              <w:jc w:val="center"/>
              <w:rPr>
                <w:rFonts w:ascii="宋体" w:hAnsi="宋体" w:cs="宋体" w:eastAsia="宋体" w:hint="default"/>
                <w:sz w:val="18"/>
                <w:szCs w:val="18"/>
              </w:rPr>
            </w:pPr>
            <w:r>
              <w:rPr>
                <w:rFonts w:ascii="宋体" w:hAnsi="宋体" w:cs="宋体" w:eastAsia="宋体" w:hint="default"/>
                <w:sz w:val="18"/>
                <w:szCs w:val="18"/>
              </w:rPr>
              <w:t>月9日</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9" w:right="108"/>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7" w:right="25"/>
              <w:jc w:val="both"/>
              <w:rPr>
                <w:rFonts w:ascii="宋体" w:hAnsi="宋体" w:cs="宋体" w:eastAsia="宋体" w:hint="default"/>
                <w:sz w:val="18"/>
                <w:szCs w:val="18"/>
              </w:rPr>
            </w:pPr>
            <w:r>
              <w:rPr>
                <w:rFonts w:ascii="宋体" w:hAnsi="宋体" w:cs="宋体" w:eastAsia="宋体" w:hint="default"/>
                <w:sz w:val="18"/>
                <w:szCs w:val="18"/>
              </w:rPr>
              <w:t>全资 子公 司</w:t>
            </w:r>
          </w:p>
        </w:tc>
      </w:tr>
    </w:tbl>
    <w:p>
      <w:pPr>
        <w:spacing w:after="0" w:line="316" w:lineRule="auto"/>
        <w:jc w:val="both"/>
        <w:rPr>
          <w:rFonts w:ascii="宋体" w:hAnsi="宋体" w:cs="宋体" w:eastAsia="宋体" w:hint="default"/>
          <w:sz w:val="18"/>
          <w:szCs w:val="18"/>
        </w:rPr>
        <w:sectPr>
          <w:type w:val="continuous"/>
          <w:pgSz w:w="11910" w:h="16840"/>
          <w:pgMar w:top="1080" w:bottom="1380" w:left="1660" w:right="7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664"/>
        <w:gridCol w:w="661"/>
        <w:gridCol w:w="662"/>
        <w:gridCol w:w="666"/>
        <w:gridCol w:w="638"/>
        <w:gridCol w:w="732"/>
        <w:gridCol w:w="684"/>
        <w:gridCol w:w="589"/>
        <w:gridCol w:w="694"/>
        <w:gridCol w:w="708"/>
        <w:gridCol w:w="708"/>
        <w:gridCol w:w="709"/>
        <w:gridCol w:w="704"/>
        <w:gridCol w:w="425"/>
      </w:tblGrid>
      <w:tr>
        <w:trPr>
          <w:trHeight w:val="634" w:hRule="exact"/>
        </w:trPr>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6" w:right="55" w:hanging="180"/>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6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024" w:type="dxa"/>
            <w:gridSpan w:val="6"/>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 w:right="23"/>
              <w:jc w:val="left"/>
              <w:rPr>
                <w:rFonts w:ascii="宋体" w:hAnsi="宋体" w:cs="宋体" w:eastAsia="宋体" w:hint="default"/>
                <w:sz w:val="18"/>
                <w:szCs w:val="18"/>
              </w:rPr>
            </w:pPr>
            <w:r>
              <w:rPr>
                <w:rFonts w:ascii="宋体" w:hAnsi="宋体" w:cs="宋体" w:eastAsia="宋体" w:hint="default"/>
                <w:spacing w:val="8"/>
                <w:sz w:val="18"/>
                <w:szCs w:val="18"/>
              </w:rPr>
              <w:t>报告期内担保发生额合计（不包括对子公司的担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保）</w:t>
            </w:r>
          </w:p>
        </w:tc>
        <w:tc>
          <w:tcPr>
            <w:tcW w:w="522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z w:val="18"/>
              </w:rPr>
              <w:t>56,500</w:t>
            </w:r>
          </w:p>
        </w:tc>
      </w:tr>
      <w:tr>
        <w:trPr>
          <w:trHeight w:val="635" w:hRule="exact"/>
        </w:trPr>
        <w:tc>
          <w:tcPr>
            <w:tcW w:w="4024" w:type="dxa"/>
            <w:gridSpan w:val="6"/>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5" w:right="29"/>
              <w:jc w:val="left"/>
              <w:rPr>
                <w:rFonts w:ascii="宋体" w:hAnsi="宋体" w:cs="宋体" w:eastAsia="宋体" w:hint="default"/>
                <w:sz w:val="18"/>
                <w:szCs w:val="18"/>
              </w:rPr>
            </w:pPr>
            <w:r>
              <w:rPr>
                <w:rFonts w:ascii="宋体" w:hAnsi="宋体" w:cs="宋体" w:eastAsia="宋体" w:hint="default"/>
                <w:spacing w:val="3"/>
                <w:sz w:val="18"/>
                <w:szCs w:val="18"/>
              </w:rPr>
              <w:t>报告期末担保余额合计（A）（不包括对子公司的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担保）</w:t>
            </w:r>
          </w:p>
        </w:tc>
        <w:tc>
          <w:tcPr>
            <w:tcW w:w="522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z w:val="18"/>
              </w:rPr>
              <w:t>62,500</w:t>
            </w:r>
          </w:p>
        </w:tc>
      </w:tr>
      <w:tr>
        <w:trPr>
          <w:trHeight w:val="322" w:hRule="exact"/>
        </w:trPr>
        <w:tc>
          <w:tcPr>
            <w:tcW w:w="9245"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322" w:hRule="exact"/>
        </w:trPr>
        <w:tc>
          <w:tcPr>
            <w:tcW w:w="40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报告期内对子公司担保发生额合计</w:t>
            </w:r>
          </w:p>
        </w:tc>
        <w:tc>
          <w:tcPr>
            <w:tcW w:w="522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22,500</w:t>
            </w:r>
          </w:p>
        </w:tc>
      </w:tr>
      <w:tr>
        <w:trPr>
          <w:trHeight w:val="323" w:hRule="exact"/>
        </w:trPr>
        <w:tc>
          <w:tcPr>
            <w:tcW w:w="40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报告期末对子公司担保余额合计（B）</w:t>
            </w:r>
          </w:p>
        </w:tc>
        <w:tc>
          <w:tcPr>
            <w:tcW w:w="522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29,500</w:t>
            </w:r>
          </w:p>
        </w:tc>
      </w:tr>
      <w:tr>
        <w:trPr>
          <w:trHeight w:val="322" w:hRule="exact"/>
        </w:trPr>
        <w:tc>
          <w:tcPr>
            <w:tcW w:w="9245"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07" w:right="0"/>
              <w:jc w:val="left"/>
              <w:rPr>
                <w:rFonts w:ascii="宋体" w:hAnsi="宋体" w:cs="宋体" w:eastAsia="宋体" w:hint="default"/>
                <w:sz w:val="18"/>
                <w:szCs w:val="18"/>
              </w:rPr>
            </w:pPr>
            <w:r>
              <w:rPr>
                <w:rFonts w:ascii="宋体" w:hAnsi="宋体" w:cs="宋体" w:eastAsia="宋体" w:hint="default"/>
                <w:sz w:val="18"/>
                <w:szCs w:val="18"/>
              </w:rPr>
              <w:t>公司担保总额情况（包括对子公司的担保）</w:t>
            </w:r>
          </w:p>
        </w:tc>
      </w:tr>
      <w:tr>
        <w:trPr>
          <w:trHeight w:val="480" w:hRule="exact"/>
        </w:trPr>
        <w:tc>
          <w:tcPr>
            <w:tcW w:w="40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5" w:right="0"/>
              <w:jc w:val="left"/>
              <w:rPr>
                <w:rFonts w:ascii="宋体" w:hAnsi="宋体" w:cs="宋体" w:eastAsia="宋体" w:hint="default"/>
                <w:sz w:val="18"/>
                <w:szCs w:val="18"/>
              </w:rPr>
            </w:pPr>
            <w:r>
              <w:rPr>
                <w:rFonts w:ascii="宋体" w:hAnsi="宋体" w:cs="宋体" w:eastAsia="宋体" w:hint="default"/>
                <w:sz w:val="18"/>
                <w:szCs w:val="18"/>
              </w:rPr>
              <w:t>担保总额（A+B）</w:t>
            </w:r>
          </w:p>
        </w:tc>
        <w:tc>
          <w:tcPr>
            <w:tcW w:w="522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z w:val="18"/>
              </w:rPr>
              <w:t>92,000</w:t>
            </w:r>
          </w:p>
        </w:tc>
      </w:tr>
      <w:tr>
        <w:trPr>
          <w:trHeight w:val="322" w:hRule="exact"/>
        </w:trPr>
        <w:tc>
          <w:tcPr>
            <w:tcW w:w="40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担保总额占公司净资产的比例(%)</w:t>
            </w:r>
          </w:p>
        </w:tc>
        <w:tc>
          <w:tcPr>
            <w:tcW w:w="522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98.09</w:t>
            </w:r>
          </w:p>
        </w:tc>
      </w:tr>
      <w:tr>
        <w:trPr>
          <w:trHeight w:val="323" w:hRule="exact"/>
        </w:trPr>
        <w:tc>
          <w:tcPr>
            <w:tcW w:w="9245"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634" w:hRule="exact"/>
        </w:trPr>
        <w:tc>
          <w:tcPr>
            <w:tcW w:w="40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p>
          <w:p>
            <w:pPr>
              <w:pStyle w:val="TableParagraph"/>
              <w:spacing w:line="240" w:lineRule="auto" w:before="76"/>
              <w:ind w:left="25" w:right="0"/>
              <w:jc w:val="left"/>
              <w:rPr>
                <w:rFonts w:ascii="宋体" w:hAnsi="宋体" w:cs="宋体" w:eastAsia="宋体" w:hint="default"/>
                <w:sz w:val="18"/>
                <w:szCs w:val="18"/>
              </w:rPr>
            </w:pPr>
            <w:r>
              <w:rPr>
                <w:rFonts w:ascii="宋体" w:hAnsi="宋体" w:cs="宋体" w:eastAsia="宋体" w:hint="default"/>
                <w:sz w:val="18"/>
                <w:szCs w:val="18"/>
              </w:rPr>
              <w:t>（C）</w:t>
            </w:r>
          </w:p>
        </w:tc>
        <w:tc>
          <w:tcPr>
            <w:tcW w:w="5221" w:type="dxa"/>
            <w:gridSpan w:val="8"/>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024" w:type="dxa"/>
            <w:gridSpan w:val="6"/>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 w:right="116"/>
              <w:jc w:val="left"/>
              <w:rPr>
                <w:rFonts w:ascii="宋体" w:hAnsi="宋体" w:cs="宋体" w:eastAsia="宋体" w:hint="default"/>
                <w:sz w:val="18"/>
                <w:szCs w:val="18"/>
              </w:rPr>
            </w:pPr>
            <w:r>
              <w:rPr>
                <w:rFonts w:ascii="宋体" w:hAnsi="宋体" w:cs="宋体" w:eastAsia="宋体" w:hint="default"/>
                <w:sz w:val="18"/>
                <w:szCs w:val="18"/>
              </w:rPr>
              <w:t>直接或间接为资产负债率超过70%的被担保对象提 供的债务担保金额（D）</w:t>
            </w:r>
          </w:p>
        </w:tc>
        <w:tc>
          <w:tcPr>
            <w:tcW w:w="5221" w:type="dxa"/>
            <w:gridSpan w:val="8"/>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0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担保总额超过净资产50%部分的金额（E）</w:t>
            </w:r>
          </w:p>
        </w:tc>
        <w:tc>
          <w:tcPr>
            <w:tcW w:w="522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宋体" w:hAnsi="宋体" w:cs="宋体" w:eastAsia="宋体" w:hint="default"/>
                <w:sz w:val="18"/>
                <w:szCs w:val="18"/>
              </w:rPr>
            </w:pPr>
            <w:r>
              <w:rPr>
                <w:rFonts w:ascii="宋体"/>
                <w:sz w:val="18"/>
              </w:rPr>
              <w:t>45,102.05</w:t>
            </w:r>
          </w:p>
        </w:tc>
      </w:tr>
      <w:tr>
        <w:trPr>
          <w:trHeight w:val="322" w:hRule="exact"/>
        </w:trPr>
        <w:tc>
          <w:tcPr>
            <w:tcW w:w="40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上述三项担保金额合计（C+D+E）</w:t>
            </w:r>
          </w:p>
        </w:tc>
        <w:tc>
          <w:tcPr>
            <w:tcW w:w="522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z w:val="18"/>
              </w:rPr>
              <w:t>45,102.05</w:t>
            </w:r>
          </w:p>
        </w:tc>
      </w:tr>
      <w:tr>
        <w:trPr>
          <w:trHeight w:val="322" w:hRule="exact"/>
        </w:trPr>
        <w:tc>
          <w:tcPr>
            <w:tcW w:w="40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5221" w:type="dxa"/>
            <w:gridSpan w:val="8"/>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0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担保情况说明</w:t>
            </w:r>
          </w:p>
        </w:tc>
        <w:tc>
          <w:tcPr>
            <w:tcW w:w="5221" w:type="dxa"/>
            <w:gridSpan w:val="8"/>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24"/>
          <w:szCs w:val="24"/>
        </w:rPr>
      </w:pPr>
    </w:p>
    <w:p>
      <w:pPr>
        <w:pStyle w:val="Heading3"/>
        <w:spacing w:line="240" w:lineRule="auto"/>
        <w:ind w:right="507"/>
        <w:jc w:val="left"/>
        <w:rPr>
          <w:b w:val="0"/>
          <w:bCs w:val="0"/>
        </w:rPr>
      </w:pPr>
      <w:r>
        <w:rPr/>
        <w:t>三、聘任、解聘会计师事务所情况</w:t>
      </w:r>
      <w:r>
        <w:rPr>
          <w:b w:val="0"/>
          <w:bCs w:val="0"/>
        </w:rPr>
      </w:r>
    </w:p>
    <w:p>
      <w:pPr>
        <w:pStyle w:val="BodyText"/>
        <w:tabs>
          <w:tab w:pos="1049" w:val="left" w:leader="none"/>
        </w:tabs>
        <w:spacing w:line="240" w:lineRule="auto" w:before="97"/>
        <w:ind w:left="0" w:right="49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3085"/>
        <w:gridCol w:w="2977"/>
        <w:gridCol w:w="2987"/>
      </w:tblGrid>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59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原聘任</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63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大华会计师事务所（特殊普通</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合伙）</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大华会计师事务所（特殊普通</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合伙）</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center"/>
              <w:rPr>
                <w:rFonts w:ascii="宋体" w:hAnsi="宋体" w:cs="宋体" w:eastAsia="宋体" w:hint="default"/>
                <w:sz w:val="21"/>
                <w:szCs w:val="21"/>
              </w:rPr>
            </w:pPr>
            <w:r>
              <w:rPr>
                <w:rFonts w:ascii="宋体"/>
                <w:sz w:val="21"/>
              </w:rPr>
              <w:t>690,000</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center"/>
              <w:rPr>
                <w:rFonts w:ascii="宋体" w:hAnsi="宋体" w:cs="宋体" w:eastAsia="宋体" w:hint="default"/>
                <w:sz w:val="21"/>
                <w:szCs w:val="21"/>
              </w:rPr>
            </w:pPr>
            <w:r>
              <w:rPr>
                <w:rFonts w:ascii="宋体"/>
                <w:sz w:val="21"/>
              </w:rPr>
              <w:t>690,000</w:t>
            </w:r>
          </w:p>
        </w:tc>
      </w:tr>
      <w:tr>
        <w:trPr>
          <w:trHeight w:val="32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
              <w:jc w:val="center"/>
              <w:rPr>
                <w:rFonts w:ascii="宋体" w:hAnsi="宋体" w:cs="宋体" w:eastAsia="宋体" w:hint="default"/>
                <w:sz w:val="21"/>
                <w:szCs w:val="21"/>
              </w:rPr>
            </w:pPr>
            <w:r>
              <w:rPr>
                <w:rFonts w:ascii="宋体"/>
                <w:sz w:val="21"/>
              </w:rPr>
              <w:t>10</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
              <w:jc w:val="center"/>
              <w:rPr>
                <w:rFonts w:ascii="宋体" w:hAnsi="宋体" w:cs="宋体" w:eastAsia="宋体" w:hint="default"/>
                <w:sz w:val="21"/>
                <w:szCs w:val="21"/>
              </w:rPr>
            </w:pPr>
            <w:r>
              <w:rPr>
                <w:rFonts w:ascii="宋体"/>
                <w:sz w:val="21"/>
              </w:rPr>
              <w:t>10</w:t>
            </w:r>
          </w:p>
        </w:tc>
      </w:tr>
    </w:tbl>
    <w:p>
      <w:pPr>
        <w:spacing w:line="240" w:lineRule="auto" w:before="11"/>
        <w:rPr>
          <w:rFonts w:ascii="宋体" w:hAnsi="宋体" w:cs="宋体" w:eastAsia="宋体"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3085"/>
        <w:gridCol w:w="2977"/>
        <w:gridCol w:w="2987"/>
      </w:tblGrid>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63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大华会计师事务所（特殊普通</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合伙）</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
              <w:jc w:val="center"/>
              <w:rPr>
                <w:rFonts w:ascii="宋体" w:hAnsi="宋体" w:cs="宋体" w:eastAsia="宋体" w:hint="default"/>
                <w:sz w:val="21"/>
                <w:szCs w:val="21"/>
              </w:rPr>
            </w:pPr>
            <w:r>
              <w:rPr>
                <w:rFonts w:ascii="宋体"/>
                <w:sz w:val="21"/>
              </w:rPr>
              <w:t>260,000</w:t>
            </w:r>
          </w:p>
        </w:tc>
      </w:tr>
    </w:tbl>
    <w:p>
      <w:pPr>
        <w:spacing w:line="240" w:lineRule="auto" w:before="0"/>
        <w:rPr>
          <w:rFonts w:ascii="宋体" w:hAnsi="宋体" w:cs="宋体" w:eastAsia="宋体" w:hint="default"/>
          <w:sz w:val="20"/>
          <w:szCs w:val="20"/>
        </w:rPr>
      </w:pPr>
    </w:p>
    <w:p>
      <w:pPr>
        <w:pStyle w:val="BodyText"/>
        <w:spacing w:line="240" w:lineRule="auto" w:before="35"/>
        <w:ind w:right="507"/>
        <w:jc w:val="left"/>
      </w:pPr>
      <w:r>
        <w:rPr/>
        <w:t>聘任、解聘会计师事务所的情况说明</w:t>
      </w:r>
    </w:p>
    <w:p>
      <w:pPr>
        <w:pStyle w:val="BodyText"/>
        <w:spacing w:line="348" w:lineRule="auto" w:before="127"/>
        <w:ind w:right="507"/>
        <w:jc w:val="left"/>
      </w:pPr>
      <w:r>
        <w:rPr/>
        <w:t>经公司审计委员会提议，2015</w:t>
      </w:r>
      <w:r>
        <w:rPr>
          <w:spacing w:val="-88"/>
        </w:rPr>
        <w:t> </w:t>
      </w:r>
      <w:r>
        <w:rPr/>
        <w:t>年公司续聘大华会计师事务所（特殊普通合伙）为公司财务审计机</w:t>
      </w:r>
      <w:r>
        <w:rPr/>
        <w:t> 构，同时公司聘请大华会计师事务所（特殊普通合伙）</w:t>
      </w:r>
      <w:r>
        <w:rPr>
          <w:spacing w:val="-21"/>
        </w:rPr>
        <w:t> </w:t>
      </w:r>
      <w:r>
        <w:rPr/>
        <w:t>审计本公司</w:t>
      </w:r>
      <w:r>
        <w:rPr>
          <w:spacing w:val="-63"/>
        </w:rPr>
        <w:t> </w:t>
      </w:r>
      <w:r>
        <w:rPr/>
        <w:t>2014</w:t>
      </w:r>
      <w:r>
        <w:rPr>
          <w:spacing w:val="-62"/>
        </w:rPr>
        <w:t> </w:t>
      </w:r>
      <w:r>
        <w:rPr/>
        <w:t>年内控自评报告</w:t>
      </w:r>
    </w:p>
    <w:p>
      <w:pPr>
        <w:spacing w:after="0" w:line="348" w:lineRule="auto"/>
        <w:jc w:val="left"/>
        <w:sectPr>
          <w:pgSz w:w="11910" w:h="16840"/>
          <w:pgMar w:header="882" w:footer="1197" w:top="1120" w:bottom="1380" w:left="1580" w:right="7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3"/>
        <w:spacing w:line="240" w:lineRule="auto"/>
        <w:ind w:left="237" w:right="0"/>
        <w:jc w:val="both"/>
        <w:rPr>
          <w:b w:val="0"/>
          <w:bCs w:val="0"/>
        </w:rPr>
      </w:pPr>
      <w:r>
        <w:rPr/>
        <w:t>四、执行新会计准则对合并财务报表的影响</w:t>
      </w:r>
      <w:r>
        <w:rPr>
          <w:b w:val="0"/>
          <w:bCs w:val="0"/>
        </w:rPr>
      </w:r>
    </w:p>
    <w:p>
      <w:pPr>
        <w:spacing w:line="240" w:lineRule="auto" w:before="2"/>
        <w:rPr>
          <w:rFonts w:ascii="宋体" w:hAnsi="宋体" w:cs="宋体" w:eastAsia="宋体" w:hint="default"/>
          <w:b/>
          <w:bCs/>
          <w:sz w:val="14"/>
          <w:szCs w:val="14"/>
        </w:rPr>
      </w:pPr>
    </w:p>
    <w:p>
      <w:pPr>
        <w:pStyle w:val="BodyText"/>
        <w:spacing w:line="350" w:lineRule="auto"/>
        <w:ind w:left="237" w:right="264"/>
        <w:jc w:val="both"/>
      </w:pPr>
      <w:r>
        <w:rPr/>
        <w:t>财政部于</w:t>
      </w:r>
      <w:r>
        <w:rPr>
          <w:spacing w:val="-58"/>
        </w:rPr>
        <w:t> </w:t>
      </w:r>
      <w:r>
        <w:rPr/>
        <w:t>2014</w:t>
      </w:r>
      <w:r>
        <w:rPr>
          <w:spacing w:val="-57"/>
        </w:rPr>
        <w:t> </w:t>
      </w:r>
      <w:r>
        <w:rPr/>
        <w:t>年陆续颁布或修订了一系列企业会计准则，本公司已按要求于</w:t>
      </w:r>
      <w:r>
        <w:rPr>
          <w:spacing w:val="-58"/>
        </w:rPr>
        <w:t> </w:t>
      </w:r>
      <w:r>
        <w:rPr/>
        <w:t>2014</w:t>
      </w:r>
      <w:r>
        <w:rPr>
          <w:spacing w:val="-57"/>
        </w:rPr>
        <w:t> </w:t>
      </w:r>
      <w:r>
        <w:rPr/>
        <w:t>年</w:t>
      </w:r>
      <w:r>
        <w:rPr>
          <w:spacing w:val="-59"/>
        </w:rPr>
        <w:t> </w:t>
      </w:r>
      <w:r>
        <w:rPr/>
        <w:t>7</w:t>
      </w:r>
      <w:r>
        <w:rPr>
          <w:spacing w:val="-57"/>
        </w:rPr>
        <w:t> </w:t>
      </w:r>
      <w:r>
        <w:rPr/>
        <w:t>月</w:t>
      </w:r>
      <w:r>
        <w:rPr>
          <w:spacing w:val="-59"/>
        </w:rPr>
        <w:t> </w:t>
      </w:r>
      <w:r>
        <w:rPr/>
        <w:t>1</w:t>
      </w:r>
      <w:r>
        <w:rPr>
          <w:spacing w:val="-57"/>
        </w:rPr>
        <w:t> </w:t>
      </w:r>
      <w:r>
        <w:rPr/>
        <w:t>日执</w:t>
      </w:r>
      <w:r>
        <w:rPr>
          <w:spacing w:val="-1"/>
        </w:rPr>
        <w:t> </w:t>
      </w:r>
      <w:r>
        <w:rPr/>
        <w:t>行新的该等企业会计准则，并按照新准则的衔接规定对比较财务报表进行调整，除此之外本公司</w:t>
      </w:r>
      <w:r>
        <w:rPr/>
        <w:t> 未发生会计政策变更。执行新准则对比较财务报表影响说明如下：</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3"/>
        <w:tabs>
          <w:tab w:pos="881" w:val="left" w:leader="none"/>
        </w:tabs>
        <w:spacing w:line="240" w:lineRule="auto"/>
        <w:ind w:left="237" w:right="240"/>
        <w:jc w:val="left"/>
        <w:rPr>
          <w:b w:val="0"/>
          <w:bCs w:val="0"/>
        </w:rPr>
      </w:pPr>
      <w:r>
        <w:rPr>
          <w:w w:val="95"/>
        </w:rPr>
        <w:t>1</w:t>
        <w:tab/>
      </w:r>
      <w:r>
        <w:rPr/>
        <w:t>长期股权投资准则变动对于合并财务报告影响（一）</w:t>
      </w:r>
      <w:r>
        <w:rPr>
          <w:b w:val="0"/>
          <w:bCs w:val="0"/>
        </w:rPr>
      </w:r>
    </w:p>
    <w:p>
      <w:pPr>
        <w:pStyle w:val="Heading2"/>
        <w:tabs>
          <w:tab w:pos="1100" w:val="left" w:leader="none"/>
        </w:tabs>
        <w:spacing w:line="240" w:lineRule="auto" w:before="89"/>
        <w:ind w:right="251" w:firstLine="0"/>
        <w:jc w:val="right"/>
      </w:pPr>
      <w:r>
        <w:rPr>
          <w:w w:val="95"/>
        </w:rPr>
        <w:t>单位：元</w:t>
        <w:tab/>
        <w:t>币种：人民币</w:t>
      </w:r>
      <w:r>
        <w:rPr/>
      </w:r>
    </w:p>
    <w:p>
      <w:pPr>
        <w:spacing w:line="240" w:lineRule="auto" w:before="8"/>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528"/>
        <w:gridCol w:w="1273"/>
        <w:gridCol w:w="1403"/>
        <w:gridCol w:w="1687"/>
        <w:gridCol w:w="1871"/>
        <w:gridCol w:w="1288"/>
      </w:tblGrid>
      <w:tr>
        <w:trPr>
          <w:trHeight w:val="418" w:hRule="exact"/>
        </w:trPr>
        <w:tc>
          <w:tcPr>
            <w:tcW w:w="152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59" w:lineRule="auto"/>
              <w:ind w:left="538" w:right="428" w:hanging="111"/>
              <w:jc w:val="left"/>
              <w:rPr>
                <w:rFonts w:ascii="宋体" w:hAnsi="宋体" w:cs="宋体" w:eastAsia="宋体" w:hint="default"/>
                <w:sz w:val="22"/>
                <w:szCs w:val="22"/>
              </w:rPr>
            </w:pPr>
            <w:r>
              <w:rPr>
                <w:rFonts w:ascii="宋体" w:hAnsi="宋体" w:cs="宋体" w:eastAsia="宋体" w:hint="default"/>
                <w:sz w:val="22"/>
                <w:szCs w:val="22"/>
              </w:rPr>
              <w:t>被投资</w:t>
            </w:r>
            <w:r>
              <w:rPr>
                <w:rFonts w:ascii="宋体" w:hAnsi="宋体" w:cs="宋体" w:eastAsia="宋体" w:hint="default"/>
                <w:w w:val="99"/>
                <w:sz w:val="22"/>
                <w:szCs w:val="22"/>
              </w:rPr>
              <w:t> </w:t>
            </w:r>
            <w:r>
              <w:rPr>
                <w:rFonts w:ascii="宋体" w:hAnsi="宋体" w:cs="宋体" w:eastAsia="宋体" w:hint="default"/>
                <w:sz w:val="22"/>
                <w:szCs w:val="22"/>
              </w:rPr>
              <w:t>单位</w:t>
            </w:r>
          </w:p>
        </w:tc>
        <w:tc>
          <w:tcPr>
            <w:tcW w:w="127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300" w:lineRule="auto"/>
              <w:ind w:left="410" w:right="192" w:hanging="220"/>
              <w:jc w:val="left"/>
              <w:rPr>
                <w:rFonts w:ascii="宋体" w:hAnsi="宋体" w:cs="宋体" w:eastAsia="宋体" w:hint="default"/>
                <w:sz w:val="22"/>
                <w:szCs w:val="22"/>
              </w:rPr>
            </w:pPr>
            <w:r>
              <w:rPr>
                <w:rFonts w:ascii="宋体" w:hAnsi="宋体" w:cs="宋体" w:eastAsia="宋体" w:hint="default"/>
                <w:sz w:val="22"/>
                <w:szCs w:val="22"/>
              </w:rPr>
              <w:t>交易基本</w:t>
            </w:r>
            <w:r>
              <w:rPr>
                <w:rFonts w:ascii="宋体" w:hAnsi="宋体" w:cs="宋体" w:eastAsia="宋体" w:hint="default"/>
                <w:w w:val="99"/>
                <w:sz w:val="22"/>
                <w:szCs w:val="22"/>
              </w:rPr>
              <w:t> </w:t>
            </w:r>
            <w:r>
              <w:rPr>
                <w:rFonts w:ascii="宋体" w:hAnsi="宋体" w:cs="宋体" w:eastAsia="宋体" w:hint="default"/>
                <w:sz w:val="22"/>
                <w:szCs w:val="22"/>
              </w:rPr>
              <w:t>信息</w:t>
            </w:r>
          </w:p>
        </w:tc>
        <w:tc>
          <w:tcPr>
            <w:tcW w:w="1403" w:type="dxa"/>
            <w:vMerge w:val="restart"/>
            <w:tcBorders>
              <w:top w:val="single" w:sz="4" w:space="0" w:color="000000"/>
              <w:left w:val="single" w:sz="4" w:space="0" w:color="000000"/>
              <w:right w:val="single" w:sz="4" w:space="0" w:color="000000"/>
            </w:tcBorders>
          </w:tcPr>
          <w:p>
            <w:pPr>
              <w:pStyle w:val="TableParagraph"/>
              <w:spacing w:line="240" w:lineRule="auto" w:before="1"/>
              <w:ind w:left="146" w:right="0"/>
              <w:jc w:val="both"/>
              <w:rPr>
                <w:rFonts w:ascii="宋体" w:hAnsi="宋体" w:cs="宋体" w:eastAsia="宋体" w:hint="default"/>
                <w:sz w:val="22"/>
                <w:szCs w:val="22"/>
              </w:rPr>
            </w:pPr>
            <w:r>
              <w:rPr>
                <w:rFonts w:ascii="宋体" w:hAnsi="宋体" w:cs="宋体" w:eastAsia="宋体" w:hint="default"/>
                <w:sz w:val="22"/>
                <w:szCs w:val="22"/>
              </w:rPr>
              <w:t>2013年1月1</w:t>
            </w:r>
          </w:p>
          <w:p>
            <w:pPr>
              <w:pStyle w:val="TableParagraph"/>
              <w:spacing w:line="300" w:lineRule="auto" w:before="71"/>
              <w:ind w:left="146" w:right="145"/>
              <w:jc w:val="both"/>
              <w:rPr>
                <w:rFonts w:ascii="宋体" w:hAnsi="宋体" w:cs="宋体" w:eastAsia="宋体" w:hint="default"/>
                <w:sz w:val="22"/>
                <w:szCs w:val="22"/>
              </w:rPr>
            </w:pPr>
            <w:r>
              <w:rPr>
                <w:rFonts w:ascii="宋体" w:hAnsi="宋体" w:cs="宋体" w:eastAsia="宋体" w:hint="default"/>
                <w:sz w:val="22"/>
                <w:szCs w:val="22"/>
              </w:rPr>
              <w:t>日归属于母</w:t>
            </w:r>
            <w:r>
              <w:rPr>
                <w:rFonts w:ascii="宋体" w:hAnsi="宋体" w:cs="宋体" w:eastAsia="宋体" w:hint="default"/>
                <w:w w:val="99"/>
                <w:sz w:val="22"/>
                <w:szCs w:val="22"/>
              </w:rPr>
              <w:t> </w:t>
            </w:r>
            <w:r>
              <w:rPr>
                <w:rFonts w:ascii="宋体" w:hAnsi="宋体" w:cs="宋体" w:eastAsia="宋体" w:hint="default"/>
                <w:sz w:val="22"/>
                <w:szCs w:val="22"/>
              </w:rPr>
              <w:t>公司股东权</w:t>
            </w:r>
            <w:r>
              <w:rPr>
                <w:rFonts w:ascii="宋体" w:hAnsi="宋体" w:cs="宋体" w:eastAsia="宋体" w:hint="default"/>
                <w:w w:val="99"/>
                <w:sz w:val="22"/>
                <w:szCs w:val="22"/>
              </w:rPr>
              <w:t> </w:t>
            </w:r>
            <w:r>
              <w:rPr>
                <w:rFonts w:ascii="宋体" w:hAnsi="宋体" w:cs="宋体" w:eastAsia="宋体" w:hint="default"/>
                <w:sz w:val="22"/>
                <w:szCs w:val="22"/>
              </w:rPr>
              <w:t>益（+/-）</w:t>
            </w:r>
          </w:p>
        </w:tc>
        <w:tc>
          <w:tcPr>
            <w:tcW w:w="48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2"/>
                <w:szCs w:val="22"/>
              </w:rPr>
            </w:pPr>
            <w:r>
              <w:rPr>
                <w:rFonts w:ascii="宋体" w:hAnsi="宋体" w:cs="宋体" w:eastAsia="宋体" w:hint="default"/>
                <w:sz w:val="22"/>
                <w:szCs w:val="22"/>
              </w:rPr>
              <w:t>2013年12月31日</w:t>
            </w:r>
          </w:p>
        </w:tc>
      </w:tr>
      <w:tr>
        <w:trPr>
          <w:trHeight w:val="1027" w:hRule="exact"/>
        </w:trPr>
        <w:tc>
          <w:tcPr>
            <w:tcW w:w="1528" w:type="dxa"/>
            <w:vMerge/>
            <w:tcBorders>
              <w:left w:val="single" w:sz="4" w:space="0" w:color="000000"/>
              <w:bottom w:val="single" w:sz="4" w:space="0" w:color="000000"/>
              <w:right w:val="single" w:sz="4" w:space="0" w:color="000000"/>
            </w:tcBorders>
          </w:tcPr>
          <w:p>
            <w:pPr/>
          </w:p>
        </w:tc>
        <w:tc>
          <w:tcPr>
            <w:tcW w:w="1273" w:type="dxa"/>
            <w:vMerge/>
            <w:tcBorders>
              <w:left w:val="single" w:sz="4" w:space="0" w:color="000000"/>
              <w:bottom w:val="single" w:sz="4" w:space="0" w:color="000000"/>
              <w:right w:val="single" w:sz="4" w:space="0" w:color="000000"/>
            </w:tcBorders>
          </w:tcPr>
          <w:p>
            <w:pPr/>
          </w:p>
        </w:tc>
        <w:tc>
          <w:tcPr>
            <w:tcW w:w="1403"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right="0"/>
              <w:jc w:val="center"/>
              <w:rPr>
                <w:rFonts w:ascii="宋体" w:hAnsi="宋体" w:cs="宋体" w:eastAsia="宋体" w:hint="default"/>
                <w:sz w:val="22"/>
                <w:szCs w:val="22"/>
              </w:rPr>
            </w:pPr>
            <w:r>
              <w:rPr>
                <w:rFonts w:ascii="宋体" w:hAnsi="宋体" w:cs="宋体" w:eastAsia="宋体" w:hint="default"/>
                <w:sz w:val="22"/>
                <w:szCs w:val="22"/>
              </w:rPr>
              <w:t>长期股权投资</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sz w:val="22"/>
                <w:szCs w:val="22"/>
              </w:rPr>
              <w:t>（+/-）</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52"/>
              <w:ind w:left="435" w:right="161" w:hanging="276"/>
              <w:jc w:val="left"/>
              <w:rPr>
                <w:rFonts w:ascii="宋体" w:hAnsi="宋体" w:cs="宋体" w:eastAsia="宋体" w:hint="default"/>
                <w:sz w:val="22"/>
                <w:szCs w:val="22"/>
              </w:rPr>
            </w:pPr>
            <w:r>
              <w:rPr>
                <w:rFonts w:ascii="宋体" w:hAnsi="宋体" w:cs="宋体" w:eastAsia="宋体" w:hint="default"/>
                <w:sz w:val="22"/>
                <w:szCs w:val="22"/>
              </w:rPr>
              <w:t>可供出售金融资</w:t>
            </w:r>
            <w:r>
              <w:rPr>
                <w:rFonts w:ascii="宋体" w:hAnsi="宋体" w:cs="宋体" w:eastAsia="宋体" w:hint="default"/>
                <w:w w:val="99"/>
                <w:sz w:val="22"/>
                <w:szCs w:val="22"/>
              </w:rPr>
              <w:t> </w:t>
            </w:r>
            <w:r>
              <w:rPr>
                <w:rFonts w:ascii="宋体" w:hAnsi="宋体" w:cs="宋体" w:eastAsia="宋体" w:hint="default"/>
                <w:sz w:val="22"/>
                <w:szCs w:val="22"/>
              </w:rPr>
              <w:t>产（+/-）</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19"/>
              <w:ind w:left="103" w:right="-7" w:hanging="111"/>
              <w:jc w:val="center"/>
              <w:rPr>
                <w:rFonts w:ascii="宋体" w:hAnsi="宋体" w:cs="宋体" w:eastAsia="宋体" w:hint="default"/>
                <w:sz w:val="22"/>
                <w:szCs w:val="22"/>
              </w:rPr>
            </w:pPr>
            <w:r>
              <w:rPr>
                <w:rFonts w:ascii="宋体" w:hAnsi="宋体" w:cs="宋体" w:eastAsia="宋体" w:hint="default"/>
                <w:sz w:val="22"/>
                <w:szCs w:val="22"/>
              </w:rPr>
              <w:t>归属于母</w:t>
            </w:r>
            <w:r>
              <w:rPr>
                <w:rFonts w:ascii="宋体" w:hAnsi="宋体" w:cs="宋体" w:eastAsia="宋体" w:hint="default"/>
                <w:w w:val="99"/>
                <w:sz w:val="22"/>
                <w:szCs w:val="22"/>
              </w:rPr>
              <w:t> </w:t>
            </w:r>
            <w:r>
              <w:rPr>
                <w:rFonts w:ascii="宋体" w:hAnsi="宋体" w:cs="宋体" w:eastAsia="宋体" w:hint="default"/>
                <w:sz w:val="22"/>
                <w:szCs w:val="22"/>
              </w:rPr>
              <w:t>公司股东</w:t>
            </w:r>
            <w:r>
              <w:rPr>
                <w:rFonts w:ascii="宋体" w:hAnsi="宋体" w:cs="宋体" w:eastAsia="宋体" w:hint="default"/>
                <w:w w:val="99"/>
                <w:sz w:val="22"/>
                <w:szCs w:val="22"/>
              </w:rPr>
              <w:t> </w:t>
            </w:r>
            <w:r>
              <w:rPr>
                <w:rFonts w:ascii="宋体" w:hAnsi="宋体" w:cs="宋体" w:eastAsia="宋体" w:hint="default"/>
                <w:spacing w:val="-5"/>
                <w:sz w:val="22"/>
                <w:szCs w:val="22"/>
              </w:rPr>
              <w:t>权益（+/-）</w:t>
            </w:r>
          </w:p>
        </w:tc>
      </w:tr>
      <w:tr>
        <w:trPr>
          <w:trHeight w:val="947"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山西同仁股权</w:t>
            </w:r>
          </w:p>
          <w:p>
            <w:pPr>
              <w:pStyle w:val="TableParagraph"/>
              <w:spacing w:line="273" w:lineRule="auto" w:before="37"/>
              <w:ind w:left="103" w:right="102"/>
              <w:jc w:val="left"/>
              <w:rPr>
                <w:rFonts w:ascii="宋体" w:hAnsi="宋体" w:cs="宋体" w:eastAsia="宋体" w:hint="default"/>
                <w:sz w:val="21"/>
                <w:szCs w:val="21"/>
              </w:rPr>
            </w:pPr>
            <w:r>
              <w:rPr>
                <w:rFonts w:ascii="宋体" w:hAnsi="宋体" w:cs="宋体" w:eastAsia="宋体" w:hint="default"/>
                <w:spacing w:val="7"/>
                <w:sz w:val="21"/>
                <w:szCs w:val="21"/>
              </w:rPr>
              <w:t>投资合伙企业</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(有限合伙)</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2" w:right="0"/>
              <w:jc w:val="left"/>
              <w:rPr>
                <w:rFonts w:ascii="宋体" w:hAnsi="宋体" w:cs="宋体" w:eastAsia="宋体" w:hint="default"/>
                <w:sz w:val="21"/>
                <w:szCs w:val="21"/>
              </w:rPr>
            </w:pPr>
            <w:r>
              <w:rPr>
                <w:rFonts w:ascii="宋体" w:hAnsi="宋体" w:cs="宋体" w:eastAsia="宋体" w:hint="default"/>
                <w:sz w:val="21"/>
                <w:szCs w:val="21"/>
              </w:rPr>
              <w:t>2012 年</w:t>
            </w:r>
            <w:r>
              <w:rPr>
                <w:rFonts w:ascii="宋体" w:hAnsi="宋体" w:cs="宋体" w:eastAsia="宋体" w:hint="default"/>
                <w:spacing w:val="5"/>
                <w:sz w:val="21"/>
                <w:szCs w:val="21"/>
              </w:rPr>
              <w:t> </w:t>
            </w:r>
            <w:r>
              <w:rPr>
                <w:rFonts w:ascii="宋体" w:hAnsi="宋体" w:cs="宋体" w:eastAsia="宋体" w:hint="default"/>
                <w:sz w:val="21"/>
                <w:szCs w:val="21"/>
              </w:rPr>
              <w:t>07</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月取得</w:t>
            </w:r>
          </w:p>
        </w:tc>
        <w:tc>
          <w:tcPr>
            <w:tcW w:w="14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-5,000,000.00</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5,000,000.00</w:t>
            </w:r>
            <w:r>
              <w:rPr>
                <w:rFonts w:ascii="宋体"/>
                <w:sz w:val="21"/>
              </w:rPr>
            </w:r>
          </w:p>
        </w:tc>
        <w:tc>
          <w:tcPr>
            <w:tcW w:w="128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25"/>
                <w:sz w:val="21"/>
                <w:szCs w:val="21"/>
              </w:rPr>
              <w:t>中融子午(北</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3" w:lineRule="auto" w:before="37"/>
              <w:ind w:left="103" w:right="102"/>
              <w:jc w:val="left"/>
              <w:rPr>
                <w:rFonts w:ascii="宋体" w:hAnsi="宋体" w:cs="宋体" w:eastAsia="宋体" w:hint="default"/>
                <w:sz w:val="21"/>
                <w:szCs w:val="21"/>
              </w:rPr>
            </w:pPr>
            <w:r>
              <w:rPr>
                <w:rFonts w:ascii="宋体" w:hAnsi="宋体" w:cs="宋体" w:eastAsia="宋体" w:hint="default"/>
                <w:spacing w:val="24"/>
                <w:sz w:val="21"/>
                <w:szCs w:val="21"/>
              </w:rPr>
              <w:t>京)资产管</w:t>
            </w:r>
            <w:r>
              <w:rPr>
                <w:rFonts w:ascii="宋体" w:hAnsi="宋体" w:cs="宋体" w:eastAsia="宋体" w:hint="default"/>
                <w:spacing w:val="-73"/>
                <w:sz w:val="21"/>
                <w:szCs w:val="21"/>
              </w:rPr>
              <w:t> </w:t>
            </w:r>
            <w:r>
              <w:rPr>
                <w:rFonts w:ascii="宋体" w:hAnsi="宋体" w:cs="宋体" w:eastAsia="宋体" w:hint="default"/>
                <w:sz w:val="21"/>
                <w:szCs w:val="21"/>
              </w:rPr>
              <w:t>理</w:t>
            </w:r>
            <w:r>
              <w:rPr>
                <w:rFonts w:ascii="宋体" w:hAnsi="宋体" w:cs="宋体" w:eastAsia="宋体" w:hint="default"/>
                <w:sz w:val="21"/>
                <w:szCs w:val="21"/>
              </w:rPr>
              <w:t> 有限公司</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2" w:right="0"/>
              <w:jc w:val="left"/>
              <w:rPr>
                <w:rFonts w:ascii="宋体" w:hAnsi="宋体" w:cs="宋体" w:eastAsia="宋体" w:hint="default"/>
                <w:sz w:val="21"/>
                <w:szCs w:val="21"/>
              </w:rPr>
            </w:pPr>
            <w:r>
              <w:rPr>
                <w:rFonts w:ascii="宋体" w:hAnsi="宋体" w:cs="宋体" w:eastAsia="宋体" w:hint="default"/>
                <w:sz w:val="21"/>
                <w:szCs w:val="21"/>
              </w:rPr>
              <w:t>2013 年</w:t>
            </w:r>
            <w:r>
              <w:rPr>
                <w:rFonts w:ascii="宋体" w:hAnsi="宋体" w:cs="宋体" w:eastAsia="宋体" w:hint="default"/>
                <w:spacing w:val="5"/>
                <w:sz w:val="21"/>
                <w:szCs w:val="21"/>
              </w:rPr>
              <w:t> </w:t>
            </w:r>
            <w:r>
              <w:rPr>
                <w:rFonts w:ascii="宋体" w:hAnsi="宋体" w:cs="宋体" w:eastAsia="宋体" w:hint="default"/>
                <w:sz w:val="21"/>
                <w:szCs w:val="21"/>
              </w:rPr>
              <w:t>03</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月取得</w:t>
            </w:r>
          </w:p>
        </w:tc>
        <w:tc>
          <w:tcPr>
            <w:tcW w:w="14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-4,800,000.00</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4,800,000.00</w:t>
            </w:r>
            <w:r>
              <w:rPr>
                <w:rFonts w:ascii="宋体"/>
                <w:sz w:val="21"/>
              </w:rPr>
            </w:r>
          </w:p>
        </w:tc>
        <w:tc>
          <w:tcPr>
            <w:tcW w:w="128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河北信创达物</w:t>
            </w:r>
          </w:p>
          <w:p>
            <w:pPr>
              <w:pStyle w:val="TableParagraph"/>
              <w:spacing w:line="273" w:lineRule="auto" w:before="37"/>
              <w:ind w:left="103" w:right="102"/>
              <w:jc w:val="left"/>
              <w:rPr>
                <w:rFonts w:ascii="宋体" w:hAnsi="宋体" w:cs="宋体" w:eastAsia="宋体" w:hint="default"/>
                <w:sz w:val="21"/>
                <w:szCs w:val="21"/>
              </w:rPr>
            </w:pPr>
            <w:r>
              <w:rPr>
                <w:rFonts w:ascii="宋体" w:hAnsi="宋体" w:cs="宋体" w:eastAsia="宋体" w:hint="default"/>
                <w:spacing w:val="7"/>
                <w:sz w:val="21"/>
                <w:szCs w:val="21"/>
              </w:rPr>
              <w:t>联网科技有限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2" w:right="0"/>
              <w:jc w:val="left"/>
              <w:rPr>
                <w:rFonts w:ascii="宋体" w:hAnsi="宋体" w:cs="宋体" w:eastAsia="宋体" w:hint="default"/>
                <w:sz w:val="21"/>
                <w:szCs w:val="21"/>
              </w:rPr>
            </w:pPr>
            <w:r>
              <w:rPr>
                <w:rFonts w:ascii="宋体" w:hAnsi="宋体" w:cs="宋体" w:eastAsia="宋体" w:hint="default"/>
                <w:sz w:val="21"/>
                <w:szCs w:val="21"/>
              </w:rPr>
              <w:t>2013 年</w:t>
            </w:r>
            <w:r>
              <w:rPr>
                <w:rFonts w:ascii="宋体" w:hAnsi="宋体" w:cs="宋体" w:eastAsia="宋体" w:hint="default"/>
                <w:spacing w:val="5"/>
                <w:sz w:val="21"/>
                <w:szCs w:val="21"/>
              </w:rPr>
              <w:t> </w:t>
            </w:r>
            <w:r>
              <w:rPr>
                <w:rFonts w:ascii="宋体" w:hAnsi="宋体" w:cs="宋体" w:eastAsia="宋体" w:hint="default"/>
                <w:sz w:val="21"/>
                <w:szCs w:val="21"/>
              </w:rPr>
              <w:t>01</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月取得</w:t>
            </w:r>
          </w:p>
        </w:tc>
        <w:tc>
          <w:tcPr>
            <w:tcW w:w="14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-600,000.00</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600,000.00</w:t>
            </w:r>
          </w:p>
        </w:tc>
        <w:tc>
          <w:tcPr>
            <w:tcW w:w="128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w:t>
            </w:r>
          </w:p>
        </w:tc>
        <w:tc>
          <w:tcPr>
            <w:tcW w:w="14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-10,400,000.00</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10,400,000.00</w:t>
            </w:r>
          </w:p>
        </w:tc>
        <w:tc>
          <w:tcPr>
            <w:tcW w:w="12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0" w:lineRule="exact"/>
        <w:ind w:left="237" w:right="0"/>
        <w:jc w:val="both"/>
      </w:pPr>
      <w:r>
        <w:rPr/>
        <w:t>长期股权投资准则变动对于合并财务报告影响（一）的说明</w:t>
      </w:r>
    </w:p>
    <w:p>
      <w:pPr>
        <w:pStyle w:val="BodyText"/>
        <w:spacing w:line="273" w:lineRule="auto" w:before="37"/>
        <w:ind w:left="237" w:right="264"/>
        <w:jc w:val="both"/>
      </w:pPr>
      <w:r>
        <w:rPr/>
        <w:t>本公司根据新修订的《长期股权投资准则》，将原成本法核算的对被投资单位不具有控制、共同 控制或重大影响的权益性投资纳入可供出售金融资产核算，其中：在活跃市场中没有报价、公允 价值不能可靠计量的权益工具按照成本进行后续计量，其他权益工具按公允价值进行后续计量。</w:t>
      </w:r>
    </w:p>
    <w:p>
      <w:pPr>
        <w:tabs>
          <w:tab w:pos="881" w:val="left" w:leader="none"/>
        </w:tabs>
        <w:spacing w:line="477" w:lineRule="auto" w:before="68"/>
        <w:ind w:left="657" w:right="4254" w:hanging="420"/>
        <w:jc w:val="left"/>
        <w:rPr>
          <w:rFonts w:ascii="宋体" w:hAnsi="宋体" w:cs="宋体" w:eastAsia="宋体" w:hint="default"/>
          <w:sz w:val="21"/>
          <w:szCs w:val="21"/>
        </w:rPr>
      </w:pPr>
      <w:r>
        <w:rPr>
          <w:rFonts w:ascii="宋体" w:hAnsi="宋体" w:cs="宋体" w:eastAsia="宋体" w:hint="default"/>
          <w:b/>
          <w:bCs/>
          <w:w w:val="95"/>
          <w:sz w:val="21"/>
          <w:szCs w:val="21"/>
        </w:rPr>
        <w:t>2</w:t>
        <w:tab/>
        <w:tab/>
      </w:r>
      <w:r>
        <w:rPr>
          <w:rFonts w:ascii="宋体" w:hAnsi="宋体" w:cs="宋体" w:eastAsia="宋体" w:hint="default"/>
          <w:b/>
          <w:bCs/>
          <w:sz w:val="21"/>
          <w:szCs w:val="21"/>
        </w:rPr>
        <w:t>准则其他变动的影响</w:t>
      </w:r>
      <w:r>
        <w:rPr>
          <w:rFonts w:ascii="宋体" w:hAnsi="宋体" w:cs="宋体" w:eastAsia="宋体" w:hint="default"/>
          <w:b/>
          <w:bCs/>
          <w:spacing w:val="1"/>
          <w:w w:val="99"/>
          <w:sz w:val="21"/>
          <w:szCs w:val="21"/>
        </w:rPr>
        <w:t> </w:t>
      </w:r>
      <w:r>
        <w:rPr>
          <w:rFonts w:ascii="宋体" w:hAnsi="宋体" w:cs="宋体" w:eastAsia="宋体" w:hint="default"/>
          <w:sz w:val="21"/>
          <w:szCs w:val="21"/>
        </w:rPr>
        <w:t>财务报表列报准则变动对于合并财务报表的影响</w:t>
      </w:r>
    </w:p>
    <w:p>
      <w:pPr>
        <w:pStyle w:val="BodyText"/>
        <w:spacing w:line="357" w:lineRule="auto" w:before="44"/>
        <w:ind w:left="237" w:right="240" w:firstLine="420"/>
        <w:jc w:val="left"/>
      </w:pPr>
      <w:r>
        <w:rPr/>
        <w:t>本公司根据修订后的《企业会计准则第</w:t>
      </w:r>
      <w:r>
        <w:rPr>
          <w:spacing w:val="-47"/>
        </w:rPr>
        <w:t> </w:t>
      </w:r>
      <w:r>
        <w:rPr/>
        <w:t>30</w:t>
      </w:r>
      <w:r>
        <w:rPr>
          <w:spacing w:val="-46"/>
        </w:rPr>
        <w:t> </w:t>
      </w:r>
      <w:r>
        <w:rPr>
          <w:spacing w:val="-5"/>
        </w:rPr>
        <w:t>号—财务报表列报》，根据列报要求将递延收益单</w:t>
      </w:r>
      <w:r>
        <w:rPr/>
        <w:t> 独列报，并对年初数采用追溯调整法进行调整列报，追溯调整影响如下：</w:t>
      </w:r>
    </w:p>
    <w:p>
      <w:pPr>
        <w:spacing w:line="240" w:lineRule="auto" w:before="12"/>
        <w:rPr>
          <w:rFonts w:ascii="宋体" w:hAnsi="宋体" w:cs="宋体" w:eastAsia="宋体" w:hint="default"/>
          <w:sz w:val="4"/>
          <w:szCs w:val="4"/>
        </w:rPr>
      </w:pPr>
    </w:p>
    <w:p>
      <w:pPr>
        <w:spacing w:line="1800" w:lineRule="exact"/>
        <w:ind w:left="100" w:right="0" w:firstLine="0"/>
        <w:rPr>
          <w:rFonts w:ascii="宋体" w:hAnsi="宋体" w:cs="宋体" w:eastAsia="宋体" w:hint="default"/>
          <w:sz w:val="20"/>
          <w:szCs w:val="20"/>
        </w:rPr>
      </w:pPr>
      <w:r>
        <w:rPr>
          <w:rFonts w:ascii="宋体" w:hAnsi="宋体" w:cs="宋体" w:eastAsia="宋体" w:hint="default"/>
          <w:position w:val="-35"/>
          <w:sz w:val="20"/>
          <w:szCs w:val="20"/>
        </w:rPr>
        <w:pict>
          <v:group style="width:455.4pt;height:90pt;mso-position-horizontal-relative:char;mso-position-vertical-relative:line" coordorigin="0,0" coordsize="9108,1800">
            <v:group style="position:absolute;left:29;top:15;width:9050;height:2" coordorigin="29,15" coordsize="9050,2">
              <v:shape style="position:absolute;left:29;top:15;width:9050;height:2" coordorigin="29,15" coordsize="9050,0" path="m29,15l9079,15e" filled="false" stroked="true" strokeweight="1.5pt" strokecolor="#000000">
                <v:path arrowok="t"/>
              </v:shape>
              <v:shape style="position:absolute;left:2536;top:10;width:3310;height:379" type="#_x0000_t75" stroked="false">
                <v:imagedata r:id="rId52" o:title=""/>
              </v:shape>
              <v:shape style="position:absolute;left:2534;top:348;width:6574;height:394" type="#_x0000_t75" stroked="false">
                <v:imagedata r:id="rId53" o:title=""/>
              </v:shape>
            </v:group>
            <v:group style="position:absolute;left:15;top:1785;width:2541;height:2" coordorigin="15,1785" coordsize="2541,2">
              <v:shape style="position:absolute;left:15;top:1785;width:2541;height:2" coordorigin="15,1785" coordsize="2541,0" path="m15,1785l2555,1785e" filled="false" stroked="true" strokeweight="1.5pt" strokecolor="#000000">
                <v:path arrowok="t"/>
              </v:shape>
            </v:group>
            <v:group style="position:absolute;left:2555;top:1785;width:1630;height:2" coordorigin="2555,1785" coordsize="1630,2">
              <v:shape style="position:absolute;left:2555;top:1785;width:1630;height:2" coordorigin="2555,1785" coordsize="1630,0" path="m2555,1785l4185,1785e" filled="false" stroked="true" strokeweight="1.5pt" strokecolor="#000000">
                <v:path arrowok="t"/>
              </v:shape>
            </v:group>
            <v:group style="position:absolute;left:4185;top:1785;width:1631;height:2" coordorigin="4185,1785" coordsize="1631,2">
              <v:shape style="position:absolute;left:4185;top:1785;width:1631;height:2" coordorigin="4185,1785" coordsize="1631,0" path="m4185,1785l5816,1785e" filled="false" stroked="true" strokeweight="1.5pt" strokecolor="#000000">
                <v:path arrowok="t"/>
              </v:shape>
            </v:group>
            <v:group style="position:absolute;left:5816;top:1785;width:1629;height:2" coordorigin="5816,1785" coordsize="1629,2">
              <v:shape style="position:absolute;left:5816;top:1785;width:1629;height:2" coordorigin="5816,1785" coordsize="1629,0" path="m5816,1785l7444,1785e" filled="false" stroked="true" strokeweight="1.5pt" strokecolor="#000000">
                <v:path arrowok="t"/>
              </v:shape>
              <v:shape style="position:absolute;left:1;top:698;width:9107;height:1072" type="#_x0000_t75" stroked="false">
                <v:imagedata r:id="rId54" o:title=""/>
              </v:shape>
            </v:group>
            <v:group style="position:absolute;left:7444;top:1785;width:1635;height:2" coordorigin="7444,1785" coordsize="1635,2">
              <v:shape style="position:absolute;left:7444;top:1785;width:1635;height:2" coordorigin="7444,1785" coordsize="1635,0" path="m7444,1785l9079,1785e" filled="false" stroked="true" strokeweight="1.5pt" strokecolor="#000000">
                <v:path arrowok="t"/>
              </v:shape>
              <v:shape style="position:absolute;left:3538;top:108;width:130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xbxContent>
                </v:textbox>
                <w10:wrap type="none"/>
              </v:shape>
              <v:shape style="position:absolute;left:6706;top:108;width:148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xbxContent>
                </v:textbox>
                <w10:wrap type="none"/>
              </v:shape>
              <v:shape style="position:absolute;left:1114;top:28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3104;top:45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调整前</w:t>
                      </w:r>
                    </w:p>
                  </w:txbxContent>
                </v:textbox>
                <w10:wrap type="none"/>
              </v:shape>
              <v:shape style="position:absolute;left:137;top:810;width:1337;height:879"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递延收益</w:t>
                      </w:r>
                    </w:p>
                    <w:p>
                      <w:pPr>
                        <w:spacing w:before="112"/>
                        <w:ind w:left="0" w:right="0" w:firstLine="0"/>
                        <w:jc w:val="left"/>
                        <w:rPr>
                          <w:rFonts w:ascii="宋体" w:hAnsi="宋体" w:cs="宋体" w:eastAsia="宋体" w:hint="default"/>
                          <w:sz w:val="18"/>
                          <w:szCs w:val="18"/>
                        </w:rPr>
                      </w:pPr>
                      <w:r>
                        <w:rPr>
                          <w:rFonts w:ascii="宋体" w:hAnsi="宋体" w:cs="宋体" w:eastAsia="宋体" w:hint="default"/>
                          <w:sz w:val="18"/>
                          <w:szCs w:val="18"/>
                        </w:rPr>
                        <w:t>其他非流动负债</w:t>
                      </w:r>
                    </w:p>
                    <w:p>
                      <w:pPr>
                        <w:spacing w:before="115"/>
                        <w:ind w:left="0" w:right="0" w:firstLine="0"/>
                        <w:jc w:val="righ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2911;top:809;width:1170;height:880" type="#_x0000_t202" filled="false" stroked="false">
                <v:textbox inset="0,0,0,0">
                  <w:txbxContent>
                    <w:p>
                      <w:pPr>
                        <w:spacing w:line="180" w:lineRule="exact" w:before="0"/>
                        <w:ind w:left="0" w:right="0" w:firstLine="900"/>
                        <w:jc w:val="left"/>
                        <w:rPr>
                          <w:rFonts w:ascii="宋体" w:hAnsi="宋体" w:cs="宋体" w:eastAsia="宋体" w:hint="default"/>
                          <w:sz w:val="18"/>
                          <w:szCs w:val="18"/>
                        </w:rPr>
                      </w:pPr>
                      <w:r>
                        <w:rPr>
                          <w:rFonts w:ascii="宋体"/>
                          <w:sz w:val="18"/>
                        </w:rPr>
                        <w:t>---</w:t>
                      </w:r>
                    </w:p>
                    <w:p>
                      <w:pPr>
                        <w:spacing w:before="113"/>
                        <w:ind w:left="0" w:right="0" w:firstLine="0"/>
                        <w:jc w:val="left"/>
                        <w:rPr>
                          <w:rFonts w:ascii="宋体" w:hAnsi="宋体" w:cs="宋体" w:eastAsia="宋体" w:hint="default"/>
                          <w:sz w:val="18"/>
                          <w:szCs w:val="18"/>
                        </w:rPr>
                      </w:pPr>
                      <w:r>
                        <w:rPr>
                          <w:rFonts w:ascii="宋体"/>
                          <w:sz w:val="18"/>
                        </w:rPr>
                        <w:t>14,650,827.06</w:t>
                      </w:r>
                    </w:p>
                    <w:p>
                      <w:pPr>
                        <w:spacing w:before="115"/>
                        <w:ind w:left="0" w:right="0" w:firstLine="0"/>
                        <w:jc w:val="left"/>
                        <w:rPr>
                          <w:rFonts w:ascii="宋体" w:hAnsi="宋体" w:cs="宋体" w:eastAsia="宋体" w:hint="default"/>
                          <w:sz w:val="18"/>
                          <w:szCs w:val="18"/>
                        </w:rPr>
                      </w:pPr>
                      <w:r>
                        <w:rPr>
                          <w:rFonts w:ascii="宋体"/>
                          <w:sz w:val="18"/>
                        </w:rPr>
                        <w:t>14,650,827.06</w:t>
                      </w:r>
                    </w:p>
                  </w:txbxContent>
                </v:textbox>
                <w10:wrap type="none"/>
              </v:shape>
              <v:shape style="position:absolute;left:4541;top:459;width:1170;height:1230" type="#_x0000_t202" filled="false" stroked="false">
                <v:textbox inset="0,0,0,0">
                  <w:txbxContent>
                    <w:p>
                      <w:pPr>
                        <w:spacing w:line="180" w:lineRule="exact" w:before="0"/>
                        <w:ind w:left="191" w:right="0" w:firstLine="0"/>
                        <w:jc w:val="left"/>
                        <w:rPr>
                          <w:rFonts w:ascii="宋体" w:hAnsi="宋体" w:cs="宋体" w:eastAsia="宋体" w:hint="default"/>
                          <w:sz w:val="18"/>
                          <w:szCs w:val="18"/>
                        </w:rPr>
                      </w:pPr>
                      <w:r>
                        <w:rPr>
                          <w:rFonts w:ascii="宋体" w:hAnsi="宋体" w:cs="宋体" w:eastAsia="宋体" w:hint="default"/>
                          <w:sz w:val="18"/>
                          <w:szCs w:val="18"/>
                        </w:rPr>
                        <w:t>调整后</w:t>
                      </w:r>
                    </w:p>
                    <w:p>
                      <w:pPr>
                        <w:spacing w:before="116"/>
                        <w:ind w:left="0" w:right="0" w:firstLine="0"/>
                        <w:jc w:val="left"/>
                        <w:rPr>
                          <w:rFonts w:ascii="宋体" w:hAnsi="宋体" w:cs="宋体" w:eastAsia="宋体" w:hint="default"/>
                          <w:sz w:val="18"/>
                          <w:szCs w:val="18"/>
                        </w:rPr>
                      </w:pPr>
                      <w:r>
                        <w:rPr>
                          <w:rFonts w:ascii="宋体"/>
                          <w:sz w:val="18"/>
                        </w:rPr>
                        <w:t>14,650,827.06</w:t>
                      </w:r>
                    </w:p>
                    <w:p>
                      <w:pPr>
                        <w:spacing w:line="350" w:lineRule="exact" w:before="42"/>
                        <w:ind w:left="0" w:right="0" w:firstLine="900"/>
                        <w:jc w:val="left"/>
                        <w:rPr>
                          <w:rFonts w:ascii="宋体" w:hAnsi="宋体" w:cs="宋体" w:eastAsia="宋体" w:hint="default"/>
                          <w:sz w:val="18"/>
                          <w:szCs w:val="18"/>
                        </w:rPr>
                      </w:pPr>
                      <w:r>
                        <w:rPr>
                          <w:rFonts w:ascii="宋体"/>
                          <w:sz w:val="18"/>
                        </w:rPr>
                        <w:t>--- 14,650,827.06</w:t>
                      </w:r>
                    </w:p>
                  </w:txbxContent>
                </v:textbox>
                <w10:wrap type="none"/>
              </v:shape>
              <v:shape style="position:absolute;left:6170;top:459;width:1170;height:1230" type="#_x0000_t202" filled="false" stroked="false">
                <v:textbox inset="0,0,0,0">
                  <w:txbxContent>
                    <w:p>
                      <w:pPr>
                        <w:spacing w:line="180" w:lineRule="exact" w:before="0"/>
                        <w:ind w:left="193" w:right="0" w:firstLine="0"/>
                        <w:jc w:val="left"/>
                        <w:rPr>
                          <w:rFonts w:ascii="宋体" w:hAnsi="宋体" w:cs="宋体" w:eastAsia="宋体" w:hint="default"/>
                          <w:sz w:val="18"/>
                          <w:szCs w:val="18"/>
                        </w:rPr>
                      </w:pPr>
                      <w:r>
                        <w:rPr>
                          <w:rFonts w:ascii="宋体" w:hAnsi="宋体" w:cs="宋体" w:eastAsia="宋体" w:hint="default"/>
                          <w:sz w:val="18"/>
                          <w:szCs w:val="18"/>
                        </w:rPr>
                        <w:t>调整前</w:t>
                      </w:r>
                    </w:p>
                    <w:p>
                      <w:pPr>
                        <w:spacing w:line="355" w:lineRule="auto" w:before="115"/>
                        <w:ind w:left="0" w:right="0" w:firstLine="900"/>
                        <w:jc w:val="left"/>
                        <w:rPr>
                          <w:rFonts w:ascii="宋体" w:hAnsi="宋体" w:cs="宋体" w:eastAsia="宋体" w:hint="default"/>
                          <w:sz w:val="18"/>
                          <w:szCs w:val="18"/>
                        </w:rPr>
                      </w:pPr>
                      <w:r>
                        <w:rPr>
                          <w:rFonts w:ascii="宋体"/>
                          <w:sz w:val="18"/>
                        </w:rPr>
                        <w:t>--- 13,600,000.00</w:t>
                      </w:r>
                    </w:p>
                    <w:p>
                      <w:pPr>
                        <w:spacing w:before="28"/>
                        <w:ind w:left="0" w:right="0" w:firstLine="0"/>
                        <w:jc w:val="left"/>
                        <w:rPr>
                          <w:rFonts w:ascii="宋体" w:hAnsi="宋体" w:cs="宋体" w:eastAsia="宋体" w:hint="default"/>
                          <w:sz w:val="18"/>
                          <w:szCs w:val="18"/>
                        </w:rPr>
                      </w:pPr>
                      <w:r>
                        <w:rPr>
                          <w:rFonts w:ascii="宋体"/>
                          <w:sz w:val="18"/>
                        </w:rPr>
                        <w:t>13,600,000.00</w:t>
                      </w:r>
                    </w:p>
                  </w:txbxContent>
                </v:textbox>
                <w10:wrap type="none"/>
              </v:shape>
              <v:shape style="position:absolute;left:7799;top:459;width:1170;height:1230" type="#_x0000_t202" filled="false" stroked="false">
                <v:textbox inset="0,0,0,0">
                  <w:txbxContent>
                    <w:p>
                      <w:pPr>
                        <w:spacing w:line="180" w:lineRule="exact" w:before="0"/>
                        <w:ind w:left="193" w:right="0" w:firstLine="0"/>
                        <w:jc w:val="left"/>
                        <w:rPr>
                          <w:rFonts w:ascii="宋体" w:hAnsi="宋体" w:cs="宋体" w:eastAsia="宋体" w:hint="default"/>
                          <w:sz w:val="18"/>
                          <w:szCs w:val="18"/>
                        </w:rPr>
                      </w:pPr>
                      <w:r>
                        <w:rPr>
                          <w:rFonts w:ascii="宋体" w:hAnsi="宋体" w:cs="宋体" w:eastAsia="宋体" w:hint="default"/>
                          <w:sz w:val="18"/>
                          <w:szCs w:val="18"/>
                        </w:rPr>
                        <w:t>调整后</w:t>
                      </w:r>
                    </w:p>
                    <w:p>
                      <w:pPr>
                        <w:spacing w:before="115"/>
                        <w:ind w:left="0" w:right="0" w:firstLine="0"/>
                        <w:jc w:val="left"/>
                        <w:rPr>
                          <w:rFonts w:ascii="宋体" w:hAnsi="宋体" w:cs="宋体" w:eastAsia="宋体" w:hint="default"/>
                          <w:sz w:val="18"/>
                          <w:szCs w:val="18"/>
                        </w:rPr>
                      </w:pPr>
                      <w:r>
                        <w:rPr>
                          <w:rFonts w:ascii="宋体"/>
                          <w:sz w:val="18"/>
                        </w:rPr>
                        <w:t>13,600,000.00</w:t>
                      </w:r>
                    </w:p>
                    <w:p>
                      <w:pPr>
                        <w:spacing w:line="350" w:lineRule="exact" w:before="44"/>
                        <w:ind w:left="0" w:right="0" w:firstLine="900"/>
                        <w:jc w:val="left"/>
                        <w:rPr>
                          <w:rFonts w:ascii="宋体" w:hAnsi="宋体" w:cs="宋体" w:eastAsia="宋体" w:hint="default"/>
                          <w:sz w:val="18"/>
                          <w:szCs w:val="18"/>
                        </w:rPr>
                      </w:pPr>
                      <w:r>
                        <w:rPr>
                          <w:rFonts w:ascii="宋体"/>
                          <w:sz w:val="18"/>
                        </w:rPr>
                        <w:t>--- 13,600,000.00</w:t>
                      </w:r>
                    </w:p>
                  </w:txbxContent>
                </v:textbox>
                <w10:wrap type="none"/>
              </v:shape>
            </v:group>
          </v:group>
        </w:pict>
      </w:r>
      <w:r>
        <w:rPr>
          <w:rFonts w:ascii="宋体" w:hAnsi="宋体" w:cs="宋体" w:eastAsia="宋体" w:hint="default"/>
          <w:position w:val="-35"/>
          <w:sz w:val="20"/>
          <w:szCs w:val="20"/>
        </w:rPr>
      </w:r>
    </w:p>
    <w:p>
      <w:pPr>
        <w:spacing w:after="0" w:line="1800" w:lineRule="exact"/>
        <w:rPr>
          <w:rFonts w:ascii="宋体" w:hAnsi="宋体" w:cs="宋体" w:eastAsia="宋体" w:hint="default"/>
          <w:sz w:val="20"/>
          <w:szCs w:val="20"/>
        </w:rPr>
        <w:sectPr>
          <w:pgSz w:w="11910" w:h="16840"/>
          <w:pgMar w:header="882" w:footer="1197" w:top="1120" w:bottom="1380" w:left="1560" w:right="10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3998" w:val="left" w:leader="none"/>
        </w:tabs>
        <w:spacing w:line="240" w:lineRule="auto"/>
        <w:ind w:left="2738" w:right="114"/>
        <w:jc w:val="left"/>
        <w:rPr>
          <w:b w:val="0"/>
          <w:bCs w:val="0"/>
        </w:rPr>
      </w:pPr>
      <w:bookmarkStart w:name="_TOC_250005" w:id="4"/>
      <w:r>
        <w:rPr>
          <w:w w:val="95"/>
        </w:rPr>
        <w:t>第六节</w:t>
        <w:tab/>
      </w:r>
      <w:r>
        <w:rPr/>
        <w:t>股份变动及股东情况</w:t>
      </w:r>
      <w:bookmarkEnd w:id="4"/>
      <w:r>
        <w:rPr>
          <w:b w:val="0"/>
          <w:bCs w:val="0"/>
        </w:rPr>
      </w:r>
    </w:p>
    <w:p>
      <w:pPr>
        <w:spacing w:line="240" w:lineRule="auto" w:before="13"/>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pgSz w:w="11910" w:h="16840"/>
          <w:pgMar w:header="882" w:footer="1197" w:top="1120" w:bottom="1380" w:left="1580" w:right="1040"/>
        </w:sectPr>
      </w:pPr>
    </w:p>
    <w:p>
      <w:pPr>
        <w:pStyle w:val="Heading3"/>
        <w:spacing w:line="309" w:lineRule="auto"/>
        <w:ind w:right="-18" w:hanging="1"/>
        <w:jc w:val="left"/>
        <w:rPr>
          <w:b w:val="0"/>
          <w:bCs w:val="0"/>
        </w:rPr>
      </w:pPr>
      <w:r>
        <w:rPr/>
        <w:t>一、</w:t>
      </w:r>
      <w:r>
        <w:rPr>
          <w:spacing w:val="-78"/>
        </w:rPr>
        <w:t> </w:t>
      </w:r>
      <w:r>
        <w:rPr/>
        <w:t>股本变动情况</w:t>
      </w:r>
      <w:r>
        <w:rPr>
          <w:w w:val="99"/>
        </w:rPr>
        <w:t> </w:t>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股份变动情况表</w:t>
      </w:r>
      <w:r>
        <w:rPr>
          <w:w w:val="99"/>
        </w:rPr>
        <w:t> </w:t>
      </w:r>
      <w:r>
        <w:rPr>
          <w:rFonts w:ascii="Cambria" w:hAnsi="Cambria" w:cs="Cambria" w:eastAsia="Cambria" w:hint="default"/>
        </w:rPr>
        <w:t>1</w:t>
      </w:r>
      <w:r>
        <w:rPr/>
        <w:t>、</w:t>
      </w:r>
      <w:r>
        <w:rPr>
          <w:spacing w:val="-24"/>
        </w:rPr>
        <w:t> </w:t>
      </w:r>
      <w:r>
        <w:rPr/>
        <w:t>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7"/>
          <w:szCs w:val="27"/>
        </w:rPr>
      </w:pPr>
    </w:p>
    <w:p>
      <w:pPr>
        <w:pStyle w:val="BodyText"/>
        <w:spacing w:line="240" w:lineRule="auto"/>
        <w:ind w:right="0"/>
        <w:jc w:val="left"/>
      </w:pPr>
      <w:r>
        <w:rPr/>
        <w:t>单位：股</w:t>
      </w:r>
    </w:p>
    <w:p>
      <w:pPr>
        <w:spacing w:after="0" w:line="240" w:lineRule="auto"/>
        <w:jc w:val="left"/>
        <w:sectPr>
          <w:type w:val="continuous"/>
          <w:pgSz w:w="11910" w:h="16840"/>
          <w:pgMar w:top="1080" w:bottom="1380" w:left="1580" w:right="1040"/>
          <w:cols w:num="2" w:equalWidth="0">
            <w:col w:w="2113" w:space="5775"/>
            <w:col w:w="1402"/>
          </w:cols>
        </w:sectPr>
      </w:pP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810"/>
        <w:gridCol w:w="1417"/>
        <w:gridCol w:w="568"/>
        <w:gridCol w:w="425"/>
        <w:gridCol w:w="284"/>
        <w:gridCol w:w="140"/>
        <w:gridCol w:w="284"/>
        <w:gridCol w:w="151"/>
        <w:gridCol w:w="415"/>
        <w:gridCol w:w="425"/>
        <w:gridCol w:w="1277"/>
        <w:gridCol w:w="1276"/>
        <w:gridCol w:w="577"/>
      </w:tblGrid>
      <w:tr>
        <w:trPr>
          <w:trHeight w:val="322" w:hRule="exact"/>
        </w:trPr>
        <w:tc>
          <w:tcPr>
            <w:tcW w:w="1810" w:type="dxa"/>
            <w:vMerge w:val="restart"/>
            <w:tcBorders>
              <w:top w:val="single" w:sz="4" w:space="0" w:color="000000"/>
              <w:left w:val="single" w:sz="4" w:space="0" w:color="000000"/>
              <w:right w:val="single" w:sz="4" w:space="0" w:color="000000"/>
            </w:tcBorders>
          </w:tcPr>
          <w:p>
            <w:pP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40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04"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7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70" w:hRule="exact"/>
        </w:trPr>
        <w:tc>
          <w:tcPr>
            <w:tcW w:w="1810"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43" w:right="142" w:firstLine="44"/>
              <w:jc w:val="both"/>
              <w:rPr>
                <w:rFonts w:ascii="宋体" w:hAnsi="宋体" w:cs="宋体" w:eastAsia="宋体" w:hint="default"/>
                <w:sz w:val="18"/>
                <w:szCs w:val="18"/>
              </w:rPr>
            </w:pPr>
            <w:r>
              <w:rPr>
                <w:rFonts w:ascii="宋体" w:hAnsi="宋体" w:cs="宋体" w:eastAsia="宋体" w:hint="default"/>
                <w:sz w:val="18"/>
                <w:szCs w:val="18"/>
              </w:rPr>
              <w:t>比 例 (%)</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67" w:right="169"/>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16" w:right="116"/>
              <w:jc w:val="left"/>
              <w:rPr>
                <w:rFonts w:ascii="宋体" w:hAnsi="宋体" w:cs="宋体" w:eastAsia="宋体" w:hint="default"/>
                <w:sz w:val="18"/>
                <w:szCs w:val="18"/>
              </w:rPr>
            </w:pPr>
            <w:r>
              <w:rPr>
                <w:rFonts w:ascii="宋体" w:hAnsi="宋体" w:cs="宋体" w:eastAsia="宋体" w:hint="default"/>
                <w:sz w:val="18"/>
                <w:szCs w:val="18"/>
              </w:rPr>
              <w:t>送 股</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7" w:right="187"/>
              <w:jc w:val="both"/>
              <w:rPr>
                <w:rFonts w:ascii="宋体" w:hAnsi="宋体" w:cs="宋体" w:eastAsia="宋体" w:hint="default"/>
                <w:sz w:val="18"/>
                <w:szCs w:val="18"/>
              </w:rPr>
            </w:pPr>
            <w:r>
              <w:rPr>
                <w:rFonts w:ascii="宋体" w:hAnsi="宋体" w:cs="宋体" w:eastAsia="宋体" w:hint="default"/>
                <w:sz w:val="18"/>
                <w:szCs w:val="18"/>
              </w:rPr>
              <w:t>公 积 金 转 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47" w:right="103" w:hanging="46"/>
              <w:jc w:val="left"/>
              <w:rPr>
                <w:rFonts w:ascii="宋体" w:hAnsi="宋体" w:cs="宋体" w:eastAsia="宋体" w:hint="default"/>
                <w:sz w:val="18"/>
                <w:szCs w:val="18"/>
              </w:rPr>
            </w:pPr>
            <w:r>
              <w:rPr>
                <w:rFonts w:ascii="宋体" w:hAnsi="宋体" w:cs="宋体" w:eastAsia="宋体" w:hint="default"/>
                <w:sz w:val="18"/>
                <w:szCs w:val="18"/>
              </w:rPr>
              <w:t>比例 (%)</w:t>
            </w:r>
          </w:p>
        </w:tc>
      </w:tr>
      <w:tr>
        <w:trPr>
          <w:trHeight w:val="32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pacing w:val="-4"/>
                <w:sz w:val="18"/>
                <w:szCs w:val="18"/>
              </w:rPr>
              <w:t>一、未上市流通股份</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425" w:type="dxa"/>
            <w:gridSpan w:val="2"/>
            <w:tcBorders>
              <w:top w:val="single" w:sz="4" w:space="0" w:color="000000"/>
              <w:left w:val="single" w:sz="4" w:space="0" w:color="000000"/>
              <w:bottom w:val="single" w:sz="4" w:space="0" w:color="000000"/>
              <w:right w:val="single" w:sz="4" w:space="0" w:color="000000"/>
            </w:tcBorders>
          </w:tcPr>
          <w:p>
            <w:pP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1、发起人股份</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425" w:type="dxa"/>
            <w:gridSpan w:val="2"/>
            <w:tcBorders>
              <w:top w:val="single" w:sz="4" w:space="0" w:color="000000"/>
              <w:left w:val="single" w:sz="4" w:space="0" w:color="000000"/>
              <w:bottom w:val="single" w:sz="4" w:space="0" w:color="000000"/>
              <w:right w:val="single" w:sz="4" w:space="0" w:color="000000"/>
            </w:tcBorders>
          </w:tcPr>
          <w:p>
            <w:pP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240" w:type="dxa"/>
            <w:gridSpan w:val="12"/>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93" w:right="0"/>
              <w:jc w:val="left"/>
              <w:rPr>
                <w:rFonts w:ascii="宋体" w:hAnsi="宋体" w:cs="宋体" w:eastAsia="宋体" w:hint="default"/>
                <w:sz w:val="18"/>
                <w:szCs w:val="18"/>
              </w:rPr>
            </w:pPr>
            <w:r>
              <w:rPr>
                <w:rFonts w:ascii="宋体" w:hAnsi="宋体" w:cs="宋体" w:eastAsia="宋体" w:hint="default"/>
                <w:sz w:val="18"/>
                <w:szCs w:val="18"/>
              </w:rPr>
              <w:t>国家持有股份</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gridSpan w:val="2"/>
            <w:tcBorders>
              <w:top w:val="single" w:sz="4" w:space="0" w:color="000000"/>
              <w:left w:val="single" w:sz="4" w:space="0" w:color="000000"/>
              <w:bottom w:val="single" w:sz="4" w:space="0" w:color="000000"/>
              <w:right w:val="single" w:sz="4" w:space="0" w:color="000000"/>
            </w:tcBorders>
          </w:tcPr>
          <w:p>
            <w:pPr/>
          </w:p>
        </w:tc>
        <w:tc>
          <w:tcPr>
            <w:tcW w:w="436" w:type="dxa"/>
            <w:gridSpan w:val="2"/>
            <w:tcBorders>
              <w:top w:val="single" w:sz="4" w:space="0" w:color="000000"/>
              <w:left w:val="single" w:sz="4" w:space="0" w:color="000000"/>
              <w:bottom w:val="single" w:sz="4" w:space="0" w:color="000000"/>
              <w:right w:val="single" w:sz="4" w:space="0" w:color="000000"/>
            </w:tcBorders>
          </w:tcPr>
          <w:p>
            <w:pP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4"/>
              <w:jc w:val="right"/>
              <w:rPr>
                <w:rFonts w:ascii="宋体" w:hAnsi="宋体" w:cs="宋体" w:eastAsia="宋体" w:hint="default"/>
                <w:sz w:val="18"/>
                <w:szCs w:val="18"/>
              </w:rPr>
            </w:pPr>
            <w:r>
              <w:rPr>
                <w:rFonts w:ascii="宋体" w:hAnsi="宋体" w:cs="宋体" w:eastAsia="宋体" w:hint="default"/>
                <w:sz w:val="18"/>
                <w:szCs w:val="18"/>
              </w:rPr>
              <w:t>境内法人持有股份</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gridSpan w:val="2"/>
            <w:tcBorders>
              <w:top w:val="single" w:sz="4" w:space="0" w:color="000000"/>
              <w:left w:val="single" w:sz="4" w:space="0" w:color="000000"/>
              <w:bottom w:val="single" w:sz="4" w:space="0" w:color="000000"/>
              <w:right w:val="single" w:sz="4" w:space="0" w:color="000000"/>
            </w:tcBorders>
          </w:tcPr>
          <w:p>
            <w:pPr/>
          </w:p>
        </w:tc>
        <w:tc>
          <w:tcPr>
            <w:tcW w:w="436" w:type="dxa"/>
            <w:gridSpan w:val="2"/>
            <w:tcBorders>
              <w:top w:val="single" w:sz="4" w:space="0" w:color="000000"/>
              <w:left w:val="single" w:sz="4" w:space="0" w:color="000000"/>
              <w:bottom w:val="single" w:sz="4" w:space="0" w:color="000000"/>
              <w:right w:val="single" w:sz="4" w:space="0" w:color="000000"/>
            </w:tcBorders>
          </w:tcPr>
          <w:p>
            <w:pP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4"/>
              <w:jc w:val="right"/>
              <w:rPr>
                <w:rFonts w:ascii="宋体" w:hAnsi="宋体" w:cs="宋体" w:eastAsia="宋体" w:hint="default"/>
                <w:sz w:val="18"/>
                <w:szCs w:val="18"/>
              </w:rPr>
            </w:pPr>
            <w:r>
              <w:rPr>
                <w:rFonts w:ascii="宋体" w:hAnsi="宋体" w:cs="宋体" w:eastAsia="宋体" w:hint="default"/>
                <w:sz w:val="18"/>
                <w:szCs w:val="18"/>
              </w:rPr>
              <w:t>境外法人持有股份</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gridSpan w:val="2"/>
            <w:tcBorders>
              <w:top w:val="single" w:sz="4" w:space="0" w:color="000000"/>
              <w:left w:val="single" w:sz="4" w:space="0" w:color="000000"/>
              <w:bottom w:val="single" w:sz="4" w:space="0" w:color="000000"/>
              <w:right w:val="single" w:sz="4" w:space="0" w:color="000000"/>
            </w:tcBorders>
          </w:tcPr>
          <w:p>
            <w:pPr/>
          </w:p>
        </w:tc>
        <w:tc>
          <w:tcPr>
            <w:tcW w:w="436" w:type="dxa"/>
            <w:gridSpan w:val="2"/>
            <w:tcBorders>
              <w:top w:val="single" w:sz="4" w:space="0" w:color="000000"/>
              <w:left w:val="single" w:sz="4" w:space="0" w:color="000000"/>
              <w:bottom w:val="single" w:sz="4" w:space="0" w:color="000000"/>
              <w:right w:val="single" w:sz="4" w:space="0" w:color="000000"/>
            </w:tcBorders>
          </w:tcPr>
          <w:p>
            <w:pP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9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gridSpan w:val="2"/>
            <w:tcBorders>
              <w:top w:val="single" w:sz="4" w:space="0" w:color="000000"/>
              <w:left w:val="single" w:sz="4" w:space="0" w:color="000000"/>
              <w:bottom w:val="single" w:sz="4" w:space="0" w:color="000000"/>
              <w:right w:val="single" w:sz="4" w:space="0" w:color="000000"/>
            </w:tcBorders>
          </w:tcPr>
          <w:p>
            <w:pPr/>
          </w:p>
        </w:tc>
        <w:tc>
          <w:tcPr>
            <w:tcW w:w="436" w:type="dxa"/>
            <w:gridSpan w:val="2"/>
            <w:tcBorders>
              <w:top w:val="single" w:sz="4" w:space="0" w:color="000000"/>
              <w:left w:val="single" w:sz="4" w:space="0" w:color="000000"/>
              <w:bottom w:val="single" w:sz="4" w:space="0" w:color="000000"/>
              <w:right w:val="single" w:sz="4" w:space="0" w:color="000000"/>
            </w:tcBorders>
          </w:tcPr>
          <w:p>
            <w:pP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2、募集法人股份</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gridSpan w:val="2"/>
            <w:tcBorders>
              <w:top w:val="single" w:sz="4" w:space="0" w:color="000000"/>
              <w:left w:val="single" w:sz="4" w:space="0" w:color="000000"/>
              <w:bottom w:val="single" w:sz="4" w:space="0" w:color="000000"/>
              <w:right w:val="single" w:sz="4" w:space="0" w:color="000000"/>
            </w:tcBorders>
          </w:tcPr>
          <w:p>
            <w:pPr/>
          </w:p>
        </w:tc>
        <w:tc>
          <w:tcPr>
            <w:tcW w:w="436" w:type="dxa"/>
            <w:gridSpan w:val="2"/>
            <w:tcBorders>
              <w:top w:val="single" w:sz="4" w:space="0" w:color="000000"/>
              <w:left w:val="single" w:sz="4" w:space="0" w:color="000000"/>
              <w:bottom w:val="single" w:sz="4" w:space="0" w:color="000000"/>
              <w:right w:val="single" w:sz="4" w:space="0" w:color="000000"/>
            </w:tcBorders>
          </w:tcPr>
          <w:p>
            <w:pP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3、内部职工股</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gridSpan w:val="2"/>
            <w:tcBorders>
              <w:top w:val="single" w:sz="4" w:space="0" w:color="000000"/>
              <w:left w:val="single" w:sz="4" w:space="0" w:color="000000"/>
              <w:bottom w:val="single" w:sz="4" w:space="0" w:color="000000"/>
              <w:right w:val="single" w:sz="4" w:space="0" w:color="000000"/>
            </w:tcBorders>
          </w:tcPr>
          <w:p>
            <w:pPr/>
          </w:p>
        </w:tc>
        <w:tc>
          <w:tcPr>
            <w:tcW w:w="436" w:type="dxa"/>
            <w:gridSpan w:val="2"/>
            <w:tcBorders>
              <w:top w:val="single" w:sz="4" w:space="0" w:color="000000"/>
              <w:left w:val="single" w:sz="4" w:space="0" w:color="000000"/>
              <w:bottom w:val="single" w:sz="4" w:space="0" w:color="000000"/>
              <w:right w:val="single" w:sz="4" w:space="0" w:color="000000"/>
            </w:tcBorders>
          </w:tcPr>
          <w:p>
            <w:pP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4、优先股或其他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gridSpan w:val="2"/>
            <w:tcBorders>
              <w:top w:val="single" w:sz="4" w:space="0" w:color="000000"/>
              <w:left w:val="single" w:sz="4" w:space="0" w:color="000000"/>
              <w:bottom w:val="single" w:sz="4" w:space="0" w:color="000000"/>
              <w:right w:val="single" w:sz="4" w:space="0" w:color="000000"/>
            </w:tcBorders>
          </w:tcPr>
          <w:p>
            <w:pPr/>
          </w:p>
        </w:tc>
        <w:tc>
          <w:tcPr>
            <w:tcW w:w="436" w:type="dxa"/>
            <w:gridSpan w:val="2"/>
            <w:tcBorders>
              <w:top w:val="single" w:sz="4" w:space="0" w:color="000000"/>
              <w:left w:val="single" w:sz="4" w:space="0" w:color="000000"/>
              <w:bottom w:val="single" w:sz="4" w:space="0" w:color="000000"/>
              <w:right w:val="single" w:sz="4" w:space="0" w:color="000000"/>
            </w:tcBorders>
          </w:tcPr>
          <w:p>
            <w:pP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4"/>
                <w:sz w:val="18"/>
                <w:szCs w:val="18"/>
              </w:rPr>
              <w:t>二、已上市流通股份</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262,605,000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gridSpan w:val="2"/>
            <w:tcBorders>
              <w:top w:val="single" w:sz="4" w:space="0" w:color="000000"/>
              <w:left w:val="single" w:sz="4" w:space="0" w:color="000000"/>
              <w:bottom w:val="single" w:sz="4" w:space="0" w:color="000000"/>
              <w:right w:val="single" w:sz="4" w:space="0" w:color="000000"/>
            </w:tcBorders>
          </w:tcPr>
          <w:p>
            <w:pPr/>
          </w:p>
        </w:tc>
        <w:tc>
          <w:tcPr>
            <w:tcW w:w="436" w:type="dxa"/>
            <w:gridSpan w:val="2"/>
            <w:tcBorders>
              <w:top w:val="single" w:sz="4" w:space="0" w:color="000000"/>
              <w:left w:val="single" w:sz="4" w:space="0" w:color="000000"/>
              <w:bottom w:val="single" w:sz="4" w:space="0" w:color="000000"/>
              <w:right w:val="single" w:sz="4" w:space="0" w:color="000000"/>
            </w:tcBorders>
          </w:tcPr>
          <w:p>
            <w:pP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7" w:right="0"/>
              <w:jc w:val="left"/>
              <w:rPr>
                <w:rFonts w:ascii="宋体" w:hAnsi="宋体" w:cs="宋体" w:eastAsia="宋体" w:hint="default"/>
                <w:sz w:val="18"/>
                <w:szCs w:val="18"/>
              </w:rPr>
            </w:pPr>
            <w:r>
              <w:rPr>
                <w:rFonts w:ascii="宋体"/>
                <w:sz w:val="18"/>
              </w:rPr>
              <w:t>1,539,</w:t>
            </w:r>
          </w:p>
          <w:p>
            <w:pPr>
              <w:pStyle w:val="TableParagraph"/>
              <w:spacing w:line="240" w:lineRule="auto" w:before="76"/>
              <w:ind w:left="457" w:right="0"/>
              <w:jc w:val="lef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1,539,000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7" w:right="0"/>
              <w:jc w:val="center"/>
              <w:rPr>
                <w:rFonts w:ascii="宋体" w:hAnsi="宋体" w:cs="宋体" w:eastAsia="宋体" w:hint="default"/>
                <w:sz w:val="18"/>
                <w:szCs w:val="18"/>
              </w:rPr>
            </w:pPr>
            <w:r>
              <w:rPr>
                <w:rFonts w:ascii="宋体"/>
                <w:sz w:val="18"/>
              </w:rPr>
              <w:t>264,144,000</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3"/>
              <w:jc w:val="right"/>
              <w:rPr>
                <w:rFonts w:ascii="宋体" w:hAnsi="宋体" w:cs="宋体" w:eastAsia="宋体" w:hint="default"/>
                <w:sz w:val="18"/>
                <w:szCs w:val="18"/>
              </w:rPr>
            </w:pPr>
            <w:r>
              <w:rPr>
                <w:rFonts w:ascii="宋体"/>
                <w:sz w:val="18"/>
              </w:rPr>
              <w:t>100</w:t>
            </w:r>
          </w:p>
        </w:tc>
      </w:tr>
      <w:tr>
        <w:trPr>
          <w:trHeight w:val="63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262,605,000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gridSpan w:val="2"/>
            <w:tcBorders>
              <w:top w:val="single" w:sz="4" w:space="0" w:color="000000"/>
              <w:left w:val="single" w:sz="4" w:space="0" w:color="000000"/>
              <w:bottom w:val="single" w:sz="4" w:space="0" w:color="000000"/>
              <w:right w:val="single" w:sz="4" w:space="0" w:color="000000"/>
            </w:tcBorders>
          </w:tcPr>
          <w:p>
            <w:pPr/>
          </w:p>
        </w:tc>
        <w:tc>
          <w:tcPr>
            <w:tcW w:w="436" w:type="dxa"/>
            <w:gridSpan w:val="2"/>
            <w:tcBorders>
              <w:top w:val="single" w:sz="4" w:space="0" w:color="000000"/>
              <w:left w:val="single" w:sz="4" w:space="0" w:color="000000"/>
              <w:bottom w:val="single" w:sz="4" w:space="0" w:color="000000"/>
              <w:right w:val="single" w:sz="4" w:space="0" w:color="000000"/>
            </w:tcBorders>
          </w:tcPr>
          <w:p>
            <w:pP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7" w:right="0"/>
              <w:jc w:val="left"/>
              <w:rPr>
                <w:rFonts w:ascii="宋体" w:hAnsi="宋体" w:cs="宋体" w:eastAsia="宋体" w:hint="default"/>
                <w:sz w:val="18"/>
                <w:szCs w:val="18"/>
              </w:rPr>
            </w:pPr>
            <w:r>
              <w:rPr>
                <w:rFonts w:ascii="宋体"/>
                <w:sz w:val="18"/>
              </w:rPr>
              <w:t>1,539,</w:t>
            </w:r>
          </w:p>
          <w:p>
            <w:pPr>
              <w:pStyle w:val="TableParagraph"/>
              <w:spacing w:line="240" w:lineRule="auto" w:before="76"/>
              <w:ind w:left="457" w:right="0"/>
              <w:jc w:val="lef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1,539,000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7" w:right="0"/>
              <w:jc w:val="center"/>
              <w:rPr>
                <w:rFonts w:ascii="宋体" w:hAnsi="宋体" w:cs="宋体" w:eastAsia="宋体" w:hint="default"/>
                <w:sz w:val="18"/>
                <w:szCs w:val="18"/>
              </w:rPr>
            </w:pPr>
            <w:r>
              <w:rPr>
                <w:rFonts w:ascii="宋体"/>
                <w:sz w:val="18"/>
              </w:rPr>
              <w:t>264,144,000</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3"/>
              <w:jc w:val="right"/>
              <w:rPr>
                <w:rFonts w:ascii="宋体" w:hAnsi="宋体" w:cs="宋体" w:eastAsia="宋体" w:hint="default"/>
                <w:sz w:val="18"/>
                <w:szCs w:val="18"/>
              </w:rPr>
            </w:pPr>
            <w:r>
              <w:rPr>
                <w:rFonts w:ascii="宋体"/>
                <w:sz w:val="18"/>
              </w:rPr>
              <w:t>100</w:t>
            </w:r>
          </w:p>
        </w:tc>
      </w:tr>
      <w:tr>
        <w:trPr>
          <w:trHeight w:val="63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64"/>
              <w:jc w:val="left"/>
              <w:rPr>
                <w:rFonts w:ascii="宋体" w:hAnsi="宋体" w:cs="宋体" w:eastAsia="宋体" w:hint="default"/>
                <w:sz w:val="18"/>
                <w:szCs w:val="18"/>
              </w:rPr>
            </w:pPr>
            <w:r>
              <w:rPr>
                <w:rFonts w:ascii="宋体" w:hAnsi="宋体" w:cs="宋体" w:eastAsia="宋体" w:hint="default"/>
                <w:sz w:val="18"/>
                <w:szCs w:val="18"/>
              </w:rPr>
              <w:t>2、境内上市的外资 股</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gridSpan w:val="2"/>
            <w:tcBorders>
              <w:top w:val="single" w:sz="4" w:space="0" w:color="000000"/>
              <w:left w:val="single" w:sz="4" w:space="0" w:color="000000"/>
              <w:bottom w:val="single" w:sz="4" w:space="0" w:color="000000"/>
              <w:right w:val="single" w:sz="4" w:space="0" w:color="000000"/>
            </w:tcBorders>
          </w:tcPr>
          <w:p>
            <w:pPr/>
          </w:p>
        </w:tc>
        <w:tc>
          <w:tcPr>
            <w:tcW w:w="436" w:type="dxa"/>
            <w:gridSpan w:val="2"/>
            <w:tcBorders>
              <w:top w:val="single" w:sz="4" w:space="0" w:color="000000"/>
              <w:left w:val="single" w:sz="4" w:space="0" w:color="000000"/>
              <w:bottom w:val="single" w:sz="4" w:space="0" w:color="000000"/>
              <w:right w:val="single" w:sz="4" w:space="0" w:color="000000"/>
            </w:tcBorders>
          </w:tcPr>
          <w:p>
            <w:pP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64"/>
              <w:jc w:val="left"/>
              <w:rPr>
                <w:rFonts w:ascii="宋体" w:hAnsi="宋体" w:cs="宋体" w:eastAsia="宋体" w:hint="default"/>
                <w:sz w:val="18"/>
                <w:szCs w:val="18"/>
              </w:rPr>
            </w:pPr>
            <w:r>
              <w:rPr>
                <w:rFonts w:ascii="宋体" w:hAnsi="宋体" w:cs="宋体" w:eastAsia="宋体" w:hint="default"/>
                <w:sz w:val="18"/>
                <w:szCs w:val="18"/>
              </w:rPr>
              <w:t>3、境外上市的外资 股</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gridSpan w:val="2"/>
            <w:tcBorders>
              <w:top w:val="single" w:sz="4" w:space="0" w:color="000000"/>
              <w:left w:val="single" w:sz="4" w:space="0" w:color="000000"/>
              <w:bottom w:val="single" w:sz="4" w:space="0" w:color="000000"/>
              <w:right w:val="single" w:sz="4" w:space="0" w:color="000000"/>
            </w:tcBorders>
          </w:tcPr>
          <w:p>
            <w:pPr/>
          </w:p>
        </w:tc>
        <w:tc>
          <w:tcPr>
            <w:tcW w:w="436" w:type="dxa"/>
            <w:gridSpan w:val="2"/>
            <w:tcBorders>
              <w:top w:val="single" w:sz="4" w:space="0" w:color="000000"/>
              <w:left w:val="single" w:sz="4" w:space="0" w:color="000000"/>
              <w:bottom w:val="single" w:sz="4" w:space="0" w:color="000000"/>
              <w:right w:val="single" w:sz="4" w:space="0" w:color="000000"/>
            </w:tcBorders>
          </w:tcPr>
          <w:p>
            <w:pP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gridSpan w:val="2"/>
            <w:tcBorders>
              <w:top w:val="single" w:sz="4" w:space="0" w:color="000000"/>
              <w:left w:val="single" w:sz="4" w:space="0" w:color="000000"/>
              <w:bottom w:val="single" w:sz="4" w:space="0" w:color="000000"/>
              <w:right w:val="single" w:sz="4" w:space="0" w:color="000000"/>
            </w:tcBorders>
          </w:tcPr>
          <w:p>
            <w:pPr/>
          </w:p>
        </w:tc>
        <w:tc>
          <w:tcPr>
            <w:tcW w:w="436" w:type="dxa"/>
            <w:gridSpan w:val="2"/>
            <w:tcBorders>
              <w:top w:val="single" w:sz="4" w:space="0" w:color="000000"/>
              <w:left w:val="single" w:sz="4" w:space="0" w:color="000000"/>
              <w:bottom w:val="single" w:sz="4" w:space="0" w:color="000000"/>
              <w:right w:val="single" w:sz="4" w:space="0" w:color="000000"/>
            </w:tcBorders>
          </w:tcPr>
          <w:p>
            <w:pP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262,605,000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gridSpan w:val="2"/>
            <w:tcBorders>
              <w:top w:val="single" w:sz="4" w:space="0" w:color="000000"/>
              <w:left w:val="single" w:sz="4" w:space="0" w:color="000000"/>
              <w:bottom w:val="single" w:sz="4" w:space="0" w:color="000000"/>
              <w:right w:val="single" w:sz="4" w:space="0" w:color="000000"/>
            </w:tcBorders>
          </w:tcPr>
          <w:p>
            <w:pPr/>
          </w:p>
        </w:tc>
        <w:tc>
          <w:tcPr>
            <w:tcW w:w="436" w:type="dxa"/>
            <w:gridSpan w:val="2"/>
            <w:tcBorders>
              <w:top w:val="single" w:sz="4" w:space="0" w:color="000000"/>
              <w:left w:val="single" w:sz="4" w:space="0" w:color="000000"/>
              <w:bottom w:val="single" w:sz="4" w:space="0" w:color="000000"/>
              <w:right w:val="single" w:sz="4" w:space="0" w:color="000000"/>
            </w:tcBorders>
          </w:tcPr>
          <w:p>
            <w:pP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87" w:right="0"/>
              <w:jc w:val="left"/>
              <w:rPr>
                <w:rFonts w:ascii="宋体" w:hAnsi="宋体" w:cs="宋体" w:eastAsia="宋体" w:hint="default"/>
                <w:sz w:val="18"/>
                <w:szCs w:val="18"/>
              </w:rPr>
            </w:pPr>
            <w:r>
              <w:rPr>
                <w:rFonts w:ascii="宋体"/>
                <w:sz w:val="18"/>
              </w:rPr>
              <w:t>1,539,</w:t>
            </w:r>
          </w:p>
          <w:p>
            <w:pPr>
              <w:pStyle w:val="TableParagraph"/>
              <w:spacing w:line="240" w:lineRule="auto" w:before="76"/>
              <w:ind w:left="457" w:right="0"/>
              <w:jc w:val="lef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1539000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7" w:right="0"/>
              <w:jc w:val="center"/>
              <w:rPr>
                <w:rFonts w:ascii="宋体" w:hAnsi="宋体" w:cs="宋体" w:eastAsia="宋体" w:hint="default"/>
                <w:sz w:val="18"/>
                <w:szCs w:val="18"/>
              </w:rPr>
            </w:pPr>
            <w:r>
              <w:rPr>
                <w:rFonts w:ascii="宋体"/>
                <w:sz w:val="18"/>
              </w:rPr>
              <w:t>264,144,000</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3"/>
              <w:jc w:val="right"/>
              <w:rPr>
                <w:rFonts w:ascii="宋体" w:hAnsi="宋体" w:cs="宋体" w:eastAsia="宋体" w:hint="default"/>
                <w:sz w:val="18"/>
                <w:szCs w:val="18"/>
              </w:rPr>
            </w:pPr>
            <w:r>
              <w:rPr>
                <w:rFonts w:ascii="宋体"/>
                <w:sz w:val="18"/>
              </w:rPr>
              <w:t>100</w:t>
            </w:r>
          </w:p>
        </w:tc>
      </w:tr>
    </w:tbl>
    <w:p>
      <w:pPr>
        <w:spacing w:line="240" w:lineRule="auto" w:before="8"/>
        <w:rPr>
          <w:rFonts w:ascii="宋体" w:hAnsi="宋体" w:cs="宋体" w:eastAsia="宋体" w:hint="default"/>
          <w:sz w:val="24"/>
          <w:szCs w:val="24"/>
        </w:rPr>
      </w:pPr>
    </w:p>
    <w:p>
      <w:pPr>
        <w:pStyle w:val="Heading3"/>
        <w:spacing w:line="240" w:lineRule="auto"/>
        <w:ind w:right="114"/>
        <w:jc w:val="left"/>
        <w:rPr>
          <w:b w:val="0"/>
          <w:bCs w:val="0"/>
        </w:rPr>
      </w:pPr>
      <w:r>
        <w:rPr>
          <w:rFonts w:ascii="Cambria" w:hAnsi="Cambria" w:cs="Cambria" w:eastAsia="Cambria" w:hint="default"/>
        </w:rPr>
        <w:t>2</w:t>
      </w:r>
      <w:r>
        <w:rPr/>
        <w:t>、</w:t>
      </w:r>
      <w:r>
        <w:rPr>
          <w:spacing w:val="-23"/>
        </w:rPr>
        <w:t> </w:t>
      </w:r>
      <w:r>
        <w:rPr/>
        <w:t>股份变动情况说明</w:t>
      </w:r>
      <w:r>
        <w:rPr>
          <w:b w:val="0"/>
          <w:bCs w:val="0"/>
        </w:rPr>
      </w:r>
    </w:p>
    <w:p>
      <w:pPr>
        <w:pStyle w:val="BodyText"/>
        <w:spacing w:line="240" w:lineRule="auto" w:before="170"/>
        <w:ind w:right="114"/>
        <w:jc w:val="left"/>
      </w:pPr>
      <w:r>
        <w:rPr>
          <w:spacing w:val="-1"/>
        </w:rPr>
        <w:t>经公司第五届董事</w:t>
      </w:r>
      <w:r>
        <w:rPr/>
        <w:t>会</w:t>
      </w:r>
      <w:r>
        <w:rPr>
          <w:spacing w:val="-53"/>
        </w:rPr>
        <w:t> </w:t>
      </w:r>
      <w:r>
        <w:rPr>
          <w:spacing w:val="-1"/>
        </w:rPr>
        <w:t>201</w:t>
      </w:r>
      <w:r>
        <w:rPr/>
        <w:t>4</w:t>
      </w:r>
      <w:r>
        <w:rPr>
          <w:spacing w:val="-52"/>
        </w:rPr>
        <w:t> </w:t>
      </w:r>
      <w:r>
        <w:rPr>
          <w:spacing w:val="-1"/>
        </w:rPr>
        <w:t>年第五次</w:t>
      </w:r>
      <w:r>
        <w:rPr>
          <w:spacing w:val="-2"/>
        </w:rPr>
        <w:t>临</w:t>
      </w:r>
      <w:r>
        <w:rPr>
          <w:spacing w:val="-1"/>
        </w:rPr>
        <w:t>时会议审议通过</w:t>
      </w:r>
      <w:r>
        <w:rPr>
          <w:spacing w:val="-93"/>
        </w:rPr>
        <w:t>，</w:t>
      </w:r>
      <w:r>
        <w:rPr/>
        <w:t>公司股票期权激励计划股票期权的激励对</w:t>
      </w:r>
    </w:p>
    <w:p>
      <w:pPr>
        <w:pStyle w:val="BodyText"/>
        <w:spacing w:line="240" w:lineRule="auto" w:before="125"/>
        <w:ind w:right="114"/>
        <w:jc w:val="left"/>
      </w:pPr>
      <w:r>
        <w:rPr/>
        <w:t>象在第二个行权期行权</w:t>
      </w:r>
      <w:r>
        <w:rPr>
          <w:spacing w:val="-54"/>
        </w:rPr>
        <w:t> </w:t>
      </w:r>
      <w:r>
        <w:rPr/>
        <w:t>153.9</w:t>
      </w:r>
      <w:r>
        <w:rPr>
          <w:spacing w:val="-53"/>
        </w:rPr>
        <w:t> </w:t>
      </w:r>
      <w:r>
        <w:rPr/>
        <w:t>万股股票期权，本次行权后公司股本增加</w:t>
      </w:r>
      <w:r>
        <w:rPr>
          <w:spacing w:val="-54"/>
        </w:rPr>
        <w:t> </w:t>
      </w:r>
      <w:r>
        <w:rPr/>
        <w:t>153.9</w:t>
      </w:r>
      <w:r>
        <w:rPr>
          <w:spacing w:val="-53"/>
        </w:rPr>
        <w:t> </w:t>
      </w:r>
      <w:r>
        <w:rPr/>
        <w:t>万股。</w:t>
      </w:r>
    </w:p>
    <w:p>
      <w:pPr>
        <w:spacing w:line="240" w:lineRule="auto" w:before="0"/>
        <w:rPr>
          <w:rFonts w:ascii="宋体" w:hAnsi="宋体" w:cs="宋体" w:eastAsia="宋体" w:hint="default"/>
          <w:sz w:val="20"/>
          <w:szCs w:val="20"/>
        </w:rPr>
      </w:pPr>
    </w:p>
    <w:p>
      <w:pPr>
        <w:pStyle w:val="Heading3"/>
        <w:spacing w:line="240" w:lineRule="auto" w:before="146"/>
        <w:ind w:right="114"/>
        <w:jc w:val="left"/>
        <w:rPr>
          <w:b w:val="0"/>
          <w:bCs w:val="0"/>
        </w:rPr>
      </w:pPr>
      <w:r>
        <w:rPr>
          <w:rFonts w:ascii="Cambria" w:hAnsi="Cambria" w:cs="Cambria" w:eastAsia="Cambria" w:hint="default"/>
        </w:rPr>
        <w:t>3</w:t>
      </w:r>
      <w:r>
        <w:rPr/>
        <w:t>、</w:t>
      </w:r>
      <w:r>
        <w:rPr>
          <w:spacing w:val="-31"/>
        </w:rPr>
        <w:t> </w:t>
      </w:r>
      <w:r>
        <w:rPr/>
        <w:t>股份变动对最近一年和最近一期每股收益、每股净资产等财务指标的影响（如有）</w:t>
      </w:r>
      <w:r>
        <w:rPr>
          <w:b w:val="0"/>
          <w:bCs w:val="0"/>
        </w:rPr>
      </w:r>
    </w:p>
    <w:p>
      <w:pPr>
        <w:spacing w:after="0" w:line="240" w:lineRule="auto"/>
        <w:jc w:val="left"/>
        <w:sectPr>
          <w:type w:val="continuous"/>
          <w:pgSz w:w="11910" w:h="16840"/>
          <w:pgMar w:top="1080" w:bottom="1380" w:left="1580" w:right="1040"/>
        </w:sectPr>
      </w:pPr>
    </w:p>
    <w:p>
      <w:pPr>
        <w:spacing w:line="240" w:lineRule="auto" w:before="12"/>
        <w:rPr>
          <w:rFonts w:ascii="宋体" w:hAnsi="宋体" w:cs="宋体" w:eastAsia="宋体" w:hint="default"/>
          <w:b/>
          <w:bCs/>
          <w:sz w:val="26"/>
          <w:szCs w:val="26"/>
        </w:rPr>
      </w:pPr>
    </w:p>
    <w:p>
      <w:pPr>
        <w:spacing w:line="295" w:lineRule="auto" w:before="35"/>
        <w:ind w:left="217" w:right="273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5"/>
          <w:sz w:val="21"/>
          <w:szCs w:val="21"/>
        </w:rPr>
        <w:t> </w:t>
      </w:r>
      <w:r>
        <w:rPr>
          <w:rFonts w:ascii="宋体" w:hAnsi="宋体" w:cs="宋体" w:eastAsia="宋体" w:hint="default"/>
          <w:b/>
          <w:bCs/>
          <w:sz w:val="21"/>
          <w:szCs w:val="21"/>
        </w:rPr>
        <w:t>公司股份总数及股东结构变动及公司资产和负债结构的变动情况</w:t>
      </w:r>
      <w:r>
        <w:rPr>
          <w:rFonts w:ascii="宋体" w:hAnsi="宋体" w:cs="宋体" w:eastAsia="宋体" w:hint="default"/>
          <w:b/>
          <w:bCs/>
          <w:spacing w:val="1"/>
          <w:w w:val="99"/>
          <w:sz w:val="21"/>
          <w:szCs w:val="21"/>
        </w:rPr>
        <w:t> </w:t>
      </w:r>
      <w:r>
        <w:rPr>
          <w:rFonts w:ascii="宋体" w:hAnsi="宋体" w:cs="宋体" w:eastAsia="宋体" w:hint="default"/>
          <w:sz w:val="21"/>
          <w:szCs w:val="21"/>
        </w:rPr>
        <w:t>截止本报告期末至前三年，公司未有证券发行与上市情况</w:t>
      </w:r>
    </w:p>
    <w:p>
      <w:pPr>
        <w:pStyle w:val="Heading3"/>
        <w:spacing w:line="240" w:lineRule="auto" w:before="49"/>
        <w:ind w:right="114"/>
        <w:jc w:val="left"/>
        <w:rPr>
          <w:b w:val="0"/>
          <w:bCs w:val="0"/>
        </w:rPr>
      </w:pPr>
      <w:r>
        <w:rPr/>
        <w:t>二、</w:t>
      </w:r>
      <w:r>
        <w:rPr>
          <w:spacing w:val="-80"/>
        </w:rPr>
        <w:t> </w:t>
      </w:r>
      <w:r>
        <w:rPr/>
        <w:t>股东和实际控制人情况</w:t>
      </w:r>
      <w:r>
        <w:rPr>
          <w:b w:val="0"/>
          <w:bCs w:val="0"/>
        </w:rPr>
      </w:r>
    </w:p>
    <w:p>
      <w:pPr>
        <w:pStyle w:val="Heading3"/>
        <w:spacing w:line="240" w:lineRule="auto" w:before="97"/>
        <w:ind w:right="114"/>
        <w:jc w:val="left"/>
        <w:rPr>
          <w:rFonts w:ascii="Calibri" w:hAnsi="Calibri" w:cs="Calibri" w:eastAsia="Calibri"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股东总数</w:t>
      </w:r>
      <w:r>
        <w:rPr>
          <w:rFonts w:ascii="Calibri" w:hAnsi="Calibri" w:cs="Calibri" w:eastAsia="Calibri" w:hint="default"/>
        </w:rPr>
        <w:t>:</w:t>
      </w:r>
      <w:r>
        <w:rPr>
          <w:rFonts w:ascii="Calibri" w:hAnsi="Calibri" w:cs="Calibri" w:eastAsia="Calibri" w:hint="default"/>
          <w:b w:val="0"/>
          <w:bCs w:val="0"/>
        </w:rPr>
      </w:r>
    </w:p>
    <w:p>
      <w:pPr>
        <w:spacing w:line="240" w:lineRule="auto" w:before="12"/>
        <w:rPr>
          <w:rFonts w:ascii="Calibri" w:hAnsi="Calibri" w:cs="Calibri" w:eastAsia="Calibri" w:hint="default"/>
          <w:b/>
          <w:bCs/>
          <w:sz w:val="6"/>
          <w:szCs w:val="6"/>
        </w:rPr>
      </w:pPr>
    </w:p>
    <w:tbl>
      <w:tblPr>
        <w:tblW w:w="0" w:type="auto"/>
        <w:jc w:val="left"/>
        <w:tblInd w:w="104" w:type="dxa"/>
        <w:tblLayout w:type="fixed"/>
        <w:tblCellMar>
          <w:top w:w="0" w:type="dxa"/>
          <w:left w:w="0" w:type="dxa"/>
          <w:bottom w:w="0" w:type="dxa"/>
          <w:right w:w="0" w:type="dxa"/>
        </w:tblCellMar>
        <w:tblLook w:val="01E0"/>
      </w:tblPr>
      <w:tblGrid>
        <w:gridCol w:w="4524"/>
        <w:gridCol w:w="4524"/>
      </w:tblGrid>
      <w:tr>
        <w:trPr>
          <w:trHeight w:val="32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截止报告期末股东总数(户)</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13,225</w:t>
            </w:r>
            <w:r>
              <w:rPr>
                <w:rFonts w:ascii="宋体"/>
                <w:sz w:val="21"/>
              </w:rPr>
            </w:r>
          </w:p>
        </w:tc>
      </w:tr>
      <w:tr>
        <w:trPr>
          <w:trHeight w:val="635"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年度报告披露日前第五个交易日末的股东总数</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(户)</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9,327</w:t>
            </w:r>
          </w:p>
        </w:tc>
      </w:tr>
    </w:tbl>
    <w:p>
      <w:pPr>
        <w:spacing w:line="240" w:lineRule="auto" w:before="5"/>
        <w:rPr>
          <w:rFonts w:ascii="Calibri" w:hAnsi="Calibri" w:cs="Calibri" w:eastAsia="Calibri" w:hint="default"/>
          <w:b/>
          <w:bCs/>
          <w:sz w:val="26"/>
          <w:szCs w:val="26"/>
        </w:rPr>
      </w:pPr>
    </w:p>
    <w:p>
      <w:pPr>
        <w:spacing w:after="0" w:line="240" w:lineRule="auto"/>
        <w:rPr>
          <w:rFonts w:ascii="Calibri" w:hAnsi="Calibri" w:cs="Calibri" w:eastAsia="Calibri" w:hint="default"/>
          <w:sz w:val="26"/>
          <w:szCs w:val="26"/>
        </w:rPr>
        <w:sectPr>
          <w:pgSz w:w="11910" w:h="16840"/>
          <w:pgMar w:header="882" w:footer="1197" w:top="1120" w:bottom="1380" w:left="1580" w:right="1040"/>
        </w:sectPr>
      </w:pPr>
    </w:p>
    <w:p>
      <w:pPr>
        <w:pStyle w:val="Heading3"/>
        <w:spacing w:line="240" w:lineRule="auto"/>
        <w:ind w:right="-14"/>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spacing w:line="240" w:lineRule="auto" w:before="145"/>
        <w:ind w:right="0"/>
        <w:jc w:val="left"/>
      </w:pPr>
      <w:r>
        <w:rPr/>
        <w:t>单位:股</w:t>
      </w:r>
    </w:p>
    <w:p>
      <w:pPr>
        <w:spacing w:after="0" w:line="240" w:lineRule="auto"/>
        <w:jc w:val="left"/>
        <w:sectPr>
          <w:type w:val="continuous"/>
          <w:pgSz w:w="11910" w:h="16840"/>
          <w:pgMar w:top="1080" w:bottom="1380" w:left="1580" w:right="1040"/>
          <w:cols w:num="2" w:equalWidth="0">
            <w:col w:w="7804" w:space="294"/>
            <w:col w:w="1192"/>
          </w:cols>
        </w:sectPr>
      </w:pP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833"/>
        <w:gridCol w:w="1373"/>
        <w:gridCol w:w="1538"/>
        <w:gridCol w:w="916"/>
        <w:gridCol w:w="530"/>
        <w:gridCol w:w="576"/>
        <w:gridCol w:w="1744"/>
        <w:gridCol w:w="1540"/>
      </w:tblGrid>
      <w:tr>
        <w:trPr>
          <w:trHeight w:val="322" w:hRule="exact"/>
        </w:trPr>
        <w:tc>
          <w:tcPr>
            <w:tcW w:w="9049" w:type="dxa"/>
            <w:gridSpan w:val="8"/>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322" w:hRule="exact"/>
        </w:trPr>
        <w:tc>
          <w:tcPr>
            <w:tcW w:w="8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73" w:lineRule="auto"/>
              <w:ind w:left="201" w:right="199"/>
              <w:jc w:val="left"/>
              <w:rPr>
                <w:rFonts w:ascii="宋体" w:hAnsi="宋体" w:cs="宋体" w:eastAsia="宋体" w:hint="default"/>
                <w:sz w:val="21"/>
                <w:szCs w:val="21"/>
              </w:rPr>
            </w:pPr>
            <w:r>
              <w:rPr>
                <w:rFonts w:ascii="宋体" w:hAnsi="宋体" w:cs="宋体" w:eastAsia="宋体" w:hint="default"/>
                <w:sz w:val="21"/>
                <w:szCs w:val="21"/>
              </w:rPr>
              <w:t>股东 名称</w:t>
            </w:r>
          </w:p>
          <w:p>
            <w:pPr>
              <w:pStyle w:val="TableParagraph"/>
              <w:spacing w:line="273" w:lineRule="auto" w:before="7"/>
              <w:ind w:left="201" w:right="199"/>
              <w:jc w:val="left"/>
              <w:rPr>
                <w:rFonts w:ascii="宋体" w:hAnsi="宋体" w:cs="宋体" w:eastAsia="宋体" w:hint="default"/>
                <w:sz w:val="21"/>
                <w:szCs w:val="21"/>
              </w:rPr>
            </w:pPr>
            <w:r>
              <w:rPr>
                <w:rFonts w:ascii="宋体" w:hAnsi="宋体" w:cs="宋体" w:eastAsia="宋体" w:hint="default"/>
                <w:sz w:val="21"/>
                <w:szCs w:val="21"/>
              </w:rPr>
              <w:t>（全 称）</w:t>
            </w:r>
          </w:p>
        </w:tc>
        <w:tc>
          <w:tcPr>
            <w:tcW w:w="13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73" w:lineRule="auto"/>
              <w:ind w:left="576" w:right="155" w:hanging="420"/>
              <w:jc w:val="left"/>
              <w:rPr>
                <w:rFonts w:ascii="宋体" w:hAnsi="宋体" w:cs="宋体" w:eastAsia="宋体" w:hint="default"/>
                <w:sz w:val="21"/>
                <w:szCs w:val="21"/>
              </w:rPr>
            </w:pPr>
            <w:r>
              <w:rPr>
                <w:rFonts w:ascii="宋体" w:hAnsi="宋体" w:cs="宋体" w:eastAsia="宋体" w:hint="default"/>
                <w:sz w:val="21"/>
                <w:szCs w:val="21"/>
              </w:rPr>
              <w:t>报告期内增 减</w:t>
            </w:r>
          </w:p>
        </w:tc>
        <w:tc>
          <w:tcPr>
            <w:tcW w:w="15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3"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9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73" w:lineRule="auto"/>
              <w:ind w:left="295" w:right="241" w:hanging="53"/>
              <w:jc w:val="left"/>
              <w:rPr>
                <w:rFonts w:ascii="宋体" w:hAnsi="宋体" w:cs="宋体" w:eastAsia="宋体" w:hint="default"/>
                <w:sz w:val="21"/>
                <w:szCs w:val="21"/>
              </w:rPr>
            </w:pPr>
            <w:r>
              <w:rPr>
                <w:rFonts w:ascii="宋体" w:hAnsi="宋体" w:cs="宋体" w:eastAsia="宋体" w:hint="default"/>
                <w:sz w:val="21"/>
                <w:szCs w:val="21"/>
              </w:rPr>
              <w:t>比例 (%)</w:t>
            </w:r>
          </w:p>
        </w:tc>
        <w:tc>
          <w:tcPr>
            <w:tcW w:w="530" w:type="dxa"/>
            <w:vMerge w:val="restart"/>
            <w:tcBorders>
              <w:top w:val="single" w:sz="4" w:space="0" w:color="000000"/>
              <w:left w:val="single" w:sz="4" w:space="0" w:color="000000"/>
              <w:right w:val="single" w:sz="4" w:space="0" w:color="000000"/>
            </w:tcBorders>
          </w:tcPr>
          <w:p>
            <w:pPr>
              <w:pStyle w:val="TableParagraph"/>
              <w:spacing w:line="260" w:lineRule="exact"/>
              <w:ind w:left="154" w:right="0"/>
              <w:jc w:val="both"/>
              <w:rPr>
                <w:rFonts w:ascii="宋体" w:hAnsi="宋体" w:cs="宋体" w:eastAsia="宋体" w:hint="default"/>
                <w:sz w:val="21"/>
                <w:szCs w:val="21"/>
              </w:rPr>
            </w:pPr>
            <w:r>
              <w:rPr>
                <w:rFonts w:ascii="宋体" w:hAnsi="宋体" w:cs="宋体" w:eastAsia="宋体" w:hint="default"/>
                <w:sz w:val="21"/>
                <w:szCs w:val="21"/>
              </w:rPr>
              <w:t>持</w:t>
            </w:r>
          </w:p>
          <w:p>
            <w:pPr>
              <w:pStyle w:val="TableParagraph"/>
              <w:spacing w:line="273" w:lineRule="auto" w:before="37"/>
              <w:ind w:left="154" w:right="154"/>
              <w:jc w:val="both"/>
              <w:rPr>
                <w:rFonts w:ascii="宋体" w:hAnsi="宋体" w:cs="宋体" w:eastAsia="宋体" w:hint="default"/>
                <w:sz w:val="21"/>
                <w:szCs w:val="21"/>
              </w:rPr>
            </w:pPr>
            <w:r>
              <w:rPr>
                <w:rFonts w:ascii="宋体" w:hAnsi="宋体" w:cs="宋体" w:eastAsia="宋体" w:hint="default"/>
                <w:sz w:val="21"/>
                <w:szCs w:val="21"/>
              </w:rPr>
              <w:t>有 有 限 售 条 件 股 份 数 量</w:t>
            </w:r>
          </w:p>
        </w:tc>
        <w:tc>
          <w:tcPr>
            <w:tcW w:w="2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18"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15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73" w:lineRule="auto"/>
              <w:ind w:left="553" w:right="554"/>
              <w:jc w:val="center"/>
              <w:rPr>
                <w:rFonts w:ascii="宋体" w:hAnsi="宋体" w:cs="宋体" w:eastAsia="宋体" w:hint="default"/>
                <w:sz w:val="21"/>
                <w:szCs w:val="21"/>
              </w:rPr>
            </w:pPr>
            <w:r>
              <w:rPr>
                <w:rFonts w:ascii="宋体" w:hAnsi="宋体" w:cs="宋体" w:eastAsia="宋体" w:hint="default"/>
                <w:sz w:val="21"/>
                <w:szCs w:val="21"/>
              </w:rPr>
              <w:t>股东 性质</w:t>
            </w:r>
          </w:p>
        </w:tc>
      </w:tr>
      <w:tr>
        <w:trPr>
          <w:trHeight w:val="3120" w:hRule="exact"/>
        </w:trPr>
        <w:tc>
          <w:tcPr>
            <w:tcW w:w="833" w:type="dxa"/>
            <w:vMerge/>
            <w:tcBorders>
              <w:left w:val="single" w:sz="4" w:space="0" w:color="000000"/>
              <w:bottom w:val="single" w:sz="4" w:space="0" w:color="000000"/>
              <w:right w:val="single" w:sz="4" w:space="0" w:color="000000"/>
            </w:tcBorders>
          </w:tcPr>
          <w:p>
            <w:pPr/>
          </w:p>
        </w:tc>
        <w:tc>
          <w:tcPr>
            <w:tcW w:w="1373" w:type="dxa"/>
            <w:vMerge/>
            <w:tcBorders>
              <w:left w:val="single" w:sz="4" w:space="0" w:color="000000"/>
              <w:bottom w:val="single" w:sz="4" w:space="0" w:color="000000"/>
              <w:right w:val="single" w:sz="4" w:space="0" w:color="000000"/>
            </w:tcBorders>
          </w:tcPr>
          <w:p>
            <w:pPr/>
          </w:p>
        </w:tc>
        <w:tc>
          <w:tcPr>
            <w:tcW w:w="1538" w:type="dxa"/>
            <w:vMerge/>
            <w:tcBorders>
              <w:left w:val="single" w:sz="4" w:space="0" w:color="000000"/>
              <w:bottom w:val="single" w:sz="4" w:space="0" w:color="000000"/>
              <w:right w:val="single" w:sz="4" w:space="0" w:color="000000"/>
            </w:tcBorders>
          </w:tcPr>
          <w:p>
            <w:pPr/>
          </w:p>
        </w:tc>
        <w:tc>
          <w:tcPr>
            <w:tcW w:w="916"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2"/>
              <w:ind w:left="177" w:right="176"/>
              <w:jc w:val="both"/>
              <w:rPr>
                <w:rFonts w:ascii="宋体" w:hAnsi="宋体" w:cs="宋体" w:eastAsia="宋体" w:hint="default"/>
                <w:sz w:val="21"/>
                <w:szCs w:val="21"/>
              </w:rPr>
            </w:pPr>
            <w:r>
              <w:rPr>
                <w:rFonts w:ascii="宋体" w:hAnsi="宋体" w:cs="宋体" w:eastAsia="宋体" w:hint="default"/>
                <w:sz w:val="21"/>
                <w:szCs w:val="21"/>
              </w:rPr>
              <w:t>股 份 状 态</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1540" w:type="dxa"/>
            <w:vMerge/>
            <w:tcBorders>
              <w:left w:val="single" w:sz="4" w:space="0" w:color="000000"/>
              <w:bottom w:val="single" w:sz="4" w:space="0" w:color="000000"/>
              <w:right w:val="single" w:sz="4" w:space="0" w:color="000000"/>
            </w:tcBorders>
          </w:tcPr>
          <w:p>
            <w:pPr/>
          </w:p>
        </w:tc>
      </w:tr>
      <w:tr>
        <w:trPr>
          <w:trHeight w:val="635"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pacing w:val="-1"/>
                <w:sz w:val="21"/>
              </w:rPr>
              <w:t>31,123,120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pacing w:val="-1"/>
                <w:sz w:val="21"/>
              </w:rPr>
              <w:t>11.78</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77" w:right="0"/>
              <w:jc w:val="left"/>
              <w:rPr>
                <w:rFonts w:ascii="宋体" w:hAnsi="宋体" w:cs="宋体" w:eastAsia="宋体" w:hint="default"/>
                <w:sz w:val="21"/>
                <w:szCs w:val="21"/>
              </w:rPr>
            </w:pPr>
            <w:r>
              <w:rPr>
                <w:rFonts w:ascii="宋体" w:hAnsi="宋体" w:cs="宋体" w:eastAsia="宋体" w:hint="default"/>
                <w:sz w:val="21"/>
                <w:szCs w:val="21"/>
              </w:rPr>
              <w:t>质</w:t>
            </w:r>
          </w:p>
          <w:p>
            <w:pPr>
              <w:pStyle w:val="TableParagraph"/>
              <w:spacing w:line="240" w:lineRule="auto" w:before="37"/>
              <w:ind w:left="177" w:right="0"/>
              <w:jc w:val="left"/>
              <w:rPr>
                <w:rFonts w:ascii="宋体" w:hAnsi="宋体" w:cs="宋体" w:eastAsia="宋体" w:hint="default"/>
                <w:sz w:val="21"/>
                <w:szCs w:val="21"/>
              </w:rPr>
            </w:pPr>
            <w:r>
              <w:rPr>
                <w:rFonts w:ascii="宋体" w:hAnsi="宋体" w:cs="宋体" w:eastAsia="宋体" w:hint="default"/>
                <w:sz w:val="21"/>
                <w:szCs w:val="21"/>
              </w:rPr>
              <w:t>押</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21"/>
                <w:szCs w:val="21"/>
              </w:rPr>
            </w:pPr>
            <w:r>
              <w:rPr>
                <w:rFonts w:ascii="宋体"/>
                <w:sz w:val="21"/>
              </w:rPr>
              <w:t>15,000,000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634"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31,043,024</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11.75</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7" w:right="0"/>
              <w:jc w:val="left"/>
              <w:rPr>
                <w:rFonts w:ascii="宋体" w:hAnsi="宋体" w:cs="宋体" w:eastAsia="宋体" w:hint="default"/>
                <w:sz w:val="21"/>
                <w:szCs w:val="21"/>
              </w:rPr>
            </w:pPr>
            <w:r>
              <w:rPr>
                <w:rFonts w:ascii="宋体" w:hAnsi="宋体" w:cs="宋体" w:eastAsia="宋体" w:hint="default"/>
                <w:sz w:val="21"/>
                <w:szCs w:val="21"/>
              </w:rPr>
              <w:t>质</w:t>
            </w:r>
          </w:p>
          <w:p>
            <w:pPr>
              <w:pStyle w:val="TableParagraph"/>
              <w:spacing w:line="240" w:lineRule="auto" w:before="37"/>
              <w:ind w:left="177" w:right="0"/>
              <w:jc w:val="left"/>
              <w:rPr>
                <w:rFonts w:ascii="宋体" w:hAnsi="宋体" w:cs="宋体" w:eastAsia="宋体" w:hint="default"/>
                <w:sz w:val="21"/>
                <w:szCs w:val="21"/>
              </w:rPr>
            </w:pPr>
            <w:r>
              <w:rPr>
                <w:rFonts w:ascii="宋体" w:hAnsi="宋体" w:cs="宋体" w:eastAsia="宋体" w:hint="default"/>
                <w:sz w:val="21"/>
                <w:szCs w:val="21"/>
              </w:rPr>
              <w:t>押</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8,100,000</w:t>
            </w:r>
            <w:r>
              <w:rPr>
                <w:rFonts w:ascii="宋体"/>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hAnsi="宋体" w:cs="宋体" w:eastAsia="宋体" w:hint="default"/>
                <w:spacing w:val="-1"/>
                <w:w w:val="95"/>
                <w:sz w:val="21"/>
                <w:szCs w:val="21"/>
              </w:rPr>
              <w:t>境内自然人</w:t>
            </w:r>
            <w:r>
              <w:rPr>
                <w:rFonts w:ascii="宋体" w:hAnsi="宋体" w:cs="宋体" w:eastAsia="宋体" w:hint="default"/>
                <w:w w:val="95"/>
                <w:sz w:val="21"/>
                <w:szCs w:val="21"/>
              </w:rPr>
            </w:r>
          </w:p>
        </w:tc>
      </w:tr>
      <w:tr>
        <w:trPr>
          <w:trHeight w:val="634"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李</w:t>
            </w:r>
            <w:r>
              <w:rPr>
                <w:rFonts w:ascii="宋体" w:hAnsi="宋体" w:cs="宋体" w:eastAsia="宋体" w:hint="default"/>
                <w:spacing w:val="91"/>
                <w:sz w:val="21"/>
                <w:szCs w:val="21"/>
              </w:rPr>
              <w:t> </w:t>
            </w:r>
            <w:r>
              <w:rPr>
                <w:rFonts w:ascii="宋体" w:hAnsi="宋体" w:cs="宋体" w:eastAsia="宋体" w:hint="default"/>
                <w:sz w:val="21"/>
                <w:szCs w:val="21"/>
              </w:rPr>
              <w:t>结</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义</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29,822,954</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11.29</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7" w:right="0"/>
              <w:jc w:val="left"/>
              <w:rPr>
                <w:rFonts w:ascii="宋体" w:hAnsi="宋体" w:cs="宋体" w:eastAsia="宋体" w:hint="default"/>
                <w:sz w:val="21"/>
                <w:szCs w:val="21"/>
              </w:rPr>
            </w:pPr>
            <w:r>
              <w:rPr>
                <w:rFonts w:ascii="宋体" w:hAnsi="宋体" w:cs="宋体" w:eastAsia="宋体" w:hint="default"/>
                <w:sz w:val="21"/>
                <w:szCs w:val="21"/>
              </w:rPr>
              <w:t>质</w:t>
            </w:r>
          </w:p>
          <w:p>
            <w:pPr>
              <w:pStyle w:val="TableParagraph"/>
              <w:spacing w:line="240" w:lineRule="auto" w:before="37"/>
              <w:ind w:left="177" w:right="0"/>
              <w:jc w:val="left"/>
              <w:rPr>
                <w:rFonts w:ascii="宋体" w:hAnsi="宋体" w:cs="宋体" w:eastAsia="宋体" w:hint="default"/>
                <w:sz w:val="21"/>
                <w:szCs w:val="21"/>
              </w:rPr>
            </w:pPr>
            <w:r>
              <w:rPr>
                <w:rFonts w:ascii="宋体" w:hAnsi="宋体" w:cs="宋体" w:eastAsia="宋体" w:hint="default"/>
                <w:sz w:val="21"/>
                <w:szCs w:val="21"/>
              </w:rPr>
              <w:t>押</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16,000,000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635"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徐</w:t>
            </w:r>
            <w:r>
              <w:rPr>
                <w:rFonts w:ascii="宋体" w:hAnsi="宋体" w:cs="宋体" w:eastAsia="宋体" w:hint="default"/>
                <w:spacing w:val="91"/>
                <w:sz w:val="21"/>
                <w:szCs w:val="21"/>
              </w:rPr>
              <w:t> </w:t>
            </w:r>
            <w:r>
              <w:rPr>
                <w:rFonts w:ascii="宋体" w:hAnsi="宋体" w:cs="宋体" w:eastAsia="宋体" w:hint="default"/>
                <w:sz w:val="21"/>
                <w:szCs w:val="21"/>
              </w:rPr>
              <w:t>岷</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波</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pacing w:val="-1"/>
                <w:sz w:val="21"/>
              </w:rPr>
              <w:t>28,010,175</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pacing w:val="-1"/>
                <w:sz w:val="21"/>
              </w:rPr>
              <w:t>10.60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77" w:right="0"/>
              <w:jc w:val="left"/>
              <w:rPr>
                <w:rFonts w:ascii="宋体" w:hAnsi="宋体" w:cs="宋体" w:eastAsia="宋体" w:hint="default"/>
                <w:sz w:val="21"/>
                <w:szCs w:val="21"/>
              </w:rPr>
            </w:pPr>
            <w:r>
              <w:rPr>
                <w:rFonts w:ascii="宋体" w:hAnsi="宋体" w:cs="宋体" w:eastAsia="宋体" w:hint="default"/>
                <w:sz w:val="21"/>
                <w:szCs w:val="21"/>
              </w:rPr>
              <w:t>质</w:t>
            </w:r>
          </w:p>
          <w:p>
            <w:pPr>
              <w:pStyle w:val="TableParagraph"/>
              <w:spacing w:line="240" w:lineRule="auto" w:before="37"/>
              <w:ind w:left="177" w:right="0"/>
              <w:jc w:val="left"/>
              <w:rPr>
                <w:rFonts w:ascii="宋体" w:hAnsi="宋体" w:cs="宋体" w:eastAsia="宋体" w:hint="default"/>
                <w:sz w:val="21"/>
                <w:szCs w:val="21"/>
              </w:rPr>
            </w:pPr>
            <w:r>
              <w:rPr>
                <w:rFonts w:ascii="宋体" w:hAnsi="宋体" w:cs="宋体" w:eastAsia="宋体" w:hint="default"/>
                <w:sz w:val="21"/>
                <w:szCs w:val="21"/>
              </w:rPr>
              <w:t>押</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21"/>
                <w:szCs w:val="21"/>
              </w:rPr>
            </w:pPr>
            <w:r>
              <w:rPr>
                <w:rFonts w:ascii="宋体"/>
                <w:spacing w:val="-1"/>
                <w:sz w:val="21"/>
              </w:rPr>
              <w:t>7,500,000</w:t>
            </w:r>
            <w:r>
              <w:rPr>
                <w:rFonts w:ascii="宋体"/>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4"/>
              <w:jc w:val="right"/>
              <w:rPr>
                <w:rFonts w:ascii="宋体" w:hAnsi="宋体" w:cs="宋体" w:eastAsia="宋体" w:hint="default"/>
                <w:sz w:val="21"/>
                <w:szCs w:val="21"/>
              </w:rPr>
            </w:pPr>
            <w:r>
              <w:rPr>
                <w:rFonts w:ascii="宋体" w:hAnsi="宋体" w:cs="宋体" w:eastAsia="宋体" w:hint="default"/>
                <w:spacing w:val="-1"/>
                <w:w w:val="95"/>
                <w:sz w:val="21"/>
                <w:szCs w:val="21"/>
              </w:rPr>
              <w:t>境内自然人</w:t>
            </w:r>
            <w:r>
              <w:rPr>
                <w:rFonts w:ascii="宋体" w:hAnsi="宋体" w:cs="宋体" w:eastAsia="宋体" w:hint="default"/>
                <w:w w:val="95"/>
                <w:sz w:val="21"/>
                <w:szCs w:val="21"/>
              </w:rPr>
            </w:r>
          </w:p>
        </w:tc>
      </w:tr>
      <w:tr>
        <w:trPr>
          <w:trHeight w:val="1882"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融</w:t>
            </w:r>
            <w:r>
              <w:rPr>
                <w:rFonts w:ascii="宋体" w:hAnsi="宋体" w:cs="宋体" w:eastAsia="宋体" w:hint="default"/>
                <w:spacing w:val="91"/>
                <w:sz w:val="21"/>
                <w:szCs w:val="21"/>
              </w:rPr>
              <w:t> </w:t>
            </w:r>
            <w:r>
              <w:rPr>
                <w:rFonts w:ascii="宋体" w:hAnsi="宋体" w:cs="宋体" w:eastAsia="宋体" w:hint="default"/>
                <w:sz w:val="21"/>
                <w:szCs w:val="21"/>
              </w:rPr>
              <w:t>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91"/>
                <w:sz w:val="21"/>
                <w:szCs w:val="21"/>
              </w:rPr>
              <w:t> </w:t>
            </w:r>
            <w:r>
              <w:rPr>
                <w:rFonts w:ascii="宋体" w:hAnsi="宋体" w:cs="宋体" w:eastAsia="宋体" w:hint="default"/>
                <w:sz w:val="21"/>
                <w:szCs w:val="21"/>
              </w:rPr>
              <w:t>蓝</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筹</w:t>
            </w:r>
            <w:r>
              <w:rPr>
                <w:rFonts w:ascii="宋体" w:hAnsi="宋体" w:cs="宋体" w:eastAsia="宋体" w:hint="default"/>
                <w:spacing w:val="91"/>
                <w:sz w:val="21"/>
                <w:szCs w:val="21"/>
              </w:rPr>
              <w:t> </w:t>
            </w:r>
            <w:r>
              <w:rPr>
                <w:rFonts w:ascii="宋体" w:hAnsi="宋体" w:cs="宋体" w:eastAsia="宋体" w:hint="default"/>
                <w:sz w:val="21"/>
                <w:szCs w:val="21"/>
              </w:rPr>
              <w:t>证</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spacing w:val="91"/>
                <w:sz w:val="21"/>
                <w:szCs w:val="21"/>
              </w:rPr>
              <w:t> </w:t>
            </w:r>
            <w:r>
              <w:rPr>
                <w:rFonts w:ascii="宋体" w:hAnsi="宋体" w:cs="宋体" w:eastAsia="宋体" w:hint="default"/>
                <w:sz w:val="21"/>
                <w:szCs w:val="21"/>
              </w:rPr>
              <w:t>投</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91"/>
                <w:sz w:val="21"/>
                <w:szCs w:val="21"/>
              </w:rPr>
              <w:t> </w:t>
            </w:r>
            <w:r>
              <w:rPr>
                <w:rFonts w:ascii="宋体" w:hAnsi="宋体" w:cs="宋体" w:eastAsia="宋体" w:hint="default"/>
                <w:sz w:val="21"/>
                <w:szCs w:val="21"/>
              </w:rPr>
              <w:t>基</w:t>
            </w:r>
            <w:r>
              <w:rPr>
                <w:rFonts w:ascii="宋体" w:hAnsi="宋体" w:cs="宋体" w:eastAsia="宋体" w:hint="default"/>
                <w:sz w:val="21"/>
                <w:szCs w:val="21"/>
              </w:rPr>
              <w:t> 金</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4,000,000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4,000,000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1.51</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177" w:right="176"/>
              <w:jc w:val="left"/>
              <w:rPr>
                <w:rFonts w:ascii="宋体" w:hAnsi="宋体" w:cs="宋体" w:eastAsia="宋体" w:hint="default"/>
                <w:sz w:val="21"/>
                <w:szCs w:val="21"/>
              </w:rPr>
            </w:pPr>
            <w:r>
              <w:rPr>
                <w:rFonts w:ascii="宋体" w:hAnsi="宋体" w:cs="宋体" w:eastAsia="宋体" w:hint="default"/>
                <w:sz w:val="21"/>
                <w:szCs w:val="21"/>
              </w:rPr>
              <w:t>未 知</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hAnsi="宋体" w:cs="宋体" w:eastAsia="宋体" w:hint="default"/>
                <w:spacing w:val="-1"/>
                <w:w w:val="95"/>
                <w:sz w:val="21"/>
                <w:szCs w:val="21"/>
              </w:rPr>
              <w:t>未知</w:t>
            </w:r>
            <w:r>
              <w:rPr>
                <w:rFonts w:ascii="宋体" w:hAnsi="宋体" w:cs="宋体" w:eastAsia="宋体" w:hint="default"/>
                <w:w w:val="95"/>
                <w:sz w:val="21"/>
                <w:szCs w:val="21"/>
              </w:rPr>
            </w:r>
          </w:p>
        </w:tc>
      </w:tr>
    </w:tbl>
    <w:p>
      <w:pPr>
        <w:spacing w:after="0" w:line="240" w:lineRule="auto"/>
        <w:jc w:val="right"/>
        <w:rPr>
          <w:rFonts w:ascii="宋体" w:hAnsi="宋体" w:cs="宋体" w:eastAsia="宋体" w:hint="default"/>
          <w:sz w:val="21"/>
          <w:szCs w:val="21"/>
        </w:rPr>
        <w:sectPr>
          <w:type w:val="continuous"/>
          <w:pgSz w:w="11910" w:h="16840"/>
          <w:pgMar w:top="108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833"/>
        <w:gridCol w:w="1373"/>
        <w:gridCol w:w="1538"/>
        <w:gridCol w:w="916"/>
        <w:gridCol w:w="530"/>
        <w:gridCol w:w="576"/>
        <w:gridCol w:w="1744"/>
        <w:gridCol w:w="1540"/>
      </w:tblGrid>
      <w:tr>
        <w:trPr>
          <w:trHeight w:val="3754"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91"/>
                <w:sz w:val="21"/>
                <w:szCs w:val="21"/>
              </w:rPr>
              <w:t> </w:t>
            </w:r>
            <w:r>
              <w:rPr>
                <w:rFonts w:ascii="宋体" w:hAnsi="宋体" w:cs="宋体" w:eastAsia="宋体" w:hint="default"/>
                <w:sz w:val="21"/>
                <w:szCs w:val="21"/>
              </w:rPr>
              <w:t>国</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pacing w:val="91"/>
                <w:sz w:val="21"/>
                <w:szCs w:val="21"/>
              </w:rPr>
              <w:t> </w:t>
            </w:r>
            <w:r>
              <w:rPr>
                <w:rFonts w:ascii="宋体" w:hAnsi="宋体" w:cs="宋体" w:eastAsia="宋体" w:hint="default"/>
                <w:sz w:val="21"/>
                <w:szCs w:val="21"/>
              </w:rPr>
              <w:t>商</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spacing w:val="91"/>
                <w:sz w:val="21"/>
                <w:szCs w:val="21"/>
              </w:rPr>
              <w:t> </w:t>
            </w:r>
            <w:r>
              <w:rPr>
                <w:rFonts w:ascii="宋体" w:hAnsi="宋体" w:cs="宋体" w:eastAsia="宋体" w:hint="default"/>
                <w:sz w:val="21"/>
                <w:szCs w:val="21"/>
              </w:rPr>
              <w:t>行</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91"/>
                <w:sz w:val="21"/>
                <w:szCs w:val="21"/>
              </w:rPr>
              <w:t> </w:t>
            </w:r>
            <w:r>
              <w:rPr>
                <w:rFonts w:ascii="宋体" w:hAnsi="宋体" w:cs="宋体" w:eastAsia="宋体" w:hint="default"/>
                <w:sz w:val="21"/>
                <w:szCs w:val="21"/>
              </w:rPr>
              <w:t>南</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方</w:t>
            </w:r>
            <w:r>
              <w:rPr>
                <w:rFonts w:ascii="宋体" w:hAnsi="宋体" w:cs="宋体" w:eastAsia="宋体" w:hint="default"/>
                <w:spacing w:val="91"/>
                <w:sz w:val="21"/>
                <w:szCs w:val="21"/>
              </w:rPr>
              <w:t> </w:t>
            </w:r>
            <w:r>
              <w:rPr>
                <w:rFonts w:ascii="宋体" w:hAnsi="宋体" w:cs="宋体" w:eastAsia="宋体" w:hint="default"/>
                <w:sz w:val="21"/>
                <w:szCs w:val="21"/>
              </w:rPr>
              <w:t>隆</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pacing w:val="91"/>
                <w:sz w:val="21"/>
                <w:szCs w:val="21"/>
              </w:rPr>
              <w:t> </w:t>
            </w:r>
            <w:r>
              <w:rPr>
                <w:rFonts w:ascii="宋体" w:hAnsi="宋体" w:cs="宋体" w:eastAsia="宋体" w:hint="default"/>
                <w:sz w:val="21"/>
                <w:szCs w:val="21"/>
              </w:rPr>
              <w:t>产</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pacing w:val="91"/>
                <w:sz w:val="21"/>
                <w:szCs w:val="21"/>
              </w:rPr>
              <w:t> </w:t>
            </w:r>
            <w:r>
              <w:rPr>
                <w:rFonts w:ascii="宋体" w:hAnsi="宋体" w:cs="宋体" w:eastAsia="宋体" w:hint="default"/>
                <w:sz w:val="21"/>
                <w:szCs w:val="21"/>
              </w:rPr>
              <w:t>主</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题</w:t>
            </w:r>
            <w:r>
              <w:rPr>
                <w:rFonts w:ascii="宋体" w:hAnsi="宋体" w:cs="宋体" w:eastAsia="宋体" w:hint="default"/>
                <w:spacing w:val="91"/>
                <w:sz w:val="21"/>
                <w:szCs w:val="21"/>
              </w:rPr>
              <w:t> </w:t>
            </w:r>
            <w:r>
              <w:rPr>
                <w:rFonts w:ascii="宋体" w:hAnsi="宋体" w:cs="宋体" w:eastAsia="宋体" w:hint="default"/>
                <w:sz w:val="21"/>
                <w:szCs w:val="21"/>
              </w:rPr>
              <w:t>股</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票</w:t>
            </w:r>
            <w:r>
              <w:rPr>
                <w:rFonts w:ascii="宋体" w:hAnsi="宋体" w:cs="宋体" w:eastAsia="宋体" w:hint="default"/>
                <w:spacing w:val="91"/>
                <w:sz w:val="21"/>
                <w:szCs w:val="21"/>
              </w:rPr>
              <w:t> </w:t>
            </w:r>
            <w:r>
              <w:rPr>
                <w:rFonts w:ascii="宋体" w:hAnsi="宋体" w:cs="宋体" w:eastAsia="宋体" w:hint="default"/>
                <w:sz w:val="21"/>
                <w:szCs w:val="21"/>
              </w:rPr>
              <w:t>型</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证</w:t>
            </w:r>
            <w:r>
              <w:rPr>
                <w:rFonts w:ascii="宋体" w:hAnsi="宋体" w:cs="宋体" w:eastAsia="宋体" w:hint="default"/>
                <w:spacing w:val="91"/>
                <w:sz w:val="21"/>
                <w:szCs w:val="21"/>
              </w:rPr>
              <w:t> </w:t>
            </w:r>
            <w:r>
              <w:rPr>
                <w:rFonts w:ascii="宋体" w:hAnsi="宋体" w:cs="宋体" w:eastAsia="宋体" w:hint="default"/>
                <w:sz w:val="21"/>
                <w:szCs w:val="21"/>
              </w:rPr>
              <w:t>券</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91"/>
                <w:sz w:val="21"/>
                <w:szCs w:val="21"/>
              </w:rPr>
              <w:t> </w:t>
            </w:r>
            <w:r>
              <w:rPr>
                <w:rFonts w:ascii="宋体" w:hAnsi="宋体" w:cs="宋体" w:eastAsia="宋体" w:hint="default"/>
                <w:sz w:val="21"/>
                <w:szCs w:val="21"/>
              </w:rPr>
              <w:t>资</w:t>
            </w:r>
            <w:r>
              <w:rPr>
                <w:rFonts w:ascii="宋体" w:hAnsi="宋体" w:cs="宋体" w:eastAsia="宋体" w:hint="default"/>
                <w:sz w:val="21"/>
                <w:szCs w:val="21"/>
              </w:rPr>
              <w:t> 基金</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3,750,142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3,750,142</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1.42</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00"/>
              <w:jc w:val="right"/>
              <w:rPr>
                <w:rFonts w:ascii="宋体" w:hAnsi="宋体" w:cs="宋体" w:eastAsia="宋体" w:hint="default"/>
                <w:sz w:val="21"/>
                <w:szCs w:val="21"/>
              </w:rPr>
            </w:pPr>
            <w:r>
              <w:rPr>
                <w:rFonts w:ascii="宋体"/>
                <w:sz w:val="21"/>
              </w:rPr>
              <w:t>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65"/>
              <w:ind w:left="177" w:right="176"/>
              <w:jc w:val="left"/>
              <w:rPr>
                <w:rFonts w:ascii="宋体" w:hAnsi="宋体" w:cs="宋体" w:eastAsia="宋体" w:hint="default"/>
                <w:sz w:val="21"/>
                <w:szCs w:val="21"/>
              </w:rPr>
            </w:pPr>
            <w:r>
              <w:rPr>
                <w:rFonts w:ascii="宋体" w:hAnsi="宋体" w:cs="宋体" w:eastAsia="宋体" w:hint="default"/>
                <w:sz w:val="21"/>
                <w:szCs w:val="21"/>
              </w:rPr>
              <w:t>未 知</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01"/>
              <w:jc w:val="right"/>
              <w:rPr>
                <w:rFonts w:ascii="宋体" w:hAnsi="宋体" w:cs="宋体" w:eastAsia="宋体" w:hint="default"/>
                <w:sz w:val="21"/>
                <w:szCs w:val="21"/>
              </w:rPr>
            </w:pPr>
            <w:r>
              <w:rPr>
                <w:rFonts w:ascii="宋体"/>
                <w:sz w:val="21"/>
              </w:rPr>
              <w:t>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02"/>
              <w:jc w:val="right"/>
              <w:rPr>
                <w:rFonts w:ascii="宋体" w:hAnsi="宋体" w:cs="宋体" w:eastAsia="宋体" w:hint="default"/>
                <w:sz w:val="21"/>
                <w:szCs w:val="21"/>
              </w:rPr>
            </w:pPr>
            <w:r>
              <w:rPr>
                <w:rFonts w:ascii="宋体" w:hAnsi="宋体" w:cs="宋体" w:eastAsia="宋体" w:hint="default"/>
                <w:spacing w:val="-1"/>
                <w:w w:val="95"/>
                <w:sz w:val="21"/>
                <w:szCs w:val="21"/>
              </w:rPr>
              <w:t>未知</w:t>
            </w:r>
            <w:r>
              <w:rPr>
                <w:rFonts w:ascii="宋体" w:hAnsi="宋体" w:cs="宋体" w:eastAsia="宋体" w:hint="default"/>
                <w:w w:val="95"/>
                <w:sz w:val="21"/>
                <w:szCs w:val="21"/>
              </w:rPr>
            </w:r>
          </w:p>
        </w:tc>
      </w:tr>
      <w:tr>
        <w:trPr>
          <w:trHeight w:val="3754"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91"/>
                <w:sz w:val="21"/>
                <w:szCs w:val="21"/>
              </w:rPr>
              <w:t> </w:t>
            </w:r>
            <w:r>
              <w:rPr>
                <w:rFonts w:ascii="宋体" w:hAnsi="宋体" w:cs="宋体" w:eastAsia="宋体" w:hint="default"/>
                <w:sz w:val="21"/>
                <w:szCs w:val="21"/>
              </w:rPr>
              <w:t>国</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spacing w:val="91"/>
                <w:sz w:val="21"/>
                <w:szCs w:val="21"/>
              </w:rPr>
              <w:t> </w:t>
            </w:r>
            <w:r>
              <w:rPr>
                <w:rFonts w:ascii="宋体" w:hAnsi="宋体" w:cs="宋体" w:eastAsia="宋体" w:hint="default"/>
                <w:sz w:val="21"/>
                <w:szCs w:val="21"/>
              </w:rPr>
              <w:t>设</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spacing w:val="91"/>
                <w:sz w:val="21"/>
                <w:szCs w:val="21"/>
              </w:rPr>
              <w:t> </w:t>
            </w:r>
            <w:r>
              <w:rPr>
                <w:rFonts w:ascii="宋体" w:hAnsi="宋体" w:cs="宋体" w:eastAsia="宋体" w:hint="default"/>
                <w:sz w:val="21"/>
                <w:szCs w:val="21"/>
              </w:rPr>
              <w:t>行</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91"/>
                <w:sz w:val="21"/>
                <w:szCs w:val="21"/>
              </w:rPr>
              <w:t> </w:t>
            </w:r>
            <w:r>
              <w:rPr>
                <w:rFonts w:ascii="宋体" w:hAnsi="宋体" w:cs="宋体" w:eastAsia="宋体" w:hint="default"/>
                <w:sz w:val="21"/>
                <w:szCs w:val="21"/>
              </w:rPr>
              <w:t>华</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宝</w:t>
            </w:r>
            <w:r>
              <w:rPr>
                <w:rFonts w:ascii="宋体" w:hAnsi="宋体" w:cs="宋体" w:eastAsia="宋体" w:hint="default"/>
                <w:spacing w:val="91"/>
                <w:sz w:val="21"/>
                <w:szCs w:val="21"/>
              </w:rPr>
              <w:t> </w:t>
            </w:r>
            <w:r>
              <w:rPr>
                <w:rFonts w:ascii="宋体" w:hAnsi="宋体" w:cs="宋体" w:eastAsia="宋体" w:hint="default"/>
                <w:sz w:val="21"/>
                <w:szCs w:val="21"/>
              </w:rPr>
              <w:t>兴</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pacing w:val="91"/>
                <w:sz w:val="21"/>
                <w:szCs w:val="21"/>
              </w:rPr>
              <w:t> </w:t>
            </w:r>
            <w:r>
              <w:rPr>
                <w:rFonts w:ascii="宋体" w:hAnsi="宋体" w:cs="宋体" w:eastAsia="宋体" w:hint="default"/>
                <w:sz w:val="21"/>
                <w:szCs w:val="21"/>
              </w:rPr>
              <w:t>收</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pacing w:val="91"/>
                <w:sz w:val="21"/>
                <w:szCs w:val="21"/>
              </w:rPr>
              <w:t> </w:t>
            </w:r>
            <w:r>
              <w:rPr>
                <w:rFonts w:ascii="宋体" w:hAnsi="宋体" w:cs="宋体" w:eastAsia="宋体" w:hint="default"/>
                <w:sz w:val="21"/>
                <w:szCs w:val="21"/>
              </w:rPr>
              <w:t>增</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91"/>
                <w:sz w:val="21"/>
                <w:szCs w:val="21"/>
              </w:rPr>
              <w:t> </w:t>
            </w:r>
            <w:r>
              <w:rPr>
                <w:rFonts w:ascii="宋体" w:hAnsi="宋体" w:cs="宋体" w:eastAsia="宋体" w:hint="default"/>
                <w:sz w:val="21"/>
                <w:szCs w:val="21"/>
              </w:rPr>
              <w:t>混</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91"/>
                <w:sz w:val="21"/>
                <w:szCs w:val="21"/>
              </w:rPr>
              <w:t> </w:t>
            </w:r>
            <w:r>
              <w:rPr>
                <w:rFonts w:ascii="宋体" w:hAnsi="宋体" w:cs="宋体" w:eastAsia="宋体" w:hint="default"/>
                <w:sz w:val="21"/>
                <w:szCs w:val="21"/>
              </w:rPr>
              <w:t>型</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证</w:t>
            </w:r>
            <w:r>
              <w:rPr>
                <w:rFonts w:ascii="宋体" w:hAnsi="宋体" w:cs="宋体" w:eastAsia="宋体" w:hint="default"/>
                <w:spacing w:val="91"/>
                <w:sz w:val="21"/>
                <w:szCs w:val="21"/>
              </w:rPr>
              <w:t> </w:t>
            </w:r>
            <w:r>
              <w:rPr>
                <w:rFonts w:ascii="宋体" w:hAnsi="宋体" w:cs="宋体" w:eastAsia="宋体" w:hint="default"/>
                <w:sz w:val="21"/>
                <w:szCs w:val="21"/>
              </w:rPr>
              <w:t>券</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91"/>
                <w:sz w:val="21"/>
                <w:szCs w:val="21"/>
              </w:rPr>
              <w:t> </w:t>
            </w:r>
            <w:r>
              <w:rPr>
                <w:rFonts w:ascii="宋体" w:hAnsi="宋体" w:cs="宋体" w:eastAsia="宋体" w:hint="default"/>
                <w:sz w:val="21"/>
                <w:szCs w:val="21"/>
              </w:rPr>
              <w:t>资</w:t>
            </w:r>
            <w:r>
              <w:rPr>
                <w:rFonts w:ascii="宋体" w:hAnsi="宋体" w:cs="宋体" w:eastAsia="宋体" w:hint="default"/>
                <w:sz w:val="21"/>
                <w:szCs w:val="21"/>
              </w:rPr>
              <w:t> 基金</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3,558,869</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3,558,869</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1.35</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00"/>
              <w:jc w:val="right"/>
              <w:rPr>
                <w:rFonts w:ascii="宋体" w:hAnsi="宋体" w:cs="宋体" w:eastAsia="宋体" w:hint="default"/>
                <w:sz w:val="21"/>
                <w:szCs w:val="21"/>
              </w:rPr>
            </w:pPr>
            <w:r>
              <w:rPr>
                <w:rFonts w:ascii="宋体"/>
                <w:sz w:val="21"/>
              </w:rPr>
              <w:t>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65"/>
              <w:ind w:left="177" w:right="176"/>
              <w:jc w:val="left"/>
              <w:rPr>
                <w:rFonts w:ascii="宋体" w:hAnsi="宋体" w:cs="宋体" w:eastAsia="宋体" w:hint="default"/>
                <w:sz w:val="21"/>
                <w:szCs w:val="21"/>
              </w:rPr>
            </w:pPr>
            <w:r>
              <w:rPr>
                <w:rFonts w:ascii="宋体" w:hAnsi="宋体" w:cs="宋体" w:eastAsia="宋体" w:hint="default"/>
                <w:sz w:val="21"/>
                <w:szCs w:val="21"/>
              </w:rPr>
              <w:t>未 知</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01"/>
              <w:jc w:val="right"/>
              <w:rPr>
                <w:rFonts w:ascii="宋体" w:hAnsi="宋体" w:cs="宋体" w:eastAsia="宋体" w:hint="default"/>
                <w:sz w:val="21"/>
                <w:szCs w:val="21"/>
              </w:rPr>
            </w:pPr>
            <w:r>
              <w:rPr>
                <w:rFonts w:ascii="宋体"/>
                <w:sz w:val="21"/>
              </w:rPr>
              <w:t>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02"/>
              <w:jc w:val="right"/>
              <w:rPr>
                <w:rFonts w:ascii="宋体" w:hAnsi="宋体" w:cs="宋体" w:eastAsia="宋体" w:hint="default"/>
                <w:sz w:val="21"/>
                <w:szCs w:val="21"/>
              </w:rPr>
            </w:pPr>
            <w:r>
              <w:rPr>
                <w:rFonts w:ascii="宋体" w:hAnsi="宋体" w:cs="宋体" w:eastAsia="宋体" w:hint="default"/>
                <w:spacing w:val="-1"/>
                <w:w w:val="95"/>
                <w:sz w:val="21"/>
                <w:szCs w:val="21"/>
              </w:rPr>
              <w:t>未知</w:t>
            </w:r>
            <w:r>
              <w:rPr>
                <w:rFonts w:ascii="宋体" w:hAnsi="宋体" w:cs="宋体" w:eastAsia="宋体" w:hint="default"/>
                <w:w w:val="95"/>
                <w:sz w:val="21"/>
                <w:szCs w:val="21"/>
              </w:rPr>
            </w:r>
          </w:p>
        </w:tc>
      </w:tr>
      <w:tr>
        <w:trPr>
          <w:trHeight w:val="5003"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91"/>
                <w:sz w:val="21"/>
                <w:szCs w:val="21"/>
              </w:rPr>
              <w:t> </w:t>
            </w:r>
            <w:r>
              <w:rPr>
                <w:rFonts w:ascii="宋体" w:hAnsi="宋体" w:cs="宋体" w:eastAsia="宋体" w:hint="default"/>
                <w:sz w:val="21"/>
                <w:szCs w:val="21"/>
              </w:rPr>
              <w:t>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spacing w:val="91"/>
                <w:sz w:val="21"/>
                <w:szCs w:val="21"/>
              </w:rPr>
              <w:t> </w:t>
            </w:r>
            <w:r>
              <w:rPr>
                <w:rFonts w:ascii="宋体" w:hAnsi="宋体" w:cs="宋体" w:eastAsia="宋体" w:hint="default"/>
                <w:sz w:val="21"/>
                <w:szCs w:val="21"/>
              </w:rPr>
              <w:t>行</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91"/>
                <w:sz w:val="21"/>
                <w:szCs w:val="21"/>
              </w:rPr>
              <w:t> </w:t>
            </w:r>
            <w:r>
              <w:rPr>
                <w:rFonts w:ascii="宋体" w:hAnsi="宋体" w:cs="宋体" w:eastAsia="宋体" w:hint="default"/>
                <w:sz w:val="21"/>
                <w:szCs w:val="21"/>
              </w:rPr>
              <w:t>份</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91"/>
                <w:sz w:val="21"/>
                <w:szCs w:val="21"/>
              </w:rPr>
              <w:t> </w:t>
            </w:r>
            <w:r>
              <w:rPr>
                <w:rFonts w:ascii="宋体" w:hAnsi="宋体" w:cs="宋体" w:eastAsia="宋体" w:hint="default"/>
                <w:sz w:val="21"/>
                <w:szCs w:val="21"/>
              </w:rPr>
              <w:t>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91"/>
                <w:sz w:val="21"/>
                <w:szCs w:val="21"/>
              </w:rPr>
              <w:t> </w:t>
            </w:r>
            <w:r>
              <w:rPr>
                <w:rFonts w:ascii="宋体" w:hAnsi="宋体" w:cs="宋体" w:eastAsia="宋体" w:hint="default"/>
                <w:sz w:val="21"/>
                <w:szCs w:val="21"/>
              </w:rPr>
              <w:t>司</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91"/>
                <w:sz w:val="21"/>
                <w:szCs w:val="21"/>
              </w:rPr>
              <w:t> </w:t>
            </w:r>
            <w:r>
              <w:rPr>
                <w:rFonts w:ascii="宋体" w:hAnsi="宋体" w:cs="宋体" w:eastAsia="宋体" w:hint="default"/>
                <w:sz w:val="21"/>
                <w:szCs w:val="21"/>
              </w:rPr>
              <w:t>泰</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达</w:t>
            </w:r>
            <w:r>
              <w:rPr>
                <w:rFonts w:ascii="宋体" w:hAnsi="宋体" w:cs="宋体" w:eastAsia="宋体" w:hint="default"/>
                <w:spacing w:val="91"/>
                <w:sz w:val="21"/>
                <w:szCs w:val="21"/>
              </w:rPr>
              <w:t> </w:t>
            </w:r>
            <w:r>
              <w:rPr>
                <w:rFonts w:ascii="宋体" w:hAnsi="宋体" w:cs="宋体" w:eastAsia="宋体" w:hint="default"/>
                <w:sz w:val="21"/>
                <w:szCs w:val="21"/>
              </w:rPr>
              <w:t>宏</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spacing w:val="91"/>
                <w:sz w:val="21"/>
                <w:szCs w:val="21"/>
              </w:rPr>
              <w:t> </w:t>
            </w:r>
            <w:r>
              <w:rPr>
                <w:rFonts w:ascii="宋体" w:hAnsi="宋体" w:cs="宋体" w:eastAsia="宋体" w:hint="default"/>
                <w:sz w:val="21"/>
                <w:szCs w:val="21"/>
              </w:rPr>
              <w:t>价</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spacing w:val="91"/>
                <w:sz w:val="21"/>
                <w:szCs w:val="21"/>
              </w:rPr>
              <w:t> </w:t>
            </w:r>
            <w:r>
              <w:rPr>
                <w:rFonts w:ascii="宋体" w:hAnsi="宋体" w:cs="宋体" w:eastAsia="宋体" w:hint="default"/>
                <w:sz w:val="21"/>
                <w:szCs w:val="21"/>
              </w:rPr>
              <w:t>优</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化</w:t>
            </w:r>
            <w:r>
              <w:rPr>
                <w:rFonts w:ascii="宋体" w:hAnsi="宋体" w:cs="宋体" w:eastAsia="宋体" w:hint="default"/>
                <w:spacing w:val="91"/>
                <w:sz w:val="21"/>
                <w:szCs w:val="21"/>
              </w:rPr>
              <w:t> </w:t>
            </w:r>
            <w:r>
              <w:rPr>
                <w:rFonts w:ascii="宋体" w:hAnsi="宋体" w:cs="宋体" w:eastAsia="宋体" w:hint="default"/>
                <w:sz w:val="21"/>
                <w:szCs w:val="21"/>
              </w:rPr>
              <w:t>型</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成</w:t>
            </w:r>
            <w:r>
              <w:rPr>
                <w:rFonts w:ascii="宋体" w:hAnsi="宋体" w:cs="宋体" w:eastAsia="宋体" w:hint="default"/>
                <w:spacing w:val="91"/>
                <w:sz w:val="21"/>
                <w:szCs w:val="21"/>
              </w:rPr>
              <w:t> </w:t>
            </w:r>
            <w:r>
              <w:rPr>
                <w:rFonts w:ascii="宋体" w:hAnsi="宋体" w:cs="宋体" w:eastAsia="宋体" w:hint="default"/>
                <w:sz w:val="21"/>
                <w:szCs w:val="21"/>
              </w:rPr>
              <w:t>长</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spacing w:val="91"/>
                <w:sz w:val="21"/>
                <w:szCs w:val="21"/>
              </w:rPr>
              <w:t> </w:t>
            </w:r>
            <w:r>
              <w:rPr>
                <w:rFonts w:ascii="宋体" w:hAnsi="宋体" w:cs="宋体" w:eastAsia="宋体" w:hint="default"/>
                <w:sz w:val="21"/>
                <w:szCs w:val="21"/>
              </w:rPr>
              <w:t>行</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pacing w:val="91"/>
                <w:sz w:val="21"/>
                <w:szCs w:val="21"/>
              </w:rPr>
              <w:t> </w:t>
            </w:r>
            <w:r>
              <w:rPr>
                <w:rFonts w:ascii="宋体" w:hAnsi="宋体" w:cs="宋体" w:eastAsia="宋体" w:hint="default"/>
                <w:sz w:val="21"/>
                <w:szCs w:val="21"/>
              </w:rPr>
              <w:t>证</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spacing w:val="91"/>
                <w:sz w:val="21"/>
                <w:szCs w:val="21"/>
              </w:rPr>
              <w:t> </w:t>
            </w:r>
            <w:r>
              <w:rPr>
                <w:rFonts w:ascii="宋体" w:hAnsi="宋体" w:cs="宋体" w:eastAsia="宋体" w:hint="default"/>
                <w:sz w:val="21"/>
                <w:szCs w:val="21"/>
              </w:rPr>
              <w:t>投</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91"/>
                <w:sz w:val="21"/>
                <w:szCs w:val="21"/>
              </w:rPr>
              <w:t> </w:t>
            </w:r>
            <w:r>
              <w:rPr>
                <w:rFonts w:ascii="宋体" w:hAnsi="宋体" w:cs="宋体" w:eastAsia="宋体" w:hint="default"/>
                <w:sz w:val="21"/>
                <w:szCs w:val="21"/>
              </w:rPr>
              <w:t>基</w:t>
            </w:r>
            <w:r>
              <w:rPr>
                <w:rFonts w:ascii="宋体" w:hAnsi="宋体" w:cs="宋体" w:eastAsia="宋体" w:hint="default"/>
                <w:sz w:val="21"/>
                <w:szCs w:val="21"/>
              </w:rPr>
              <w:t> 金</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2,822,744</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2,822,744</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1.07</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宋体" w:hAnsi="宋体" w:cs="宋体" w:eastAsia="宋体" w:hint="default"/>
                <w:sz w:val="21"/>
                <w:szCs w:val="21"/>
              </w:rPr>
            </w:pPr>
            <w:r>
              <w:rPr>
                <w:rFonts w:ascii="宋体"/>
                <w:sz w:val="21"/>
              </w:rPr>
              <w:t>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73" w:lineRule="auto"/>
              <w:ind w:left="177" w:right="176"/>
              <w:jc w:val="left"/>
              <w:rPr>
                <w:rFonts w:ascii="宋体" w:hAnsi="宋体" w:cs="宋体" w:eastAsia="宋体" w:hint="default"/>
                <w:sz w:val="21"/>
                <w:szCs w:val="21"/>
              </w:rPr>
            </w:pPr>
            <w:r>
              <w:rPr>
                <w:rFonts w:ascii="宋体" w:hAnsi="宋体" w:cs="宋体" w:eastAsia="宋体" w:hint="default"/>
                <w:sz w:val="21"/>
                <w:szCs w:val="21"/>
              </w:rPr>
              <w:t>未 知</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宋体" w:hAnsi="宋体" w:cs="宋体" w:eastAsia="宋体" w:hint="default"/>
                <w:sz w:val="21"/>
                <w:szCs w:val="21"/>
              </w:rPr>
            </w:pPr>
            <w:r>
              <w:rPr>
                <w:rFonts w:ascii="宋体" w:hAnsi="宋体" w:cs="宋体" w:eastAsia="宋体" w:hint="default"/>
                <w:spacing w:val="-1"/>
                <w:w w:val="95"/>
                <w:sz w:val="21"/>
                <w:szCs w:val="21"/>
              </w:rPr>
              <w:t>未知</w:t>
            </w:r>
            <w:r>
              <w:rPr>
                <w:rFonts w:ascii="宋体" w:hAnsi="宋体" w:cs="宋体" w:eastAsia="宋体" w:hint="default"/>
                <w:w w:val="95"/>
                <w:sz w:val="21"/>
                <w:szCs w:val="21"/>
              </w:rPr>
            </w:r>
          </w:p>
        </w:tc>
      </w:tr>
    </w:tbl>
    <w:p>
      <w:pPr>
        <w:spacing w:after="0" w:line="240" w:lineRule="auto"/>
        <w:jc w:val="right"/>
        <w:rPr>
          <w:rFonts w:ascii="宋体" w:hAnsi="宋体" w:cs="宋体" w:eastAsia="宋体" w:hint="default"/>
          <w:sz w:val="21"/>
          <w:szCs w:val="21"/>
        </w:rPr>
        <w:sectPr>
          <w:pgSz w:w="11910" w:h="16840"/>
          <w:pgMar w:header="882" w:footer="1197"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833"/>
        <w:gridCol w:w="1373"/>
        <w:gridCol w:w="1316"/>
        <w:gridCol w:w="222"/>
        <w:gridCol w:w="916"/>
        <w:gridCol w:w="530"/>
        <w:gridCol w:w="576"/>
        <w:gridCol w:w="438"/>
        <w:gridCol w:w="1306"/>
        <w:gridCol w:w="1540"/>
      </w:tblGrid>
      <w:tr>
        <w:trPr>
          <w:trHeight w:val="3442"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91"/>
                <w:sz w:val="21"/>
                <w:szCs w:val="21"/>
              </w:rPr>
              <w:t> </w:t>
            </w:r>
            <w:r>
              <w:rPr>
                <w:rFonts w:ascii="宋体" w:hAnsi="宋体" w:cs="宋体" w:eastAsia="宋体" w:hint="default"/>
                <w:sz w:val="21"/>
                <w:szCs w:val="21"/>
              </w:rPr>
              <w:t>国</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pacing w:val="91"/>
                <w:sz w:val="21"/>
                <w:szCs w:val="21"/>
              </w:rPr>
              <w:t> </w:t>
            </w:r>
            <w:r>
              <w:rPr>
                <w:rFonts w:ascii="宋体" w:hAnsi="宋体" w:cs="宋体" w:eastAsia="宋体" w:hint="default"/>
                <w:sz w:val="21"/>
                <w:szCs w:val="21"/>
              </w:rPr>
              <w:t>商</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spacing w:val="91"/>
                <w:sz w:val="21"/>
                <w:szCs w:val="21"/>
              </w:rPr>
              <w:t> </w:t>
            </w:r>
            <w:r>
              <w:rPr>
                <w:rFonts w:ascii="宋体" w:hAnsi="宋体" w:cs="宋体" w:eastAsia="宋体" w:hint="default"/>
                <w:sz w:val="21"/>
                <w:szCs w:val="21"/>
              </w:rPr>
              <w:t>行</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91"/>
                <w:sz w:val="21"/>
                <w:szCs w:val="21"/>
              </w:rPr>
              <w:t> </w:t>
            </w:r>
            <w:r>
              <w:rPr>
                <w:rFonts w:ascii="宋体" w:hAnsi="宋体" w:cs="宋体" w:eastAsia="宋体" w:hint="default"/>
                <w:sz w:val="21"/>
                <w:szCs w:val="21"/>
              </w:rPr>
              <w:t>广</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pacing w:val="91"/>
                <w:sz w:val="21"/>
                <w:szCs w:val="21"/>
              </w:rPr>
              <w:t> </w:t>
            </w:r>
            <w:r>
              <w:rPr>
                <w:rFonts w:ascii="宋体" w:hAnsi="宋体" w:cs="宋体" w:eastAsia="宋体" w:hint="default"/>
                <w:sz w:val="21"/>
                <w:szCs w:val="21"/>
              </w:rPr>
              <w:t>策</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略</w:t>
            </w:r>
            <w:r>
              <w:rPr>
                <w:rFonts w:ascii="宋体" w:hAnsi="宋体" w:cs="宋体" w:eastAsia="宋体" w:hint="default"/>
                <w:spacing w:val="91"/>
                <w:sz w:val="21"/>
                <w:szCs w:val="21"/>
              </w:rPr>
              <w:t> </w:t>
            </w:r>
            <w:r>
              <w:rPr>
                <w:rFonts w:ascii="宋体" w:hAnsi="宋体" w:cs="宋体" w:eastAsia="宋体" w:hint="default"/>
                <w:sz w:val="21"/>
                <w:szCs w:val="21"/>
              </w:rPr>
              <w:t>优</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选</w:t>
            </w:r>
            <w:r>
              <w:rPr>
                <w:rFonts w:ascii="宋体" w:hAnsi="宋体" w:cs="宋体" w:eastAsia="宋体" w:hint="default"/>
                <w:spacing w:val="91"/>
                <w:sz w:val="21"/>
                <w:szCs w:val="21"/>
              </w:rPr>
              <w:t> </w:t>
            </w:r>
            <w:r>
              <w:rPr>
                <w:rFonts w:ascii="宋体" w:hAnsi="宋体" w:cs="宋体" w:eastAsia="宋体" w:hint="default"/>
                <w:sz w:val="21"/>
                <w:szCs w:val="21"/>
              </w:rPr>
              <w:t>混</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91"/>
                <w:sz w:val="21"/>
                <w:szCs w:val="21"/>
              </w:rPr>
              <w:t> </w:t>
            </w:r>
            <w:r>
              <w:rPr>
                <w:rFonts w:ascii="宋体" w:hAnsi="宋体" w:cs="宋体" w:eastAsia="宋体" w:hint="default"/>
                <w:sz w:val="21"/>
                <w:szCs w:val="21"/>
              </w:rPr>
              <w:t>型</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证</w:t>
            </w:r>
            <w:r>
              <w:rPr>
                <w:rFonts w:ascii="宋体" w:hAnsi="宋体" w:cs="宋体" w:eastAsia="宋体" w:hint="default"/>
                <w:spacing w:val="91"/>
                <w:sz w:val="21"/>
                <w:szCs w:val="21"/>
              </w:rPr>
              <w:t> </w:t>
            </w:r>
            <w:r>
              <w:rPr>
                <w:rFonts w:ascii="宋体" w:hAnsi="宋体" w:cs="宋体" w:eastAsia="宋体" w:hint="default"/>
                <w:sz w:val="21"/>
                <w:szCs w:val="21"/>
              </w:rPr>
              <w:t>券</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91"/>
                <w:sz w:val="21"/>
                <w:szCs w:val="21"/>
              </w:rPr>
              <w:t> </w:t>
            </w:r>
            <w:r>
              <w:rPr>
                <w:rFonts w:ascii="宋体" w:hAnsi="宋体" w:cs="宋体" w:eastAsia="宋体" w:hint="default"/>
                <w:sz w:val="21"/>
                <w:szCs w:val="21"/>
              </w:rPr>
              <w:t>资</w:t>
            </w:r>
            <w:r>
              <w:rPr>
                <w:rFonts w:ascii="宋体" w:hAnsi="宋体" w:cs="宋体" w:eastAsia="宋体" w:hint="default"/>
                <w:sz w:val="21"/>
                <w:szCs w:val="21"/>
              </w:rPr>
              <w:t> 基金</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right="101"/>
              <w:jc w:val="right"/>
              <w:rPr>
                <w:rFonts w:ascii="宋体" w:hAnsi="宋体" w:cs="宋体" w:eastAsia="宋体" w:hint="default"/>
                <w:sz w:val="21"/>
                <w:szCs w:val="21"/>
              </w:rPr>
            </w:pPr>
            <w:r>
              <w:rPr>
                <w:rFonts w:ascii="宋体"/>
                <w:spacing w:val="-1"/>
                <w:sz w:val="21"/>
              </w:rPr>
              <w:t>2,571,153</w:t>
            </w:r>
          </w:p>
        </w:tc>
        <w:tc>
          <w:tcPr>
            <w:tcW w:w="15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479" w:right="0"/>
              <w:jc w:val="left"/>
              <w:rPr>
                <w:rFonts w:ascii="宋体" w:hAnsi="宋体" w:cs="宋体" w:eastAsia="宋体" w:hint="default"/>
                <w:sz w:val="21"/>
                <w:szCs w:val="21"/>
              </w:rPr>
            </w:pPr>
            <w:r>
              <w:rPr>
                <w:rFonts w:ascii="宋体"/>
                <w:sz w:val="21"/>
              </w:rPr>
              <w:t>2,571,153</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right="101"/>
              <w:jc w:val="right"/>
              <w:rPr>
                <w:rFonts w:ascii="宋体" w:hAnsi="宋体" w:cs="宋体" w:eastAsia="宋体" w:hint="default"/>
                <w:sz w:val="21"/>
                <w:szCs w:val="21"/>
              </w:rPr>
            </w:pPr>
            <w:r>
              <w:rPr>
                <w:rFonts w:ascii="宋体"/>
                <w:spacing w:val="-1"/>
                <w:sz w:val="21"/>
              </w:rPr>
              <w:t>0.97</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right="100"/>
              <w:jc w:val="right"/>
              <w:rPr>
                <w:rFonts w:ascii="宋体" w:hAnsi="宋体" w:cs="宋体" w:eastAsia="宋体" w:hint="default"/>
                <w:sz w:val="21"/>
                <w:szCs w:val="21"/>
              </w:rPr>
            </w:pPr>
            <w:r>
              <w:rPr>
                <w:rFonts w:ascii="宋体"/>
                <w:sz w:val="21"/>
              </w:rPr>
              <w:t>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73" w:lineRule="auto"/>
              <w:ind w:left="177" w:right="176"/>
              <w:jc w:val="left"/>
              <w:rPr>
                <w:rFonts w:ascii="宋体" w:hAnsi="宋体" w:cs="宋体" w:eastAsia="宋体" w:hint="default"/>
                <w:sz w:val="21"/>
                <w:szCs w:val="21"/>
              </w:rPr>
            </w:pPr>
            <w:r>
              <w:rPr>
                <w:rFonts w:ascii="宋体" w:hAnsi="宋体" w:cs="宋体" w:eastAsia="宋体" w:hint="default"/>
                <w:sz w:val="21"/>
                <w:szCs w:val="21"/>
              </w:rPr>
              <w:t>未 知</w:t>
            </w:r>
          </w:p>
        </w:tc>
        <w:tc>
          <w:tcPr>
            <w:tcW w:w="17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right="101"/>
              <w:jc w:val="right"/>
              <w:rPr>
                <w:rFonts w:ascii="宋体" w:hAnsi="宋体" w:cs="宋体" w:eastAsia="宋体" w:hint="default"/>
                <w:sz w:val="21"/>
                <w:szCs w:val="21"/>
              </w:rPr>
            </w:pPr>
            <w:r>
              <w:rPr>
                <w:rFonts w:ascii="宋体"/>
                <w:sz w:val="21"/>
              </w:rPr>
              <w:t>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right="102"/>
              <w:jc w:val="right"/>
              <w:rPr>
                <w:rFonts w:ascii="宋体" w:hAnsi="宋体" w:cs="宋体" w:eastAsia="宋体" w:hint="default"/>
                <w:sz w:val="21"/>
                <w:szCs w:val="21"/>
              </w:rPr>
            </w:pPr>
            <w:r>
              <w:rPr>
                <w:rFonts w:ascii="宋体" w:hAnsi="宋体" w:cs="宋体" w:eastAsia="宋体" w:hint="default"/>
                <w:spacing w:val="-1"/>
                <w:w w:val="95"/>
                <w:sz w:val="21"/>
                <w:szCs w:val="21"/>
              </w:rPr>
              <w:t>未知</w:t>
            </w:r>
            <w:r>
              <w:rPr>
                <w:rFonts w:ascii="宋体" w:hAnsi="宋体" w:cs="宋体" w:eastAsia="宋体" w:hint="default"/>
                <w:w w:val="95"/>
                <w:sz w:val="21"/>
                <w:szCs w:val="21"/>
              </w:rPr>
            </w:r>
          </w:p>
        </w:tc>
      </w:tr>
      <w:tr>
        <w:trPr>
          <w:trHeight w:val="2818"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91"/>
                <w:sz w:val="21"/>
                <w:szCs w:val="21"/>
              </w:rPr>
              <w:t> </w:t>
            </w:r>
            <w:r>
              <w:rPr>
                <w:rFonts w:ascii="宋体" w:hAnsi="宋体" w:cs="宋体" w:eastAsia="宋体" w:hint="default"/>
                <w:sz w:val="21"/>
                <w:szCs w:val="21"/>
              </w:rPr>
              <w:t>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spacing w:val="91"/>
                <w:sz w:val="21"/>
                <w:szCs w:val="21"/>
              </w:rPr>
              <w:t> </w:t>
            </w:r>
            <w:r>
              <w:rPr>
                <w:rFonts w:ascii="宋体" w:hAnsi="宋体" w:cs="宋体" w:eastAsia="宋体" w:hint="default"/>
                <w:sz w:val="21"/>
                <w:szCs w:val="21"/>
              </w:rPr>
              <w:t>行</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91"/>
                <w:sz w:val="21"/>
                <w:szCs w:val="21"/>
              </w:rPr>
              <w:t> </w:t>
            </w:r>
            <w:r>
              <w:rPr>
                <w:rFonts w:ascii="宋体" w:hAnsi="宋体" w:cs="宋体" w:eastAsia="宋体" w:hint="default"/>
                <w:sz w:val="21"/>
                <w:szCs w:val="21"/>
              </w:rPr>
              <w:t>中</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pacing w:val="91"/>
                <w:sz w:val="21"/>
                <w:szCs w:val="21"/>
              </w:rPr>
              <w:t> </w:t>
            </w:r>
            <w:r>
              <w:rPr>
                <w:rFonts w:ascii="宋体" w:hAnsi="宋体" w:cs="宋体" w:eastAsia="宋体" w:hint="default"/>
                <w:sz w:val="21"/>
                <w:szCs w:val="21"/>
              </w:rPr>
              <w:t>优</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质</w:t>
            </w:r>
            <w:r>
              <w:rPr>
                <w:rFonts w:ascii="宋体" w:hAnsi="宋体" w:cs="宋体" w:eastAsia="宋体" w:hint="default"/>
                <w:spacing w:val="91"/>
                <w:sz w:val="21"/>
                <w:szCs w:val="21"/>
              </w:rPr>
              <w:t> </w:t>
            </w:r>
            <w:r>
              <w:rPr>
                <w:rFonts w:ascii="宋体" w:hAnsi="宋体" w:cs="宋体" w:eastAsia="宋体" w:hint="default"/>
                <w:sz w:val="21"/>
                <w:szCs w:val="21"/>
              </w:rPr>
              <w:t>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91"/>
                <w:sz w:val="21"/>
                <w:szCs w:val="21"/>
              </w:rPr>
              <w:t> </w:t>
            </w:r>
            <w:r>
              <w:rPr>
                <w:rFonts w:ascii="宋体" w:hAnsi="宋体" w:cs="宋体" w:eastAsia="宋体" w:hint="default"/>
                <w:sz w:val="21"/>
                <w:szCs w:val="21"/>
              </w:rPr>
              <w:t>证</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spacing w:val="91"/>
                <w:sz w:val="21"/>
                <w:szCs w:val="21"/>
              </w:rPr>
              <w:t> </w:t>
            </w:r>
            <w:r>
              <w:rPr>
                <w:rFonts w:ascii="宋体" w:hAnsi="宋体" w:cs="宋体" w:eastAsia="宋体" w:hint="default"/>
                <w:sz w:val="21"/>
                <w:szCs w:val="21"/>
              </w:rPr>
              <w:t>投</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91"/>
                <w:sz w:val="21"/>
                <w:szCs w:val="21"/>
              </w:rPr>
              <w:t> </w:t>
            </w:r>
            <w:r>
              <w:rPr>
                <w:rFonts w:ascii="宋体" w:hAnsi="宋体" w:cs="宋体" w:eastAsia="宋体" w:hint="default"/>
                <w:sz w:val="21"/>
                <w:szCs w:val="21"/>
              </w:rPr>
              <w:t>基</w:t>
            </w:r>
            <w:r>
              <w:rPr>
                <w:rFonts w:ascii="宋体" w:hAnsi="宋体" w:cs="宋体" w:eastAsia="宋体" w:hint="default"/>
                <w:sz w:val="21"/>
                <w:szCs w:val="21"/>
              </w:rPr>
              <w:t> 金</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2,529,548</w:t>
            </w:r>
          </w:p>
        </w:tc>
        <w:tc>
          <w:tcPr>
            <w:tcW w:w="15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479" w:right="0"/>
              <w:jc w:val="left"/>
              <w:rPr>
                <w:rFonts w:ascii="宋体" w:hAnsi="宋体" w:cs="宋体" w:eastAsia="宋体" w:hint="default"/>
                <w:sz w:val="21"/>
                <w:szCs w:val="21"/>
              </w:rPr>
            </w:pPr>
            <w:r>
              <w:rPr>
                <w:rFonts w:ascii="宋体"/>
                <w:sz w:val="21"/>
              </w:rPr>
              <w:t>2,529,548</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0.96</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00"/>
              <w:jc w:val="right"/>
              <w:rPr>
                <w:rFonts w:ascii="宋体" w:hAnsi="宋体" w:cs="宋体" w:eastAsia="宋体" w:hint="default"/>
                <w:sz w:val="21"/>
                <w:szCs w:val="21"/>
              </w:rPr>
            </w:pPr>
            <w:r>
              <w:rPr>
                <w:rFonts w:ascii="宋体"/>
                <w:sz w:val="21"/>
              </w:rPr>
              <w:t>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7"/>
              <w:ind w:left="177" w:right="176"/>
              <w:jc w:val="left"/>
              <w:rPr>
                <w:rFonts w:ascii="宋体" w:hAnsi="宋体" w:cs="宋体" w:eastAsia="宋体" w:hint="default"/>
                <w:sz w:val="21"/>
                <w:szCs w:val="21"/>
              </w:rPr>
            </w:pPr>
            <w:r>
              <w:rPr>
                <w:rFonts w:ascii="宋体" w:hAnsi="宋体" w:cs="宋体" w:eastAsia="宋体" w:hint="default"/>
                <w:sz w:val="21"/>
                <w:szCs w:val="21"/>
              </w:rPr>
              <w:t>未 知</w:t>
            </w:r>
          </w:p>
        </w:tc>
        <w:tc>
          <w:tcPr>
            <w:tcW w:w="17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01"/>
              <w:jc w:val="right"/>
              <w:rPr>
                <w:rFonts w:ascii="宋体" w:hAnsi="宋体" w:cs="宋体" w:eastAsia="宋体" w:hint="default"/>
                <w:sz w:val="21"/>
                <w:szCs w:val="21"/>
              </w:rPr>
            </w:pPr>
            <w:r>
              <w:rPr>
                <w:rFonts w:ascii="宋体"/>
                <w:sz w:val="21"/>
              </w:rPr>
              <w:t>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02"/>
              <w:jc w:val="right"/>
              <w:rPr>
                <w:rFonts w:ascii="宋体" w:hAnsi="宋体" w:cs="宋体" w:eastAsia="宋体" w:hint="default"/>
                <w:sz w:val="21"/>
                <w:szCs w:val="21"/>
              </w:rPr>
            </w:pPr>
            <w:r>
              <w:rPr>
                <w:rFonts w:ascii="宋体" w:hAnsi="宋体" w:cs="宋体" w:eastAsia="宋体" w:hint="default"/>
                <w:spacing w:val="-1"/>
                <w:w w:val="95"/>
                <w:sz w:val="21"/>
                <w:szCs w:val="21"/>
              </w:rPr>
              <w:t>未知</w:t>
            </w:r>
            <w:r>
              <w:rPr>
                <w:rFonts w:ascii="宋体" w:hAnsi="宋体" w:cs="宋体" w:eastAsia="宋体" w:hint="default"/>
                <w:w w:val="95"/>
                <w:sz w:val="21"/>
                <w:szCs w:val="21"/>
              </w:rPr>
            </w:r>
          </w:p>
        </w:tc>
      </w:tr>
      <w:tr>
        <w:trPr>
          <w:trHeight w:val="323" w:hRule="exact"/>
        </w:trPr>
        <w:tc>
          <w:tcPr>
            <w:tcW w:w="904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322" w:hRule="exact"/>
        </w:trPr>
        <w:tc>
          <w:tcPr>
            <w:tcW w:w="3522" w:type="dxa"/>
            <w:gridSpan w:val="3"/>
            <w:vMerge w:val="restart"/>
            <w:tcBorders>
              <w:top w:val="single" w:sz="4" w:space="0" w:color="000000"/>
              <w:left w:val="single" w:sz="4" w:space="0" w:color="000000"/>
              <w:right w:val="single" w:sz="4" w:space="0" w:color="000000"/>
            </w:tcBorders>
          </w:tcPr>
          <w:p>
            <w:pPr>
              <w:pStyle w:val="TableParagraph"/>
              <w:spacing w:line="240" w:lineRule="auto" w:before="146"/>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682" w:type="dxa"/>
            <w:gridSpan w:val="5"/>
            <w:vMerge w:val="restart"/>
            <w:tcBorders>
              <w:top w:val="single" w:sz="4" w:space="0" w:color="000000"/>
              <w:left w:val="single" w:sz="4" w:space="0" w:color="000000"/>
              <w:right w:val="single" w:sz="4" w:space="0" w:color="000000"/>
            </w:tcBorders>
          </w:tcPr>
          <w:p>
            <w:pPr>
              <w:pStyle w:val="TableParagraph"/>
              <w:spacing w:line="273" w:lineRule="auto"/>
              <w:ind w:left="1124" w:right="180" w:hanging="945"/>
              <w:jc w:val="left"/>
              <w:rPr>
                <w:rFonts w:ascii="宋体" w:hAnsi="宋体" w:cs="宋体" w:eastAsia="宋体" w:hint="default"/>
                <w:sz w:val="21"/>
                <w:szCs w:val="21"/>
              </w:rPr>
            </w:pPr>
            <w:r>
              <w:rPr>
                <w:rFonts w:ascii="宋体" w:hAnsi="宋体" w:cs="宋体" w:eastAsia="宋体" w:hint="default"/>
                <w:sz w:val="21"/>
                <w:szCs w:val="21"/>
              </w:rPr>
              <w:t>持有无限售条件流通股的 数量</w:t>
            </w:r>
          </w:p>
        </w:tc>
        <w:tc>
          <w:tcPr>
            <w:tcW w:w="28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82"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22" w:hRule="exact"/>
        </w:trPr>
        <w:tc>
          <w:tcPr>
            <w:tcW w:w="3522" w:type="dxa"/>
            <w:gridSpan w:val="3"/>
            <w:vMerge/>
            <w:tcBorders>
              <w:left w:val="single" w:sz="4" w:space="0" w:color="000000"/>
              <w:bottom w:val="single" w:sz="4" w:space="0" w:color="000000"/>
              <w:right w:val="single" w:sz="4" w:space="0" w:color="000000"/>
            </w:tcBorders>
          </w:tcPr>
          <w:p>
            <w:pPr/>
          </w:p>
        </w:tc>
        <w:tc>
          <w:tcPr>
            <w:tcW w:w="2682" w:type="dxa"/>
            <w:gridSpan w:val="5"/>
            <w:vMerge/>
            <w:tcBorders>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635" w:hRule="exact"/>
        </w:trPr>
        <w:tc>
          <w:tcPr>
            <w:tcW w:w="3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26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518" w:right="0"/>
              <w:jc w:val="left"/>
              <w:rPr>
                <w:rFonts w:ascii="宋体" w:hAnsi="宋体" w:cs="宋体" w:eastAsia="宋体" w:hint="default"/>
                <w:sz w:val="21"/>
                <w:szCs w:val="21"/>
              </w:rPr>
            </w:pPr>
            <w:r>
              <w:rPr>
                <w:rFonts w:ascii="宋体"/>
                <w:sz w:val="21"/>
              </w:rPr>
              <w:t>31,123,120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38" w:right="0"/>
              <w:jc w:val="left"/>
              <w:rPr>
                <w:rFonts w:ascii="宋体" w:hAnsi="宋体" w:cs="宋体" w:eastAsia="宋体" w:hint="default"/>
                <w:sz w:val="21"/>
                <w:szCs w:val="21"/>
              </w:rPr>
            </w:pPr>
            <w:r>
              <w:rPr>
                <w:rFonts w:ascii="宋体"/>
                <w:sz w:val="21"/>
              </w:rPr>
              <w:t>31,123,120</w:t>
            </w:r>
          </w:p>
        </w:tc>
      </w:tr>
      <w:tr>
        <w:trPr>
          <w:trHeight w:val="634" w:hRule="exact"/>
        </w:trPr>
        <w:tc>
          <w:tcPr>
            <w:tcW w:w="3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26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518" w:right="0"/>
              <w:jc w:val="left"/>
              <w:rPr>
                <w:rFonts w:ascii="宋体" w:hAnsi="宋体" w:cs="宋体" w:eastAsia="宋体" w:hint="default"/>
                <w:sz w:val="21"/>
                <w:szCs w:val="21"/>
              </w:rPr>
            </w:pPr>
            <w:r>
              <w:rPr>
                <w:rFonts w:ascii="宋体"/>
                <w:sz w:val="21"/>
              </w:rPr>
              <w:t>31,043,024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8" w:right="0"/>
              <w:jc w:val="left"/>
              <w:rPr>
                <w:rFonts w:ascii="宋体" w:hAnsi="宋体" w:cs="宋体" w:eastAsia="宋体" w:hint="default"/>
                <w:sz w:val="21"/>
                <w:szCs w:val="21"/>
              </w:rPr>
            </w:pPr>
            <w:r>
              <w:rPr>
                <w:rFonts w:ascii="宋体"/>
                <w:sz w:val="21"/>
              </w:rPr>
              <w:t>31,043,024</w:t>
            </w:r>
          </w:p>
        </w:tc>
      </w:tr>
      <w:tr>
        <w:trPr>
          <w:trHeight w:val="634" w:hRule="exact"/>
        </w:trPr>
        <w:tc>
          <w:tcPr>
            <w:tcW w:w="3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26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518" w:right="0"/>
              <w:jc w:val="left"/>
              <w:rPr>
                <w:rFonts w:ascii="宋体" w:hAnsi="宋体" w:cs="宋体" w:eastAsia="宋体" w:hint="default"/>
                <w:sz w:val="21"/>
                <w:szCs w:val="21"/>
              </w:rPr>
            </w:pPr>
            <w:r>
              <w:rPr>
                <w:rFonts w:ascii="宋体"/>
                <w:sz w:val="21"/>
              </w:rPr>
              <w:t>29,822,954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8" w:right="0"/>
              <w:jc w:val="left"/>
              <w:rPr>
                <w:rFonts w:ascii="宋体" w:hAnsi="宋体" w:cs="宋体" w:eastAsia="宋体" w:hint="default"/>
                <w:sz w:val="21"/>
                <w:szCs w:val="21"/>
              </w:rPr>
            </w:pPr>
            <w:r>
              <w:rPr>
                <w:rFonts w:ascii="宋体"/>
                <w:sz w:val="21"/>
              </w:rPr>
              <w:t>29,822,954</w:t>
            </w:r>
          </w:p>
        </w:tc>
      </w:tr>
      <w:tr>
        <w:trPr>
          <w:trHeight w:val="635" w:hRule="exact"/>
        </w:trPr>
        <w:tc>
          <w:tcPr>
            <w:tcW w:w="3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徐岷波</w:t>
            </w:r>
          </w:p>
        </w:tc>
        <w:tc>
          <w:tcPr>
            <w:tcW w:w="26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518" w:right="0"/>
              <w:jc w:val="left"/>
              <w:rPr>
                <w:rFonts w:ascii="宋体" w:hAnsi="宋体" w:cs="宋体" w:eastAsia="宋体" w:hint="default"/>
                <w:sz w:val="21"/>
                <w:szCs w:val="21"/>
              </w:rPr>
            </w:pPr>
            <w:r>
              <w:rPr>
                <w:rFonts w:ascii="宋体"/>
                <w:sz w:val="21"/>
              </w:rPr>
              <w:t>28,010,175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38" w:right="0"/>
              <w:jc w:val="left"/>
              <w:rPr>
                <w:rFonts w:ascii="宋体" w:hAnsi="宋体" w:cs="宋体" w:eastAsia="宋体" w:hint="default"/>
                <w:sz w:val="21"/>
                <w:szCs w:val="21"/>
              </w:rPr>
            </w:pPr>
            <w:r>
              <w:rPr>
                <w:rFonts w:ascii="宋体"/>
                <w:sz w:val="21"/>
              </w:rPr>
              <w:t>28,010,175</w:t>
            </w:r>
          </w:p>
        </w:tc>
      </w:tr>
      <w:tr>
        <w:trPr>
          <w:trHeight w:val="634" w:hRule="exact"/>
        </w:trPr>
        <w:tc>
          <w:tcPr>
            <w:tcW w:w="3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融通新蓝筹证券投资基金</w:t>
            </w:r>
          </w:p>
        </w:tc>
        <w:tc>
          <w:tcPr>
            <w:tcW w:w="26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623" w:right="0"/>
              <w:jc w:val="left"/>
              <w:rPr>
                <w:rFonts w:ascii="宋体" w:hAnsi="宋体" w:cs="宋体" w:eastAsia="宋体" w:hint="default"/>
                <w:sz w:val="21"/>
                <w:szCs w:val="21"/>
              </w:rPr>
            </w:pPr>
            <w:r>
              <w:rPr>
                <w:rFonts w:ascii="宋体"/>
                <w:sz w:val="21"/>
              </w:rPr>
              <w:t>4,000,000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1" w:right="0"/>
              <w:jc w:val="left"/>
              <w:rPr>
                <w:rFonts w:ascii="宋体" w:hAnsi="宋体" w:cs="宋体" w:eastAsia="宋体" w:hint="default"/>
                <w:sz w:val="21"/>
                <w:szCs w:val="21"/>
              </w:rPr>
            </w:pPr>
            <w:r>
              <w:rPr>
                <w:rFonts w:ascii="宋体"/>
                <w:sz w:val="21"/>
              </w:rPr>
              <w:t>4,000,000</w:t>
            </w:r>
          </w:p>
        </w:tc>
      </w:tr>
      <w:tr>
        <w:trPr>
          <w:trHeight w:val="634" w:hRule="exact"/>
        </w:trPr>
        <w:tc>
          <w:tcPr>
            <w:tcW w:w="3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中国工商银行－南方隆元产业主题</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股票型证券投资基金</w:t>
            </w:r>
          </w:p>
        </w:tc>
        <w:tc>
          <w:tcPr>
            <w:tcW w:w="26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623" w:right="0"/>
              <w:jc w:val="left"/>
              <w:rPr>
                <w:rFonts w:ascii="宋体" w:hAnsi="宋体" w:cs="宋体" w:eastAsia="宋体" w:hint="default"/>
                <w:sz w:val="21"/>
                <w:szCs w:val="21"/>
              </w:rPr>
            </w:pPr>
            <w:r>
              <w:rPr>
                <w:rFonts w:ascii="宋体"/>
                <w:sz w:val="21"/>
              </w:rPr>
              <w:t>3,750,142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1" w:right="0"/>
              <w:jc w:val="left"/>
              <w:rPr>
                <w:rFonts w:ascii="宋体" w:hAnsi="宋体" w:cs="宋体" w:eastAsia="宋体" w:hint="default"/>
                <w:sz w:val="21"/>
                <w:szCs w:val="21"/>
              </w:rPr>
            </w:pPr>
            <w:r>
              <w:rPr>
                <w:rFonts w:ascii="宋体"/>
                <w:sz w:val="21"/>
              </w:rPr>
              <w:t>3,750,142</w:t>
            </w:r>
          </w:p>
        </w:tc>
      </w:tr>
      <w:tr>
        <w:trPr>
          <w:trHeight w:val="635" w:hRule="exact"/>
        </w:trPr>
        <w:tc>
          <w:tcPr>
            <w:tcW w:w="3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中国建设银行－华宝兴业收益增长</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混合型证券投资基金</w:t>
            </w:r>
          </w:p>
        </w:tc>
        <w:tc>
          <w:tcPr>
            <w:tcW w:w="26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623" w:right="0"/>
              <w:jc w:val="left"/>
              <w:rPr>
                <w:rFonts w:ascii="宋体" w:hAnsi="宋体" w:cs="宋体" w:eastAsia="宋体" w:hint="default"/>
                <w:sz w:val="21"/>
                <w:szCs w:val="21"/>
              </w:rPr>
            </w:pPr>
            <w:r>
              <w:rPr>
                <w:rFonts w:ascii="宋体"/>
                <w:sz w:val="21"/>
              </w:rPr>
              <w:t>3,558,869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91" w:right="0"/>
              <w:jc w:val="left"/>
              <w:rPr>
                <w:rFonts w:ascii="宋体" w:hAnsi="宋体" w:cs="宋体" w:eastAsia="宋体" w:hint="default"/>
                <w:sz w:val="21"/>
                <w:szCs w:val="21"/>
              </w:rPr>
            </w:pPr>
            <w:r>
              <w:rPr>
                <w:rFonts w:ascii="宋体"/>
                <w:sz w:val="21"/>
              </w:rPr>
              <w:t>3,558,869</w:t>
            </w:r>
          </w:p>
        </w:tc>
      </w:tr>
      <w:tr>
        <w:trPr>
          <w:trHeight w:val="946" w:hRule="exact"/>
        </w:trPr>
        <w:tc>
          <w:tcPr>
            <w:tcW w:w="3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交通银行股份有限公司－泰达宏利</w:t>
            </w:r>
            <w:r>
              <w:rPr>
                <w:rFonts w:ascii="宋体" w:hAnsi="宋体" w:cs="宋体" w:eastAsia="宋体" w:hint="default"/>
                <w:sz w:val="21"/>
                <w:szCs w:val="21"/>
              </w:rPr>
            </w:r>
          </w:p>
          <w:p>
            <w:pPr>
              <w:pStyle w:val="TableParagraph"/>
              <w:spacing w:line="273" w:lineRule="auto" w:before="37"/>
              <w:ind w:left="103" w:right="92"/>
              <w:jc w:val="left"/>
              <w:rPr>
                <w:rFonts w:ascii="宋体" w:hAnsi="宋体" w:cs="宋体" w:eastAsia="宋体" w:hint="default"/>
                <w:sz w:val="21"/>
                <w:szCs w:val="21"/>
              </w:rPr>
            </w:pPr>
            <w:r>
              <w:rPr>
                <w:rFonts w:ascii="宋体" w:hAnsi="宋体" w:cs="宋体" w:eastAsia="宋体" w:hint="default"/>
                <w:spacing w:val="10"/>
                <w:sz w:val="21"/>
                <w:szCs w:val="21"/>
              </w:rPr>
              <w:t>价值优化型成长类行业证券投资基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金</w:t>
            </w:r>
          </w:p>
        </w:tc>
        <w:tc>
          <w:tcPr>
            <w:tcW w:w="26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623" w:right="0"/>
              <w:jc w:val="left"/>
              <w:rPr>
                <w:rFonts w:ascii="宋体" w:hAnsi="宋体" w:cs="宋体" w:eastAsia="宋体" w:hint="default"/>
                <w:sz w:val="21"/>
                <w:szCs w:val="21"/>
              </w:rPr>
            </w:pPr>
            <w:r>
              <w:rPr>
                <w:rFonts w:ascii="宋体"/>
                <w:sz w:val="21"/>
              </w:rPr>
              <w:t>2,822,744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542" w:right="121" w:hanging="420"/>
              <w:jc w:val="left"/>
              <w:rPr>
                <w:rFonts w:ascii="宋体" w:hAnsi="宋体" w:cs="宋体" w:eastAsia="宋体" w:hint="default"/>
                <w:sz w:val="21"/>
                <w:szCs w:val="21"/>
              </w:rPr>
            </w:pPr>
            <w:r>
              <w:rPr>
                <w:rFonts w:ascii="宋体" w:hAnsi="宋体" w:cs="宋体" w:eastAsia="宋体" w:hint="default"/>
                <w:sz w:val="21"/>
                <w:szCs w:val="21"/>
              </w:rPr>
              <w:t>人民币普通 股</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91" w:right="0"/>
              <w:jc w:val="left"/>
              <w:rPr>
                <w:rFonts w:ascii="宋体" w:hAnsi="宋体" w:cs="宋体" w:eastAsia="宋体" w:hint="default"/>
                <w:sz w:val="21"/>
                <w:szCs w:val="21"/>
              </w:rPr>
            </w:pPr>
            <w:r>
              <w:rPr>
                <w:rFonts w:ascii="宋体"/>
                <w:sz w:val="21"/>
              </w:rPr>
              <w:t>2,822,744</w:t>
            </w:r>
          </w:p>
        </w:tc>
      </w:tr>
      <w:tr>
        <w:trPr>
          <w:trHeight w:val="635" w:hRule="exact"/>
        </w:trPr>
        <w:tc>
          <w:tcPr>
            <w:tcW w:w="3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中国工商银行－广发策略优选混合</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型证券投资基金</w:t>
            </w:r>
          </w:p>
        </w:tc>
        <w:tc>
          <w:tcPr>
            <w:tcW w:w="26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623" w:right="0"/>
              <w:jc w:val="left"/>
              <w:rPr>
                <w:rFonts w:ascii="宋体" w:hAnsi="宋体" w:cs="宋体" w:eastAsia="宋体" w:hint="default"/>
                <w:sz w:val="21"/>
                <w:szCs w:val="21"/>
              </w:rPr>
            </w:pPr>
            <w:r>
              <w:rPr>
                <w:rFonts w:ascii="宋体"/>
                <w:sz w:val="21"/>
              </w:rPr>
              <w:t>2,571,153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1" w:right="0"/>
              <w:jc w:val="left"/>
              <w:rPr>
                <w:rFonts w:ascii="宋体" w:hAnsi="宋体" w:cs="宋体" w:eastAsia="宋体" w:hint="default"/>
                <w:sz w:val="21"/>
                <w:szCs w:val="21"/>
              </w:rPr>
            </w:pPr>
            <w:r>
              <w:rPr>
                <w:rFonts w:ascii="宋体"/>
                <w:sz w:val="21"/>
              </w:rPr>
              <w:t>2,571,153</w:t>
            </w:r>
          </w:p>
        </w:tc>
      </w:tr>
    </w:tbl>
    <w:p>
      <w:pPr>
        <w:spacing w:after="0" w:line="240" w:lineRule="auto"/>
        <w:jc w:val="left"/>
        <w:rPr>
          <w:rFonts w:ascii="宋体" w:hAnsi="宋体" w:cs="宋体" w:eastAsia="宋体" w:hint="default"/>
          <w:sz w:val="21"/>
          <w:szCs w:val="21"/>
        </w:rPr>
        <w:sectPr>
          <w:pgSz w:w="11910" w:h="16840"/>
          <w:pgMar w:header="882" w:footer="1197"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3522"/>
        <w:gridCol w:w="2682"/>
        <w:gridCol w:w="1306"/>
        <w:gridCol w:w="1540"/>
      </w:tblGrid>
      <w:tr>
        <w:trPr>
          <w:trHeight w:val="634"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交通银行－中海优质成长证券投资</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623" w:right="0"/>
              <w:jc w:val="left"/>
              <w:rPr>
                <w:rFonts w:ascii="宋体" w:hAnsi="宋体" w:cs="宋体" w:eastAsia="宋体" w:hint="default"/>
                <w:sz w:val="21"/>
                <w:szCs w:val="21"/>
              </w:rPr>
            </w:pPr>
            <w:r>
              <w:rPr>
                <w:rFonts w:ascii="宋体"/>
                <w:sz w:val="21"/>
              </w:rPr>
              <w:t>2,529,548</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1" w:right="0"/>
              <w:jc w:val="left"/>
              <w:rPr>
                <w:rFonts w:ascii="宋体" w:hAnsi="宋体" w:cs="宋体" w:eastAsia="宋体" w:hint="default"/>
                <w:sz w:val="21"/>
                <w:szCs w:val="21"/>
              </w:rPr>
            </w:pPr>
            <w:r>
              <w:rPr>
                <w:rFonts w:ascii="宋体"/>
                <w:sz w:val="21"/>
              </w:rPr>
              <w:t>2,529,548</w:t>
            </w:r>
          </w:p>
        </w:tc>
      </w:tr>
      <w:tr>
        <w:trPr>
          <w:trHeight w:val="1571"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3" w:right="92"/>
              <w:jc w:val="left"/>
              <w:rPr>
                <w:rFonts w:ascii="宋体" w:hAnsi="宋体" w:cs="宋体" w:eastAsia="宋体" w:hint="default"/>
                <w:sz w:val="21"/>
                <w:szCs w:val="21"/>
              </w:rPr>
            </w:pPr>
            <w:r>
              <w:rPr>
                <w:rFonts w:ascii="宋体" w:hAnsi="宋体" w:cs="宋体" w:eastAsia="宋体" w:hint="default"/>
                <w:spacing w:val="10"/>
                <w:sz w:val="21"/>
                <w:szCs w:val="21"/>
              </w:rPr>
              <w:t>上述股东关联关系或一致行动的说</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明</w:t>
            </w:r>
          </w:p>
        </w:tc>
        <w:tc>
          <w:tcPr>
            <w:tcW w:w="55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（1）、公司未知上述流通股股东之间是否存在关联关系或</w:t>
            </w:r>
          </w:p>
          <w:p>
            <w:pPr>
              <w:pStyle w:val="TableParagraph"/>
              <w:spacing w:line="273" w:lineRule="auto" w:before="37"/>
              <w:ind w:left="101" w:right="163"/>
              <w:jc w:val="left"/>
              <w:rPr>
                <w:rFonts w:ascii="宋体" w:hAnsi="宋体" w:cs="宋体" w:eastAsia="宋体" w:hint="default"/>
                <w:sz w:val="21"/>
                <w:szCs w:val="21"/>
              </w:rPr>
            </w:pPr>
            <w:r>
              <w:rPr>
                <w:rFonts w:ascii="宋体" w:hAnsi="宋体" w:cs="宋体" w:eastAsia="宋体" w:hint="default"/>
                <w:sz w:val="21"/>
                <w:szCs w:val="21"/>
              </w:rPr>
              <w:t>属于《上市公司股东持股信息披露管理办法》规定的一致 行动人；</w:t>
            </w:r>
          </w:p>
          <w:p>
            <w:pPr>
              <w:pStyle w:val="TableParagraph"/>
              <w:spacing w:line="273" w:lineRule="auto" w:before="7"/>
              <w:ind w:left="101" w:right="102"/>
              <w:jc w:val="left"/>
              <w:rPr>
                <w:rFonts w:ascii="宋体" w:hAnsi="宋体" w:cs="宋体" w:eastAsia="宋体" w:hint="default"/>
                <w:sz w:val="21"/>
                <w:szCs w:val="21"/>
              </w:rPr>
            </w:pPr>
            <w:r>
              <w:rPr>
                <w:rFonts w:ascii="宋体" w:hAnsi="宋体" w:cs="宋体" w:eastAsia="宋体" w:hint="default"/>
                <w:spacing w:val="-2"/>
                <w:sz w:val="21"/>
                <w:szCs w:val="21"/>
              </w:rPr>
              <w:t>（2）、公司未知前十名流通股股东是否存在关联关系，也</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未知其是否存在一致行动人情况。</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p>
      <w:pPr>
        <w:spacing w:line="324" w:lineRule="auto" w:before="0"/>
        <w:ind w:left="217" w:right="5057"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78"/>
          <w:sz w:val="21"/>
          <w:szCs w:val="21"/>
        </w:rPr>
        <w:t> </w:t>
      </w:r>
      <w:r>
        <w:rPr>
          <w:rFonts w:ascii="宋体" w:hAnsi="宋体" w:cs="宋体" w:eastAsia="宋体" w:hint="default"/>
          <w:b/>
          <w:bCs/>
          <w:sz w:val="21"/>
          <w:szCs w:val="21"/>
        </w:rPr>
        <w:t>公司不存在控股股东情况的特别说明</w:t>
      </w:r>
      <w:r>
        <w:rPr>
          <w:rFonts w:ascii="宋体" w:hAnsi="宋体" w:cs="宋体" w:eastAsia="宋体" w:hint="default"/>
          <w:b/>
          <w:bCs/>
          <w:w w:val="99"/>
          <w:sz w:val="21"/>
          <w:szCs w:val="21"/>
        </w:rPr>
        <w:t> </w:t>
      </w:r>
      <w:r>
        <w:rPr>
          <w:rFonts w:ascii="宋体" w:hAnsi="宋体" w:cs="宋体" w:eastAsia="宋体" w:hint="default"/>
          <w:sz w:val="21"/>
          <w:szCs w:val="21"/>
        </w:rPr>
        <w:t>本报告期内公司没有控股股东及实际控制人</w:t>
      </w:r>
    </w:p>
    <w:p>
      <w:pPr>
        <w:pStyle w:val="Heading3"/>
        <w:tabs>
          <w:tab w:pos="637" w:val="left" w:leader="none"/>
        </w:tabs>
        <w:spacing w:line="240" w:lineRule="auto" w:before="23"/>
        <w:ind w:right="114"/>
        <w:jc w:val="left"/>
        <w:rPr>
          <w:b w:val="0"/>
          <w:bCs w:val="0"/>
        </w:rPr>
      </w:pPr>
      <w:r>
        <w:rPr>
          <w:w w:val="95"/>
        </w:rPr>
        <w:t>1</w:t>
        <w:tab/>
      </w:r>
      <w:r>
        <w:rPr/>
        <w:t>公司与实际控制人之间的产权及控制关系的方框图</w:t>
      </w:r>
      <w:r>
        <w:rPr>
          <w:b w:val="0"/>
          <w:bCs w:val="0"/>
        </w:rPr>
      </w:r>
    </w:p>
    <w:p>
      <w:pPr>
        <w:spacing w:line="240" w:lineRule="auto" w:before="5"/>
        <w:rPr>
          <w:rFonts w:ascii="宋体" w:hAnsi="宋体" w:cs="宋体" w:eastAsia="宋体" w:hint="default"/>
          <w:b/>
          <w:bCs/>
          <w:sz w:val="18"/>
          <w:szCs w:val="18"/>
        </w:rPr>
      </w:pPr>
    </w:p>
    <w:p>
      <w:pPr>
        <w:spacing w:line="4416" w:lineRule="exact"/>
        <w:ind w:left="218" w:right="0" w:firstLine="0"/>
        <w:rPr>
          <w:rFonts w:ascii="宋体" w:hAnsi="宋体" w:cs="宋体" w:eastAsia="宋体" w:hint="default"/>
          <w:sz w:val="20"/>
          <w:szCs w:val="20"/>
        </w:rPr>
      </w:pPr>
      <w:r>
        <w:rPr>
          <w:rFonts w:ascii="宋体" w:hAnsi="宋体" w:cs="宋体" w:eastAsia="宋体" w:hint="default"/>
          <w:position w:val="-87"/>
          <w:sz w:val="20"/>
          <w:szCs w:val="20"/>
        </w:rPr>
        <w:drawing>
          <wp:inline distT="0" distB="0" distL="0" distR="0">
            <wp:extent cx="4973846" cy="2804160"/>
            <wp:effectExtent l="0" t="0" r="0" b="0"/>
            <wp:docPr id="1" name="image33.png" descr=""/>
            <wp:cNvGraphicFramePr>
              <a:graphicFrameLocks noChangeAspect="1"/>
            </wp:cNvGraphicFramePr>
            <a:graphic>
              <a:graphicData uri="http://schemas.openxmlformats.org/drawingml/2006/picture">
                <pic:pic>
                  <pic:nvPicPr>
                    <pic:cNvPr id="2" name="image33.png"/>
                    <pic:cNvPicPr/>
                  </pic:nvPicPr>
                  <pic:blipFill>
                    <a:blip r:embed="rId55" cstate="print"/>
                    <a:stretch>
                      <a:fillRect/>
                    </a:stretch>
                  </pic:blipFill>
                  <pic:spPr>
                    <a:xfrm>
                      <a:off x="0" y="0"/>
                      <a:ext cx="4973846" cy="2804160"/>
                    </a:xfrm>
                    <a:prstGeom prst="rect">
                      <a:avLst/>
                    </a:prstGeom>
                  </pic:spPr>
                </pic:pic>
              </a:graphicData>
            </a:graphic>
          </wp:inline>
        </w:drawing>
      </w:r>
      <w:r>
        <w:rPr>
          <w:rFonts w:ascii="宋体" w:hAnsi="宋体" w:cs="宋体" w:eastAsia="宋体" w:hint="default"/>
          <w:position w:val="-87"/>
          <w:sz w:val="20"/>
          <w:szCs w:val="20"/>
        </w:rPr>
      </w:r>
    </w:p>
    <w:p>
      <w:pPr>
        <w:spacing w:after="0" w:line="4416" w:lineRule="exact"/>
        <w:rPr>
          <w:rFonts w:ascii="宋体" w:hAnsi="宋体" w:cs="宋体" w:eastAsia="宋体" w:hint="default"/>
          <w:sz w:val="20"/>
          <w:szCs w:val="20"/>
        </w:rPr>
        <w:sectPr>
          <w:pgSz w:w="11910" w:h="16840"/>
          <w:pgMar w:header="882" w:footer="1197" w:top="112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6"/>
          <w:szCs w:val="26"/>
        </w:rPr>
      </w:pPr>
    </w:p>
    <w:p>
      <w:pPr>
        <w:pStyle w:val="Heading1"/>
        <w:tabs>
          <w:tab w:pos="5396" w:val="left" w:leader="none"/>
        </w:tabs>
        <w:spacing w:line="240" w:lineRule="auto"/>
        <w:ind w:left="4136" w:right="0"/>
        <w:jc w:val="left"/>
        <w:rPr>
          <w:b w:val="0"/>
          <w:bCs w:val="0"/>
        </w:rPr>
      </w:pPr>
      <w:bookmarkStart w:name="_TOC_250004" w:id="5"/>
      <w:r>
        <w:rPr>
          <w:w w:val="95"/>
        </w:rPr>
        <w:t>第七节</w:t>
        <w:tab/>
      </w:r>
      <w:r>
        <w:rPr/>
        <w:t>董事、监事、高级管理人员和员工情况</w:t>
      </w:r>
      <w:bookmarkEnd w:id="5"/>
      <w:r>
        <w:rPr>
          <w:b w:val="0"/>
          <w:bCs w:val="0"/>
        </w:rPr>
      </w:r>
    </w:p>
    <w:p>
      <w:pPr>
        <w:spacing w:line="240" w:lineRule="auto" w:before="4"/>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56"/>
          <w:footerReference w:type="default" r:id="rId57"/>
          <w:pgSz w:w="16840" w:h="11910" w:orient="landscape"/>
          <w:pgMar w:header="882" w:footer="1193" w:top="1120" w:bottom="1380" w:left="1220" w:right="1300"/>
          <w:pgNumType w:start="38"/>
        </w:sectPr>
      </w:pPr>
    </w:p>
    <w:p>
      <w:pPr>
        <w:pStyle w:val="Heading3"/>
        <w:spacing w:line="240" w:lineRule="auto"/>
        <w:ind w:left="219" w:right="-14"/>
        <w:jc w:val="left"/>
        <w:rPr>
          <w:b w:val="0"/>
          <w:bCs w:val="0"/>
        </w:rPr>
      </w:pPr>
      <w:r>
        <w:rPr/>
        <w:t>一、持股变动情况及报酬情况</w:t>
      </w:r>
      <w:r>
        <w:rPr>
          <w:b w:val="0"/>
          <w:bCs w:val="0"/>
        </w:rPr>
      </w:r>
    </w:p>
    <w:p>
      <w:pPr>
        <w:pStyle w:val="Heading3"/>
        <w:spacing w:line="240" w:lineRule="auto" w:before="57"/>
        <w:ind w:left="219" w:right="-1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2"/>
        </w:rPr>
        <w:t> </w:t>
      </w:r>
      <w:r>
        <w:rPr/>
        <w:t>现任及报告期内离任董事、监事和高级管理人员持股变动及报酬情况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19" w:right="0"/>
        <w:jc w:val="left"/>
      </w:pPr>
      <w:r>
        <w:rPr/>
        <w:t>单位：股</w:t>
      </w:r>
    </w:p>
    <w:p>
      <w:pPr>
        <w:spacing w:after="0" w:line="240" w:lineRule="auto"/>
        <w:jc w:val="left"/>
        <w:sectPr>
          <w:type w:val="continuous"/>
          <w:pgSz w:w="16840" w:h="11910" w:orient="landscape"/>
          <w:pgMar w:top="1080" w:bottom="1380" w:left="1220" w:right="1300"/>
          <w:cols w:num="2" w:equalWidth="0">
            <w:col w:w="6962" w:space="6071"/>
            <w:col w:w="1287"/>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002"/>
        <w:gridCol w:w="1114"/>
        <w:gridCol w:w="816"/>
        <w:gridCol w:w="816"/>
        <w:gridCol w:w="1165"/>
        <w:gridCol w:w="1164"/>
        <w:gridCol w:w="1372"/>
        <w:gridCol w:w="1370"/>
        <w:gridCol w:w="1322"/>
        <w:gridCol w:w="1127"/>
        <w:gridCol w:w="1476"/>
        <w:gridCol w:w="1352"/>
      </w:tblGrid>
      <w:tr>
        <w:trPr>
          <w:trHeight w:val="1099" w:hRule="exact"/>
        </w:trPr>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2" w:right="0"/>
              <w:jc w:val="left"/>
              <w:rPr>
                <w:rFonts w:ascii="宋体" w:hAnsi="宋体" w:cs="宋体" w:eastAsia="宋体" w:hint="default"/>
                <w:sz w:val="21"/>
                <w:szCs w:val="21"/>
              </w:rPr>
            </w:pPr>
            <w:r>
              <w:rPr>
                <w:rFonts w:ascii="宋体" w:hAnsi="宋体" w:cs="宋体" w:eastAsia="宋体" w:hint="default"/>
                <w:sz w:val="21"/>
                <w:szCs w:val="21"/>
              </w:rPr>
              <w:t>职务(注)</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367" w:right="156" w:hanging="210"/>
              <w:jc w:val="left"/>
              <w:rPr>
                <w:rFonts w:ascii="宋体" w:hAnsi="宋体" w:cs="宋体" w:eastAsia="宋体" w:hint="default"/>
                <w:sz w:val="21"/>
                <w:szCs w:val="21"/>
              </w:rPr>
            </w:pPr>
            <w:r>
              <w:rPr>
                <w:rFonts w:ascii="宋体" w:hAnsi="宋体" w:cs="宋体" w:eastAsia="宋体" w:hint="default"/>
                <w:sz w:val="21"/>
                <w:szCs w:val="21"/>
              </w:rPr>
              <w:t>任期起始 日期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367" w:right="155" w:hanging="210"/>
              <w:jc w:val="left"/>
              <w:rPr>
                <w:rFonts w:ascii="宋体" w:hAnsi="宋体" w:cs="宋体" w:eastAsia="宋体" w:hint="default"/>
                <w:sz w:val="21"/>
                <w:szCs w:val="21"/>
              </w:rPr>
            </w:pPr>
            <w:r>
              <w:rPr>
                <w:rFonts w:ascii="宋体" w:hAnsi="宋体" w:cs="宋体" w:eastAsia="宋体" w:hint="default"/>
                <w:sz w:val="21"/>
                <w:szCs w:val="21"/>
              </w:rPr>
              <w:t>任期终止 日期</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54"/>
              <w:jc w:val="right"/>
              <w:rPr>
                <w:rFonts w:ascii="宋体" w:hAnsi="宋体" w:cs="宋体" w:eastAsia="宋体" w:hint="default"/>
                <w:sz w:val="21"/>
                <w:szCs w:val="21"/>
              </w:rPr>
            </w:pPr>
            <w:r>
              <w:rPr>
                <w:rFonts w:ascii="宋体" w:hAnsi="宋体" w:cs="宋体" w:eastAsia="宋体" w:hint="default"/>
                <w:sz w:val="21"/>
                <w:szCs w:val="21"/>
              </w:rPr>
              <w:t>年初持股数</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年末持股数</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30" w:right="130"/>
              <w:jc w:val="left"/>
              <w:rPr>
                <w:rFonts w:ascii="宋体" w:hAnsi="宋体" w:cs="宋体" w:eastAsia="宋体" w:hint="default"/>
                <w:sz w:val="21"/>
                <w:szCs w:val="21"/>
              </w:rPr>
            </w:pPr>
            <w:r>
              <w:rPr>
                <w:rFonts w:ascii="宋体" w:hAnsi="宋体" w:cs="宋体" w:eastAsia="宋体" w:hint="default"/>
                <w:sz w:val="21"/>
                <w:szCs w:val="21"/>
              </w:rPr>
              <w:t>年度内股份 增减变动量</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347" w:right="137" w:hanging="210"/>
              <w:jc w:val="left"/>
              <w:rPr>
                <w:rFonts w:ascii="宋体" w:hAnsi="宋体" w:cs="宋体" w:eastAsia="宋体" w:hint="default"/>
                <w:sz w:val="21"/>
                <w:szCs w:val="21"/>
              </w:rPr>
            </w:pPr>
            <w:r>
              <w:rPr>
                <w:rFonts w:ascii="宋体" w:hAnsi="宋体" w:cs="宋体" w:eastAsia="宋体" w:hint="default"/>
                <w:sz w:val="21"/>
                <w:szCs w:val="21"/>
              </w:rPr>
              <w:t>增减变动 原因</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报告期内从公</w:t>
            </w:r>
          </w:p>
          <w:p>
            <w:pPr>
              <w:pStyle w:val="TableParagraph"/>
              <w:spacing w:line="272" w:lineRule="exact" w:before="26"/>
              <w:ind w:left="103" w:right="-2" w:hanging="105"/>
              <w:jc w:val="center"/>
              <w:rPr>
                <w:rFonts w:ascii="宋体" w:hAnsi="宋体" w:cs="宋体" w:eastAsia="宋体" w:hint="default"/>
                <w:sz w:val="21"/>
                <w:szCs w:val="21"/>
              </w:rPr>
            </w:pPr>
            <w:r>
              <w:rPr>
                <w:rFonts w:ascii="宋体" w:hAnsi="宋体" w:cs="宋体" w:eastAsia="宋体" w:hint="default"/>
                <w:sz w:val="21"/>
                <w:szCs w:val="21"/>
              </w:rPr>
              <w:t>司领取的应付 </w:t>
            </w:r>
            <w:r>
              <w:rPr>
                <w:rFonts w:ascii="宋体" w:hAnsi="宋体" w:cs="宋体" w:eastAsia="宋体" w:hint="default"/>
                <w:spacing w:val="-16"/>
                <w:sz w:val="21"/>
                <w:szCs w:val="21"/>
              </w:rPr>
              <w:t>报酬总额（元）</w:t>
            </w:r>
          </w:p>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（税前）</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报告期在其</w:t>
            </w:r>
          </w:p>
          <w:p>
            <w:pPr>
              <w:pStyle w:val="TableParagraph"/>
              <w:spacing w:line="272" w:lineRule="exact" w:before="26"/>
              <w:ind w:left="356" w:right="144" w:hanging="210"/>
              <w:jc w:val="left"/>
              <w:rPr>
                <w:rFonts w:ascii="宋体" w:hAnsi="宋体" w:cs="宋体" w:eastAsia="宋体" w:hint="default"/>
                <w:sz w:val="21"/>
                <w:szCs w:val="21"/>
              </w:rPr>
            </w:pPr>
            <w:r>
              <w:rPr>
                <w:rFonts w:ascii="宋体" w:hAnsi="宋体" w:cs="宋体" w:eastAsia="宋体" w:hint="default"/>
                <w:sz w:val="21"/>
                <w:szCs w:val="21"/>
              </w:rPr>
              <w:t>股东单位领 薪情况</w:t>
            </w:r>
          </w:p>
        </w:tc>
      </w:tr>
      <w:tr>
        <w:trPr>
          <w:trHeight w:val="556" w:hRule="exact"/>
        </w:trPr>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48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53"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24日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54"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31,043,024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31,043,024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112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499,348.06</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0</w:t>
            </w:r>
          </w:p>
        </w:tc>
      </w:tr>
      <w:tr>
        <w:trPr>
          <w:trHeight w:val="554" w:hRule="exact"/>
        </w:trPr>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52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53"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24日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54"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31,123,120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31,123,120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0</w:t>
            </w:r>
          </w:p>
        </w:tc>
        <w:tc>
          <w:tcPr>
            <w:tcW w:w="112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499,345.98</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0</w:t>
            </w:r>
          </w:p>
        </w:tc>
      </w:tr>
      <w:tr>
        <w:trPr>
          <w:trHeight w:val="554" w:hRule="exact"/>
        </w:trPr>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董事、总</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裁</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50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53"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24日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54"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29,822,954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29,822,954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112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499,444.06</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0</w:t>
            </w:r>
          </w:p>
        </w:tc>
      </w:tr>
      <w:tr>
        <w:trPr>
          <w:trHeight w:val="554" w:hRule="exact"/>
        </w:trPr>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徐岷波</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董事、副</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49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53"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24日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54"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28,010,175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28,010,175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112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496,681.29</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0</w:t>
            </w:r>
          </w:p>
        </w:tc>
      </w:tr>
      <w:tr>
        <w:trPr>
          <w:trHeight w:val="556" w:hRule="exact"/>
        </w:trPr>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王开因</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50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53"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24日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54"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1,700,000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1,738,000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38,000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股权激励</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564,341.72</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0</w:t>
            </w:r>
          </w:p>
        </w:tc>
      </w:tr>
      <w:tr>
        <w:trPr>
          <w:trHeight w:val="554" w:hRule="exact"/>
        </w:trPr>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杨健</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45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53"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24日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54"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0</w:t>
            </w:r>
          </w:p>
        </w:tc>
        <w:tc>
          <w:tcPr>
            <w:tcW w:w="112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71,428.56</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0</w:t>
            </w:r>
          </w:p>
        </w:tc>
      </w:tr>
      <w:tr>
        <w:trPr>
          <w:trHeight w:val="554" w:hRule="exact"/>
        </w:trPr>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肖幼美</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60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53"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24日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54"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112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71,428.56</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0</w:t>
            </w:r>
          </w:p>
        </w:tc>
      </w:tr>
      <w:tr>
        <w:trPr>
          <w:trHeight w:val="554" w:hRule="exact"/>
        </w:trPr>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张龙飞</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37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53"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24日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54"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112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71,428.56</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0</w:t>
            </w:r>
          </w:p>
        </w:tc>
      </w:tr>
      <w:tr>
        <w:trPr>
          <w:trHeight w:val="556" w:hRule="exact"/>
        </w:trPr>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刘瑛</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监事会主</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席</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38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53"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24日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54"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112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257,913.93</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0</w:t>
            </w:r>
          </w:p>
        </w:tc>
      </w:tr>
      <w:tr>
        <w:trPr>
          <w:trHeight w:val="554" w:hRule="exact"/>
        </w:trPr>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王侯</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69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53"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24日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54"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0</w:t>
            </w:r>
          </w:p>
        </w:tc>
        <w:tc>
          <w:tcPr>
            <w:tcW w:w="112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71,428.56</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0</w:t>
            </w:r>
          </w:p>
        </w:tc>
      </w:tr>
      <w:tr>
        <w:trPr>
          <w:trHeight w:val="282" w:hRule="exact"/>
        </w:trPr>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李应军</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42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12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348,706.05</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r>
    </w:tbl>
    <w:p>
      <w:pPr>
        <w:spacing w:after="0" w:line="240" w:lineRule="exact"/>
        <w:jc w:val="center"/>
        <w:rPr>
          <w:rFonts w:ascii="宋体" w:hAnsi="宋体" w:cs="宋体" w:eastAsia="宋体" w:hint="default"/>
          <w:sz w:val="21"/>
          <w:szCs w:val="21"/>
        </w:rPr>
        <w:sectPr>
          <w:type w:val="continuous"/>
          <w:pgSz w:w="16840" w:h="11910" w:orient="landscape"/>
          <w:pgMar w:top="108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02"/>
        <w:gridCol w:w="1114"/>
        <w:gridCol w:w="816"/>
        <w:gridCol w:w="816"/>
        <w:gridCol w:w="1165"/>
        <w:gridCol w:w="1164"/>
        <w:gridCol w:w="1372"/>
        <w:gridCol w:w="1370"/>
        <w:gridCol w:w="1322"/>
        <w:gridCol w:w="1127"/>
        <w:gridCol w:w="1476"/>
        <w:gridCol w:w="1352"/>
      </w:tblGrid>
      <w:tr>
        <w:trPr>
          <w:trHeight w:val="282" w:hRule="exact"/>
        </w:trPr>
        <w:tc>
          <w:tcPr>
            <w:tcW w:w="100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3"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24日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7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吴晓琳</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41</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53"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24日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54"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38,000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76,000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38,000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股权激励</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434,671.64</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0</w:t>
            </w:r>
          </w:p>
        </w:tc>
      </w:tr>
      <w:tr>
        <w:trPr>
          <w:trHeight w:val="554" w:hRule="exact"/>
        </w:trPr>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王清若</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40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53"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24日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54"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38,000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76,000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38,000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股权激励</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677,811.26</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0</w:t>
            </w:r>
          </w:p>
        </w:tc>
      </w:tr>
      <w:tr>
        <w:trPr>
          <w:trHeight w:val="1099" w:hRule="exact"/>
        </w:trPr>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周永洪</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
              <w:jc w:val="center"/>
              <w:rPr>
                <w:rFonts w:ascii="宋体" w:hAnsi="宋体" w:cs="宋体" w:eastAsia="宋体" w:hint="default"/>
                <w:sz w:val="21"/>
                <w:szCs w:val="21"/>
              </w:rPr>
            </w:pPr>
            <w:r>
              <w:rPr>
                <w:rFonts w:ascii="宋体"/>
                <w:sz w:val="21"/>
              </w:rPr>
              <w:t>48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53"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24日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54"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0"/>
              <w:jc w:val="right"/>
              <w:rPr>
                <w:rFonts w:ascii="宋体" w:hAnsi="宋体" w:cs="宋体" w:eastAsia="宋体" w:hint="default"/>
                <w:sz w:val="21"/>
                <w:szCs w:val="21"/>
              </w:rPr>
            </w:pPr>
            <w:r>
              <w:rPr>
                <w:rFonts w:ascii="宋体"/>
                <w:spacing w:val="-1"/>
                <w:sz w:val="21"/>
              </w:rPr>
              <w:t>57,750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71,860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1"/>
              <w:jc w:val="right"/>
              <w:rPr>
                <w:rFonts w:ascii="宋体" w:hAnsi="宋体" w:cs="宋体" w:eastAsia="宋体" w:hint="default"/>
                <w:sz w:val="21"/>
                <w:szCs w:val="21"/>
              </w:rPr>
            </w:pPr>
            <w:r>
              <w:rPr>
                <w:rFonts w:ascii="宋体"/>
                <w:spacing w:val="-1"/>
                <w:sz w:val="21"/>
              </w:rPr>
              <w:t>14,110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8"/>
                <w:sz w:val="21"/>
                <w:szCs w:val="21"/>
              </w:rPr>
              <w:t>二级市场</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37" w:lineRule="auto" w:before="1"/>
              <w:ind w:left="103" w:right="76"/>
              <w:jc w:val="both"/>
              <w:rPr>
                <w:rFonts w:ascii="宋体" w:hAnsi="宋体" w:cs="宋体" w:eastAsia="宋体" w:hint="default"/>
                <w:sz w:val="21"/>
                <w:szCs w:val="21"/>
              </w:rPr>
            </w:pPr>
            <w:r>
              <w:rPr>
                <w:rFonts w:ascii="宋体" w:hAnsi="宋体" w:cs="宋体" w:eastAsia="宋体" w:hint="default"/>
                <w:spacing w:val="18"/>
                <w:sz w:val="21"/>
                <w:szCs w:val="21"/>
              </w:rPr>
              <w:t>卖出、股</w:t>
            </w:r>
            <w:r>
              <w:rPr>
                <w:rFonts w:ascii="宋体" w:hAnsi="宋体" w:cs="宋体" w:eastAsia="宋体" w:hint="default"/>
                <w:spacing w:val="-81"/>
                <w:sz w:val="21"/>
                <w:szCs w:val="21"/>
              </w:rPr>
              <w:t> </w:t>
            </w:r>
            <w:r>
              <w:rPr>
                <w:rFonts w:ascii="宋体" w:hAnsi="宋体" w:cs="宋体" w:eastAsia="宋体" w:hint="default"/>
                <w:spacing w:val="18"/>
                <w:sz w:val="21"/>
                <w:szCs w:val="21"/>
              </w:rPr>
              <w:t>权激励行</w:t>
            </w:r>
            <w:r>
              <w:rPr>
                <w:rFonts w:ascii="宋体" w:hAnsi="宋体" w:cs="宋体" w:eastAsia="宋体" w:hint="default"/>
                <w:spacing w:val="-81"/>
                <w:sz w:val="21"/>
                <w:szCs w:val="21"/>
              </w:rPr>
              <w:t> </w:t>
            </w:r>
            <w:r>
              <w:rPr>
                <w:rFonts w:ascii="宋体" w:hAnsi="宋体" w:cs="宋体" w:eastAsia="宋体" w:hint="default"/>
                <w:sz w:val="21"/>
                <w:szCs w:val="21"/>
              </w:rPr>
              <w:t>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0"/>
              <w:jc w:val="right"/>
              <w:rPr>
                <w:rFonts w:ascii="宋体" w:hAnsi="宋体" w:cs="宋体" w:eastAsia="宋体" w:hint="default"/>
                <w:sz w:val="21"/>
                <w:szCs w:val="21"/>
              </w:rPr>
            </w:pPr>
            <w:r>
              <w:rPr>
                <w:rFonts w:ascii="宋体"/>
                <w:spacing w:val="-1"/>
                <w:sz w:val="21"/>
              </w:rPr>
              <w:t>343,258.08</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sz w:val="21"/>
              </w:rPr>
              <w:t>0</w:t>
            </w:r>
          </w:p>
        </w:tc>
      </w:tr>
      <w:tr>
        <w:trPr>
          <w:trHeight w:val="556" w:hRule="exact"/>
        </w:trPr>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杜玉巍</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技术总监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44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53"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24日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p>
          <w:p>
            <w:pPr>
              <w:pStyle w:val="TableParagraph"/>
              <w:spacing w:line="274" w:lineRule="exact"/>
              <w:ind w:left="20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38,000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76,000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38,000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股权激励</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458,863.05</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0</w:t>
            </w:r>
          </w:p>
        </w:tc>
      </w:tr>
      <w:tr>
        <w:trPr>
          <w:trHeight w:val="554" w:hRule="exact"/>
        </w:trPr>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王凯</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董事会秘</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书</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42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53"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24日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54"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38,000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76,000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38,000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股权激励</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372,942.77</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0</w:t>
            </w:r>
          </w:p>
        </w:tc>
      </w:tr>
      <w:tr>
        <w:trPr>
          <w:trHeight w:val="554" w:hRule="exact"/>
        </w:trPr>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王桂菊</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营销总监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46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53"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24日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54"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38,000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76,000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38,000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551,913.43</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0</w:t>
            </w:r>
          </w:p>
        </w:tc>
      </w:tr>
      <w:tr>
        <w:trPr>
          <w:trHeight w:val="283" w:hRule="exact"/>
        </w:trPr>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121,947,023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122,189,133</w:t>
            </w:r>
            <w:r>
              <w:rPr>
                <w:rFonts w:ascii="宋体"/>
                <w:sz w:val="21"/>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242,110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6,290,955.56</w:t>
            </w:r>
            <w:r>
              <w:rPr>
                <w:rFonts w:ascii="宋体"/>
                <w:sz w:val="21"/>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7" w:type="dxa"/>
        <w:tblLayout w:type="fixed"/>
        <w:tblCellMar>
          <w:top w:w="0" w:type="dxa"/>
          <w:left w:w="0" w:type="dxa"/>
          <w:bottom w:w="0" w:type="dxa"/>
          <w:right w:w="0" w:type="dxa"/>
        </w:tblCellMar>
        <w:tblLook w:val="01E0"/>
      </w:tblPr>
      <w:tblGrid>
        <w:gridCol w:w="1074"/>
        <w:gridCol w:w="13015"/>
      </w:tblGrid>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3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年的主要工作经历</w:t>
            </w:r>
          </w:p>
        </w:tc>
      </w:tr>
      <w:tr>
        <w:trPr>
          <w:trHeight w:val="450" w:hRule="exact"/>
        </w:trPr>
        <w:tc>
          <w:tcPr>
            <w:tcW w:w="1074"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0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(1)赵剑,现年</w:t>
            </w:r>
            <w:r>
              <w:rPr>
                <w:rFonts w:ascii="宋体" w:hAnsi="宋体" w:cs="宋体" w:eastAsia="宋体" w:hint="default"/>
                <w:spacing w:val="-39"/>
                <w:sz w:val="21"/>
                <w:szCs w:val="21"/>
              </w:rPr>
              <w:t> </w:t>
            </w:r>
            <w:r>
              <w:rPr>
                <w:rFonts w:ascii="宋体" w:hAnsi="宋体" w:cs="宋体" w:eastAsia="宋体" w:hint="default"/>
                <w:sz w:val="21"/>
                <w:szCs w:val="21"/>
              </w:rPr>
              <w:t>48</w:t>
            </w:r>
            <w:r>
              <w:rPr>
                <w:rFonts w:ascii="宋体" w:hAnsi="宋体" w:cs="宋体" w:eastAsia="宋体" w:hint="default"/>
                <w:spacing w:val="-38"/>
                <w:sz w:val="21"/>
                <w:szCs w:val="21"/>
              </w:rPr>
              <w:t> </w:t>
            </w:r>
            <w:r>
              <w:rPr>
                <w:rFonts w:ascii="宋体" w:hAnsi="宋体" w:cs="宋体" w:eastAsia="宋体" w:hint="default"/>
                <w:sz w:val="21"/>
                <w:szCs w:val="21"/>
              </w:rPr>
              <w:t>岁，硕士学位，西安交通大学应用经济学专业毕业，现任公司董事长。赵剑先生</w:t>
            </w:r>
            <w:r>
              <w:rPr>
                <w:rFonts w:ascii="宋体" w:hAnsi="宋体" w:cs="宋体" w:eastAsia="宋体" w:hint="default"/>
                <w:spacing w:val="-39"/>
                <w:sz w:val="21"/>
                <w:szCs w:val="21"/>
              </w:rPr>
              <w:t> </w:t>
            </w:r>
            <w:r>
              <w:rPr>
                <w:rFonts w:ascii="宋体" w:hAnsi="宋体" w:cs="宋体" w:eastAsia="宋体" w:hint="default"/>
                <w:sz w:val="21"/>
                <w:szCs w:val="21"/>
              </w:rPr>
              <w:t>1989</w:t>
            </w:r>
            <w:r>
              <w:rPr>
                <w:rFonts w:ascii="宋体" w:hAnsi="宋体" w:cs="宋体" w:eastAsia="宋体" w:hint="default"/>
                <w:spacing w:val="-38"/>
                <w:sz w:val="21"/>
                <w:szCs w:val="21"/>
              </w:rPr>
              <w:t> </w:t>
            </w:r>
            <w:r>
              <w:rPr>
                <w:rFonts w:ascii="宋体" w:hAnsi="宋体" w:cs="宋体" w:eastAsia="宋体" w:hint="default"/>
                <w:sz w:val="21"/>
                <w:szCs w:val="21"/>
              </w:rPr>
              <w:t>年至</w:t>
            </w:r>
            <w:r>
              <w:rPr>
                <w:rFonts w:ascii="宋体" w:hAnsi="宋体" w:cs="宋体" w:eastAsia="宋体" w:hint="default"/>
                <w:spacing w:val="-39"/>
                <w:sz w:val="21"/>
                <w:szCs w:val="21"/>
              </w:rPr>
              <w:t> </w:t>
            </w:r>
            <w:r>
              <w:rPr>
                <w:rFonts w:ascii="宋体" w:hAnsi="宋体" w:cs="宋体" w:eastAsia="宋体" w:hint="default"/>
                <w:sz w:val="21"/>
                <w:szCs w:val="21"/>
              </w:rPr>
              <w:t>1992</w:t>
            </w:r>
            <w:r>
              <w:rPr>
                <w:rFonts w:ascii="宋体" w:hAnsi="宋体" w:cs="宋体" w:eastAsia="宋体" w:hint="default"/>
                <w:spacing w:val="-38"/>
                <w:sz w:val="21"/>
                <w:szCs w:val="21"/>
              </w:rPr>
              <w:t> </w:t>
            </w:r>
            <w:r>
              <w:rPr>
                <w:rFonts w:ascii="宋体" w:hAnsi="宋体" w:cs="宋体" w:eastAsia="宋体" w:hint="default"/>
                <w:sz w:val="21"/>
                <w:szCs w:val="21"/>
              </w:rPr>
              <w:t>年任职于蛇口新欣软件产</w:t>
            </w:r>
          </w:p>
        </w:tc>
      </w:tr>
      <w:tr>
        <w:trPr>
          <w:trHeight w:val="400" w:hRule="exact"/>
        </w:trPr>
        <w:tc>
          <w:tcPr>
            <w:tcW w:w="1074" w:type="dxa"/>
            <w:tcBorders>
              <w:top w:val="nil" w:sz="6" w:space="0" w:color="auto"/>
              <w:left w:val="single" w:sz="4" w:space="0" w:color="000000"/>
              <w:bottom w:val="nil" w:sz="6" w:space="0" w:color="auto"/>
              <w:right w:val="single" w:sz="4" w:space="0" w:color="000000"/>
            </w:tcBorders>
          </w:tcPr>
          <w:p>
            <w:pPr/>
          </w:p>
        </w:tc>
        <w:tc>
          <w:tcPr>
            <w:tcW w:w="13015"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业有限公司；1992</w:t>
            </w:r>
            <w:r>
              <w:rPr>
                <w:rFonts w:ascii="宋体" w:hAnsi="宋体" w:cs="宋体" w:eastAsia="宋体" w:hint="default"/>
                <w:spacing w:val="-57"/>
                <w:sz w:val="21"/>
                <w:szCs w:val="21"/>
              </w:rPr>
              <w:t> </w:t>
            </w:r>
            <w:r>
              <w:rPr>
                <w:rFonts w:ascii="宋体" w:hAnsi="宋体" w:cs="宋体" w:eastAsia="宋体" w:hint="default"/>
                <w:sz w:val="21"/>
                <w:szCs w:val="21"/>
              </w:rPr>
              <w:t>年至</w:t>
            </w:r>
            <w:r>
              <w:rPr>
                <w:rFonts w:ascii="宋体" w:hAnsi="宋体" w:cs="宋体" w:eastAsia="宋体" w:hint="default"/>
                <w:spacing w:val="-59"/>
                <w:sz w:val="21"/>
                <w:szCs w:val="21"/>
              </w:rPr>
              <w:t> </w:t>
            </w:r>
            <w:r>
              <w:rPr>
                <w:rFonts w:ascii="宋体" w:hAnsi="宋体" w:cs="宋体" w:eastAsia="宋体" w:hint="default"/>
                <w:sz w:val="21"/>
                <w:szCs w:val="21"/>
              </w:rPr>
              <w:t>1998</w:t>
            </w:r>
            <w:r>
              <w:rPr>
                <w:rFonts w:ascii="宋体" w:hAnsi="宋体" w:cs="宋体" w:eastAsia="宋体" w:hint="default"/>
                <w:spacing w:val="-57"/>
                <w:sz w:val="21"/>
                <w:szCs w:val="21"/>
              </w:rPr>
              <w:t> </w:t>
            </w:r>
            <w:r>
              <w:rPr>
                <w:rFonts w:ascii="宋体" w:hAnsi="宋体" w:cs="宋体" w:eastAsia="宋体" w:hint="default"/>
                <w:sz w:val="21"/>
                <w:szCs w:val="21"/>
              </w:rPr>
              <w:t>年任职于深圳市捷意电脑有限公司，任总经理；1998</w:t>
            </w:r>
            <w:r>
              <w:rPr>
                <w:rFonts w:ascii="宋体" w:hAnsi="宋体" w:cs="宋体" w:eastAsia="宋体" w:hint="default"/>
                <w:spacing w:val="-58"/>
                <w:sz w:val="21"/>
                <w:szCs w:val="21"/>
              </w:rPr>
              <w:t> </w:t>
            </w:r>
            <w:r>
              <w:rPr>
                <w:rFonts w:ascii="宋体" w:hAnsi="宋体" w:cs="宋体" w:eastAsia="宋体" w:hint="default"/>
                <w:sz w:val="21"/>
                <w:szCs w:val="21"/>
              </w:rPr>
              <w:t>年创建本公司，出任公司第一届董事会董事至今。赵剑先</w:t>
            </w:r>
          </w:p>
        </w:tc>
      </w:tr>
      <w:tr>
        <w:trPr>
          <w:trHeight w:val="632" w:hRule="exact"/>
        </w:trPr>
        <w:tc>
          <w:tcPr>
            <w:tcW w:w="1074" w:type="dxa"/>
            <w:tcBorders>
              <w:top w:val="nil" w:sz="6" w:space="0" w:color="auto"/>
              <w:left w:val="single" w:sz="4" w:space="0" w:color="000000"/>
              <w:bottom w:val="single" w:sz="4" w:space="0" w:color="000000"/>
              <w:right w:val="single" w:sz="4" w:space="0" w:color="000000"/>
            </w:tcBorders>
          </w:tcPr>
          <w:p>
            <w:pPr/>
          </w:p>
        </w:tc>
        <w:tc>
          <w:tcPr>
            <w:tcW w:w="130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生主持开发的公司三项产品通过了深圳市科技局的科技成果鉴定，其中“金证证券柜台交易系统”获</w:t>
            </w:r>
            <w:r>
              <w:rPr>
                <w:rFonts w:ascii="宋体" w:hAnsi="宋体" w:cs="宋体" w:eastAsia="宋体" w:hint="default"/>
                <w:spacing w:val="-83"/>
                <w:sz w:val="21"/>
                <w:szCs w:val="21"/>
              </w:rPr>
              <w:t> </w:t>
            </w:r>
            <w:r>
              <w:rPr>
                <w:rFonts w:ascii="宋体" w:hAnsi="宋体" w:cs="宋体" w:eastAsia="宋体" w:hint="default"/>
                <w:sz w:val="21"/>
                <w:szCs w:val="21"/>
              </w:rPr>
              <w:t>2000</w:t>
            </w:r>
            <w:r>
              <w:rPr>
                <w:rFonts w:ascii="宋体" w:hAnsi="宋体" w:cs="宋体" w:eastAsia="宋体" w:hint="default"/>
                <w:spacing w:val="-82"/>
                <w:sz w:val="21"/>
                <w:szCs w:val="21"/>
              </w:rPr>
              <w:t> </w:t>
            </w:r>
            <w:r>
              <w:rPr>
                <w:rFonts w:ascii="宋体" w:hAnsi="宋体" w:cs="宋体" w:eastAsia="宋体" w:hint="default"/>
                <w:sz w:val="21"/>
                <w:szCs w:val="21"/>
              </w:rPr>
              <w:t>年深圳市科技进步一等奖。</w:t>
            </w:r>
          </w:p>
        </w:tc>
      </w:tr>
      <w:tr>
        <w:trPr>
          <w:trHeight w:val="451" w:hRule="exact"/>
        </w:trPr>
        <w:tc>
          <w:tcPr>
            <w:tcW w:w="1074" w:type="dxa"/>
            <w:vMerge w:val="restart"/>
            <w:tcBorders>
              <w:top w:val="single" w:sz="4" w:space="0" w:color="000000"/>
              <w:left w:val="single" w:sz="4" w:space="0" w:color="000000"/>
              <w:right w:val="single" w:sz="4" w:space="0" w:color="000000"/>
            </w:tcBorders>
          </w:tcPr>
          <w:p>
            <w:pPr/>
          </w:p>
        </w:tc>
        <w:tc>
          <w:tcPr>
            <w:tcW w:w="130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杜宣,现年</w:t>
            </w:r>
            <w:r>
              <w:rPr>
                <w:rFonts w:ascii="宋体" w:hAnsi="宋体" w:cs="宋体" w:eastAsia="宋体" w:hint="default"/>
                <w:spacing w:val="-56"/>
                <w:sz w:val="21"/>
                <w:szCs w:val="21"/>
              </w:rPr>
              <w:t> </w:t>
            </w:r>
            <w:r>
              <w:rPr>
                <w:rFonts w:ascii="宋体" w:hAnsi="宋体" w:cs="宋体" w:eastAsia="宋体" w:hint="default"/>
                <w:sz w:val="21"/>
                <w:szCs w:val="21"/>
              </w:rPr>
              <w:t>52</w:t>
            </w:r>
            <w:r>
              <w:rPr>
                <w:rFonts w:ascii="宋体" w:hAnsi="宋体" w:cs="宋体" w:eastAsia="宋体" w:hint="default"/>
                <w:spacing w:val="-55"/>
                <w:sz w:val="21"/>
                <w:szCs w:val="21"/>
              </w:rPr>
              <w:t> </w:t>
            </w:r>
            <w:r>
              <w:rPr>
                <w:rFonts w:ascii="宋体" w:hAnsi="宋体" w:cs="宋体" w:eastAsia="宋体" w:hint="default"/>
                <w:sz w:val="21"/>
                <w:szCs w:val="21"/>
              </w:rPr>
              <w:t>岁，学士学位，成都电子科技大学计算机专业毕业，现任公司董事。杜宣先生</w:t>
            </w:r>
            <w:r>
              <w:rPr>
                <w:rFonts w:ascii="宋体" w:hAnsi="宋体" w:cs="宋体" w:eastAsia="宋体" w:hint="default"/>
                <w:spacing w:val="-56"/>
                <w:sz w:val="21"/>
                <w:szCs w:val="21"/>
              </w:rPr>
              <w:t> </w:t>
            </w:r>
            <w:r>
              <w:rPr>
                <w:rFonts w:ascii="宋体" w:hAnsi="宋体" w:cs="宋体" w:eastAsia="宋体" w:hint="default"/>
                <w:sz w:val="21"/>
                <w:szCs w:val="21"/>
              </w:rPr>
              <w:t>1984</w:t>
            </w:r>
            <w:r>
              <w:rPr>
                <w:rFonts w:ascii="宋体" w:hAnsi="宋体" w:cs="宋体" w:eastAsia="宋体" w:hint="default"/>
                <w:spacing w:val="-55"/>
                <w:sz w:val="21"/>
                <w:szCs w:val="21"/>
              </w:rPr>
              <w:t> </w:t>
            </w:r>
            <w:r>
              <w:rPr>
                <w:rFonts w:ascii="宋体" w:hAnsi="宋体" w:cs="宋体" w:eastAsia="宋体" w:hint="default"/>
                <w:sz w:val="21"/>
                <w:szCs w:val="21"/>
              </w:rPr>
              <w:t>年至</w:t>
            </w:r>
            <w:r>
              <w:rPr>
                <w:rFonts w:ascii="宋体" w:hAnsi="宋体" w:cs="宋体" w:eastAsia="宋体" w:hint="default"/>
                <w:spacing w:val="-57"/>
                <w:sz w:val="21"/>
                <w:szCs w:val="21"/>
              </w:rPr>
              <w:t> </w:t>
            </w:r>
            <w:r>
              <w:rPr>
                <w:rFonts w:ascii="宋体" w:hAnsi="宋体" w:cs="宋体" w:eastAsia="宋体" w:hint="default"/>
                <w:sz w:val="21"/>
                <w:szCs w:val="21"/>
              </w:rPr>
              <w:t>1989</w:t>
            </w:r>
            <w:r>
              <w:rPr>
                <w:rFonts w:ascii="宋体" w:hAnsi="宋体" w:cs="宋体" w:eastAsia="宋体" w:hint="default"/>
                <w:spacing w:val="-56"/>
                <w:sz w:val="21"/>
                <w:szCs w:val="21"/>
              </w:rPr>
              <w:t> </w:t>
            </w:r>
            <w:r>
              <w:rPr>
                <w:rFonts w:ascii="宋体" w:hAnsi="宋体" w:cs="宋体" w:eastAsia="宋体" w:hint="default"/>
                <w:sz w:val="21"/>
                <w:szCs w:val="21"/>
              </w:rPr>
              <w:t>年在成都电子科技大学任教并从</w:t>
            </w:r>
          </w:p>
        </w:tc>
      </w:tr>
      <w:tr>
        <w:trPr>
          <w:trHeight w:val="400" w:hRule="exact"/>
        </w:trPr>
        <w:tc>
          <w:tcPr>
            <w:tcW w:w="1074" w:type="dxa"/>
            <w:vMerge/>
            <w:tcBorders>
              <w:left w:val="single" w:sz="4" w:space="0" w:color="000000"/>
              <w:right w:val="single" w:sz="4" w:space="0" w:color="000000"/>
            </w:tcBorders>
          </w:tcPr>
          <w:p>
            <w:pPr/>
          </w:p>
        </w:tc>
        <w:tc>
          <w:tcPr>
            <w:tcW w:w="13015"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spacing w:val="-48"/>
                <w:sz w:val="21"/>
                <w:szCs w:val="21"/>
              </w:rPr>
              <w:t> </w:t>
            </w:r>
            <w:r>
              <w:rPr>
                <w:rFonts w:ascii="宋体" w:hAnsi="宋体" w:cs="宋体" w:eastAsia="宋体" w:hint="default"/>
                <w:sz w:val="21"/>
                <w:szCs w:val="21"/>
              </w:rPr>
              <w:t>MIS</w:t>
            </w:r>
            <w:r>
              <w:rPr>
                <w:rFonts w:ascii="宋体" w:hAnsi="宋体" w:cs="宋体" w:eastAsia="宋体" w:hint="default"/>
                <w:spacing w:val="-47"/>
                <w:sz w:val="21"/>
                <w:szCs w:val="21"/>
              </w:rPr>
              <w:t> </w:t>
            </w:r>
            <w:r>
              <w:rPr>
                <w:rFonts w:ascii="宋体" w:hAnsi="宋体" w:cs="宋体" w:eastAsia="宋体" w:hint="default"/>
                <w:sz w:val="21"/>
                <w:szCs w:val="21"/>
              </w:rPr>
              <w:t>的开发；1989</w:t>
            </w:r>
            <w:r>
              <w:rPr>
                <w:rFonts w:ascii="宋体" w:hAnsi="宋体" w:cs="宋体" w:eastAsia="宋体" w:hint="default"/>
                <w:spacing w:val="-47"/>
                <w:sz w:val="21"/>
                <w:szCs w:val="21"/>
              </w:rPr>
              <w:t> </w:t>
            </w:r>
            <w:r>
              <w:rPr>
                <w:rFonts w:ascii="宋体" w:hAnsi="宋体" w:cs="宋体" w:eastAsia="宋体" w:hint="default"/>
                <w:sz w:val="21"/>
                <w:szCs w:val="21"/>
              </w:rPr>
              <w:t>年至</w:t>
            </w:r>
            <w:r>
              <w:rPr>
                <w:rFonts w:ascii="宋体" w:hAnsi="宋体" w:cs="宋体" w:eastAsia="宋体" w:hint="default"/>
                <w:spacing w:val="-48"/>
                <w:sz w:val="21"/>
                <w:szCs w:val="21"/>
              </w:rPr>
              <w:t> </w:t>
            </w:r>
            <w:r>
              <w:rPr>
                <w:rFonts w:ascii="宋体" w:hAnsi="宋体" w:cs="宋体" w:eastAsia="宋体" w:hint="default"/>
                <w:sz w:val="21"/>
                <w:szCs w:val="21"/>
              </w:rPr>
              <w:t>1993</w:t>
            </w:r>
            <w:r>
              <w:rPr>
                <w:rFonts w:ascii="宋体" w:hAnsi="宋体" w:cs="宋体" w:eastAsia="宋体" w:hint="default"/>
                <w:spacing w:val="-47"/>
                <w:sz w:val="21"/>
                <w:szCs w:val="21"/>
              </w:rPr>
              <w:t> </w:t>
            </w:r>
            <w:r>
              <w:rPr>
                <w:rFonts w:ascii="宋体" w:hAnsi="宋体" w:cs="宋体" w:eastAsia="宋体" w:hint="default"/>
                <w:sz w:val="21"/>
                <w:szCs w:val="21"/>
              </w:rPr>
              <w:t>年任职于蛇口新欣软件产业有限公司，任开发二部经理；1993</w:t>
            </w:r>
            <w:r>
              <w:rPr>
                <w:rFonts w:ascii="宋体" w:hAnsi="宋体" w:cs="宋体" w:eastAsia="宋体" w:hint="default"/>
                <w:spacing w:val="-48"/>
                <w:sz w:val="21"/>
                <w:szCs w:val="21"/>
              </w:rPr>
              <w:t> </w:t>
            </w:r>
            <w:r>
              <w:rPr>
                <w:rFonts w:ascii="宋体" w:hAnsi="宋体" w:cs="宋体" w:eastAsia="宋体" w:hint="default"/>
                <w:sz w:val="21"/>
                <w:szCs w:val="21"/>
              </w:rPr>
              <w:t>年至</w:t>
            </w:r>
            <w:r>
              <w:rPr>
                <w:rFonts w:ascii="宋体" w:hAnsi="宋体" w:cs="宋体" w:eastAsia="宋体" w:hint="default"/>
                <w:spacing w:val="-48"/>
                <w:sz w:val="21"/>
                <w:szCs w:val="21"/>
              </w:rPr>
              <w:t> </w:t>
            </w:r>
            <w:r>
              <w:rPr>
                <w:rFonts w:ascii="宋体" w:hAnsi="宋体" w:cs="宋体" w:eastAsia="宋体" w:hint="default"/>
                <w:sz w:val="21"/>
                <w:szCs w:val="21"/>
              </w:rPr>
              <w:t>1998</w:t>
            </w:r>
            <w:r>
              <w:rPr>
                <w:rFonts w:ascii="宋体" w:hAnsi="宋体" w:cs="宋体" w:eastAsia="宋体" w:hint="default"/>
                <w:spacing w:val="-47"/>
                <w:sz w:val="21"/>
                <w:szCs w:val="21"/>
              </w:rPr>
              <w:t> </w:t>
            </w:r>
            <w:r>
              <w:rPr>
                <w:rFonts w:ascii="宋体" w:hAnsi="宋体" w:cs="宋体" w:eastAsia="宋体" w:hint="default"/>
                <w:sz w:val="21"/>
                <w:szCs w:val="21"/>
              </w:rPr>
              <w:t>年任职于深圳市新华威科技有限公</w:t>
            </w:r>
          </w:p>
        </w:tc>
      </w:tr>
      <w:tr>
        <w:trPr>
          <w:trHeight w:val="400" w:hRule="exact"/>
        </w:trPr>
        <w:tc>
          <w:tcPr>
            <w:tcW w:w="1074" w:type="dxa"/>
            <w:vMerge/>
            <w:tcBorders>
              <w:left w:val="single" w:sz="4" w:space="0" w:color="000000"/>
              <w:right w:val="single" w:sz="4" w:space="0" w:color="000000"/>
            </w:tcBorders>
          </w:tcPr>
          <w:p>
            <w:pPr/>
          </w:p>
        </w:tc>
        <w:tc>
          <w:tcPr>
            <w:tcW w:w="13015"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司，任总经理；1998</w:t>
            </w:r>
            <w:r>
              <w:rPr>
                <w:rFonts w:ascii="宋体" w:hAnsi="宋体" w:cs="宋体" w:eastAsia="宋体" w:hint="default"/>
                <w:spacing w:val="-58"/>
                <w:sz w:val="21"/>
                <w:szCs w:val="21"/>
              </w:rPr>
              <w:t> </w:t>
            </w:r>
            <w:r>
              <w:rPr>
                <w:rFonts w:ascii="宋体" w:hAnsi="宋体" w:cs="宋体" w:eastAsia="宋体" w:hint="default"/>
                <w:sz w:val="21"/>
                <w:szCs w:val="21"/>
              </w:rPr>
              <w:t>年创建本公司，任公司第一届董事会董事长职务。杜宣先生于</w:t>
            </w:r>
            <w:r>
              <w:rPr>
                <w:rFonts w:ascii="宋体" w:hAnsi="宋体" w:cs="宋体" w:eastAsia="宋体" w:hint="default"/>
                <w:spacing w:val="-59"/>
                <w:sz w:val="21"/>
                <w:szCs w:val="21"/>
              </w:rPr>
              <w:t> </w:t>
            </w:r>
            <w:r>
              <w:rPr>
                <w:rFonts w:ascii="宋体" w:hAnsi="宋体" w:cs="宋体" w:eastAsia="宋体" w:hint="default"/>
                <w:sz w:val="21"/>
                <w:szCs w:val="21"/>
              </w:rPr>
              <w:t>2000</w:t>
            </w:r>
            <w:r>
              <w:rPr>
                <w:rFonts w:ascii="宋体" w:hAnsi="宋体" w:cs="宋体" w:eastAsia="宋体" w:hint="default"/>
                <w:spacing w:val="-58"/>
                <w:sz w:val="21"/>
                <w:szCs w:val="21"/>
              </w:rPr>
              <w:t> </w:t>
            </w:r>
            <w:r>
              <w:rPr>
                <w:rFonts w:ascii="宋体" w:hAnsi="宋体" w:cs="宋体" w:eastAsia="宋体" w:hint="default"/>
                <w:sz w:val="21"/>
                <w:szCs w:val="21"/>
              </w:rPr>
              <w:t>年荣获深圳市“彭年科技奖”，2001</w:t>
            </w:r>
            <w:r>
              <w:rPr>
                <w:rFonts w:ascii="宋体" w:hAnsi="宋体" w:cs="宋体" w:eastAsia="宋体" w:hint="default"/>
                <w:spacing w:val="-58"/>
                <w:sz w:val="21"/>
                <w:szCs w:val="21"/>
              </w:rPr>
              <w:t> </w:t>
            </w:r>
            <w:r>
              <w:rPr>
                <w:rFonts w:ascii="宋体" w:hAnsi="宋体" w:cs="宋体" w:eastAsia="宋体" w:hint="default"/>
                <w:sz w:val="21"/>
                <w:szCs w:val="21"/>
              </w:rPr>
              <w:t>年被评为深圳</w:t>
            </w:r>
          </w:p>
        </w:tc>
      </w:tr>
      <w:tr>
        <w:trPr>
          <w:trHeight w:val="632" w:hRule="exact"/>
        </w:trPr>
        <w:tc>
          <w:tcPr>
            <w:tcW w:w="1074" w:type="dxa"/>
            <w:vMerge/>
            <w:tcBorders>
              <w:left w:val="single" w:sz="4" w:space="0" w:color="000000"/>
              <w:bottom w:val="single" w:sz="4" w:space="0" w:color="000000"/>
              <w:right w:val="single" w:sz="4" w:space="0" w:color="000000"/>
            </w:tcBorders>
          </w:tcPr>
          <w:p>
            <w:pPr/>
          </w:p>
        </w:tc>
        <w:tc>
          <w:tcPr>
            <w:tcW w:w="130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市十大杰出青年，2003</w:t>
            </w:r>
            <w:r>
              <w:rPr>
                <w:rFonts w:ascii="宋体" w:hAnsi="宋体" w:cs="宋体" w:eastAsia="宋体" w:hint="default"/>
                <w:spacing w:val="-73"/>
                <w:sz w:val="21"/>
                <w:szCs w:val="21"/>
              </w:rPr>
              <w:t> </w:t>
            </w:r>
            <w:r>
              <w:rPr>
                <w:rFonts w:ascii="宋体" w:hAnsi="宋体" w:cs="宋体" w:eastAsia="宋体" w:hint="default"/>
                <w:sz w:val="21"/>
                <w:szCs w:val="21"/>
              </w:rPr>
              <w:t>年当选深圳市福田区人大代表，2009</w:t>
            </w:r>
            <w:r>
              <w:rPr>
                <w:rFonts w:ascii="宋体" w:hAnsi="宋体" w:cs="宋体" w:eastAsia="宋体" w:hint="default"/>
                <w:spacing w:val="-72"/>
                <w:sz w:val="21"/>
                <w:szCs w:val="21"/>
              </w:rPr>
              <w:t> </w:t>
            </w:r>
            <w:r>
              <w:rPr>
                <w:rFonts w:ascii="宋体" w:hAnsi="宋体" w:cs="宋体" w:eastAsia="宋体" w:hint="default"/>
                <w:sz w:val="21"/>
                <w:szCs w:val="21"/>
              </w:rPr>
              <w:t>年获“深圳市长奖”。</w:t>
            </w:r>
          </w:p>
        </w:tc>
      </w:tr>
    </w:tbl>
    <w:p>
      <w:pPr>
        <w:spacing w:after="0" w:line="240" w:lineRule="auto"/>
        <w:jc w:val="left"/>
        <w:rPr>
          <w:rFonts w:ascii="宋体" w:hAnsi="宋体" w:cs="宋体" w:eastAsia="宋体" w:hint="default"/>
          <w:sz w:val="21"/>
          <w:szCs w:val="21"/>
        </w:rPr>
        <w:sectPr>
          <w:pgSz w:w="16840" w:h="11910" w:orient="landscape"/>
          <w:pgMar w:header="882" w:footer="1193"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74"/>
        <w:gridCol w:w="13015"/>
      </w:tblGrid>
      <w:tr>
        <w:trPr>
          <w:trHeight w:val="1482" w:hRule="exact"/>
        </w:trPr>
        <w:tc>
          <w:tcPr>
            <w:tcW w:w="1074" w:type="dxa"/>
            <w:tcBorders>
              <w:top w:val="single" w:sz="4" w:space="0" w:color="000000"/>
              <w:left w:val="single" w:sz="4" w:space="0" w:color="000000"/>
              <w:bottom w:val="single" w:sz="4" w:space="0" w:color="000000"/>
              <w:right w:val="single" w:sz="4" w:space="0" w:color="000000"/>
            </w:tcBorders>
          </w:tcPr>
          <w:p>
            <w:pPr/>
          </w:p>
        </w:tc>
        <w:tc>
          <w:tcPr>
            <w:tcW w:w="1301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75"/>
              <w:ind w:left="103" w:right="102"/>
              <w:jc w:val="both"/>
              <w:rPr>
                <w:rFonts w:ascii="宋体" w:hAnsi="宋体" w:cs="宋体" w:eastAsia="宋体" w:hint="default"/>
                <w:sz w:val="21"/>
                <w:szCs w:val="21"/>
              </w:rPr>
            </w:pPr>
            <w:r>
              <w:rPr>
                <w:rFonts w:ascii="宋体" w:hAnsi="宋体" w:cs="宋体" w:eastAsia="宋体" w:hint="default"/>
                <w:sz w:val="21"/>
                <w:szCs w:val="21"/>
              </w:rPr>
              <w:t>李结义,现年</w:t>
            </w:r>
            <w:r>
              <w:rPr>
                <w:rFonts w:ascii="宋体" w:hAnsi="宋体" w:cs="宋体" w:eastAsia="宋体" w:hint="default"/>
                <w:spacing w:val="-57"/>
                <w:sz w:val="21"/>
                <w:szCs w:val="21"/>
              </w:rPr>
              <w:t> </w:t>
            </w:r>
            <w:r>
              <w:rPr>
                <w:rFonts w:ascii="宋体" w:hAnsi="宋体" w:cs="宋体" w:eastAsia="宋体" w:hint="default"/>
                <w:sz w:val="21"/>
                <w:szCs w:val="21"/>
              </w:rPr>
              <w:t>50</w:t>
            </w:r>
            <w:r>
              <w:rPr>
                <w:rFonts w:ascii="宋体" w:hAnsi="宋体" w:cs="宋体" w:eastAsia="宋体" w:hint="default"/>
                <w:spacing w:val="-55"/>
                <w:sz w:val="21"/>
                <w:szCs w:val="21"/>
              </w:rPr>
              <w:t> </w:t>
            </w:r>
            <w:r>
              <w:rPr>
                <w:rFonts w:ascii="宋体" w:hAnsi="宋体" w:cs="宋体" w:eastAsia="宋体" w:hint="default"/>
                <w:sz w:val="21"/>
                <w:szCs w:val="21"/>
              </w:rPr>
              <w:t>岁，硕士学位，成都电子科技大学计算机专业毕业，现任公司董事、总裁。李结义先生</w:t>
            </w:r>
            <w:r>
              <w:rPr>
                <w:rFonts w:ascii="宋体" w:hAnsi="宋体" w:cs="宋体" w:eastAsia="宋体" w:hint="default"/>
                <w:spacing w:val="-56"/>
                <w:sz w:val="21"/>
                <w:szCs w:val="21"/>
              </w:rPr>
              <w:t> </w:t>
            </w:r>
            <w:r>
              <w:rPr>
                <w:rFonts w:ascii="宋体" w:hAnsi="宋体" w:cs="宋体" w:eastAsia="宋体" w:hint="default"/>
                <w:sz w:val="21"/>
                <w:szCs w:val="21"/>
              </w:rPr>
              <w:t>1989</w:t>
            </w:r>
            <w:r>
              <w:rPr>
                <w:rFonts w:ascii="宋体" w:hAnsi="宋体" w:cs="宋体" w:eastAsia="宋体" w:hint="default"/>
                <w:spacing w:val="-55"/>
                <w:sz w:val="21"/>
                <w:szCs w:val="21"/>
              </w:rPr>
              <w:t> </w:t>
            </w:r>
            <w:r>
              <w:rPr>
                <w:rFonts w:ascii="宋体" w:hAnsi="宋体" w:cs="宋体" w:eastAsia="宋体" w:hint="default"/>
                <w:sz w:val="21"/>
                <w:szCs w:val="21"/>
              </w:rPr>
              <w:t>年至</w:t>
            </w:r>
            <w:r>
              <w:rPr>
                <w:rFonts w:ascii="宋体" w:hAnsi="宋体" w:cs="宋体" w:eastAsia="宋体" w:hint="default"/>
                <w:spacing w:val="-57"/>
                <w:sz w:val="21"/>
                <w:szCs w:val="21"/>
              </w:rPr>
              <w:t> </w:t>
            </w:r>
            <w:r>
              <w:rPr>
                <w:rFonts w:ascii="宋体" w:hAnsi="宋体" w:cs="宋体" w:eastAsia="宋体" w:hint="default"/>
                <w:sz w:val="21"/>
                <w:szCs w:val="21"/>
              </w:rPr>
              <w:t>1993</w:t>
            </w:r>
            <w:r>
              <w:rPr>
                <w:rFonts w:ascii="宋体" w:hAnsi="宋体" w:cs="宋体" w:eastAsia="宋体" w:hint="default"/>
                <w:spacing w:val="-56"/>
                <w:sz w:val="21"/>
                <w:szCs w:val="21"/>
              </w:rPr>
              <w:t> </w:t>
            </w:r>
            <w:r>
              <w:rPr>
                <w:rFonts w:ascii="宋体" w:hAnsi="宋体" w:cs="宋体" w:eastAsia="宋体" w:hint="default"/>
                <w:sz w:val="21"/>
                <w:szCs w:val="21"/>
              </w:rPr>
              <w:t>年任职于蛇口新欣软</w:t>
            </w:r>
            <w:r>
              <w:rPr>
                <w:rFonts w:ascii="宋体" w:hAnsi="宋体" w:cs="宋体" w:eastAsia="宋体" w:hint="default"/>
                <w:sz w:val="21"/>
                <w:szCs w:val="21"/>
              </w:rPr>
              <w:t> 件产业有限公司，任经营部主任；1993</w:t>
            </w:r>
            <w:r>
              <w:rPr>
                <w:rFonts w:ascii="宋体" w:hAnsi="宋体" w:cs="宋体" w:eastAsia="宋体" w:hint="default"/>
                <w:spacing w:val="-65"/>
                <w:sz w:val="21"/>
                <w:szCs w:val="21"/>
              </w:rPr>
              <w:t> </w:t>
            </w:r>
            <w:r>
              <w:rPr>
                <w:rFonts w:ascii="宋体" w:hAnsi="宋体" w:cs="宋体" w:eastAsia="宋体" w:hint="default"/>
                <w:sz w:val="21"/>
                <w:szCs w:val="21"/>
              </w:rPr>
              <w:t>年至</w:t>
            </w:r>
            <w:r>
              <w:rPr>
                <w:rFonts w:ascii="宋体" w:hAnsi="宋体" w:cs="宋体" w:eastAsia="宋体" w:hint="default"/>
                <w:spacing w:val="-67"/>
                <w:sz w:val="21"/>
                <w:szCs w:val="21"/>
              </w:rPr>
              <w:t> </w:t>
            </w:r>
            <w:r>
              <w:rPr>
                <w:rFonts w:ascii="宋体" w:hAnsi="宋体" w:cs="宋体" w:eastAsia="宋体" w:hint="default"/>
                <w:sz w:val="21"/>
                <w:szCs w:val="21"/>
              </w:rPr>
              <w:t>1998</w:t>
            </w:r>
            <w:r>
              <w:rPr>
                <w:rFonts w:ascii="宋体" w:hAnsi="宋体" w:cs="宋体" w:eastAsia="宋体" w:hint="default"/>
                <w:spacing w:val="-65"/>
                <w:sz w:val="21"/>
                <w:szCs w:val="21"/>
              </w:rPr>
              <w:t> </w:t>
            </w:r>
            <w:r>
              <w:rPr>
                <w:rFonts w:ascii="宋体" w:hAnsi="宋体" w:cs="宋体" w:eastAsia="宋体" w:hint="default"/>
                <w:sz w:val="21"/>
                <w:szCs w:val="21"/>
              </w:rPr>
              <w:t>年任职于深圳市新华威科技有限公司，任副总经理；1998</w:t>
            </w:r>
            <w:r>
              <w:rPr>
                <w:rFonts w:ascii="宋体" w:hAnsi="宋体" w:cs="宋体" w:eastAsia="宋体" w:hint="default"/>
                <w:spacing w:val="-66"/>
                <w:sz w:val="21"/>
                <w:szCs w:val="21"/>
              </w:rPr>
              <w:t> </w:t>
            </w:r>
            <w:r>
              <w:rPr>
                <w:rFonts w:ascii="宋体" w:hAnsi="宋体" w:cs="宋体" w:eastAsia="宋体" w:hint="default"/>
                <w:sz w:val="21"/>
                <w:szCs w:val="21"/>
              </w:rPr>
              <w:t>年创建本公司，出任公司第一届</w:t>
            </w:r>
            <w:r>
              <w:rPr>
                <w:rFonts w:ascii="宋体" w:hAnsi="宋体" w:cs="宋体" w:eastAsia="宋体" w:hint="default"/>
                <w:sz w:val="21"/>
                <w:szCs w:val="21"/>
              </w:rPr>
              <w:t> 董事会董事至今。</w:t>
            </w:r>
          </w:p>
        </w:tc>
      </w:tr>
      <w:tr>
        <w:trPr>
          <w:trHeight w:val="1082" w:hRule="exact"/>
        </w:trPr>
        <w:tc>
          <w:tcPr>
            <w:tcW w:w="1074" w:type="dxa"/>
            <w:tcBorders>
              <w:top w:val="single" w:sz="4" w:space="0" w:color="000000"/>
              <w:left w:val="single" w:sz="4" w:space="0" w:color="000000"/>
              <w:bottom w:val="single" w:sz="4" w:space="0" w:color="000000"/>
              <w:right w:val="single" w:sz="4" w:space="0" w:color="000000"/>
            </w:tcBorders>
          </w:tcPr>
          <w:p>
            <w:pPr/>
          </w:p>
        </w:tc>
        <w:tc>
          <w:tcPr>
            <w:tcW w:w="13015"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75"/>
              <w:ind w:left="103" w:right="101"/>
              <w:jc w:val="left"/>
              <w:rPr>
                <w:rFonts w:ascii="宋体" w:hAnsi="宋体" w:cs="宋体" w:eastAsia="宋体" w:hint="default"/>
                <w:sz w:val="21"/>
                <w:szCs w:val="21"/>
              </w:rPr>
            </w:pPr>
            <w:r>
              <w:rPr>
                <w:rFonts w:ascii="宋体" w:hAnsi="宋体" w:cs="宋体" w:eastAsia="宋体" w:hint="default"/>
                <w:sz w:val="21"/>
                <w:szCs w:val="21"/>
              </w:rPr>
              <w:t>徐岷波,现年</w:t>
            </w:r>
            <w:r>
              <w:rPr>
                <w:rFonts w:ascii="宋体" w:hAnsi="宋体" w:cs="宋体" w:eastAsia="宋体" w:hint="default"/>
                <w:spacing w:val="-57"/>
                <w:sz w:val="21"/>
                <w:szCs w:val="21"/>
              </w:rPr>
              <w:t> </w:t>
            </w:r>
            <w:r>
              <w:rPr>
                <w:rFonts w:ascii="宋体" w:hAnsi="宋体" w:cs="宋体" w:eastAsia="宋体" w:hint="default"/>
                <w:sz w:val="21"/>
                <w:szCs w:val="21"/>
              </w:rPr>
              <w:t>49</w:t>
            </w:r>
            <w:r>
              <w:rPr>
                <w:rFonts w:ascii="宋体" w:hAnsi="宋体" w:cs="宋体" w:eastAsia="宋体" w:hint="default"/>
                <w:spacing w:val="-55"/>
                <w:sz w:val="21"/>
                <w:szCs w:val="21"/>
              </w:rPr>
              <w:t> </w:t>
            </w:r>
            <w:r>
              <w:rPr>
                <w:rFonts w:ascii="宋体" w:hAnsi="宋体" w:cs="宋体" w:eastAsia="宋体" w:hint="default"/>
                <w:sz w:val="21"/>
                <w:szCs w:val="21"/>
              </w:rPr>
              <w:t>岁，学士学位，清华大学工业自动化专业毕业，现任公司董事、副总裁。徐岷波先生</w:t>
            </w:r>
            <w:r>
              <w:rPr>
                <w:rFonts w:ascii="宋体" w:hAnsi="宋体" w:cs="宋体" w:eastAsia="宋体" w:hint="default"/>
                <w:spacing w:val="-56"/>
                <w:sz w:val="21"/>
                <w:szCs w:val="21"/>
              </w:rPr>
              <w:t> </w:t>
            </w:r>
            <w:r>
              <w:rPr>
                <w:rFonts w:ascii="宋体" w:hAnsi="宋体" w:cs="宋体" w:eastAsia="宋体" w:hint="default"/>
                <w:sz w:val="21"/>
                <w:szCs w:val="21"/>
              </w:rPr>
              <w:t>1990</w:t>
            </w:r>
            <w:r>
              <w:rPr>
                <w:rFonts w:ascii="宋体" w:hAnsi="宋体" w:cs="宋体" w:eastAsia="宋体" w:hint="default"/>
                <w:spacing w:val="-56"/>
                <w:sz w:val="21"/>
                <w:szCs w:val="21"/>
              </w:rPr>
              <w:t> </w:t>
            </w:r>
            <w:r>
              <w:rPr>
                <w:rFonts w:ascii="宋体" w:hAnsi="宋体" w:cs="宋体" w:eastAsia="宋体" w:hint="default"/>
                <w:sz w:val="21"/>
                <w:szCs w:val="21"/>
              </w:rPr>
              <w:t>年至</w:t>
            </w:r>
            <w:r>
              <w:rPr>
                <w:rFonts w:ascii="宋体" w:hAnsi="宋体" w:cs="宋体" w:eastAsia="宋体" w:hint="default"/>
                <w:spacing w:val="-56"/>
                <w:sz w:val="21"/>
                <w:szCs w:val="21"/>
              </w:rPr>
              <w:t> </w:t>
            </w:r>
            <w:r>
              <w:rPr>
                <w:rFonts w:ascii="宋体" w:hAnsi="宋体" w:cs="宋体" w:eastAsia="宋体" w:hint="default"/>
                <w:sz w:val="21"/>
                <w:szCs w:val="21"/>
              </w:rPr>
              <w:t>1992</w:t>
            </w:r>
            <w:r>
              <w:rPr>
                <w:rFonts w:ascii="宋体" w:hAnsi="宋体" w:cs="宋体" w:eastAsia="宋体" w:hint="default"/>
                <w:spacing w:val="-55"/>
                <w:sz w:val="21"/>
                <w:szCs w:val="21"/>
              </w:rPr>
              <w:t> </w:t>
            </w:r>
            <w:r>
              <w:rPr>
                <w:rFonts w:ascii="宋体" w:hAnsi="宋体" w:cs="宋体" w:eastAsia="宋体" w:hint="default"/>
                <w:sz w:val="21"/>
                <w:szCs w:val="21"/>
              </w:rPr>
              <w:t>年任职于蛇口新欣软件</w:t>
            </w:r>
            <w:r>
              <w:rPr>
                <w:rFonts w:ascii="宋体" w:hAnsi="宋体" w:cs="宋体" w:eastAsia="宋体" w:hint="default"/>
                <w:spacing w:val="1"/>
                <w:sz w:val="21"/>
                <w:szCs w:val="21"/>
              </w:rPr>
              <w:t> </w:t>
            </w:r>
            <w:r>
              <w:rPr>
                <w:rFonts w:ascii="宋体" w:hAnsi="宋体" w:cs="宋体" w:eastAsia="宋体" w:hint="default"/>
                <w:sz w:val="21"/>
                <w:szCs w:val="21"/>
              </w:rPr>
              <w:t>产业有限公司；1992</w:t>
            </w:r>
            <w:r>
              <w:rPr>
                <w:rFonts w:ascii="宋体" w:hAnsi="宋体" w:cs="宋体" w:eastAsia="宋体" w:hint="default"/>
                <w:spacing w:val="-67"/>
                <w:sz w:val="21"/>
                <w:szCs w:val="21"/>
              </w:rPr>
              <w:t> </w:t>
            </w:r>
            <w:r>
              <w:rPr>
                <w:rFonts w:ascii="宋体" w:hAnsi="宋体" w:cs="宋体" w:eastAsia="宋体" w:hint="default"/>
                <w:sz w:val="21"/>
                <w:szCs w:val="21"/>
              </w:rPr>
              <w:t>年至</w:t>
            </w:r>
            <w:r>
              <w:rPr>
                <w:rFonts w:ascii="宋体" w:hAnsi="宋体" w:cs="宋体" w:eastAsia="宋体" w:hint="default"/>
                <w:spacing w:val="-68"/>
                <w:sz w:val="21"/>
                <w:szCs w:val="21"/>
              </w:rPr>
              <w:t> </w:t>
            </w:r>
            <w:r>
              <w:rPr>
                <w:rFonts w:ascii="宋体" w:hAnsi="宋体" w:cs="宋体" w:eastAsia="宋体" w:hint="default"/>
                <w:sz w:val="21"/>
                <w:szCs w:val="21"/>
              </w:rPr>
              <w:t>1998</w:t>
            </w:r>
            <w:r>
              <w:rPr>
                <w:rFonts w:ascii="宋体" w:hAnsi="宋体" w:cs="宋体" w:eastAsia="宋体" w:hint="default"/>
                <w:spacing w:val="-67"/>
                <w:sz w:val="21"/>
                <w:szCs w:val="21"/>
              </w:rPr>
              <w:t> </w:t>
            </w:r>
            <w:r>
              <w:rPr>
                <w:rFonts w:ascii="宋体" w:hAnsi="宋体" w:cs="宋体" w:eastAsia="宋体" w:hint="default"/>
                <w:sz w:val="21"/>
                <w:szCs w:val="21"/>
              </w:rPr>
              <w:t>年任职于深圳市捷意电脑有限公司，任副总经理；1998</w:t>
            </w:r>
            <w:r>
              <w:rPr>
                <w:rFonts w:ascii="宋体" w:hAnsi="宋体" w:cs="宋体" w:eastAsia="宋体" w:hint="default"/>
                <w:spacing w:val="-67"/>
                <w:sz w:val="21"/>
                <w:szCs w:val="21"/>
              </w:rPr>
              <w:t> </w:t>
            </w:r>
            <w:r>
              <w:rPr>
                <w:rFonts w:ascii="宋体" w:hAnsi="宋体" w:cs="宋体" w:eastAsia="宋体" w:hint="default"/>
                <w:sz w:val="21"/>
                <w:szCs w:val="21"/>
              </w:rPr>
              <w:t>年创建本公司，出任公司第一届董事会董事至今。</w:t>
            </w:r>
          </w:p>
        </w:tc>
      </w:tr>
      <w:tr>
        <w:trPr>
          <w:trHeight w:val="1082" w:hRule="exact"/>
        </w:trPr>
        <w:tc>
          <w:tcPr>
            <w:tcW w:w="1074" w:type="dxa"/>
            <w:tcBorders>
              <w:top w:val="single" w:sz="4" w:space="0" w:color="000000"/>
              <w:left w:val="single" w:sz="4" w:space="0" w:color="000000"/>
              <w:bottom w:val="single" w:sz="4" w:space="0" w:color="000000"/>
              <w:right w:val="single" w:sz="4" w:space="0" w:color="000000"/>
            </w:tcBorders>
          </w:tcPr>
          <w:p>
            <w:pPr/>
          </w:p>
        </w:tc>
        <w:tc>
          <w:tcPr>
            <w:tcW w:w="13015"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75"/>
              <w:ind w:left="103" w:right="102"/>
              <w:jc w:val="left"/>
              <w:rPr>
                <w:rFonts w:ascii="宋体" w:hAnsi="宋体" w:cs="宋体" w:eastAsia="宋体" w:hint="default"/>
                <w:sz w:val="21"/>
                <w:szCs w:val="21"/>
              </w:rPr>
            </w:pPr>
            <w:r>
              <w:rPr>
                <w:rFonts w:ascii="宋体" w:hAnsi="宋体" w:cs="宋体" w:eastAsia="宋体" w:hint="default"/>
                <w:sz w:val="21"/>
                <w:szCs w:val="21"/>
              </w:rPr>
              <w:t>王开因,</w:t>
            </w:r>
            <w:r>
              <w:rPr>
                <w:rFonts w:ascii="宋体" w:hAnsi="宋体" w:cs="宋体" w:eastAsia="宋体" w:hint="default"/>
                <w:spacing w:val="-6"/>
                <w:sz w:val="21"/>
                <w:szCs w:val="21"/>
              </w:rPr>
              <w:t> </w:t>
            </w:r>
            <w:r>
              <w:rPr>
                <w:rFonts w:ascii="宋体" w:hAnsi="宋体" w:cs="宋体" w:eastAsia="宋体" w:hint="default"/>
                <w:sz w:val="21"/>
                <w:szCs w:val="21"/>
              </w:rPr>
              <w:t>现年</w:t>
            </w:r>
            <w:r>
              <w:rPr>
                <w:rFonts w:ascii="宋体" w:hAnsi="宋体" w:cs="宋体" w:eastAsia="宋体" w:hint="default"/>
                <w:spacing w:val="-56"/>
                <w:sz w:val="21"/>
                <w:szCs w:val="21"/>
              </w:rPr>
              <w:t> </w:t>
            </w:r>
            <w:r>
              <w:rPr>
                <w:rFonts w:ascii="宋体" w:hAnsi="宋体" w:cs="宋体" w:eastAsia="宋体" w:hint="default"/>
                <w:sz w:val="21"/>
                <w:szCs w:val="21"/>
              </w:rPr>
              <w:t>50</w:t>
            </w:r>
            <w:r>
              <w:rPr>
                <w:rFonts w:ascii="宋体" w:hAnsi="宋体" w:cs="宋体" w:eastAsia="宋体" w:hint="default"/>
                <w:spacing w:val="-55"/>
                <w:sz w:val="21"/>
                <w:szCs w:val="21"/>
              </w:rPr>
              <w:t> </w:t>
            </w:r>
            <w:r>
              <w:rPr>
                <w:rFonts w:ascii="宋体" w:hAnsi="宋体" w:cs="宋体" w:eastAsia="宋体" w:hint="default"/>
                <w:sz w:val="21"/>
                <w:szCs w:val="21"/>
              </w:rPr>
              <w:t>岁，学士学位，内蒙古大学计算数学与应用软件专业毕业。王开因先生</w:t>
            </w:r>
            <w:r>
              <w:rPr>
                <w:rFonts w:ascii="宋体" w:hAnsi="宋体" w:cs="宋体" w:eastAsia="宋体" w:hint="default"/>
                <w:spacing w:val="-56"/>
                <w:sz w:val="21"/>
                <w:szCs w:val="21"/>
              </w:rPr>
              <w:t> </w:t>
            </w:r>
            <w:r>
              <w:rPr>
                <w:rFonts w:ascii="宋体" w:hAnsi="宋体" w:cs="宋体" w:eastAsia="宋体" w:hint="default"/>
                <w:sz w:val="21"/>
                <w:szCs w:val="21"/>
              </w:rPr>
              <w:t>1998</w:t>
            </w:r>
            <w:r>
              <w:rPr>
                <w:rFonts w:ascii="宋体" w:hAnsi="宋体" w:cs="宋体" w:eastAsia="宋体" w:hint="default"/>
                <w:spacing w:val="-56"/>
                <w:sz w:val="21"/>
                <w:szCs w:val="21"/>
              </w:rPr>
              <w:t> </w:t>
            </w:r>
            <w:r>
              <w:rPr>
                <w:rFonts w:ascii="宋体" w:hAnsi="宋体" w:cs="宋体" w:eastAsia="宋体" w:hint="default"/>
                <w:sz w:val="21"/>
                <w:szCs w:val="21"/>
              </w:rPr>
              <w:t>年开始任职于本公司，现任公司董事、总裁助</w:t>
            </w:r>
            <w:r>
              <w:rPr>
                <w:rFonts w:ascii="宋体" w:hAnsi="宋体" w:cs="宋体" w:eastAsia="宋体" w:hint="default"/>
                <w:sz w:val="21"/>
                <w:szCs w:val="21"/>
              </w:rPr>
              <w:t> 理兼赢信软件中心总经理。</w:t>
            </w:r>
          </w:p>
        </w:tc>
      </w:tr>
      <w:tr>
        <w:trPr>
          <w:trHeight w:val="14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pacing w:val="-7"/>
                <w:sz w:val="21"/>
                <w:szCs w:val="21"/>
              </w:rPr>
              <w:t>杨健先生，现年</w:t>
            </w:r>
            <w:r>
              <w:rPr>
                <w:rFonts w:ascii="宋体" w:hAnsi="宋体" w:cs="宋体" w:eastAsia="宋体" w:hint="default"/>
                <w:spacing w:val="-59"/>
                <w:sz w:val="21"/>
                <w:szCs w:val="21"/>
              </w:rPr>
              <w:t> </w:t>
            </w:r>
            <w:r>
              <w:rPr>
                <w:rFonts w:ascii="宋体" w:hAnsi="宋体" w:cs="宋体" w:eastAsia="宋体" w:hint="default"/>
                <w:sz w:val="21"/>
                <w:szCs w:val="21"/>
              </w:rPr>
              <w:t>45</w:t>
            </w:r>
            <w:r>
              <w:rPr>
                <w:rFonts w:ascii="宋体" w:hAnsi="宋体" w:cs="宋体" w:eastAsia="宋体" w:hint="default"/>
                <w:spacing w:val="-58"/>
                <w:sz w:val="21"/>
                <w:szCs w:val="21"/>
              </w:rPr>
              <w:t> </w:t>
            </w:r>
            <w:r>
              <w:rPr>
                <w:rFonts w:ascii="宋体" w:hAnsi="宋体" w:cs="宋体" w:eastAsia="宋体" w:hint="default"/>
                <w:spacing w:val="-7"/>
                <w:sz w:val="21"/>
                <w:szCs w:val="21"/>
              </w:rPr>
              <w:t>岁，毕业于南开大学，经济学博士。杨健先生</w:t>
            </w:r>
            <w:r>
              <w:rPr>
                <w:rFonts w:ascii="宋体" w:hAnsi="宋体" w:cs="宋体" w:eastAsia="宋体" w:hint="default"/>
                <w:spacing w:val="-59"/>
                <w:sz w:val="21"/>
                <w:szCs w:val="21"/>
              </w:rPr>
              <w:t> </w:t>
            </w:r>
            <w:r>
              <w:rPr>
                <w:rFonts w:ascii="宋体" w:hAnsi="宋体" w:cs="宋体" w:eastAsia="宋体" w:hint="default"/>
                <w:sz w:val="21"/>
                <w:szCs w:val="21"/>
              </w:rPr>
              <w:t>1996</w:t>
            </w:r>
            <w:r>
              <w:rPr>
                <w:rFonts w:ascii="宋体" w:hAnsi="宋体" w:cs="宋体" w:eastAsia="宋体" w:hint="default"/>
                <w:spacing w:val="-58"/>
                <w:sz w:val="21"/>
                <w:szCs w:val="21"/>
              </w:rPr>
              <w:t> </w:t>
            </w:r>
            <w:r>
              <w:rPr>
                <w:rFonts w:ascii="宋体" w:hAnsi="宋体" w:cs="宋体" w:eastAsia="宋体" w:hint="default"/>
                <w:sz w:val="21"/>
                <w:szCs w:val="21"/>
              </w:rPr>
              <w:t>年至</w:t>
            </w:r>
            <w:r>
              <w:rPr>
                <w:rFonts w:ascii="宋体" w:hAnsi="宋体" w:cs="宋体" w:eastAsia="宋体" w:hint="default"/>
                <w:spacing w:val="-59"/>
                <w:sz w:val="21"/>
                <w:szCs w:val="21"/>
              </w:rPr>
              <w:t> </w:t>
            </w:r>
            <w:r>
              <w:rPr>
                <w:rFonts w:ascii="宋体" w:hAnsi="宋体" w:cs="宋体" w:eastAsia="宋体" w:hint="default"/>
                <w:sz w:val="21"/>
                <w:szCs w:val="21"/>
              </w:rPr>
              <w:t>2003</w:t>
            </w:r>
            <w:r>
              <w:rPr>
                <w:rFonts w:ascii="宋体" w:hAnsi="宋体" w:cs="宋体" w:eastAsia="宋体" w:hint="default"/>
                <w:spacing w:val="-58"/>
                <w:sz w:val="21"/>
                <w:szCs w:val="21"/>
              </w:rPr>
              <w:t> </w:t>
            </w:r>
            <w:r>
              <w:rPr>
                <w:rFonts w:ascii="宋体" w:hAnsi="宋体" w:cs="宋体" w:eastAsia="宋体" w:hint="default"/>
                <w:sz w:val="21"/>
                <w:szCs w:val="21"/>
              </w:rPr>
              <w:t>年任职于君安证券有限责任公司投资银行部；2004</w:t>
            </w:r>
            <w:r>
              <w:rPr>
                <w:rFonts w:ascii="宋体" w:hAnsi="宋体" w:cs="宋体" w:eastAsia="宋体" w:hint="default"/>
                <w:spacing w:val="-58"/>
                <w:sz w:val="21"/>
                <w:szCs w:val="21"/>
              </w:rPr>
              <w:t> </w:t>
            </w:r>
            <w:r>
              <w:rPr>
                <w:rFonts w:ascii="宋体" w:hAnsi="宋体" w:cs="宋体" w:eastAsia="宋体" w:hint="default"/>
                <w:sz w:val="21"/>
                <w:szCs w:val="21"/>
              </w:rPr>
              <w:t>年至</w:t>
            </w:r>
            <w:r>
              <w:rPr>
                <w:rFonts w:ascii="宋体" w:hAnsi="宋体" w:cs="宋体" w:eastAsia="宋体" w:hint="default"/>
                <w:spacing w:val="-59"/>
                <w:sz w:val="21"/>
                <w:szCs w:val="21"/>
              </w:rPr>
              <w:t> </w:t>
            </w:r>
            <w:r>
              <w:rPr>
                <w:rFonts w:ascii="宋体" w:hAnsi="宋体" w:cs="宋体" w:eastAsia="宋体" w:hint="default"/>
                <w:sz w:val="21"/>
                <w:szCs w:val="21"/>
              </w:rPr>
              <w:t>2006</w:t>
            </w:r>
          </w:p>
          <w:p>
            <w:pPr>
              <w:pStyle w:val="TableParagraph"/>
              <w:spacing w:line="350" w:lineRule="auto" w:before="125"/>
              <w:ind w:left="103" w:right="101"/>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5</w:t>
            </w:r>
            <w:r>
              <w:rPr>
                <w:rFonts w:ascii="宋体" w:hAnsi="宋体" w:cs="宋体" w:eastAsia="宋体" w:hint="default"/>
                <w:spacing w:val="-60"/>
                <w:sz w:val="21"/>
                <w:szCs w:val="21"/>
              </w:rPr>
              <w:t> </w:t>
            </w:r>
            <w:r>
              <w:rPr>
                <w:rFonts w:ascii="宋体" w:hAnsi="宋体" w:cs="宋体" w:eastAsia="宋体" w:hint="default"/>
                <w:spacing w:val="-3"/>
                <w:sz w:val="21"/>
                <w:szCs w:val="21"/>
              </w:rPr>
              <w:t>月任职于华林证券有限责任公司，任总裁助理；2006</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r>
              <w:rPr>
                <w:rFonts w:ascii="宋体" w:hAnsi="宋体" w:cs="宋体" w:eastAsia="宋体" w:hint="default"/>
                <w:spacing w:val="-60"/>
                <w:sz w:val="21"/>
                <w:szCs w:val="21"/>
              </w:rPr>
              <w:t> </w:t>
            </w:r>
            <w:r>
              <w:rPr>
                <w:rFonts w:ascii="宋体" w:hAnsi="宋体" w:cs="宋体" w:eastAsia="宋体" w:hint="default"/>
                <w:sz w:val="21"/>
                <w:szCs w:val="21"/>
              </w:rPr>
              <w:t>月至今任职于国信证券股份有限公司，任投资银行业务部总经理。现任公司第</w:t>
            </w:r>
            <w:r>
              <w:rPr>
                <w:rFonts w:ascii="宋体" w:hAnsi="宋体" w:cs="宋体" w:eastAsia="宋体" w:hint="default"/>
                <w:spacing w:val="-1"/>
                <w:sz w:val="21"/>
                <w:szCs w:val="21"/>
              </w:rPr>
              <w:t> </w:t>
            </w:r>
            <w:r>
              <w:rPr>
                <w:rFonts w:ascii="宋体" w:hAnsi="宋体" w:cs="宋体" w:eastAsia="宋体" w:hint="default"/>
                <w:sz w:val="21"/>
                <w:szCs w:val="21"/>
              </w:rPr>
              <w:t>五届董事会独立董事。</w:t>
            </w:r>
          </w:p>
        </w:tc>
      </w:tr>
      <w:tr>
        <w:trPr>
          <w:trHeight w:val="1082" w:hRule="exact"/>
        </w:trPr>
        <w:tc>
          <w:tcPr>
            <w:tcW w:w="1074" w:type="dxa"/>
            <w:tcBorders>
              <w:top w:val="single" w:sz="4" w:space="0" w:color="000000"/>
              <w:left w:val="single" w:sz="4" w:space="0" w:color="000000"/>
              <w:bottom w:val="single" w:sz="4" w:space="0" w:color="000000"/>
              <w:right w:val="single" w:sz="4" w:space="0" w:color="000000"/>
            </w:tcBorders>
          </w:tcPr>
          <w:p>
            <w:pPr/>
          </w:p>
        </w:tc>
        <w:tc>
          <w:tcPr>
            <w:tcW w:w="1301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75"/>
              <w:ind w:left="103" w:right="90"/>
              <w:jc w:val="left"/>
              <w:rPr>
                <w:rFonts w:ascii="宋体" w:hAnsi="宋体" w:cs="宋体" w:eastAsia="宋体" w:hint="default"/>
                <w:sz w:val="21"/>
                <w:szCs w:val="21"/>
              </w:rPr>
            </w:pPr>
            <w:r>
              <w:rPr>
                <w:rFonts w:ascii="宋体" w:hAnsi="宋体" w:cs="宋体" w:eastAsia="宋体" w:hint="default"/>
                <w:sz w:val="21"/>
                <w:szCs w:val="21"/>
              </w:rPr>
              <w:t>肖幼美女士</w:t>
            </w:r>
            <w:r>
              <w:rPr>
                <w:rFonts w:ascii="宋体" w:hAnsi="宋体" w:cs="宋体" w:eastAsia="宋体" w:hint="default"/>
                <w:spacing w:val="-10"/>
                <w:sz w:val="21"/>
                <w:szCs w:val="21"/>
              </w:rPr>
              <w:t> </w:t>
            </w:r>
            <w:r>
              <w:rPr>
                <w:rFonts w:ascii="宋体" w:hAnsi="宋体" w:cs="宋体" w:eastAsia="宋体" w:hint="default"/>
                <w:sz w:val="21"/>
                <w:szCs w:val="21"/>
              </w:rPr>
              <w:t>，现年</w:t>
            </w:r>
            <w:r>
              <w:rPr>
                <w:rFonts w:ascii="宋体" w:hAnsi="宋体" w:cs="宋体" w:eastAsia="宋体" w:hint="default"/>
                <w:spacing w:val="-53"/>
                <w:sz w:val="21"/>
                <w:szCs w:val="21"/>
              </w:rPr>
              <w:t> </w:t>
            </w:r>
            <w:r>
              <w:rPr>
                <w:rFonts w:ascii="宋体" w:hAnsi="宋体" w:cs="宋体" w:eastAsia="宋体" w:hint="default"/>
                <w:sz w:val="21"/>
                <w:szCs w:val="21"/>
              </w:rPr>
              <w:t>60</w:t>
            </w:r>
            <w:r>
              <w:rPr>
                <w:rFonts w:ascii="宋体" w:hAnsi="宋体" w:cs="宋体" w:eastAsia="宋体" w:hint="default"/>
                <w:spacing w:val="-52"/>
                <w:sz w:val="21"/>
                <w:szCs w:val="21"/>
              </w:rPr>
              <w:t> </w:t>
            </w:r>
            <w:r>
              <w:rPr>
                <w:rFonts w:ascii="宋体" w:hAnsi="宋体" w:cs="宋体" w:eastAsia="宋体" w:hint="default"/>
                <w:sz w:val="21"/>
                <w:szCs w:val="21"/>
              </w:rPr>
              <w:t>岁，毕业于香港商学院，硕士，肖幼美女士</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月任职于深圳市中金财务顾问公司；2010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月至今任职于深</w:t>
            </w:r>
            <w:r>
              <w:rPr>
                <w:rFonts w:ascii="宋体" w:hAnsi="宋体" w:cs="宋体" w:eastAsia="宋体" w:hint="default"/>
                <w:sz w:val="21"/>
                <w:szCs w:val="21"/>
              </w:rPr>
              <w:t> 圳市中小企业融资担保集团，任项目评审顾问；同时肖女士还担任深圳市农产品股份有限公司独立董事。现任公司第五届董事会独立董事。</w:t>
            </w:r>
          </w:p>
        </w:tc>
      </w:tr>
      <w:tr>
        <w:trPr>
          <w:trHeight w:val="1482" w:hRule="exact"/>
        </w:trPr>
        <w:tc>
          <w:tcPr>
            <w:tcW w:w="1074" w:type="dxa"/>
            <w:tcBorders>
              <w:top w:val="single" w:sz="4" w:space="0" w:color="000000"/>
              <w:left w:val="single" w:sz="4" w:space="0" w:color="000000"/>
              <w:bottom w:val="single" w:sz="4" w:space="0" w:color="000000"/>
              <w:right w:val="single" w:sz="4" w:space="0" w:color="000000"/>
            </w:tcBorders>
          </w:tcPr>
          <w:p>
            <w:pPr/>
          </w:p>
        </w:tc>
        <w:tc>
          <w:tcPr>
            <w:tcW w:w="1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2"/>
              <w:jc w:val="left"/>
              <w:rPr>
                <w:rFonts w:ascii="宋体" w:hAnsi="宋体" w:cs="宋体" w:eastAsia="宋体" w:hint="default"/>
                <w:sz w:val="21"/>
                <w:szCs w:val="21"/>
              </w:rPr>
            </w:pPr>
            <w:r>
              <w:rPr>
                <w:rFonts w:ascii="宋体" w:hAnsi="宋体" w:cs="宋体" w:eastAsia="宋体" w:hint="default"/>
                <w:spacing w:val="-4"/>
                <w:sz w:val="21"/>
                <w:szCs w:val="21"/>
              </w:rPr>
              <w:t>张龙飞先生，现年</w:t>
            </w:r>
            <w:r>
              <w:rPr>
                <w:rFonts w:ascii="宋体" w:hAnsi="宋体" w:cs="宋体" w:eastAsia="宋体" w:hint="default"/>
                <w:spacing w:val="-56"/>
                <w:sz w:val="21"/>
                <w:szCs w:val="21"/>
              </w:rPr>
              <w:t> </w:t>
            </w:r>
            <w:r>
              <w:rPr>
                <w:rFonts w:ascii="宋体" w:hAnsi="宋体" w:cs="宋体" w:eastAsia="宋体" w:hint="default"/>
                <w:sz w:val="21"/>
                <w:szCs w:val="21"/>
              </w:rPr>
              <w:t>37</w:t>
            </w:r>
            <w:r>
              <w:rPr>
                <w:rFonts w:ascii="宋体" w:hAnsi="宋体" w:cs="宋体" w:eastAsia="宋体" w:hint="default"/>
                <w:spacing w:val="-55"/>
                <w:sz w:val="21"/>
                <w:szCs w:val="21"/>
              </w:rPr>
              <w:t> </w:t>
            </w:r>
            <w:r>
              <w:rPr>
                <w:rFonts w:ascii="宋体" w:hAnsi="宋体" w:cs="宋体" w:eastAsia="宋体" w:hint="default"/>
                <w:spacing w:val="-5"/>
                <w:sz w:val="21"/>
                <w:szCs w:val="21"/>
              </w:rPr>
              <w:t>岁，毕业于北京理工大学，工学博士，张龙飞先生</w:t>
            </w:r>
            <w:r>
              <w:rPr>
                <w:rFonts w:ascii="宋体" w:hAnsi="宋体" w:cs="宋体" w:eastAsia="宋体" w:hint="default"/>
                <w:spacing w:val="-56"/>
                <w:sz w:val="21"/>
                <w:szCs w:val="21"/>
              </w:rPr>
              <w:t> </w:t>
            </w:r>
            <w:r>
              <w:rPr>
                <w:rFonts w:ascii="宋体" w:hAnsi="宋体" w:cs="宋体" w:eastAsia="宋体" w:hint="default"/>
                <w:sz w:val="21"/>
                <w:szCs w:val="21"/>
              </w:rPr>
              <w:t>2005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月任职于北京理工大学软件学院，任教师；</w:t>
            </w:r>
          </w:p>
          <w:p>
            <w:pPr>
              <w:pStyle w:val="TableParagraph"/>
              <w:spacing w:line="348" w:lineRule="auto" w:before="126"/>
              <w:ind w:left="103" w:right="101"/>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11</w:t>
            </w:r>
            <w:r>
              <w:rPr>
                <w:rFonts w:ascii="宋体" w:hAnsi="宋体" w:cs="宋体" w:eastAsia="宋体" w:hint="default"/>
                <w:spacing w:val="-47"/>
                <w:sz w:val="21"/>
                <w:szCs w:val="21"/>
              </w:rPr>
              <w:t> </w:t>
            </w:r>
            <w:r>
              <w:rPr>
                <w:rFonts w:ascii="宋体" w:hAnsi="宋体" w:cs="宋体" w:eastAsia="宋体" w:hint="default"/>
                <w:sz w:val="21"/>
                <w:szCs w:val="21"/>
              </w:rPr>
              <w:t>月任职于美国卡内基梅隆大学，任科学家；2011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z w:val="21"/>
                <w:szCs w:val="21"/>
              </w:rPr>
              <w:t>月至今任职于北京理工大学软件学院，任教师；同时张先</w:t>
            </w:r>
            <w:r>
              <w:rPr>
                <w:rFonts w:ascii="宋体" w:hAnsi="宋体" w:cs="宋体" w:eastAsia="宋体" w:hint="default"/>
                <w:sz w:val="21"/>
                <w:szCs w:val="21"/>
              </w:rPr>
              <w:t> 生还担任北京梅泰诺通讯技术股份有限公司（300038）独立董事。现任公司第五届董事会独立董事。</w:t>
            </w:r>
          </w:p>
        </w:tc>
      </w:tr>
      <w:tr>
        <w:trPr>
          <w:trHeight w:val="811"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3015"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
              <w:ind w:left="103" w:right="101"/>
              <w:jc w:val="left"/>
              <w:rPr>
                <w:rFonts w:ascii="宋体" w:hAnsi="宋体" w:cs="宋体" w:eastAsia="宋体" w:hint="default"/>
                <w:sz w:val="21"/>
                <w:szCs w:val="21"/>
              </w:rPr>
            </w:pPr>
            <w:r>
              <w:rPr>
                <w:rFonts w:ascii="宋体" w:hAnsi="宋体" w:cs="宋体" w:eastAsia="宋体" w:hint="default"/>
                <w:sz w:val="21"/>
                <w:szCs w:val="21"/>
              </w:rPr>
              <w:t>刘瑛,现年</w:t>
            </w:r>
            <w:r>
              <w:rPr>
                <w:rFonts w:ascii="宋体" w:hAnsi="宋体" w:cs="宋体" w:eastAsia="宋体" w:hint="default"/>
                <w:spacing w:val="-54"/>
                <w:sz w:val="21"/>
                <w:szCs w:val="21"/>
              </w:rPr>
              <w:t> </w:t>
            </w:r>
            <w:r>
              <w:rPr>
                <w:rFonts w:ascii="宋体" w:hAnsi="宋体" w:cs="宋体" w:eastAsia="宋体" w:hint="default"/>
                <w:sz w:val="21"/>
                <w:szCs w:val="21"/>
              </w:rPr>
              <w:t>38</w:t>
            </w:r>
            <w:r>
              <w:rPr>
                <w:rFonts w:ascii="宋体" w:hAnsi="宋体" w:cs="宋体" w:eastAsia="宋体" w:hint="default"/>
                <w:spacing w:val="-54"/>
                <w:sz w:val="21"/>
                <w:szCs w:val="21"/>
              </w:rPr>
              <w:t> </w:t>
            </w:r>
            <w:r>
              <w:rPr>
                <w:rFonts w:ascii="宋体" w:hAnsi="宋体" w:cs="宋体" w:eastAsia="宋体" w:hint="default"/>
                <w:sz w:val="21"/>
                <w:szCs w:val="21"/>
              </w:rPr>
              <w:t>岁，本科，毕业于中南财经政法大学金融系，刘瑛女士</w:t>
            </w:r>
            <w:r>
              <w:rPr>
                <w:rFonts w:ascii="宋体" w:hAnsi="宋体" w:cs="宋体" w:eastAsia="宋体" w:hint="default"/>
                <w:spacing w:val="-54"/>
                <w:sz w:val="21"/>
                <w:szCs w:val="21"/>
              </w:rPr>
              <w:t> </w:t>
            </w: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年任职于深圳和光现代商务股份有限公司证券部；2005</w:t>
            </w:r>
            <w:r>
              <w:rPr>
                <w:rFonts w:ascii="宋体" w:hAnsi="宋体" w:cs="宋体" w:eastAsia="宋体" w:hint="default"/>
                <w:spacing w:val="-54"/>
                <w:sz w:val="21"/>
                <w:szCs w:val="21"/>
              </w:rPr>
              <w:t> </w:t>
            </w:r>
            <w:r>
              <w:rPr>
                <w:rFonts w:ascii="宋体" w:hAnsi="宋体" w:cs="宋体" w:eastAsia="宋体" w:hint="default"/>
                <w:sz w:val="21"/>
                <w:szCs w:val="21"/>
              </w:rPr>
              <w:t>年至今任</w:t>
            </w:r>
            <w:r>
              <w:rPr>
                <w:rFonts w:ascii="宋体" w:hAnsi="宋体" w:cs="宋体" w:eastAsia="宋体" w:hint="default"/>
                <w:sz w:val="21"/>
                <w:szCs w:val="21"/>
              </w:rPr>
              <w:t> 职于金证股份，曾任公司证券事务代表、第四届监事会职工监事，现任公司第五届监事会主席。</w:t>
            </w:r>
          </w:p>
        </w:tc>
      </w:tr>
    </w:tbl>
    <w:p>
      <w:pPr>
        <w:spacing w:after="0" w:line="400" w:lineRule="exact"/>
        <w:jc w:val="left"/>
        <w:rPr>
          <w:rFonts w:ascii="宋体" w:hAnsi="宋体" w:cs="宋体" w:eastAsia="宋体" w:hint="default"/>
          <w:sz w:val="21"/>
          <w:szCs w:val="21"/>
        </w:rPr>
        <w:sectPr>
          <w:footerReference w:type="default" r:id="rId58"/>
          <w:pgSz w:w="16840" w:h="11910" w:orient="landscape"/>
          <w:pgMar w:footer="1193" w:header="882"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74"/>
        <w:gridCol w:w="13015"/>
      </w:tblGrid>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
        </w:tc>
        <w:tc>
          <w:tcPr>
            <w:tcW w:w="1301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王侯,现年</w:t>
            </w:r>
            <w:r>
              <w:rPr>
                <w:rFonts w:ascii="宋体" w:hAnsi="宋体" w:cs="宋体" w:eastAsia="宋体" w:hint="default"/>
                <w:spacing w:val="-56"/>
                <w:sz w:val="21"/>
                <w:szCs w:val="21"/>
              </w:rPr>
              <w:t> </w:t>
            </w:r>
            <w:r>
              <w:rPr>
                <w:rFonts w:ascii="宋体" w:hAnsi="宋体" w:cs="宋体" w:eastAsia="宋体" w:hint="default"/>
                <w:sz w:val="21"/>
                <w:szCs w:val="21"/>
              </w:rPr>
              <w:t>69</w:t>
            </w:r>
            <w:r>
              <w:rPr>
                <w:rFonts w:ascii="宋体" w:hAnsi="宋体" w:cs="宋体" w:eastAsia="宋体" w:hint="default"/>
                <w:spacing w:val="-55"/>
                <w:sz w:val="21"/>
                <w:szCs w:val="21"/>
              </w:rPr>
              <w:t> </w:t>
            </w:r>
            <w:r>
              <w:rPr>
                <w:rFonts w:ascii="宋体" w:hAnsi="宋体" w:cs="宋体" w:eastAsia="宋体" w:hint="default"/>
                <w:sz w:val="21"/>
                <w:szCs w:val="21"/>
              </w:rPr>
              <w:t>岁，本科学历，毕业于北京大学数学力学系；计算机科学副研究员；王侯先生</w:t>
            </w:r>
            <w:r>
              <w:rPr>
                <w:rFonts w:ascii="宋体" w:hAnsi="宋体" w:cs="宋体" w:eastAsia="宋体" w:hint="default"/>
                <w:spacing w:val="-56"/>
                <w:sz w:val="21"/>
                <w:szCs w:val="21"/>
              </w:rPr>
              <w:t> </w:t>
            </w:r>
            <w:r>
              <w:rPr>
                <w:rFonts w:ascii="宋体" w:hAnsi="宋体" w:cs="宋体" w:eastAsia="宋体" w:hint="default"/>
                <w:sz w:val="21"/>
                <w:szCs w:val="21"/>
              </w:rPr>
              <w:t>2003</w:t>
            </w:r>
            <w:r>
              <w:rPr>
                <w:rFonts w:ascii="宋体" w:hAnsi="宋体" w:cs="宋体" w:eastAsia="宋体" w:hint="default"/>
                <w:spacing w:val="-55"/>
                <w:sz w:val="21"/>
                <w:szCs w:val="21"/>
              </w:rPr>
              <w:t> </w:t>
            </w:r>
            <w:r>
              <w:rPr>
                <w:rFonts w:ascii="宋体" w:hAnsi="宋体" w:cs="宋体" w:eastAsia="宋体" w:hint="default"/>
                <w:sz w:val="21"/>
                <w:szCs w:val="21"/>
              </w:rPr>
              <w:t>年至</w:t>
            </w:r>
            <w:r>
              <w:rPr>
                <w:rFonts w:ascii="宋体" w:hAnsi="宋体" w:cs="宋体" w:eastAsia="宋体" w:hint="default"/>
                <w:spacing w:val="-57"/>
                <w:sz w:val="21"/>
                <w:szCs w:val="21"/>
              </w:rPr>
              <w:t> </w:t>
            </w:r>
            <w:r>
              <w:rPr>
                <w:rFonts w:ascii="宋体" w:hAnsi="宋体" w:cs="宋体" w:eastAsia="宋体" w:hint="default"/>
                <w:sz w:val="21"/>
                <w:szCs w:val="21"/>
              </w:rPr>
              <w:t>2004</w:t>
            </w:r>
            <w:r>
              <w:rPr>
                <w:rFonts w:ascii="宋体" w:hAnsi="宋体" w:cs="宋体" w:eastAsia="宋体" w:hint="default"/>
                <w:spacing w:val="-56"/>
                <w:sz w:val="21"/>
                <w:szCs w:val="21"/>
              </w:rPr>
              <w:t> </w:t>
            </w:r>
            <w:r>
              <w:rPr>
                <w:rFonts w:ascii="宋体" w:hAnsi="宋体" w:cs="宋体" w:eastAsia="宋体" w:hint="default"/>
                <w:sz w:val="21"/>
                <w:szCs w:val="21"/>
              </w:rPr>
              <w:t>年曾任深圳证券通信有限公司董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事长；2004</w:t>
            </w:r>
            <w:r>
              <w:rPr>
                <w:rFonts w:ascii="宋体" w:hAnsi="宋体" w:cs="宋体" w:eastAsia="宋体" w:hint="default"/>
                <w:spacing w:val="-70"/>
                <w:sz w:val="21"/>
                <w:szCs w:val="21"/>
              </w:rPr>
              <w:t> </w:t>
            </w:r>
            <w:r>
              <w:rPr>
                <w:rFonts w:ascii="宋体" w:hAnsi="宋体" w:cs="宋体" w:eastAsia="宋体" w:hint="default"/>
                <w:sz w:val="21"/>
                <w:szCs w:val="21"/>
              </w:rPr>
              <w:t>年至</w:t>
            </w:r>
            <w:r>
              <w:rPr>
                <w:rFonts w:ascii="宋体" w:hAnsi="宋体" w:cs="宋体" w:eastAsia="宋体" w:hint="default"/>
                <w:spacing w:val="-70"/>
                <w:sz w:val="21"/>
                <w:szCs w:val="21"/>
              </w:rPr>
              <w:t> </w:t>
            </w:r>
            <w:r>
              <w:rPr>
                <w:rFonts w:ascii="宋体" w:hAnsi="宋体" w:cs="宋体" w:eastAsia="宋体" w:hint="default"/>
                <w:sz w:val="21"/>
                <w:szCs w:val="21"/>
              </w:rPr>
              <w:t>2007</w:t>
            </w:r>
            <w:r>
              <w:rPr>
                <w:rFonts w:ascii="宋体" w:hAnsi="宋体" w:cs="宋体" w:eastAsia="宋体" w:hint="default"/>
                <w:spacing w:val="-70"/>
                <w:sz w:val="21"/>
                <w:szCs w:val="21"/>
              </w:rPr>
              <w:t> </w:t>
            </w:r>
            <w:r>
              <w:rPr>
                <w:rFonts w:ascii="宋体" w:hAnsi="宋体" w:cs="宋体" w:eastAsia="宋体" w:hint="default"/>
                <w:sz w:val="21"/>
                <w:szCs w:val="21"/>
              </w:rPr>
              <w:t>年任深圳证券通信有限公司监事长。曾任公司第四届监事会监事，现任公司第五届监事会监事。</w:t>
            </w:r>
          </w:p>
        </w:tc>
      </w:tr>
      <w:tr>
        <w:trPr>
          <w:trHeight w:val="1082" w:hRule="exact"/>
        </w:trPr>
        <w:tc>
          <w:tcPr>
            <w:tcW w:w="1074" w:type="dxa"/>
            <w:tcBorders>
              <w:top w:val="single" w:sz="4" w:space="0" w:color="000000"/>
              <w:left w:val="single" w:sz="4" w:space="0" w:color="000000"/>
              <w:bottom w:val="single" w:sz="4" w:space="0" w:color="000000"/>
              <w:right w:val="single" w:sz="4" w:space="0" w:color="000000"/>
            </w:tcBorders>
          </w:tcPr>
          <w:p>
            <w:pPr/>
          </w:p>
        </w:tc>
        <w:tc>
          <w:tcPr>
            <w:tcW w:w="13015"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75"/>
              <w:ind w:left="103" w:right="100"/>
              <w:jc w:val="left"/>
              <w:rPr>
                <w:rFonts w:ascii="宋体" w:hAnsi="宋体" w:cs="宋体" w:eastAsia="宋体" w:hint="default"/>
                <w:sz w:val="21"/>
                <w:szCs w:val="21"/>
              </w:rPr>
            </w:pPr>
            <w:r>
              <w:rPr>
                <w:rFonts w:ascii="宋体" w:hAnsi="宋体" w:cs="宋体" w:eastAsia="宋体" w:hint="default"/>
                <w:sz w:val="21"/>
                <w:szCs w:val="21"/>
              </w:rPr>
              <w:t>李应军,现年</w:t>
            </w:r>
            <w:r>
              <w:rPr>
                <w:rFonts w:ascii="宋体" w:hAnsi="宋体" w:cs="宋体" w:eastAsia="宋体" w:hint="default"/>
                <w:spacing w:val="-31"/>
                <w:sz w:val="21"/>
                <w:szCs w:val="21"/>
              </w:rPr>
              <w:t> </w:t>
            </w:r>
            <w:r>
              <w:rPr>
                <w:rFonts w:ascii="宋体" w:hAnsi="宋体" w:cs="宋体" w:eastAsia="宋体" w:hint="default"/>
                <w:sz w:val="21"/>
                <w:szCs w:val="21"/>
              </w:rPr>
              <w:t>42</w:t>
            </w:r>
            <w:r>
              <w:rPr>
                <w:rFonts w:ascii="宋体" w:hAnsi="宋体" w:cs="宋体" w:eastAsia="宋体" w:hint="default"/>
                <w:spacing w:val="-30"/>
                <w:sz w:val="21"/>
                <w:szCs w:val="21"/>
              </w:rPr>
              <w:t> </w:t>
            </w:r>
            <w:r>
              <w:rPr>
                <w:rFonts w:ascii="宋体" w:hAnsi="宋体" w:cs="宋体" w:eastAsia="宋体" w:hint="default"/>
                <w:sz w:val="21"/>
                <w:szCs w:val="21"/>
              </w:rPr>
              <w:t>岁，本科，毕业于武汉大学电子信息学院。李应军先生</w:t>
            </w:r>
            <w:r>
              <w:rPr>
                <w:rFonts w:ascii="宋体" w:hAnsi="宋体" w:cs="宋体" w:eastAsia="宋体" w:hint="default"/>
                <w:spacing w:val="-31"/>
                <w:sz w:val="21"/>
                <w:szCs w:val="21"/>
              </w:rPr>
              <w:t> </w:t>
            </w:r>
            <w:r>
              <w:rPr>
                <w:rFonts w:ascii="宋体" w:hAnsi="宋体" w:cs="宋体" w:eastAsia="宋体" w:hint="default"/>
                <w:sz w:val="21"/>
                <w:szCs w:val="21"/>
              </w:rPr>
              <w:t>1998</w:t>
            </w:r>
            <w:r>
              <w:rPr>
                <w:rFonts w:ascii="宋体" w:hAnsi="宋体" w:cs="宋体" w:eastAsia="宋体" w:hint="default"/>
                <w:spacing w:val="-30"/>
                <w:sz w:val="21"/>
                <w:szCs w:val="21"/>
              </w:rPr>
              <w:t> </w:t>
            </w:r>
            <w:r>
              <w:rPr>
                <w:rFonts w:ascii="宋体" w:hAnsi="宋体" w:cs="宋体" w:eastAsia="宋体" w:hint="default"/>
                <w:sz w:val="21"/>
                <w:szCs w:val="21"/>
              </w:rPr>
              <w:t>年至今任职深圳市金证科技股份有限公司，曾任证券软件中心</w:t>
            </w:r>
            <w:r>
              <w:rPr>
                <w:rFonts w:ascii="宋体" w:hAnsi="宋体" w:cs="宋体" w:eastAsia="宋体" w:hint="default"/>
                <w:sz w:val="21"/>
                <w:szCs w:val="21"/>
              </w:rPr>
              <w:t> 副总经理、金融软件中心副总经理等职，现任金证股份证券软件总部副总经理、第五届监事会职工监事。</w:t>
            </w:r>
          </w:p>
        </w:tc>
      </w:tr>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高级管理</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人员</w:t>
            </w:r>
          </w:p>
        </w:tc>
        <w:tc>
          <w:tcPr>
            <w:tcW w:w="1301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吴晓琳</w:t>
            </w:r>
            <w:r>
              <w:rPr>
                <w:rFonts w:ascii="宋体" w:hAnsi="宋体" w:cs="宋体" w:eastAsia="宋体" w:hint="default"/>
                <w:spacing w:val="-29"/>
                <w:sz w:val="21"/>
                <w:szCs w:val="21"/>
              </w:rPr>
              <w:t> </w:t>
            </w:r>
            <w:r>
              <w:rPr>
                <w:rFonts w:ascii="宋体" w:hAnsi="宋体" w:cs="宋体" w:eastAsia="宋体" w:hint="default"/>
                <w:sz w:val="21"/>
                <w:szCs w:val="21"/>
              </w:rPr>
              <w:t>现年</w:t>
            </w:r>
            <w:r>
              <w:rPr>
                <w:rFonts w:ascii="宋体" w:hAnsi="宋体" w:cs="宋体" w:eastAsia="宋体" w:hint="default"/>
                <w:spacing w:val="-68"/>
                <w:sz w:val="21"/>
                <w:szCs w:val="21"/>
              </w:rPr>
              <w:t> </w:t>
            </w:r>
            <w:r>
              <w:rPr>
                <w:rFonts w:ascii="宋体" w:hAnsi="宋体" w:cs="宋体" w:eastAsia="宋体" w:hint="default"/>
                <w:sz w:val="21"/>
                <w:szCs w:val="21"/>
              </w:rPr>
              <w:t>41</w:t>
            </w:r>
            <w:r>
              <w:rPr>
                <w:rFonts w:ascii="宋体" w:hAnsi="宋体" w:cs="宋体" w:eastAsia="宋体" w:hint="default"/>
                <w:spacing w:val="-67"/>
                <w:sz w:val="21"/>
                <w:szCs w:val="21"/>
              </w:rPr>
              <w:t> </w:t>
            </w:r>
            <w:r>
              <w:rPr>
                <w:rFonts w:ascii="宋体" w:hAnsi="宋体" w:cs="宋体" w:eastAsia="宋体" w:hint="default"/>
                <w:sz w:val="21"/>
                <w:szCs w:val="21"/>
              </w:rPr>
              <w:t>岁，毕业于汕头大学物理系。1998</w:t>
            </w:r>
            <w:r>
              <w:rPr>
                <w:rFonts w:ascii="宋体" w:hAnsi="宋体" w:cs="宋体" w:eastAsia="宋体" w:hint="default"/>
                <w:spacing w:val="-67"/>
                <w:sz w:val="21"/>
                <w:szCs w:val="21"/>
              </w:rPr>
              <w:t> </w:t>
            </w:r>
            <w:r>
              <w:rPr>
                <w:rFonts w:ascii="宋体" w:hAnsi="宋体" w:cs="宋体" w:eastAsia="宋体" w:hint="default"/>
                <w:sz w:val="21"/>
                <w:szCs w:val="21"/>
              </w:rPr>
              <w:t>年至今任职于本公司，历任网络部经理、系统集成中心总经理、总裁助理，现任本公司副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w:t>
            </w:r>
          </w:p>
        </w:tc>
      </w:tr>
      <w:tr>
        <w:trPr>
          <w:trHeight w:val="1082" w:hRule="exact"/>
        </w:trPr>
        <w:tc>
          <w:tcPr>
            <w:tcW w:w="1074" w:type="dxa"/>
            <w:tcBorders>
              <w:top w:val="single" w:sz="4" w:space="0" w:color="000000"/>
              <w:left w:val="single" w:sz="4" w:space="0" w:color="000000"/>
              <w:bottom w:val="single" w:sz="4" w:space="0" w:color="000000"/>
              <w:right w:val="single" w:sz="4" w:space="0" w:color="000000"/>
            </w:tcBorders>
          </w:tcPr>
          <w:p>
            <w:pPr/>
          </w:p>
        </w:tc>
        <w:tc>
          <w:tcPr>
            <w:tcW w:w="1301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75"/>
              <w:ind w:left="103" w:right="100"/>
              <w:jc w:val="left"/>
              <w:rPr>
                <w:rFonts w:ascii="宋体" w:hAnsi="宋体" w:cs="宋体" w:eastAsia="宋体" w:hint="default"/>
                <w:sz w:val="21"/>
                <w:szCs w:val="21"/>
              </w:rPr>
            </w:pPr>
            <w:r>
              <w:rPr>
                <w:rFonts w:ascii="宋体" w:hAnsi="宋体" w:cs="宋体" w:eastAsia="宋体" w:hint="default"/>
                <w:sz w:val="21"/>
                <w:szCs w:val="21"/>
              </w:rPr>
              <w:t>王清若：男，40</w:t>
            </w:r>
            <w:r>
              <w:rPr>
                <w:rFonts w:ascii="宋体" w:hAnsi="宋体" w:cs="宋体" w:eastAsia="宋体" w:hint="default"/>
                <w:spacing w:val="-38"/>
                <w:sz w:val="21"/>
                <w:szCs w:val="21"/>
              </w:rPr>
              <w:t> </w:t>
            </w:r>
            <w:r>
              <w:rPr>
                <w:rFonts w:ascii="宋体" w:hAnsi="宋体" w:cs="宋体" w:eastAsia="宋体" w:hint="default"/>
                <w:sz w:val="21"/>
                <w:szCs w:val="21"/>
              </w:rPr>
              <w:t>岁，本科，毕业于厦门大学信息工程专业，王清若先生</w:t>
            </w:r>
            <w:r>
              <w:rPr>
                <w:rFonts w:ascii="宋体" w:hAnsi="宋体" w:cs="宋体" w:eastAsia="宋体" w:hint="default"/>
                <w:spacing w:val="-39"/>
                <w:sz w:val="21"/>
                <w:szCs w:val="21"/>
              </w:rPr>
              <w:t> </w:t>
            </w:r>
            <w:r>
              <w:rPr>
                <w:rFonts w:ascii="宋体" w:hAnsi="宋体" w:cs="宋体" w:eastAsia="宋体" w:hint="default"/>
                <w:sz w:val="21"/>
                <w:szCs w:val="21"/>
              </w:rPr>
              <w:t>2007</w:t>
            </w:r>
            <w:r>
              <w:rPr>
                <w:rFonts w:ascii="宋体" w:hAnsi="宋体" w:cs="宋体" w:eastAsia="宋体" w:hint="default"/>
                <w:spacing w:val="-38"/>
                <w:sz w:val="21"/>
                <w:szCs w:val="21"/>
              </w:rPr>
              <w:t> </w:t>
            </w:r>
            <w:r>
              <w:rPr>
                <w:rFonts w:ascii="宋体" w:hAnsi="宋体" w:cs="宋体" w:eastAsia="宋体" w:hint="default"/>
                <w:sz w:val="21"/>
                <w:szCs w:val="21"/>
              </w:rPr>
              <w:t>年-2008</w:t>
            </w:r>
            <w:r>
              <w:rPr>
                <w:rFonts w:ascii="宋体" w:hAnsi="宋体" w:cs="宋体" w:eastAsia="宋体" w:hint="default"/>
                <w:spacing w:val="-38"/>
                <w:sz w:val="21"/>
                <w:szCs w:val="21"/>
              </w:rPr>
              <w:t> </w:t>
            </w:r>
            <w:r>
              <w:rPr>
                <w:rFonts w:ascii="宋体" w:hAnsi="宋体" w:cs="宋体" w:eastAsia="宋体" w:hint="default"/>
                <w:sz w:val="21"/>
                <w:szCs w:val="21"/>
              </w:rPr>
              <w:t>年任证券软件中心项目总监、2009</w:t>
            </w:r>
            <w:r>
              <w:rPr>
                <w:rFonts w:ascii="宋体" w:hAnsi="宋体" w:cs="宋体" w:eastAsia="宋体" w:hint="default"/>
                <w:spacing w:val="-38"/>
                <w:sz w:val="21"/>
                <w:szCs w:val="21"/>
              </w:rPr>
              <w:t> </w:t>
            </w:r>
            <w:r>
              <w:rPr>
                <w:rFonts w:ascii="宋体" w:hAnsi="宋体" w:cs="宋体" w:eastAsia="宋体" w:hint="default"/>
                <w:sz w:val="21"/>
                <w:szCs w:val="21"/>
              </w:rPr>
              <w:t>年-2010</w:t>
            </w:r>
            <w:r>
              <w:rPr>
                <w:rFonts w:ascii="宋体" w:hAnsi="宋体" w:cs="宋体" w:eastAsia="宋体" w:hint="default"/>
                <w:spacing w:val="-38"/>
                <w:sz w:val="21"/>
                <w:szCs w:val="21"/>
              </w:rPr>
              <w:t> </w:t>
            </w:r>
            <w:r>
              <w:rPr>
                <w:rFonts w:ascii="宋体" w:hAnsi="宋体" w:cs="宋体" w:eastAsia="宋体" w:hint="default"/>
                <w:sz w:val="21"/>
                <w:szCs w:val="21"/>
              </w:rPr>
              <w:t>年任证券</w:t>
            </w:r>
            <w:r>
              <w:rPr>
                <w:rFonts w:ascii="宋体" w:hAnsi="宋体" w:cs="宋体" w:eastAsia="宋体" w:hint="default"/>
                <w:sz w:val="21"/>
                <w:szCs w:val="21"/>
              </w:rPr>
              <w:t> 软件中心总经理、2011</w:t>
            </w:r>
            <w:r>
              <w:rPr>
                <w:rFonts w:ascii="宋体" w:hAnsi="宋体" w:cs="宋体" w:eastAsia="宋体" w:hint="default"/>
                <w:spacing w:val="-53"/>
                <w:sz w:val="21"/>
                <w:szCs w:val="21"/>
              </w:rPr>
              <w:t> </w:t>
            </w:r>
            <w:r>
              <w:rPr>
                <w:rFonts w:ascii="宋体" w:hAnsi="宋体" w:cs="宋体" w:eastAsia="宋体" w:hint="default"/>
                <w:sz w:val="21"/>
                <w:szCs w:val="21"/>
              </w:rPr>
              <w:t>年起任总裁助理兼证券软件总部总经理，现任本公司副总裁</w:t>
            </w:r>
          </w:p>
        </w:tc>
      </w:tr>
      <w:tr>
        <w:trPr>
          <w:trHeight w:val="683" w:hRule="exact"/>
        </w:trPr>
        <w:tc>
          <w:tcPr>
            <w:tcW w:w="1074" w:type="dxa"/>
            <w:tcBorders>
              <w:top w:val="single" w:sz="4" w:space="0" w:color="000000"/>
              <w:left w:val="single" w:sz="4" w:space="0" w:color="000000"/>
              <w:bottom w:val="single" w:sz="4" w:space="0" w:color="000000"/>
              <w:right w:val="single" w:sz="4" w:space="0" w:color="000000"/>
            </w:tcBorders>
          </w:tcPr>
          <w:p>
            <w:pPr/>
          </w:p>
        </w:tc>
        <w:tc>
          <w:tcPr>
            <w:tcW w:w="1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周永洪,现年</w:t>
            </w:r>
            <w:r>
              <w:rPr>
                <w:rFonts w:ascii="宋体" w:hAnsi="宋体" w:cs="宋体" w:eastAsia="宋体" w:hint="default"/>
                <w:spacing w:val="-55"/>
                <w:sz w:val="21"/>
                <w:szCs w:val="21"/>
              </w:rPr>
              <w:t> </w:t>
            </w:r>
            <w:r>
              <w:rPr>
                <w:rFonts w:ascii="宋体" w:hAnsi="宋体" w:cs="宋体" w:eastAsia="宋体" w:hint="default"/>
                <w:sz w:val="21"/>
                <w:szCs w:val="21"/>
              </w:rPr>
              <w:t>48</w:t>
            </w:r>
            <w:r>
              <w:rPr>
                <w:rFonts w:ascii="宋体" w:hAnsi="宋体" w:cs="宋体" w:eastAsia="宋体" w:hint="default"/>
                <w:spacing w:val="-53"/>
                <w:sz w:val="21"/>
                <w:szCs w:val="21"/>
              </w:rPr>
              <w:t> </w:t>
            </w:r>
            <w:r>
              <w:rPr>
                <w:rFonts w:ascii="宋体" w:hAnsi="宋体" w:cs="宋体" w:eastAsia="宋体" w:hint="default"/>
                <w:sz w:val="21"/>
                <w:szCs w:val="21"/>
              </w:rPr>
              <w:t>岁，本科学历，毕业于四川大学。自</w:t>
            </w:r>
            <w:r>
              <w:rPr>
                <w:rFonts w:ascii="宋体" w:hAnsi="宋体" w:cs="宋体" w:eastAsia="宋体" w:hint="default"/>
                <w:spacing w:val="-54"/>
                <w:sz w:val="21"/>
                <w:szCs w:val="21"/>
              </w:rPr>
              <w:t> </w:t>
            </w:r>
            <w:r>
              <w:rPr>
                <w:rFonts w:ascii="宋体" w:hAnsi="宋体" w:cs="宋体" w:eastAsia="宋体" w:hint="default"/>
                <w:sz w:val="21"/>
                <w:szCs w:val="21"/>
              </w:rPr>
              <w:t>1998</w:t>
            </w:r>
            <w:r>
              <w:rPr>
                <w:rFonts w:ascii="宋体" w:hAnsi="宋体" w:cs="宋体" w:eastAsia="宋体" w:hint="default"/>
                <w:spacing w:val="-53"/>
                <w:sz w:val="21"/>
                <w:szCs w:val="21"/>
              </w:rPr>
              <w:t> </w:t>
            </w:r>
            <w:r>
              <w:rPr>
                <w:rFonts w:ascii="宋体" w:hAnsi="宋体" w:cs="宋体" w:eastAsia="宋体" w:hint="default"/>
                <w:sz w:val="21"/>
                <w:szCs w:val="21"/>
              </w:rPr>
              <w:t>年任职于本公司，现任本公司财务总监。</w:t>
            </w:r>
          </w:p>
        </w:tc>
      </w:tr>
      <w:tr>
        <w:trPr>
          <w:trHeight w:val="1081" w:hRule="exact"/>
        </w:trPr>
        <w:tc>
          <w:tcPr>
            <w:tcW w:w="1074" w:type="dxa"/>
            <w:tcBorders>
              <w:top w:val="single" w:sz="4" w:space="0" w:color="000000"/>
              <w:left w:val="single" w:sz="4" w:space="0" w:color="000000"/>
              <w:bottom w:val="single" w:sz="4" w:space="0" w:color="000000"/>
              <w:right w:val="single" w:sz="4" w:space="0" w:color="000000"/>
            </w:tcBorders>
          </w:tcPr>
          <w:p>
            <w:pPr/>
          </w:p>
        </w:tc>
        <w:tc>
          <w:tcPr>
            <w:tcW w:w="13015" w:type="dxa"/>
            <w:tcBorders>
              <w:top w:val="single" w:sz="4" w:space="0" w:color="000000"/>
              <w:left w:val="single" w:sz="4" w:space="0" w:color="000000"/>
              <w:bottom w:val="single" w:sz="4" w:space="0" w:color="000000"/>
              <w:right w:val="single" w:sz="4" w:space="0" w:color="000000"/>
            </w:tcBorders>
          </w:tcPr>
          <w:p>
            <w:pPr>
              <w:pStyle w:val="TableParagraph"/>
              <w:tabs>
                <w:tab w:pos="943" w:val="left" w:leader="none"/>
              </w:tabs>
              <w:spacing w:line="348" w:lineRule="auto" w:before="75"/>
              <w:ind w:left="103" w:right="101"/>
              <w:jc w:val="left"/>
              <w:rPr>
                <w:rFonts w:ascii="宋体" w:hAnsi="宋体" w:cs="宋体" w:eastAsia="宋体" w:hint="default"/>
                <w:sz w:val="21"/>
                <w:szCs w:val="21"/>
              </w:rPr>
            </w:pPr>
            <w:r>
              <w:rPr>
                <w:rFonts w:ascii="宋体" w:hAnsi="宋体" w:cs="宋体" w:eastAsia="宋体" w:hint="default"/>
                <w:sz w:val="21"/>
                <w:szCs w:val="21"/>
              </w:rPr>
              <w:t>杜玉巍</w:t>
              <w:tab/>
              <w:t>现年</w:t>
            </w:r>
            <w:r>
              <w:rPr>
                <w:rFonts w:ascii="宋体" w:hAnsi="宋体" w:cs="宋体" w:eastAsia="宋体" w:hint="default"/>
                <w:spacing w:val="-40"/>
                <w:sz w:val="21"/>
                <w:szCs w:val="21"/>
              </w:rPr>
              <w:t> </w:t>
            </w:r>
            <w:r>
              <w:rPr>
                <w:rFonts w:ascii="宋体" w:hAnsi="宋体" w:cs="宋体" w:eastAsia="宋体" w:hint="default"/>
                <w:sz w:val="21"/>
                <w:szCs w:val="21"/>
              </w:rPr>
              <w:t>44</w:t>
            </w:r>
            <w:r>
              <w:rPr>
                <w:rFonts w:ascii="宋体" w:hAnsi="宋体" w:cs="宋体" w:eastAsia="宋体" w:hint="default"/>
                <w:spacing w:val="-40"/>
                <w:sz w:val="21"/>
                <w:szCs w:val="21"/>
              </w:rPr>
              <w:t> </w:t>
            </w:r>
            <w:r>
              <w:rPr>
                <w:rFonts w:ascii="宋体" w:hAnsi="宋体" w:cs="宋体" w:eastAsia="宋体" w:hint="default"/>
                <w:sz w:val="21"/>
                <w:szCs w:val="21"/>
              </w:rPr>
              <w:t>岁，学士学位，北京航空航天大学计算机及应用专业毕业，2000</w:t>
            </w:r>
            <w:r>
              <w:rPr>
                <w:rFonts w:ascii="宋体" w:hAnsi="宋体" w:cs="宋体" w:eastAsia="宋体" w:hint="default"/>
                <w:spacing w:val="-41"/>
                <w:sz w:val="21"/>
                <w:szCs w:val="21"/>
              </w:rPr>
              <w:t> </w:t>
            </w:r>
            <w:r>
              <w:rPr>
                <w:rFonts w:ascii="宋体" w:hAnsi="宋体" w:cs="宋体" w:eastAsia="宋体" w:hint="default"/>
                <w:sz w:val="21"/>
                <w:szCs w:val="21"/>
              </w:rPr>
              <w:t>年至今就职于深圳市金证科技股份有限公司，历任研发中</w:t>
            </w:r>
            <w:r>
              <w:rPr>
                <w:rFonts w:ascii="宋体" w:hAnsi="宋体" w:cs="宋体" w:eastAsia="宋体" w:hint="default"/>
                <w:sz w:val="21"/>
                <w:szCs w:val="21"/>
              </w:rPr>
              <w:t> 心项目经理、基础研发部部门经理、证券交易软件中心技术总监、公司技术副总监、质量管理部总经理等职位，现任公司技术总监。</w:t>
            </w:r>
          </w:p>
        </w:tc>
      </w:tr>
      <w:tr>
        <w:trPr>
          <w:trHeight w:val="683" w:hRule="exact"/>
        </w:trPr>
        <w:tc>
          <w:tcPr>
            <w:tcW w:w="1074" w:type="dxa"/>
            <w:tcBorders>
              <w:top w:val="single" w:sz="4" w:space="0" w:color="000000"/>
              <w:left w:val="single" w:sz="4" w:space="0" w:color="000000"/>
              <w:bottom w:val="single" w:sz="4" w:space="0" w:color="000000"/>
              <w:right w:val="single" w:sz="4" w:space="0" w:color="000000"/>
            </w:tcBorders>
          </w:tcPr>
          <w:p>
            <w:pPr/>
          </w:p>
        </w:tc>
        <w:tc>
          <w:tcPr>
            <w:tcW w:w="1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王凯,现年</w:t>
            </w:r>
            <w:r>
              <w:rPr>
                <w:rFonts w:ascii="宋体" w:hAnsi="宋体" w:cs="宋体" w:eastAsia="宋体" w:hint="default"/>
                <w:spacing w:val="-74"/>
                <w:sz w:val="21"/>
                <w:szCs w:val="21"/>
              </w:rPr>
              <w:t> </w:t>
            </w:r>
            <w:r>
              <w:rPr>
                <w:rFonts w:ascii="宋体" w:hAnsi="宋体" w:cs="宋体" w:eastAsia="宋体" w:hint="default"/>
                <w:sz w:val="21"/>
                <w:szCs w:val="21"/>
              </w:rPr>
              <w:t>42</w:t>
            </w:r>
            <w:r>
              <w:rPr>
                <w:rFonts w:ascii="宋体" w:hAnsi="宋体" w:cs="宋体" w:eastAsia="宋体" w:hint="default"/>
                <w:spacing w:val="-74"/>
                <w:sz w:val="21"/>
                <w:szCs w:val="21"/>
              </w:rPr>
              <w:t> </w:t>
            </w:r>
            <w:r>
              <w:rPr>
                <w:rFonts w:ascii="宋体" w:hAnsi="宋体" w:cs="宋体" w:eastAsia="宋体" w:hint="default"/>
                <w:sz w:val="21"/>
                <w:szCs w:val="21"/>
              </w:rPr>
              <w:t>岁，硕士学位，曾任公司第三届监事会主席，现任本公司总裁助理、董事会秘书。</w:t>
            </w:r>
          </w:p>
        </w:tc>
      </w:tr>
      <w:tr>
        <w:trPr>
          <w:trHeight w:val="1082" w:hRule="exact"/>
        </w:trPr>
        <w:tc>
          <w:tcPr>
            <w:tcW w:w="1074" w:type="dxa"/>
            <w:tcBorders>
              <w:top w:val="single" w:sz="4" w:space="0" w:color="000000"/>
              <w:left w:val="single" w:sz="4" w:space="0" w:color="000000"/>
              <w:bottom w:val="single" w:sz="4" w:space="0" w:color="000000"/>
              <w:right w:val="single" w:sz="4" w:space="0" w:color="000000"/>
            </w:tcBorders>
          </w:tcPr>
          <w:p>
            <w:pPr/>
          </w:p>
        </w:tc>
        <w:tc>
          <w:tcPr>
            <w:tcW w:w="1301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75"/>
              <w:ind w:left="103" w:right="101"/>
              <w:jc w:val="left"/>
              <w:rPr>
                <w:rFonts w:ascii="宋体" w:hAnsi="宋体" w:cs="宋体" w:eastAsia="宋体" w:hint="default"/>
                <w:sz w:val="21"/>
                <w:szCs w:val="21"/>
              </w:rPr>
            </w:pPr>
            <w:r>
              <w:rPr>
                <w:rFonts w:ascii="宋体" w:hAnsi="宋体" w:cs="宋体" w:eastAsia="宋体" w:hint="default"/>
                <w:spacing w:val="-13"/>
                <w:sz w:val="21"/>
                <w:szCs w:val="21"/>
              </w:rPr>
              <w:t>王桂菊：女，46</w:t>
            </w:r>
            <w:r>
              <w:rPr>
                <w:rFonts w:ascii="宋体" w:hAnsi="宋体" w:cs="宋体" w:eastAsia="宋体" w:hint="default"/>
                <w:spacing w:val="-48"/>
                <w:sz w:val="21"/>
                <w:szCs w:val="21"/>
              </w:rPr>
              <w:t> </w:t>
            </w:r>
            <w:r>
              <w:rPr>
                <w:rFonts w:ascii="宋体" w:hAnsi="宋体" w:cs="宋体" w:eastAsia="宋体" w:hint="default"/>
                <w:spacing w:val="-7"/>
                <w:sz w:val="21"/>
                <w:szCs w:val="21"/>
              </w:rPr>
              <w:t>岁，大专，毕业于西南财经大学商业经济专业，王桂菊女士</w:t>
            </w:r>
            <w:r>
              <w:rPr>
                <w:rFonts w:ascii="宋体" w:hAnsi="宋体" w:cs="宋体" w:eastAsia="宋体" w:hint="default"/>
                <w:spacing w:val="-49"/>
                <w:sz w:val="21"/>
                <w:szCs w:val="21"/>
              </w:rPr>
              <w:t> </w:t>
            </w:r>
            <w:r>
              <w:rPr>
                <w:rFonts w:ascii="宋体" w:hAnsi="宋体" w:cs="宋体" w:eastAsia="宋体" w:hint="default"/>
                <w:sz w:val="21"/>
                <w:szCs w:val="21"/>
              </w:rPr>
              <w:t>2008</w:t>
            </w:r>
            <w:r>
              <w:rPr>
                <w:rFonts w:ascii="宋体" w:hAnsi="宋体" w:cs="宋体" w:eastAsia="宋体" w:hint="default"/>
                <w:spacing w:val="-48"/>
                <w:sz w:val="21"/>
                <w:szCs w:val="21"/>
              </w:rPr>
              <w:t> </w:t>
            </w:r>
            <w:r>
              <w:rPr>
                <w:rFonts w:ascii="宋体" w:hAnsi="宋体" w:cs="宋体" w:eastAsia="宋体" w:hint="default"/>
                <w:sz w:val="21"/>
                <w:szCs w:val="21"/>
              </w:rPr>
              <w:t>年至</w:t>
            </w:r>
            <w:r>
              <w:rPr>
                <w:rFonts w:ascii="宋体" w:hAnsi="宋体" w:cs="宋体" w:eastAsia="宋体" w:hint="default"/>
                <w:spacing w:val="-50"/>
                <w:sz w:val="21"/>
                <w:szCs w:val="21"/>
              </w:rPr>
              <w:t> </w:t>
            </w:r>
            <w:r>
              <w:rPr>
                <w:rFonts w:ascii="宋体" w:hAnsi="宋体" w:cs="宋体" w:eastAsia="宋体" w:hint="default"/>
                <w:sz w:val="21"/>
                <w:szCs w:val="21"/>
              </w:rPr>
              <w:t>2010</w:t>
            </w:r>
            <w:r>
              <w:rPr>
                <w:rFonts w:ascii="宋体" w:hAnsi="宋体" w:cs="宋体" w:eastAsia="宋体" w:hint="default"/>
                <w:spacing w:val="-48"/>
                <w:sz w:val="21"/>
                <w:szCs w:val="21"/>
              </w:rPr>
              <w:t> </w:t>
            </w:r>
            <w:r>
              <w:rPr>
                <w:rFonts w:ascii="宋体" w:hAnsi="宋体" w:cs="宋体" w:eastAsia="宋体" w:hint="default"/>
                <w:spacing w:val="-3"/>
                <w:sz w:val="21"/>
                <w:szCs w:val="21"/>
              </w:rPr>
              <w:t>年任华南金证总经理兼管理软件中心总经理、2011</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年起任总裁助理兼管理软件中心总经理、2013</w:t>
            </w:r>
            <w:r>
              <w:rPr>
                <w:rFonts w:ascii="宋体" w:hAnsi="宋体" w:cs="宋体" w:eastAsia="宋体" w:hint="default"/>
                <w:spacing w:val="-53"/>
                <w:sz w:val="21"/>
                <w:szCs w:val="21"/>
              </w:rPr>
              <w:t> </w:t>
            </w:r>
            <w:r>
              <w:rPr>
                <w:rFonts w:ascii="宋体" w:hAnsi="宋体" w:cs="宋体" w:eastAsia="宋体" w:hint="default"/>
                <w:sz w:val="21"/>
                <w:szCs w:val="21"/>
              </w:rPr>
              <w:t>年起任公司营销总监。</w:t>
            </w:r>
          </w:p>
        </w:tc>
      </w:tr>
    </w:tbl>
    <w:p>
      <w:pPr>
        <w:pStyle w:val="Heading3"/>
        <w:spacing w:line="240" w:lineRule="auto" w:before="24"/>
        <w:ind w:left="219" w:right="0"/>
        <w:jc w:val="left"/>
        <w:rPr>
          <w:b w:val="0"/>
          <w:bCs w:val="0"/>
        </w:rPr>
      </w:pPr>
      <w:r>
        <w:rPr/>
        <w:t>二、现任及报告期内离任董事、监事和高级管理人员的任职情况</w:t>
      </w:r>
      <w:r>
        <w:rPr>
          <w:b w:val="0"/>
          <w:bCs w:val="0"/>
        </w:rPr>
      </w:r>
    </w:p>
    <w:p>
      <w:pPr>
        <w:pStyle w:val="Heading3"/>
        <w:spacing w:line="240" w:lineRule="auto" w:before="57"/>
        <w:ind w:left="219"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9"/>
        </w:rPr>
        <w:t> </w:t>
      </w:r>
      <w:r>
        <w:rPr/>
        <w:t>在其他单位任职情况</w:t>
      </w:r>
      <w:r>
        <w:rPr>
          <w:b w:val="0"/>
          <w:bCs w:val="0"/>
        </w:rPr>
      </w:r>
    </w:p>
    <w:p>
      <w:pPr>
        <w:pStyle w:val="BodyText"/>
        <w:spacing w:line="240" w:lineRule="auto" w:before="30"/>
        <w:ind w:left="219" w:right="0"/>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18"/>
        <w:gridCol w:w="3670"/>
        <w:gridCol w:w="2834"/>
        <w:gridCol w:w="2376"/>
        <w:gridCol w:w="2392"/>
      </w:tblGrid>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8"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0"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国信证券股份有限公司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投资银行业务部总经理</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肖幼美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深圳市中金财务顾问公司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财务管理</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9"/>
          <w:pgSz w:w="16840" w:h="11910" w:orient="landscape"/>
          <w:pgMar w:footer="1193" w:header="882" w:top="1120" w:bottom="1380" w:left="1220" w:right="1300"/>
          <w:pgNumType w:start="4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818"/>
        <w:gridCol w:w="3670"/>
        <w:gridCol w:w="2834"/>
        <w:gridCol w:w="2376"/>
        <w:gridCol w:w="2392"/>
      </w:tblGrid>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张龙飞</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北京理工大学软件学院</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讲师</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6"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2"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ind w:left="219" w:right="0"/>
        <w:jc w:val="left"/>
        <w:rPr>
          <w:b w:val="0"/>
          <w:bCs w:val="0"/>
        </w:rPr>
      </w:pPr>
      <w:r>
        <w:rPr/>
        <w:t>三、董事、监事、高级管理人员报酬情况</w:t>
      </w:r>
      <w:r>
        <w:rPr>
          <w:b w:val="0"/>
          <w:bCs w:val="0"/>
        </w:rPr>
      </w:r>
    </w:p>
    <w:p>
      <w:pPr>
        <w:spacing w:line="240" w:lineRule="auto" w:before="1"/>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4361"/>
        <w:gridCol w:w="9728"/>
      </w:tblGrid>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公司薪酬与考核委员会向董事会提出建议，经董事会以及股东大会审议后确定</w:t>
            </w: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董事津贴及董事、监事、高级管理人员的薪酬由薪酬与考核委员会根据公司董事、监事、高级管理人员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的工作情况以及同行业其它上市公司的水平，向董事会提出建议，经董事会以及股东大会审议后确定。</w:t>
            </w: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董事、监事和高级管理人员报酬的应付报酬情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况</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年公司董事领取报酬总额为</w:t>
            </w:r>
            <w:r>
              <w:rPr>
                <w:rFonts w:ascii="宋体" w:hAnsi="宋体" w:cs="宋体" w:eastAsia="宋体" w:hint="default"/>
                <w:spacing w:val="-51"/>
                <w:sz w:val="21"/>
                <w:szCs w:val="21"/>
              </w:rPr>
              <w:t> </w:t>
            </w:r>
            <w:r>
              <w:rPr>
                <w:rFonts w:ascii="宋体" w:hAnsi="宋体" w:cs="宋体" w:eastAsia="宋体" w:hint="default"/>
                <w:sz w:val="21"/>
                <w:szCs w:val="21"/>
              </w:rPr>
              <w:t>277.34</w:t>
            </w:r>
            <w:r>
              <w:rPr>
                <w:rFonts w:ascii="宋体" w:hAnsi="宋体" w:cs="宋体" w:eastAsia="宋体" w:hint="default"/>
                <w:spacing w:val="-2"/>
                <w:sz w:val="21"/>
                <w:szCs w:val="21"/>
              </w:rPr>
              <w:t> </w:t>
            </w:r>
            <w:r>
              <w:rPr>
                <w:rFonts w:ascii="宋体" w:hAnsi="宋体" w:cs="宋体" w:eastAsia="宋体" w:hint="default"/>
                <w:sz w:val="21"/>
                <w:szCs w:val="21"/>
              </w:rPr>
              <w:t>万元；监事领取报酬总额为</w:t>
            </w:r>
            <w:r>
              <w:rPr>
                <w:rFonts w:ascii="宋体" w:hAnsi="宋体" w:cs="宋体" w:eastAsia="宋体" w:hint="default"/>
                <w:spacing w:val="-2"/>
                <w:sz w:val="21"/>
                <w:szCs w:val="21"/>
              </w:rPr>
              <w:t> </w:t>
            </w:r>
            <w:r>
              <w:rPr>
                <w:rFonts w:ascii="宋体" w:hAnsi="宋体" w:cs="宋体" w:eastAsia="宋体" w:hint="default"/>
                <w:sz w:val="21"/>
                <w:szCs w:val="21"/>
              </w:rPr>
              <w:t>67.80</w:t>
            </w:r>
            <w:r>
              <w:rPr>
                <w:rFonts w:ascii="宋体" w:hAnsi="宋体" w:cs="宋体" w:eastAsia="宋体" w:hint="default"/>
                <w:spacing w:val="-51"/>
                <w:sz w:val="21"/>
                <w:szCs w:val="21"/>
              </w:rPr>
              <w:t> </w:t>
            </w:r>
            <w:r>
              <w:rPr>
                <w:rFonts w:ascii="宋体" w:hAnsi="宋体" w:cs="宋体" w:eastAsia="宋体" w:hint="default"/>
                <w:sz w:val="21"/>
                <w:szCs w:val="21"/>
              </w:rPr>
              <w:t>万元；高管人员领取报酬总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额为</w:t>
            </w:r>
            <w:r>
              <w:rPr>
                <w:rFonts w:ascii="宋体" w:hAnsi="宋体" w:cs="宋体" w:eastAsia="宋体" w:hint="default"/>
                <w:spacing w:val="-58"/>
                <w:sz w:val="21"/>
                <w:szCs w:val="21"/>
              </w:rPr>
              <w:t> </w:t>
            </w:r>
            <w:r>
              <w:rPr>
                <w:rFonts w:ascii="宋体" w:hAnsi="宋体" w:cs="宋体" w:eastAsia="宋体" w:hint="default"/>
                <w:sz w:val="21"/>
                <w:szCs w:val="21"/>
              </w:rPr>
              <w:t>283.94</w:t>
            </w:r>
            <w:r>
              <w:rPr>
                <w:rFonts w:ascii="宋体" w:hAnsi="宋体" w:cs="宋体" w:eastAsia="宋体" w:hint="default"/>
                <w:spacing w:val="-58"/>
                <w:sz w:val="21"/>
                <w:szCs w:val="21"/>
              </w:rPr>
              <w:t> </w:t>
            </w:r>
            <w:r>
              <w:rPr>
                <w:rFonts w:ascii="宋体" w:hAnsi="宋体" w:cs="宋体" w:eastAsia="宋体" w:hint="default"/>
                <w:sz w:val="21"/>
                <w:szCs w:val="21"/>
              </w:rPr>
              <w:t>万元.</w:t>
            </w:r>
          </w:p>
        </w:tc>
      </w:tr>
      <w:tr>
        <w:trPr>
          <w:trHeight w:val="556"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报告期末全体董事、监事和高级管理人员实际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年公司董事领取报酬总额为</w:t>
            </w:r>
            <w:r>
              <w:rPr>
                <w:rFonts w:ascii="宋体" w:hAnsi="宋体" w:cs="宋体" w:eastAsia="宋体" w:hint="default"/>
                <w:spacing w:val="-51"/>
                <w:sz w:val="21"/>
                <w:szCs w:val="21"/>
              </w:rPr>
              <w:t> </w:t>
            </w:r>
            <w:r>
              <w:rPr>
                <w:rFonts w:ascii="宋体" w:hAnsi="宋体" w:cs="宋体" w:eastAsia="宋体" w:hint="default"/>
                <w:sz w:val="21"/>
                <w:szCs w:val="21"/>
              </w:rPr>
              <w:t>277.34</w:t>
            </w:r>
            <w:r>
              <w:rPr>
                <w:rFonts w:ascii="宋体" w:hAnsi="宋体" w:cs="宋体" w:eastAsia="宋体" w:hint="default"/>
                <w:spacing w:val="-2"/>
                <w:sz w:val="21"/>
                <w:szCs w:val="21"/>
              </w:rPr>
              <w:t> </w:t>
            </w:r>
            <w:r>
              <w:rPr>
                <w:rFonts w:ascii="宋体" w:hAnsi="宋体" w:cs="宋体" w:eastAsia="宋体" w:hint="default"/>
                <w:sz w:val="21"/>
                <w:szCs w:val="21"/>
              </w:rPr>
              <w:t>万元；监事领取报酬总额为</w:t>
            </w:r>
            <w:r>
              <w:rPr>
                <w:rFonts w:ascii="宋体" w:hAnsi="宋体" w:cs="宋体" w:eastAsia="宋体" w:hint="default"/>
                <w:spacing w:val="-2"/>
                <w:sz w:val="21"/>
                <w:szCs w:val="21"/>
              </w:rPr>
              <w:t> </w:t>
            </w:r>
            <w:r>
              <w:rPr>
                <w:rFonts w:ascii="宋体" w:hAnsi="宋体" w:cs="宋体" w:eastAsia="宋体" w:hint="default"/>
                <w:sz w:val="21"/>
                <w:szCs w:val="21"/>
              </w:rPr>
              <w:t>67.80</w:t>
            </w:r>
            <w:r>
              <w:rPr>
                <w:rFonts w:ascii="宋体" w:hAnsi="宋体" w:cs="宋体" w:eastAsia="宋体" w:hint="default"/>
                <w:spacing w:val="-51"/>
                <w:sz w:val="21"/>
                <w:szCs w:val="21"/>
              </w:rPr>
              <w:t> </w:t>
            </w:r>
            <w:r>
              <w:rPr>
                <w:rFonts w:ascii="宋体" w:hAnsi="宋体" w:cs="宋体" w:eastAsia="宋体" w:hint="default"/>
                <w:sz w:val="21"/>
                <w:szCs w:val="21"/>
              </w:rPr>
              <w:t>万元；高管人员领取报酬总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额为</w:t>
            </w:r>
            <w:r>
              <w:rPr>
                <w:rFonts w:ascii="宋体" w:hAnsi="宋体" w:cs="宋体" w:eastAsia="宋体" w:hint="default"/>
                <w:spacing w:val="-57"/>
                <w:sz w:val="21"/>
                <w:szCs w:val="21"/>
              </w:rPr>
              <w:t> </w:t>
            </w:r>
            <w:r>
              <w:rPr>
                <w:rFonts w:ascii="宋体" w:hAnsi="宋体" w:cs="宋体" w:eastAsia="宋体" w:hint="default"/>
                <w:sz w:val="21"/>
                <w:szCs w:val="21"/>
              </w:rPr>
              <w:t>283.94</w:t>
            </w:r>
            <w:r>
              <w:rPr>
                <w:rFonts w:ascii="宋体" w:hAnsi="宋体" w:cs="宋体" w:eastAsia="宋体" w:hint="default"/>
                <w:spacing w:val="-57"/>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b/>
          <w:bCs/>
          <w:sz w:val="20"/>
          <w:szCs w:val="20"/>
        </w:rPr>
      </w:pPr>
    </w:p>
    <w:p>
      <w:pPr>
        <w:pStyle w:val="Heading3"/>
        <w:spacing w:line="240" w:lineRule="auto"/>
        <w:ind w:left="219" w:right="0"/>
        <w:jc w:val="left"/>
        <w:rPr>
          <w:b w:val="0"/>
          <w:bCs w:val="0"/>
        </w:rPr>
      </w:pPr>
      <w:r>
        <w:rPr/>
        <w:t>四、公司董事、监事、高级管理人员变动情况</w:t>
      </w:r>
      <w:r>
        <w:rPr>
          <w:b w:val="0"/>
          <w:bCs w:val="0"/>
        </w:rPr>
      </w:r>
    </w:p>
    <w:p>
      <w:pPr>
        <w:spacing w:line="240" w:lineRule="auto" w:before="1"/>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3522"/>
        <w:gridCol w:w="3522"/>
        <w:gridCol w:w="3522"/>
        <w:gridCol w:w="3523"/>
      </w:tblGrid>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554"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杜玉巍</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技术总监</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因个人原因辞去技术总监职务，仍在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公司担任基础技术首席架构师。</w:t>
            </w:r>
          </w:p>
        </w:tc>
      </w:tr>
    </w:tbl>
    <w:p>
      <w:pPr>
        <w:pStyle w:val="BodyText"/>
        <w:spacing w:line="240" w:lineRule="exact"/>
        <w:ind w:left="429" w:right="0"/>
        <w:jc w:val="left"/>
      </w:pPr>
      <w:r>
        <w:rPr/>
        <w:t>2015</w:t>
      </w:r>
      <w:r>
        <w:rPr>
          <w:spacing w:val="-54"/>
        </w:rPr>
        <w:t> </w:t>
      </w:r>
      <w:r>
        <w:rPr/>
        <w:t>年</w:t>
      </w:r>
      <w:r>
        <w:rPr>
          <w:spacing w:val="-54"/>
        </w:rPr>
        <w:t> </w:t>
      </w:r>
      <w:r>
        <w:rPr/>
        <w:t>1</w:t>
      </w:r>
      <w:r>
        <w:rPr>
          <w:spacing w:val="-54"/>
        </w:rPr>
        <w:t> </w:t>
      </w:r>
      <w:r>
        <w:rPr/>
        <w:t>月</w:t>
      </w:r>
      <w:r>
        <w:rPr>
          <w:spacing w:val="-55"/>
        </w:rPr>
        <w:t> </w:t>
      </w:r>
      <w:r>
        <w:rPr/>
        <w:t>23</w:t>
      </w:r>
      <w:r>
        <w:rPr>
          <w:spacing w:val="-53"/>
        </w:rPr>
        <w:t> </w:t>
      </w:r>
      <w:r>
        <w:rPr/>
        <w:t>日杜玉巍因个人原因申请辞去技术总监职务，仍在公司担任基础技术首席架构师。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line="290" w:lineRule="auto" w:before="0"/>
        <w:ind w:left="219" w:right="8621" w:firstLine="0"/>
        <w:jc w:val="left"/>
        <w:rPr>
          <w:rFonts w:ascii="宋体" w:hAnsi="宋体" w:cs="宋体" w:eastAsia="宋体" w:hint="default"/>
          <w:sz w:val="21"/>
          <w:szCs w:val="21"/>
        </w:rPr>
      </w:pPr>
      <w:r>
        <w:rPr>
          <w:rFonts w:ascii="宋体" w:hAnsi="宋体" w:cs="宋体" w:eastAsia="宋体" w:hint="default"/>
          <w:b/>
          <w:bCs/>
          <w:sz w:val="21"/>
          <w:szCs w:val="21"/>
        </w:rPr>
        <w:t>五、公司核心技术团队或关键技术人员情况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报告期内，公司核心技术团队或关键技术人员未发生变动。</w:t>
      </w:r>
    </w:p>
    <w:p>
      <w:pPr>
        <w:spacing w:after="0" w:line="290" w:lineRule="auto"/>
        <w:jc w:val="left"/>
        <w:rPr>
          <w:rFonts w:ascii="宋体" w:hAnsi="宋体" w:cs="宋体" w:eastAsia="宋体" w:hint="default"/>
          <w:sz w:val="21"/>
          <w:szCs w:val="21"/>
        </w:rPr>
        <w:sectPr>
          <w:pgSz w:w="16840" w:h="11910" w:orient="landscape"/>
          <w:pgMar w:header="882" w:footer="1193"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9"/>
        <w:ind w:right="205"/>
        <w:jc w:val="left"/>
        <w:rPr>
          <w:b w:val="0"/>
          <w:bCs w:val="0"/>
        </w:rPr>
      </w:pPr>
      <w:r>
        <w:rPr/>
        <w:t>六、母公司和主要子公司的员工情况</w:t>
      </w:r>
      <w:r>
        <w:rPr>
          <w:b w:val="0"/>
          <w:bCs w:val="0"/>
        </w:rPr>
      </w:r>
    </w:p>
    <w:p>
      <w:pPr>
        <w:pStyle w:val="Heading3"/>
        <w:spacing w:line="240" w:lineRule="auto" w:before="57"/>
        <w:ind w:right="20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4" w:type="dxa"/>
        <w:tblLayout w:type="fixed"/>
        <w:tblCellMar>
          <w:top w:w="0" w:type="dxa"/>
          <w:left w:w="0" w:type="dxa"/>
          <w:bottom w:w="0" w:type="dxa"/>
          <w:right w:w="0" w:type="dxa"/>
        </w:tblCellMar>
        <w:tblLook w:val="01E0"/>
      </w:tblPr>
      <w:tblGrid>
        <w:gridCol w:w="4523"/>
        <w:gridCol w:w="4374"/>
      </w:tblGrid>
      <w:tr>
        <w:trPr>
          <w:trHeight w:val="282"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1,562</w:t>
            </w:r>
          </w:p>
        </w:tc>
      </w:tr>
      <w:tr>
        <w:trPr>
          <w:trHeight w:val="282"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576</w:t>
            </w:r>
          </w:p>
        </w:tc>
      </w:tr>
      <w:tr>
        <w:trPr>
          <w:trHeight w:val="283"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2,138</w:t>
            </w:r>
          </w:p>
        </w:tc>
      </w:tr>
      <w:tr>
        <w:trPr>
          <w:trHeight w:val="554"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人数</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0</w:t>
            </w:r>
          </w:p>
        </w:tc>
      </w:tr>
      <w:tr>
        <w:trPr>
          <w:trHeight w:val="282" w:hRule="exact"/>
        </w:trPr>
        <w:tc>
          <w:tcPr>
            <w:tcW w:w="88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2"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r>
      <w:tr>
        <w:trPr>
          <w:trHeight w:val="282"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209</w:t>
            </w:r>
          </w:p>
        </w:tc>
      </w:tr>
      <w:tr>
        <w:trPr>
          <w:trHeight w:val="282"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1,563</w:t>
            </w:r>
          </w:p>
        </w:tc>
      </w:tr>
      <w:tr>
        <w:trPr>
          <w:trHeight w:val="283"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38</w:t>
            </w:r>
          </w:p>
        </w:tc>
      </w:tr>
      <w:tr>
        <w:trPr>
          <w:trHeight w:val="282"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328</w:t>
            </w:r>
          </w:p>
        </w:tc>
      </w:tr>
      <w:tr>
        <w:trPr>
          <w:trHeight w:val="282" w:hRule="exact"/>
        </w:trPr>
        <w:tc>
          <w:tcPr>
            <w:tcW w:w="88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2"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95</w:t>
            </w:r>
          </w:p>
        </w:tc>
      </w:tr>
      <w:tr>
        <w:trPr>
          <w:trHeight w:val="282"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本科</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1,358</w:t>
            </w:r>
          </w:p>
        </w:tc>
      </w:tr>
      <w:tr>
        <w:trPr>
          <w:trHeight w:val="282"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专科</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598</w:t>
            </w:r>
          </w:p>
        </w:tc>
      </w:tr>
      <w:tr>
        <w:trPr>
          <w:trHeight w:val="283"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87</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8"/>
          <w:szCs w:val="18"/>
        </w:rPr>
      </w:pPr>
    </w:p>
    <w:p>
      <w:pPr>
        <w:pStyle w:val="Heading2"/>
        <w:spacing w:line="340" w:lineRule="auto"/>
        <w:ind w:left="359" w:right="205"/>
        <w:jc w:val="left"/>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29"/>
          <w:sz w:val="21"/>
          <w:szCs w:val="21"/>
        </w:rPr>
        <w:t> </w:t>
      </w:r>
      <w:r>
        <w:rPr>
          <w:rFonts w:ascii="宋体" w:hAnsi="宋体" w:cs="宋体" w:eastAsia="宋体" w:hint="default"/>
          <w:b/>
          <w:bCs/>
          <w:sz w:val="21"/>
          <w:szCs w:val="21"/>
        </w:rPr>
        <w:t>薪酬政策</w:t>
      </w:r>
      <w:r>
        <w:rPr>
          <w:rFonts w:ascii="宋体" w:hAnsi="宋体" w:cs="宋体" w:eastAsia="宋体" w:hint="default"/>
          <w:b/>
          <w:bCs/>
          <w:spacing w:val="1"/>
          <w:w w:val="99"/>
          <w:sz w:val="21"/>
          <w:szCs w:val="21"/>
        </w:rPr>
        <w:t> </w:t>
      </w:r>
      <w:r>
        <w:rPr>
          <w:spacing w:val="-3"/>
        </w:rPr>
        <w:t>报告期内，公司薪酬管理实行基于人员编制控制的预算管理，公司员工工资按年薪制、月薪</w:t>
      </w:r>
      <w:r>
        <w:rPr>
          <w:w w:val="99"/>
        </w:rPr>
        <w:t> </w:t>
      </w:r>
      <w:r>
        <w:rPr>
          <w:spacing w:val="-3"/>
        </w:rPr>
        <w:t>制两大类进行支付。同时公司按调薪性质的不同进行年度调薪、转正调薪和其它情况调薪以</w:t>
      </w:r>
      <w:r>
        <w:rPr>
          <w:w w:val="99"/>
        </w:rPr>
        <w:t> </w:t>
      </w:r>
      <w:r>
        <w:rPr/>
        <w:t>保证薪酬的外部竞争力和内部公平性，从而实现吸引和保留优秀人才。</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4"/>
          <w:szCs w:val="24"/>
        </w:rPr>
      </w:pPr>
    </w:p>
    <w:p>
      <w:pPr>
        <w:pStyle w:val="Heading3"/>
        <w:spacing w:line="240" w:lineRule="auto" w:before="0"/>
        <w:ind w:right="20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培训计划</w:t>
      </w:r>
      <w:r>
        <w:rPr>
          <w:b w:val="0"/>
          <w:bCs w:val="0"/>
        </w:rPr>
      </w:r>
    </w:p>
    <w:p>
      <w:pPr>
        <w:pStyle w:val="BodyText"/>
        <w:spacing w:line="348" w:lineRule="auto" w:before="159"/>
        <w:ind w:right="6456"/>
        <w:jc w:val="left"/>
      </w:pPr>
      <w:r>
        <w:rPr/>
        <w:t>2014</w:t>
      </w:r>
      <w:r>
        <w:rPr>
          <w:spacing w:val="-54"/>
        </w:rPr>
        <w:t> </w:t>
      </w:r>
      <w:r>
        <w:rPr/>
        <w:t>年公司培训计划包括：</w:t>
      </w:r>
      <w:r>
        <w:rPr/>
        <w:t> 一、内训</w:t>
      </w:r>
    </w:p>
    <w:p>
      <w:pPr>
        <w:pStyle w:val="BodyText"/>
        <w:spacing w:line="350" w:lineRule="auto" w:before="30"/>
        <w:ind w:right="2412"/>
        <w:jc w:val="left"/>
      </w:pPr>
      <w:r>
        <w:rPr/>
        <w:t>（1）入职培训：每月度组织新员工入职培训，7</w:t>
      </w:r>
      <w:r>
        <w:rPr>
          <w:spacing w:val="-88"/>
        </w:rPr>
        <w:t> </w:t>
      </w:r>
      <w:r>
        <w:rPr/>
        <w:t>月份组织应届毕业生户外拓展、入职及专业知识</w:t>
      </w:r>
      <w:r>
        <w:rPr/>
        <w:t> 培训。</w:t>
      </w:r>
    </w:p>
    <w:p>
      <w:pPr>
        <w:pStyle w:val="BodyText"/>
        <w:spacing w:line="240" w:lineRule="auto" w:before="28"/>
        <w:ind w:right="205"/>
        <w:jc w:val="left"/>
      </w:pPr>
      <w:r>
        <w:rPr/>
        <w:t>（2）技术级培训：公司面向全员及各部门内部每月不定期组织不同领域的专业知识培训。</w:t>
      </w:r>
    </w:p>
    <w:p>
      <w:pPr>
        <w:pStyle w:val="BodyText"/>
        <w:spacing w:line="240" w:lineRule="auto" w:before="124"/>
        <w:ind w:right="0"/>
        <w:jc w:val="left"/>
      </w:pPr>
      <w:r>
        <w:rPr/>
        <w:t>（3</w:t>
      </w:r>
      <w:r>
        <w:rPr>
          <w:spacing w:val="-99"/>
        </w:rPr>
        <w:t>）</w:t>
      </w:r>
      <w:r>
        <w:rPr/>
        <w:t>职能</w:t>
      </w:r>
      <w:r>
        <w:rPr>
          <w:spacing w:val="-2"/>
        </w:rPr>
        <w:t>类</w:t>
      </w:r>
      <w:r>
        <w:rPr/>
        <w:t>培训</w:t>
      </w:r>
      <w:r>
        <w:rPr>
          <w:spacing w:val="-99"/>
        </w:rPr>
        <w:t>：</w:t>
      </w:r>
      <w:r>
        <w:rPr/>
        <w:t>公司面向全员及各职能部门内部每月不定期组织通用知识及岗位专业知识培训。</w:t>
      </w:r>
    </w:p>
    <w:p>
      <w:pPr>
        <w:pStyle w:val="BodyText"/>
        <w:spacing w:line="348" w:lineRule="auto" w:before="126"/>
        <w:ind w:right="2412"/>
        <w:jc w:val="left"/>
      </w:pPr>
      <w:r>
        <w:rPr/>
        <w:t>（4）管理级培训：组织中基层管理干部外部培训及公司统一需求培训。 二、外训</w:t>
      </w:r>
    </w:p>
    <w:p>
      <w:pPr>
        <w:pStyle w:val="BodyText"/>
        <w:spacing w:line="350" w:lineRule="auto" w:before="30"/>
        <w:ind w:right="205"/>
        <w:jc w:val="left"/>
      </w:pPr>
      <w:r>
        <w:rPr>
          <w:spacing w:val="-3"/>
        </w:rPr>
        <w:t>（1）外派培训：公司根据需要派遣或员工根据自身职业发展规划申请并经公司同意，员工参加公</w:t>
      </w:r>
      <w:r>
        <w:rPr>
          <w:spacing w:val="-72"/>
        </w:rPr>
        <w:t> </w:t>
      </w:r>
      <w:r>
        <w:rPr>
          <w:spacing w:val="-72"/>
        </w:rPr>
      </w:r>
      <w:r>
        <w:rPr/>
        <w:t>司外的培训，如</w:t>
      </w:r>
      <w:r>
        <w:rPr>
          <w:spacing w:val="-54"/>
        </w:rPr>
        <w:t> </w:t>
      </w:r>
      <w:r>
        <w:rPr/>
        <w:t>PMP、安全工程师培训、H3C</w:t>
      </w:r>
      <w:r>
        <w:rPr>
          <w:spacing w:val="-1"/>
        </w:rPr>
        <w:t> </w:t>
      </w:r>
      <w:r>
        <w:rPr/>
        <w:t>TE</w:t>
      </w:r>
      <w:r>
        <w:rPr>
          <w:spacing w:val="-54"/>
        </w:rPr>
        <w:t> </w:t>
      </w:r>
      <w:r>
        <w:rPr/>
        <w:t>培训等。</w:t>
      </w:r>
    </w:p>
    <w:p>
      <w:pPr>
        <w:spacing w:after="0" w:line="350" w:lineRule="auto"/>
        <w:jc w:val="left"/>
        <w:sectPr>
          <w:headerReference w:type="default" r:id="rId60"/>
          <w:footerReference w:type="default" r:id="rId61"/>
          <w:pgSz w:w="11910" w:h="16840"/>
          <w:pgMar w:header="882" w:footer="1197" w:top="1100" w:bottom="1380" w:left="1580" w:right="1060"/>
          <w:pgNumType w:start="43"/>
        </w:sectPr>
      </w:pPr>
    </w:p>
    <w:p>
      <w:pPr>
        <w:spacing w:line="240" w:lineRule="auto" w:before="0"/>
        <w:rPr>
          <w:rFonts w:ascii="宋体" w:hAnsi="宋体" w:cs="宋体" w:eastAsia="宋体" w:hint="default"/>
          <w:sz w:val="20"/>
          <w:szCs w:val="20"/>
        </w:rPr>
      </w:pPr>
    </w:p>
    <w:p>
      <w:pPr>
        <w:pStyle w:val="BodyText"/>
        <w:spacing w:line="240" w:lineRule="auto" w:before="180"/>
        <w:ind w:left="137" w:right="127"/>
        <w:jc w:val="left"/>
        <w:rPr>
          <w:sz w:val="24"/>
          <w:szCs w:val="24"/>
        </w:rPr>
      </w:pPr>
      <w:r>
        <w:rPr/>
        <w:t>（2）业务进修：员工赴外部培训机构、培训中心、大学、研究机构接受教育培训</w:t>
      </w:r>
      <w:r>
        <w:rPr>
          <w:sz w:val="24"/>
          <w:szCs w:val="24"/>
        </w:rPr>
        <w:t>。</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2"/>
          <w:szCs w:val="32"/>
        </w:rPr>
      </w:pPr>
    </w:p>
    <w:p>
      <w:pPr>
        <w:pStyle w:val="Heading3"/>
        <w:spacing w:line="240" w:lineRule="auto" w:before="0"/>
        <w:ind w:left="137" w:right="127"/>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27"/>
        </w:rPr>
        <w:t> </w:t>
      </w:r>
      <w:r>
        <w:rPr/>
        <w:t>专业构成统计图</w:t>
      </w:r>
      <w:r>
        <w:rPr>
          <w:b w:val="0"/>
          <w:bCs w:val="0"/>
        </w:rPr>
      </w:r>
    </w:p>
    <w:p>
      <w:pPr>
        <w:spacing w:line="240" w:lineRule="auto" w:before="1"/>
        <w:rPr>
          <w:rFonts w:ascii="宋体" w:hAnsi="宋体" w:cs="宋体" w:eastAsia="宋体" w:hint="default"/>
          <w:b/>
          <w:bCs/>
          <w:sz w:val="5"/>
          <w:szCs w:val="5"/>
        </w:rPr>
      </w:pPr>
    </w:p>
    <w:p>
      <w:pPr>
        <w:spacing w:line="4590" w:lineRule="exact"/>
        <w:ind w:left="137" w:right="0" w:firstLine="0"/>
        <w:rPr>
          <w:rFonts w:ascii="宋体" w:hAnsi="宋体" w:cs="宋体" w:eastAsia="宋体" w:hint="default"/>
          <w:sz w:val="20"/>
          <w:szCs w:val="20"/>
        </w:rPr>
      </w:pPr>
      <w:r>
        <w:rPr>
          <w:rFonts w:ascii="宋体" w:hAnsi="宋体" w:cs="宋体" w:eastAsia="宋体" w:hint="default"/>
          <w:position w:val="-91"/>
          <w:sz w:val="20"/>
          <w:szCs w:val="20"/>
        </w:rPr>
        <w:drawing>
          <wp:inline distT="0" distB="0" distL="0" distR="0">
            <wp:extent cx="5170759" cy="2914650"/>
            <wp:effectExtent l="0" t="0" r="0" b="0"/>
            <wp:docPr id="3" name="image34.png" descr=""/>
            <wp:cNvGraphicFramePr>
              <a:graphicFrameLocks noChangeAspect="1"/>
            </wp:cNvGraphicFramePr>
            <a:graphic>
              <a:graphicData uri="http://schemas.openxmlformats.org/drawingml/2006/picture">
                <pic:pic>
                  <pic:nvPicPr>
                    <pic:cNvPr id="4" name="image34.png"/>
                    <pic:cNvPicPr/>
                  </pic:nvPicPr>
                  <pic:blipFill>
                    <a:blip r:embed="rId62" cstate="print"/>
                    <a:stretch>
                      <a:fillRect/>
                    </a:stretch>
                  </pic:blipFill>
                  <pic:spPr>
                    <a:xfrm>
                      <a:off x="0" y="0"/>
                      <a:ext cx="5170759" cy="2914650"/>
                    </a:xfrm>
                    <a:prstGeom prst="rect">
                      <a:avLst/>
                    </a:prstGeom>
                  </pic:spPr>
                </pic:pic>
              </a:graphicData>
            </a:graphic>
          </wp:inline>
        </w:drawing>
      </w:r>
      <w:r>
        <w:rPr>
          <w:rFonts w:ascii="宋体" w:hAnsi="宋体" w:cs="宋体" w:eastAsia="宋体" w:hint="default"/>
          <w:position w:val="-91"/>
          <w:sz w:val="20"/>
          <w:szCs w:val="20"/>
        </w:rPr>
      </w:r>
    </w:p>
    <w:p>
      <w:pPr>
        <w:spacing w:line="240" w:lineRule="auto" w:before="9"/>
        <w:rPr>
          <w:rFonts w:ascii="宋体" w:hAnsi="宋体" w:cs="宋体" w:eastAsia="宋体" w:hint="default"/>
          <w:b/>
          <w:bCs/>
          <w:sz w:val="22"/>
          <w:szCs w:val="22"/>
        </w:rPr>
      </w:pPr>
    </w:p>
    <w:p>
      <w:pPr>
        <w:pStyle w:val="Heading3"/>
        <w:spacing w:line="240" w:lineRule="auto" w:before="0"/>
        <w:ind w:left="137" w:right="127"/>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教育程度统计图</w:t>
      </w:r>
      <w:r>
        <w:rPr>
          <w:b w:val="0"/>
          <w:bCs w:val="0"/>
        </w:rPr>
      </w:r>
    </w:p>
    <w:p>
      <w:pPr>
        <w:spacing w:line="240" w:lineRule="auto" w:before="1"/>
        <w:rPr>
          <w:rFonts w:ascii="宋体" w:hAnsi="宋体" w:cs="宋体" w:eastAsia="宋体" w:hint="default"/>
          <w:b/>
          <w:bCs/>
          <w:sz w:val="5"/>
          <w:szCs w:val="5"/>
        </w:rPr>
      </w:pPr>
    </w:p>
    <w:p>
      <w:pPr>
        <w:spacing w:line="4623" w:lineRule="exact"/>
        <w:ind w:left="137" w:right="0" w:firstLine="0"/>
        <w:rPr>
          <w:rFonts w:ascii="宋体" w:hAnsi="宋体" w:cs="宋体" w:eastAsia="宋体" w:hint="default"/>
          <w:sz w:val="20"/>
          <w:szCs w:val="20"/>
        </w:rPr>
      </w:pPr>
      <w:r>
        <w:rPr>
          <w:rFonts w:ascii="宋体" w:hAnsi="宋体" w:cs="宋体" w:eastAsia="宋体" w:hint="default"/>
          <w:position w:val="-91"/>
          <w:sz w:val="20"/>
          <w:szCs w:val="20"/>
        </w:rPr>
        <w:drawing>
          <wp:inline distT="0" distB="0" distL="0" distR="0">
            <wp:extent cx="5208233" cy="2935605"/>
            <wp:effectExtent l="0" t="0" r="0" b="0"/>
            <wp:docPr id="5" name="image35.png" descr=""/>
            <wp:cNvGraphicFramePr>
              <a:graphicFrameLocks noChangeAspect="1"/>
            </wp:cNvGraphicFramePr>
            <a:graphic>
              <a:graphicData uri="http://schemas.openxmlformats.org/drawingml/2006/picture">
                <pic:pic>
                  <pic:nvPicPr>
                    <pic:cNvPr id="6" name="image35.png"/>
                    <pic:cNvPicPr/>
                  </pic:nvPicPr>
                  <pic:blipFill>
                    <a:blip r:embed="rId63" cstate="print"/>
                    <a:stretch>
                      <a:fillRect/>
                    </a:stretch>
                  </pic:blipFill>
                  <pic:spPr>
                    <a:xfrm>
                      <a:off x="0" y="0"/>
                      <a:ext cx="5208233" cy="2935605"/>
                    </a:xfrm>
                    <a:prstGeom prst="rect">
                      <a:avLst/>
                    </a:prstGeom>
                  </pic:spPr>
                </pic:pic>
              </a:graphicData>
            </a:graphic>
          </wp:inline>
        </w:drawing>
      </w:r>
      <w:r>
        <w:rPr>
          <w:rFonts w:ascii="宋体" w:hAnsi="宋体" w:cs="宋体" w:eastAsia="宋体" w:hint="default"/>
          <w:position w:val="-91"/>
          <w:sz w:val="20"/>
          <w:szCs w:val="20"/>
        </w:rPr>
      </w:r>
    </w:p>
    <w:p>
      <w:pPr>
        <w:spacing w:after="0" w:line="4623" w:lineRule="exact"/>
        <w:rPr>
          <w:rFonts w:ascii="宋体" w:hAnsi="宋体" w:cs="宋体" w:eastAsia="宋体" w:hint="default"/>
          <w:sz w:val="20"/>
          <w:szCs w:val="20"/>
        </w:rPr>
        <w:sectPr>
          <w:pgSz w:w="11910" w:h="16840"/>
          <w:pgMar w:header="882" w:footer="1197" w:top="1120" w:bottom="1380" w:left="1660" w:right="1140"/>
        </w:sectPr>
      </w:pPr>
    </w:p>
    <w:p>
      <w:pPr>
        <w:spacing w:line="240" w:lineRule="auto" w:before="2"/>
        <w:rPr>
          <w:rFonts w:ascii="宋体" w:hAnsi="宋体" w:cs="宋体" w:eastAsia="宋体" w:hint="default"/>
          <w:b/>
          <w:bCs/>
          <w:sz w:val="26"/>
          <w:szCs w:val="26"/>
        </w:rPr>
      </w:pPr>
    </w:p>
    <w:p>
      <w:pPr>
        <w:pStyle w:val="Heading1"/>
        <w:tabs>
          <w:tab w:pos="1259" w:val="left" w:leader="none"/>
        </w:tabs>
        <w:spacing w:line="240" w:lineRule="auto"/>
        <w:ind w:right="15"/>
        <w:jc w:val="center"/>
        <w:rPr>
          <w:b w:val="0"/>
          <w:bCs w:val="0"/>
        </w:rPr>
      </w:pPr>
      <w:bookmarkStart w:name="_TOC_250003" w:id="6"/>
      <w:r>
        <w:rPr>
          <w:w w:val="95"/>
        </w:rPr>
        <w:t>第八节</w:t>
        <w:tab/>
      </w:r>
      <w:r>
        <w:rPr/>
        <w:t>公司治理</w:t>
      </w:r>
      <w:bookmarkEnd w:id="6"/>
      <w:r>
        <w:rPr>
          <w:b w:val="0"/>
          <w:bCs w:val="0"/>
        </w:rPr>
      </w:r>
    </w:p>
    <w:p>
      <w:pPr>
        <w:spacing w:line="240" w:lineRule="auto" w:before="6"/>
        <w:rPr>
          <w:rFonts w:ascii="黑体" w:hAnsi="黑体" w:cs="黑体" w:eastAsia="黑体" w:hint="default"/>
          <w:b/>
          <w:bCs/>
          <w:sz w:val="27"/>
          <w:szCs w:val="27"/>
        </w:rPr>
      </w:pPr>
    </w:p>
    <w:p>
      <w:pPr>
        <w:pStyle w:val="Heading3"/>
        <w:spacing w:line="240" w:lineRule="auto" w:before="0"/>
        <w:ind w:right="0"/>
        <w:jc w:val="both"/>
        <w:rPr>
          <w:b w:val="0"/>
          <w:bCs w:val="0"/>
        </w:rPr>
      </w:pPr>
      <w:r>
        <w:rPr/>
        <w:t>一、公司治理及内幕知情人登记管理等相关情况说明</w:t>
      </w:r>
      <w:r>
        <w:rPr>
          <w:b w:val="0"/>
          <w:bCs w:val="0"/>
        </w:rPr>
      </w:r>
    </w:p>
    <w:p>
      <w:pPr>
        <w:spacing w:line="240" w:lineRule="auto" w:before="2"/>
        <w:rPr>
          <w:rFonts w:ascii="宋体" w:hAnsi="宋体" w:cs="宋体" w:eastAsia="宋体" w:hint="default"/>
          <w:b/>
          <w:bCs/>
          <w:sz w:val="14"/>
          <w:szCs w:val="14"/>
        </w:rPr>
      </w:pPr>
    </w:p>
    <w:p>
      <w:pPr>
        <w:pStyle w:val="BodyText"/>
        <w:spacing w:line="350" w:lineRule="auto"/>
        <w:ind w:right="231"/>
        <w:jc w:val="both"/>
      </w:pPr>
      <w:r>
        <w:rPr/>
        <w:t>报告期内，公司严格按照《公司法》、《证券法》、《上市公司治理准则》、《上海证券交易所 </w:t>
      </w:r>
      <w:r>
        <w:rPr>
          <w:spacing w:val="-3"/>
        </w:rPr>
        <w:t>股票上市规则》等法律法规的要求，不断完善公司治理结构，规范公司运作.截止报告期末，本公</w:t>
      </w:r>
      <w:r>
        <w:rPr>
          <w:spacing w:val="-70"/>
        </w:rPr>
        <w:t> </w:t>
      </w:r>
      <w:r>
        <w:rPr>
          <w:spacing w:val="-70"/>
        </w:rPr>
      </w:r>
      <w:r>
        <w:rPr/>
        <w:t>司治理与《公司法》和中国证监会相关规定的要求不存在明显差异。</w:t>
      </w:r>
    </w:p>
    <w:p>
      <w:pPr>
        <w:spacing w:line="240" w:lineRule="auto" w:before="11"/>
        <w:rPr>
          <w:rFonts w:ascii="宋体" w:hAnsi="宋体" w:cs="宋体" w:eastAsia="宋体" w:hint="default"/>
          <w:sz w:val="28"/>
          <w:szCs w:val="28"/>
        </w:rPr>
      </w:pPr>
    </w:p>
    <w:p>
      <w:pPr>
        <w:pStyle w:val="Heading3"/>
        <w:spacing w:line="240" w:lineRule="auto" w:before="0"/>
        <w:ind w:right="0"/>
        <w:jc w:val="both"/>
        <w:rPr>
          <w:b w:val="0"/>
          <w:bCs w:val="0"/>
        </w:rPr>
      </w:pPr>
      <w:r>
        <w:rPr/>
        <w:t>二、股东大会情况简介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4" w:type="dxa"/>
        <w:tblLayout w:type="fixed"/>
        <w:tblCellMar>
          <w:top w:w="0" w:type="dxa"/>
          <w:left w:w="0" w:type="dxa"/>
          <w:bottom w:w="0" w:type="dxa"/>
          <w:right w:w="0" w:type="dxa"/>
        </w:tblCellMar>
        <w:tblLook w:val="01E0"/>
      </w:tblPr>
      <w:tblGrid>
        <w:gridCol w:w="1511"/>
        <w:gridCol w:w="1367"/>
        <w:gridCol w:w="1608"/>
        <w:gridCol w:w="1510"/>
        <w:gridCol w:w="1686"/>
        <w:gridCol w:w="1368"/>
      </w:tblGrid>
      <w:tr>
        <w:trPr>
          <w:trHeight w:val="556" w:hRule="exact"/>
        </w:trPr>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3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8"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68"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28" w:right="0"/>
              <w:jc w:val="left"/>
              <w:rPr>
                <w:rFonts w:ascii="宋体" w:hAnsi="宋体" w:cs="宋体" w:eastAsia="宋体" w:hint="default"/>
                <w:sz w:val="21"/>
                <w:szCs w:val="21"/>
              </w:rPr>
            </w:pPr>
            <w:r>
              <w:rPr>
                <w:rFonts w:ascii="宋体" w:hAnsi="宋体" w:cs="宋体" w:eastAsia="宋体" w:hint="default"/>
                <w:sz w:val="21"/>
                <w:szCs w:val="21"/>
              </w:rPr>
              <w:t>决议情况</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决议刊登的指定</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网站的查询索引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披露日期</w:t>
            </w:r>
          </w:p>
        </w:tc>
      </w:tr>
      <w:tr>
        <w:trPr>
          <w:trHeight w:val="275" w:hRule="exact"/>
        </w:trPr>
        <w:tc>
          <w:tcPr>
            <w:tcW w:w="1511"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深圳市金证科</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4</w:t>
            </w:r>
            <w:r>
              <w:rPr>
                <w:rFonts w:ascii="宋体" w:hAnsi="宋体" w:cs="宋体" w:eastAsia="宋体" w:hint="default"/>
                <w:spacing w:val="-37"/>
                <w:sz w:val="21"/>
                <w:szCs w:val="21"/>
              </w:rPr>
              <w:t> </w:t>
            </w:r>
            <w:r>
              <w:rPr>
                <w:rFonts w:ascii="宋体" w:hAnsi="宋体" w:cs="宋体" w:eastAsia="宋体" w:hint="default"/>
                <w:sz w:val="21"/>
                <w:szCs w:val="21"/>
              </w:rPr>
              <w:t>月</w:t>
            </w:r>
          </w:p>
        </w:tc>
        <w:tc>
          <w:tcPr>
            <w:tcW w:w="160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pacing w:val="2"/>
                <w:sz w:val="21"/>
                <w:szCs w:val="21"/>
              </w:rPr>
              <w:t>审议《2013</w:t>
            </w:r>
            <w:r>
              <w:rPr>
                <w:rFonts w:ascii="宋体" w:hAnsi="宋体" w:cs="宋体" w:eastAsia="宋体" w:hint="default"/>
                <w:spacing w:val="11"/>
                <w:sz w:val="21"/>
                <w:szCs w:val="21"/>
              </w:rPr>
              <w:t> </w:t>
            </w:r>
            <w:r>
              <w:rPr>
                <w:rFonts w:ascii="宋体" w:hAnsi="宋体" w:cs="宋体" w:eastAsia="宋体" w:hint="default"/>
                <w:sz w:val="21"/>
                <w:szCs w:val="21"/>
              </w:rPr>
              <w:t>年</w:t>
            </w:r>
          </w:p>
        </w:tc>
        <w:tc>
          <w:tcPr>
            <w:tcW w:w="1510"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会议审议并通</w:t>
            </w:r>
          </w:p>
        </w:tc>
        <w:tc>
          <w:tcPr>
            <w:tcW w:w="1686"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right="0"/>
              <w:jc w:val="center"/>
              <w:rPr>
                <w:rFonts w:ascii="宋体" w:hAnsi="宋体" w:cs="宋体" w:eastAsia="宋体" w:hint="default"/>
                <w:sz w:val="21"/>
                <w:szCs w:val="21"/>
              </w:rPr>
            </w:pPr>
            <w:hyperlink r:id="rId10">
              <w:r>
                <w:rPr>
                  <w:rFonts w:ascii="宋体"/>
                  <w:sz w:val="21"/>
                </w:rPr>
                <w:t>www.sse.com.cn</w:t>
              </w:r>
            </w:hyperlink>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4</w:t>
            </w:r>
            <w:r>
              <w:rPr>
                <w:rFonts w:ascii="宋体" w:hAnsi="宋体" w:cs="宋体" w:eastAsia="宋体" w:hint="default"/>
                <w:spacing w:val="-36"/>
                <w:sz w:val="21"/>
                <w:szCs w:val="21"/>
              </w:rPr>
              <w:t> </w:t>
            </w:r>
            <w:r>
              <w:rPr>
                <w:rFonts w:ascii="宋体" w:hAnsi="宋体" w:cs="宋体" w:eastAsia="宋体" w:hint="default"/>
                <w:sz w:val="21"/>
                <w:szCs w:val="21"/>
              </w:rPr>
              <w:t>月</w:t>
            </w: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技股份有限公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度公司董事</w:t>
            </w:r>
            <w:r>
              <w:rPr>
                <w:rFonts w:ascii="宋体" w:hAnsi="宋体" w:cs="宋体" w:eastAsia="宋体" w:hint="default"/>
                <w:spacing w:val="-74"/>
                <w:sz w:val="21"/>
                <w:szCs w:val="21"/>
              </w:rPr>
              <w:t> </w:t>
            </w:r>
            <w:r>
              <w:rPr>
                <w:rFonts w:ascii="宋体" w:hAnsi="宋体" w:cs="宋体" w:eastAsia="宋体" w:hint="default"/>
                <w:sz w:val="21"/>
                <w:szCs w:val="21"/>
              </w:rPr>
              <w:t>会</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过</w:t>
            </w:r>
            <w:r>
              <w:rPr>
                <w:rFonts w:ascii="宋体" w:hAnsi="宋体" w:cs="宋体" w:eastAsia="宋体" w:hint="default"/>
                <w:spacing w:val="-44"/>
                <w:sz w:val="21"/>
                <w:szCs w:val="21"/>
              </w:rPr>
              <w:t> </w:t>
            </w:r>
            <w:r>
              <w:rPr>
                <w:rFonts w:ascii="宋体" w:hAnsi="宋体" w:cs="宋体" w:eastAsia="宋体" w:hint="default"/>
                <w:sz w:val="21"/>
                <w:szCs w:val="21"/>
              </w:rPr>
              <w:t>了</w:t>
            </w:r>
            <w:r>
              <w:rPr>
                <w:rFonts w:ascii="宋体" w:hAnsi="宋体" w:cs="宋体" w:eastAsia="宋体" w:hint="default"/>
                <w:spacing w:val="-44"/>
                <w:sz w:val="21"/>
                <w:szCs w:val="21"/>
              </w:rPr>
              <w:t> </w:t>
            </w:r>
            <w:r>
              <w:rPr>
                <w:rFonts w:ascii="宋体" w:hAnsi="宋体" w:cs="宋体" w:eastAsia="宋体" w:hint="default"/>
                <w:spacing w:val="40"/>
                <w:sz w:val="21"/>
                <w:szCs w:val="21"/>
              </w:rPr>
              <w:t>全部议</w:t>
            </w:r>
            <w:r>
              <w:rPr>
                <w:rFonts w:ascii="宋体" w:hAnsi="宋体" w:cs="宋体" w:eastAsia="宋体" w:hint="default"/>
                <w:spacing w:val="-45"/>
                <w:sz w:val="21"/>
                <w:szCs w:val="21"/>
              </w:rPr>
              <w:t> </w:t>
            </w:r>
            <w:r>
              <w:rPr>
                <w:rFonts w:ascii="宋体" w:hAnsi="宋体" w:cs="宋体" w:eastAsia="宋体" w:hint="default"/>
                <w:sz w:val="21"/>
                <w:szCs w:val="21"/>
              </w:rPr>
            </w: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73" w:hRule="exact"/>
        </w:trPr>
        <w:tc>
          <w:tcPr>
            <w:tcW w:w="15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司 2013</w:t>
            </w:r>
            <w:r>
              <w:rPr>
                <w:rFonts w:ascii="宋体" w:hAnsi="宋体" w:cs="宋体" w:eastAsia="宋体" w:hint="default"/>
                <w:spacing w:val="22"/>
                <w:sz w:val="21"/>
                <w:szCs w:val="21"/>
              </w:rPr>
              <w:t> </w:t>
            </w:r>
            <w:r>
              <w:rPr>
                <w:rFonts w:ascii="宋体" w:hAnsi="宋体" w:cs="宋体" w:eastAsia="宋体" w:hint="default"/>
                <w:spacing w:val="5"/>
                <w:sz w:val="21"/>
                <w:szCs w:val="21"/>
              </w:rPr>
              <w:t>年度</w:t>
            </w: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工作报告》</w:t>
            </w:r>
            <w:r>
              <w:rPr>
                <w:rFonts w:ascii="宋体" w:hAnsi="宋体" w:cs="宋体" w:eastAsia="宋体" w:hint="default"/>
                <w:spacing w:val="-74"/>
                <w:sz w:val="21"/>
                <w:szCs w:val="21"/>
              </w:rPr>
              <w:t> </w:t>
            </w:r>
            <w:r>
              <w:rPr>
                <w:rFonts w:ascii="宋体" w:hAnsi="宋体" w:cs="宋体" w:eastAsia="宋体" w:hint="default"/>
                <w:sz w:val="21"/>
                <w:szCs w:val="21"/>
              </w:rPr>
              <w:t>、</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案。</w:t>
            </w: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股东大会</w:t>
            </w: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13"/>
                <w:sz w:val="21"/>
                <w:szCs w:val="21"/>
              </w:rPr>
              <w:t> </w:t>
            </w:r>
            <w:r>
              <w:rPr>
                <w:rFonts w:ascii="宋体" w:hAnsi="宋体" w:cs="宋体" w:eastAsia="宋体" w:hint="default"/>
                <w:spacing w:val="4"/>
                <w:sz w:val="21"/>
                <w:szCs w:val="21"/>
              </w:rPr>
              <w:t>年度公</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司监事会工</w:t>
            </w:r>
            <w:r>
              <w:rPr>
                <w:rFonts w:ascii="宋体" w:hAnsi="宋体" w:cs="宋体" w:eastAsia="宋体" w:hint="default"/>
                <w:spacing w:val="-74"/>
                <w:sz w:val="21"/>
                <w:szCs w:val="21"/>
              </w:rPr>
              <w:t> </w:t>
            </w:r>
            <w:r>
              <w:rPr>
                <w:rFonts w:ascii="宋体" w:hAnsi="宋体" w:cs="宋体" w:eastAsia="宋体" w:hint="default"/>
                <w:sz w:val="21"/>
                <w:szCs w:val="21"/>
              </w:rPr>
              <w:t>作</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12"/>
                <w:sz w:val="21"/>
                <w:szCs w:val="21"/>
              </w:rPr>
              <w:t>报告》、《公司</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
                <w:sz w:val="21"/>
                <w:szCs w:val="21"/>
              </w:rPr>
              <w:t> 年度报告</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及报告摘要</w:t>
            </w:r>
            <w:r>
              <w:rPr>
                <w:rFonts w:ascii="宋体" w:hAnsi="宋体" w:cs="宋体" w:eastAsia="宋体" w:hint="default"/>
                <w:spacing w:val="-74"/>
                <w:sz w:val="21"/>
                <w:szCs w:val="21"/>
              </w:rPr>
              <w:t> </w:t>
            </w:r>
            <w:r>
              <w:rPr>
                <w:rFonts w:ascii="宋体" w:hAnsi="宋体" w:cs="宋体" w:eastAsia="宋体" w:hint="default"/>
                <w:sz w:val="21"/>
                <w:szCs w:val="21"/>
              </w:rPr>
              <w:t>的</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9"/>
                <w:sz w:val="21"/>
                <w:szCs w:val="21"/>
              </w:rPr>
              <w:t>议案》、《2013</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年度公司财</w:t>
            </w:r>
            <w:r>
              <w:rPr>
                <w:rFonts w:ascii="宋体" w:hAnsi="宋体" w:cs="宋体" w:eastAsia="宋体" w:hint="default"/>
                <w:spacing w:val="-74"/>
                <w:sz w:val="21"/>
                <w:szCs w:val="21"/>
              </w:rPr>
              <w:t> </w:t>
            </w:r>
            <w:r>
              <w:rPr>
                <w:rFonts w:ascii="宋体" w:hAnsi="宋体" w:cs="宋体" w:eastAsia="宋体" w:hint="default"/>
                <w:sz w:val="21"/>
                <w:szCs w:val="21"/>
              </w:rPr>
              <w:t>务</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决算报告》</w:t>
            </w:r>
            <w:r>
              <w:rPr>
                <w:rFonts w:ascii="宋体" w:hAnsi="宋体" w:cs="宋体" w:eastAsia="宋体" w:hint="default"/>
                <w:spacing w:val="-74"/>
                <w:sz w:val="21"/>
                <w:szCs w:val="21"/>
              </w:rPr>
              <w:t> </w:t>
            </w:r>
            <w:r>
              <w:rPr>
                <w:rFonts w:ascii="宋体" w:hAnsi="宋体" w:cs="宋体" w:eastAsia="宋体" w:hint="default"/>
                <w:sz w:val="21"/>
                <w:szCs w:val="21"/>
              </w:rPr>
              <w:t>、</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13"/>
                <w:sz w:val="21"/>
                <w:szCs w:val="21"/>
              </w:rPr>
              <w:t> </w:t>
            </w:r>
            <w:r>
              <w:rPr>
                <w:rFonts w:ascii="宋体" w:hAnsi="宋体" w:cs="宋体" w:eastAsia="宋体" w:hint="default"/>
                <w:spacing w:val="4"/>
                <w:sz w:val="21"/>
                <w:szCs w:val="21"/>
              </w:rPr>
              <w:t>年度公</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司利润分配</w:t>
            </w:r>
            <w:r>
              <w:rPr>
                <w:rFonts w:ascii="宋体" w:hAnsi="宋体" w:cs="宋体" w:eastAsia="宋体" w:hint="default"/>
                <w:spacing w:val="-74"/>
                <w:sz w:val="21"/>
                <w:szCs w:val="21"/>
              </w:rPr>
              <w:t> </w:t>
            </w:r>
            <w:r>
              <w:rPr>
                <w:rFonts w:ascii="宋体" w:hAnsi="宋体" w:cs="宋体" w:eastAsia="宋体" w:hint="default"/>
                <w:sz w:val="21"/>
                <w:szCs w:val="21"/>
              </w:rPr>
              <w:t>议</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案》、《关</w:t>
            </w:r>
            <w:r>
              <w:rPr>
                <w:rFonts w:ascii="宋体" w:hAnsi="宋体" w:cs="宋体" w:eastAsia="宋体" w:hint="default"/>
                <w:spacing w:val="-74"/>
                <w:sz w:val="21"/>
                <w:szCs w:val="21"/>
              </w:rPr>
              <w:t> </w:t>
            </w:r>
            <w:r>
              <w:rPr>
                <w:rFonts w:ascii="宋体" w:hAnsi="宋体" w:cs="宋体" w:eastAsia="宋体" w:hint="default"/>
                <w:sz w:val="21"/>
                <w:szCs w:val="21"/>
              </w:rPr>
              <w:t>于</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
                <w:sz w:val="21"/>
                <w:szCs w:val="21"/>
              </w:rPr>
              <w:t> 年公司董</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事及高级管</w:t>
            </w:r>
            <w:r>
              <w:rPr>
                <w:rFonts w:ascii="宋体" w:hAnsi="宋体" w:cs="宋体" w:eastAsia="宋体" w:hint="default"/>
                <w:spacing w:val="-74"/>
                <w:sz w:val="21"/>
                <w:szCs w:val="21"/>
              </w:rPr>
              <w:t> </w:t>
            </w:r>
            <w:r>
              <w:rPr>
                <w:rFonts w:ascii="宋体" w:hAnsi="宋体" w:cs="宋体" w:eastAsia="宋体" w:hint="default"/>
                <w:sz w:val="21"/>
                <w:szCs w:val="21"/>
              </w:rPr>
              <w:t>理</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人员薪酬的</w:t>
            </w:r>
            <w:r>
              <w:rPr>
                <w:rFonts w:ascii="宋体" w:hAnsi="宋体" w:cs="宋体" w:eastAsia="宋体" w:hint="default"/>
                <w:spacing w:val="-74"/>
                <w:sz w:val="21"/>
                <w:szCs w:val="21"/>
              </w:rPr>
              <w:t> </w:t>
            </w:r>
            <w:r>
              <w:rPr>
                <w:rFonts w:ascii="宋体" w:hAnsi="宋体" w:cs="宋体" w:eastAsia="宋体" w:hint="default"/>
                <w:sz w:val="21"/>
                <w:szCs w:val="21"/>
              </w:rPr>
              <w:t>议</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12"/>
                <w:sz w:val="21"/>
                <w:szCs w:val="21"/>
              </w:rPr>
              <w:t>案》、《关于向</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银行申请综</w:t>
            </w:r>
            <w:r>
              <w:rPr>
                <w:rFonts w:ascii="宋体" w:hAnsi="宋体" w:cs="宋体" w:eastAsia="宋体" w:hint="default"/>
                <w:spacing w:val="-74"/>
                <w:sz w:val="21"/>
                <w:szCs w:val="21"/>
              </w:rPr>
              <w:t> </w:t>
            </w:r>
            <w:r>
              <w:rPr>
                <w:rFonts w:ascii="宋体" w:hAnsi="宋体" w:cs="宋体" w:eastAsia="宋体" w:hint="default"/>
                <w:sz w:val="21"/>
                <w:szCs w:val="21"/>
              </w:rPr>
              <w:t>合</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授信的议案》、</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《关于公司</w:t>
            </w:r>
            <w:r>
              <w:rPr>
                <w:rFonts w:ascii="宋体" w:hAnsi="宋体" w:cs="宋体" w:eastAsia="宋体" w:hint="default"/>
                <w:spacing w:val="-74"/>
                <w:sz w:val="21"/>
                <w:szCs w:val="21"/>
              </w:rPr>
              <w:t> </w:t>
            </w:r>
            <w:r>
              <w:rPr>
                <w:rFonts w:ascii="宋体" w:hAnsi="宋体" w:cs="宋体" w:eastAsia="宋体" w:hint="default"/>
                <w:sz w:val="21"/>
                <w:szCs w:val="21"/>
              </w:rPr>
              <w:t>聘</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请财务审计</w:t>
            </w:r>
            <w:r>
              <w:rPr>
                <w:rFonts w:ascii="宋体" w:hAnsi="宋体" w:cs="宋体" w:eastAsia="宋体" w:hint="default"/>
                <w:spacing w:val="-74"/>
                <w:sz w:val="21"/>
                <w:szCs w:val="21"/>
              </w:rPr>
              <w:t> </w:t>
            </w:r>
            <w:r>
              <w:rPr>
                <w:rFonts w:ascii="宋体" w:hAnsi="宋体" w:cs="宋体" w:eastAsia="宋体" w:hint="default"/>
                <w:sz w:val="21"/>
                <w:szCs w:val="21"/>
              </w:rPr>
              <w:t>机</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构及内控审</w:t>
            </w:r>
            <w:r>
              <w:rPr>
                <w:rFonts w:ascii="宋体" w:hAnsi="宋体" w:cs="宋体" w:eastAsia="宋体" w:hint="default"/>
                <w:spacing w:val="-74"/>
                <w:sz w:val="21"/>
                <w:szCs w:val="21"/>
              </w:rPr>
              <w:t> </w:t>
            </w:r>
            <w:r>
              <w:rPr>
                <w:rFonts w:ascii="宋体" w:hAnsi="宋体" w:cs="宋体" w:eastAsia="宋体" w:hint="default"/>
                <w:sz w:val="21"/>
                <w:szCs w:val="21"/>
              </w:rPr>
              <w:t>计</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机构的议案》、</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《关于为控</w:t>
            </w:r>
            <w:r>
              <w:rPr>
                <w:rFonts w:ascii="宋体" w:hAnsi="宋体" w:cs="宋体" w:eastAsia="宋体" w:hint="default"/>
                <w:spacing w:val="-74"/>
                <w:sz w:val="21"/>
                <w:szCs w:val="21"/>
              </w:rPr>
              <w:t> </w:t>
            </w:r>
            <w:r>
              <w:rPr>
                <w:rFonts w:ascii="宋体" w:hAnsi="宋体" w:cs="宋体" w:eastAsia="宋体" w:hint="default"/>
                <w:sz w:val="21"/>
                <w:szCs w:val="21"/>
              </w:rPr>
              <w:t>股</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子公司深圳</w:t>
            </w:r>
            <w:r>
              <w:rPr>
                <w:rFonts w:ascii="宋体" w:hAnsi="宋体" w:cs="宋体" w:eastAsia="宋体" w:hint="default"/>
                <w:spacing w:val="-74"/>
                <w:sz w:val="21"/>
                <w:szCs w:val="21"/>
              </w:rPr>
              <w:t> </w:t>
            </w:r>
            <w:r>
              <w:rPr>
                <w:rFonts w:ascii="宋体" w:hAnsi="宋体" w:cs="宋体" w:eastAsia="宋体" w:hint="default"/>
                <w:sz w:val="21"/>
                <w:szCs w:val="21"/>
              </w:rPr>
              <w:t>市</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齐普生信息</w:t>
            </w:r>
            <w:r>
              <w:rPr>
                <w:rFonts w:ascii="宋体" w:hAnsi="宋体" w:cs="宋体" w:eastAsia="宋体" w:hint="default"/>
                <w:spacing w:val="-74"/>
                <w:sz w:val="21"/>
                <w:szCs w:val="21"/>
              </w:rPr>
              <w:t> </w:t>
            </w:r>
            <w:r>
              <w:rPr>
                <w:rFonts w:ascii="宋体" w:hAnsi="宋体" w:cs="宋体" w:eastAsia="宋体" w:hint="default"/>
                <w:sz w:val="21"/>
                <w:szCs w:val="21"/>
              </w:rPr>
              <w:t>科</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技有限公司</w:t>
            </w:r>
            <w:r>
              <w:rPr>
                <w:rFonts w:ascii="宋体" w:hAnsi="宋体" w:cs="宋体" w:eastAsia="宋体" w:hint="default"/>
                <w:spacing w:val="-74"/>
                <w:sz w:val="21"/>
                <w:szCs w:val="21"/>
              </w:rPr>
              <w:t> </w:t>
            </w:r>
            <w:r>
              <w:rPr>
                <w:rFonts w:ascii="宋体" w:hAnsi="宋体" w:cs="宋体" w:eastAsia="宋体" w:hint="default"/>
                <w:sz w:val="21"/>
                <w:szCs w:val="21"/>
              </w:rPr>
              <w:t>提</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供</w:t>
            </w:r>
            <w:r>
              <w:rPr>
                <w:rFonts w:ascii="宋体" w:hAnsi="宋体" w:cs="宋体" w:eastAsia="宋体" w:hint="default"/>
                <w:spacing w:val="-20"/>
                <w:sz w:val="21"/>
                <w:szCs w:val="21"/>
              </w:rPr>
              <w:t> </w:t>
            </w:r>
            <w:r>
              <w:rPr>
                <w:rFonts w:ascii="宋体" w:hAnsi="宋体" w:cs="宋体" w:eastAsia="宋体" w:hint="default"/>
                <w:sz w:val="21"/>
                <w:szCs w:val="21"/>
              </w:rPr>
              <w:t>担</w:t>
            </w:r>
            <w:r>
              <w:rPr>
                <w:rFonts w:ascii="宋体" w:hAnsi="宋体" w:cs="宋体" w:eastAsia="宋体" w:hint="default"/>
                <w:spacing w:val="-20"/>
                <w:sz w:val="21"/>
                <w:szCs w:val="21"/>
              </w:rPr>
              <w:t> </w:t>
            </w:r>
            <w:r>
              <w:rPr>
                <w:rFonts w:ascii="宋体" w:hAnsi="宋体" w:cs="宋体" w:eastAsia="宋体" w:hint="default"/>
                <w:spacing w:val="86"/>
                <w:sz w:val="21"/>
                <w:szCs w:val="21"/>
              </w:rPr>
              <w:t>保的</w:t>
            </w:r>
            <w:r>
              <w:rPr>
                <w:rFonts w:ascii="宋体" w:hAnsi="宋体" w:cs="宋体" w:eastAsia="宋体" w:hint="default"/>
                <w:sz w:val="21"/>
                <w:szCs w:val="21"/>
              </w:rPr>
              <w:t>议</w:t>
            </w:r>
            <w:r>
              <w:rPr>
                <w:rFonts w:ascii="宋体" w:hAnsi="宋体" w:cs="宋体" w:eastAsia="宋体" w:hint="default"/>
                <w:spacing w:val="-19"/>
                <w:sz w:val="21"/>
                <w:szCs w:val="21"/>
              </w:rPr>
              <w:t> </w:t>
            </w:r>
            <w:r>
              <w:rPr>
                <w:rFonts w:ascii="宋体" w:hAnsi="宋体" w:cs="宋体" w:eastAsia="宋体" w:hint="default"/>
                <w:sz w:val="21"/>
                <w:szCs w:val="21"/>
              </w:rPr>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151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60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案》、</w:t>
            </w:r>
          </w:p>
        </w:tc>
        <w:tc>
          <w:tcPr>
            <w:tcW w:w="1510"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r>
      <w:tr>
        <w:trPr>
          <w:trHeight w:val="275" w:hRule="exact"/>
        </w:trPr>
        <w:tc>
          <w:tcPr>
            <w:tcW w:w="1511"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深圳市金证科</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1</w:t>
            </w:r>
            <w:r>
              <w:rPr>
                <w:rFonts w:ascii="宋体" w:hAnsi="宋体" w:cs="宋体" w:eastAsia="宋体" w:hint="default"/>
                <w:spacing w:val="-37"/>
                <w:sz w:val="21"/>
                <w:szCs w:val="21"/>
              </w:rPr>
              <w:t> </w:t>
            </w:r>
            <w:r>
              <w:rPr>
                <w:rFonts w:ascii="宋体" w:hAnsi="宋体" w:cs="宋体" w:eastAsia="宋体" w:hint="default"/>
                <w:sz w:val="21"/>
                <w:szCs w:val="21"/>
              </w:rPr>
              <w:t>月</w:t>
            </w:r>
          </w:p>
        </w:tc>
        <w:tc>
          <w:tcPr>
            <w:tcW w:w="1608"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pacing w:val="-11"/>
                <w:sz w:val="21"/>
                <w:szCs w:val="21"/>
              </w:rPr>
              <w:t>审议《关于为控</w:t>
            </w:r>
          </w:p>
        </w:tc>
        <w:tc>
          <w:tcPr>
            <w:tcW w:w="1510"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会议审议并通</w:t>
            </w:r>
          </w:p>
        </w:tc>
        <w:tc>
          <w:tcPr>
            <w:tcW w:w="1686"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right="0"/>
              <w:jc w:val="center"/>
              <w:rPr>
                <w:rFonts w:ascii="宋体" w:hAnsi="宋体" w:cs="宋体" w:eastAsia="宋体" w:hint="default"/>
                <w:sz w:val="21"/>
                <w:szCs w:val="21"/>
              </w:rPr>
            </w:pPr>
            <w:hyperlink r:id="rId10">
              <w:r>
                <w:rPr>
                  <w:rFonts w:ascii="宋体"/>
                  <w:sz w:val="21"/>
                </w:rPr>
                <w:t>www.sse.com.cn</w:t>
              </w:r>
            </w:hyperlink>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1</w:t>
            </w:r>
            <w:r>
              <w:rPr>
                <w:rFonts w:ascii="宋体" w:hAnsi="宋体" w:cs="宋体" w:eastAsia="宋体" w:hint="default"/>
                <w:spacing w:val="-36"/>
                <w:sz w:val="21"/>
                <w:szCs w:val="21"/>
              </w:rPr>
              <w:t> </w:t>
            </w:r>
            <w:r>
              <w:rPr>
                <w:rFonts w:ascii="宋体" w:hAnsi="宋体" w:cs="宋体" w:eastAsia="宋体" w:hint="default"/>
                <w:sz w:val="21"/>
                <w:szCs w:val="21"/>
              </w:rPr>
              <w:t>月</w:t>
            </w: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技股份有限公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股子公司深</w:t>
            </w:r>
            <w:r>
              <w:rPr>
                <w:rFonts w:ascii="宋体" w:hAnsi="宋体" w:cs="宋体" w:eastAsia="宋体" w:hint="default"/>
                <w:spacing w:val="-74"/>
                <w:sz w:val="21"/>
                <w:szCs w:val="21"/>
              </w:rPr>
              <w:t> </w:t>
            </w:r>
            <w:r>
              <w:rPr>
                <w:rFonts w:ascii="宋体" w:hAnsi="宋体" w:cs="宋体" w:eastAsia="宋体" w:hint="default"/>
                <w:sz w:val="21"/>
                <w:szCs w:val="21"/>
              </w:rPr>
              <w:t>圳</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过</w:t>
            </w:r>
            <w:r>
              <w:rPr>
                <w:rFonts w:ascii="宋体" w:hAnsi="宋体" w:cs="宋体" w:eastAsia="宋体" w:hint="default"/>
                <w:spacing w:val="-44"/>
                <w:sz w:val="21"/>
                <w:szCs w:val="21"/>
              </w:rPr>
              <w:t> </w:t>
            </w:r>
            <w:r>
              <w:rPr>
                <w:rFonts w:ascii="宋体" w:hAnsi="宋体" w:cs="宋体" w:eastAsia="宋体" w:hint="default"/>
                <w:sz w:val="21"/>
                <w:szCs w:val="21"/>
              </w:rPr>
              <w:t>了</w:t>
            </w:r>
            <w:r>
              <w:rPr>
                <w:rFonts w:ascii="宋体" w:hAnsi="宋体" w:cs="宋体" w:eastAsia="宋体" w:hint="default"/>
                <w:spacing w:val="-44"/>
                <w:sz w:val="21"/>
                <w:szCs w:val="21"/>
              </w:rPr>
              <w:t> </w:t>
            </w:r>
            <w:r>
              <w:rPr>
                <w:rFonts w:ascii="宋体" w:hAnsi="宋体" w:cs="宋体" w:eastAsia="宋体" w:hint="default"/>
                <w:spacing w:val="40"/>
                <w:sz w:val="21"/>
                <w:szCs w:val="21"/>
              </w:rPr>
              <w:t>全部议</w:t>
            </w:r>
            <w:r>
              <w:rPr>
                <w:rFonts w:ascii="宋体" w:hAnsi="宋体" w:cs="宋体" w:eastAsia="宋体" w:hint="default"/>
                <w:spacing w:val="-45"/>
                <w:sz w:val="21"/>
                <w:szCs w:val="21"/>
              </w:rPr>
              <w:t> </w:t>
            </w:r>
            <w:r>
              <w:rPr>
                <w:rFonts w:ascii="宋体" w:hAnsi="宋体" w:cs="宋体" w:eastAsia="宋体" w:hint="default"/>
                <w:sz w:val="21"/>
                <w:szCs w:val="21"/>
              </w:rPr>
            </w: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司 2014</w:t>
            </w:r>
            <w:r>
              <w:rPr>
                <w:rFonts w:ascii="宋体" w:hAnsi="宋体" w:cs="宋体" w:eastAsia="宋体" w:hint="default"/>
                <w:spacing w:val="22"/>
                <w:sz w:val="21"/>
                <w:szCs w:val="21"/>
              </w:rPr>
              <w:t> </w:t>
            </w:r>
            <w:r>
              <w:rPr>
                <w:rFonts w:ascii="宋体" w:hAnsi="宋体" w:cs="宋体" w:eastAsia="宋体" w:hint="default"/>
                <w:spacing w:val="5"/>
                <w:sz w:val="21"/>
                <w:szCs w:val="21"/>
              </w:rPr>
              <w:t>年第</w:t>
            </w: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市齐普生信</w:t>
            </w:r>
            <w:r>
              <w:rPr>
                <w:rFonts w:ascii="宋体" w:hAnsi="宋体" w:cs="宋体" w:eastAsia="宋体" w:hint="default"/>
                <w:spacing w:val="-74"/>
                <w:sz w:val="21"/>
                <w:szCs w:val="21"/>
              </w:rPr>
              <w:t> </w:t>
            </w:r>
            <w:r>
              <w:rPr>
                <w:rFonts w:ascii="宋体" w:hAnsi="宋体" w:cs="宋体" w:eastAsia="宋体" w:hint="default"/>
                <w:sz w:val="21"/>
                <w:szCs w:val="21"/>
              </w:rPr>
              <w:t>息</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案。</w:t>
            </w: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一次临时股东</w:t>
            </w: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科技有限公</w:t>
            </w:r>
            <w:r>
              <w:rPr>
                <w:rFonts w:ascii="宋体" w:hAnsi="宋体" w:cs="宋体" w:eastAsia="宋体" w:hint="default"/>
                <w:spacing w:val="-74"/>
                <w:sz w:val="21"/>
                <w:szCs w:val="21"/>
              </w:rPr>
              <w:t> </w:t>
            </w:r>
            <w:r>
              <w:rPr>
                <w:rFonts w:ascii="宋体" w:hAnsi="宋体" w:cs="宋体" w:eastAsia="宋体" w:hint="default"/>
                <w:sz w:val="21"/>
                <w:szCs w:val="21"/>
              </w:rPr>
              <w:t>司</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提供担保的</w:t>
            </w:r>
            <w:r>
              <w:rPr>
                <w:rFonts w:ascii="宋体" w:hAnsi="宋体" w:cs="宋体" w:eastAsia="宋体" w:hint="default"/>
                <w:spacing w:val="-74"/>
                <w:sz w:val="21"/>
                <w:szCs w:val="21"/>
              </w:rPr>
              <w:t> </w:t>
            </w:r>
            <w:r>
              <w:rPr>
                <w:rFonts w:ascii="宋体" w:hAnsi="宋体" w:cs="宋体" w:eastAsia="宋体" w:hint="default"/>
                <w:sz w:val="21"/>
                <w:szCs w:val="21"/>
              </w:rPr>
              <w:t>议</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151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60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案》</w:t>
            </w:r>
          </w:p>
        </w:tc>
        <w:tc>
          <w:tcPr>
            <w:tcW w:w="1510"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r>
      <w:tr>
        <w:trPr>
          <w:trHeight w:val="282" w:hRule="exact"/>
        </w:trPr>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深圳市金证科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1</w:t>
            </w:r>
            <w:r>
              <w:rPr>
                <w:rFonts w:ascii="宋体" w:hAnsi="宋体" w:cs="宋体" w:eastAsia="宋体" w:hint="default"/>
                <w:spacing w:val="-37"/>
                <w:sz w:val="21"/>
                <w:szCs w:val="21"/>
              </w:rPr>
              <w:t> </w:t>
            </w:r>
            <w:r>
              <w:rPr>
                <w:rFonts w:ascii="宋体" w:hAnsi="宋体" w:cs="宋体" w:eastAsia="宋体" w:hint="default"/>
                <w:sz w:val="21"/>
                <w:szCs w:val="21"/>
              </w:rPr>
              <w:t>月</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pacing w:val="-12"/>
                <w:sz w:val="21"/>
                <w:szCs w:val="21"/>
              </w:rPr>
              <w:t>审议《关于公司</w:t>
            </w:r>
            <w:r>
              <w:rPr>
                <w:rFonts w:ascii="宋体" w:hAnsi="宋体" w:cs="宋体" w:eastAsia="宋体" w:hint="default"/>
                <w:sz w:val="21"/>
                <w:szCs w:val="21"/>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会议审议并通</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hyperlink r:id="rId10">
              <w:r>
                <w:rPr>
                  <w:rFonts w:ascii="宋体"/>
                  <w:sz w:val="21"/>
                </w:rPr>
                <w:t>www.sse.com.cn</w:t>
              </w:r>
            </w:hyperlink>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1</w:t>
            </w:r>
            <w:r>
              <w:rPr>
                <w:rFonts w:ascii="宋体" w:hAnsi="宋体" w:cs="宋体" w:eastAsia="宋体" w:hint="default"/>
                <w:spacing w:val="-36"/>
                <w:sz w:val="21"/>
                <w:szCs w:val="21"/>
              </w:rPr>
              <w:t> </w:t>
            </w:r>
            <w:r>
              <w:rPr>
                <w:rFonts w:ascii="宋体" w:hAnsi="宋体" w:cs="宋体" w:eastAsia="宋体" w:hint="default"/>
                <w:sz w:val="21"/>
                <w:szCs w:val="21"/>
              </w:rPr>
              <w:t>月</w:t>
            </w:r>
          </w:p>
        </w:tc>
      </w:tr>
    </w:tbl>
    <w:p>
      <w:pPr>
        <w:spacing w:after="0" w:line="240" w:lineRule="exact"/>
        <w:jc w:val="left"/>
        <w:rPr>
          <w:rFonts w:ascii="宋体" w:hAnsi="宋体" w:cs="宋体" w:eastAsia="宋体" w:hint="default"/>
          <w:sz w:val="21"/>
          <w:szCs w:val="21"/>
        </w:rPr>
        <w:sectPr>
          <w:pgSz w:w="11910" w:h="16840"/>
          <w:pgMar w:header="882" w:footer="1197"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1511"/>
        <w:gridCol w:w="1367"/>
        <w:gridCol w:w="1608"/>
        <w:gridCol w:w="1510"/>
        <w:gridCol w:w="1686"/>
        <w:gridCol w:w="1368"/>
      </w:tblGrid>
      <w:tr>
        <w:trPr>
          <w:trHeight w:val="275" w:hRule="exact"/>
        </w:trPr>
        <w:tc>
          <w:tcPr>
            <w:tcW w:w="1511"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技股份有限公</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60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符合发行公</w:t>
            </w:r>
            <w:r>
              <w:rPr>
                <w:rFonts w:ascii="宋体" w:hAnsi="宋体" w:cs="宋体" w:eastAsia="宋体" w:hint="default"/>
                <w:spacing w:val="-74"/>
                <w:sz w:val="21"/>
                <w:szCs w:val="21"/>
              </w:rPr>
              <w:t> </w:t>
            </w:r>
            <w:r>
              <w:rPr>
                <w:rFonts w:ascii="宋体" w:hAnsi="宋体" w:cs="宋体" w:eastAsia="宋体" w:hint="default"/>
                <w:sz w:val="21"/>
                <w:szCs w:val="21"/>
              </w:rPr>
              <w:t>司</w:t>
            </w:r>
          </w:p>
        </w:tc>
        <w:tc>
          <w:tcPr>
            <w:tcW w:w="1510"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过</w:t>
            </w:r>
            <w:r>
              <w:rPr>
                <w:rFonts w:ascii="宋体" w:hAnsi="宋体" w:cs="宋体" w:eastAsia="宋体" w:hint="default"/>
                <w:spacing w:val="-44"/>
                <w:sz w:val="21"/>
                <w:szCs w:val="21"/>
              </w:rPr>
              <w:t> </w:t>
            </w:r>
            <w:r>
              <w:rPr>
                <w:rFonts w:ascii="宋体" w:hAnsi="宋体" w:cs="宋体" w:eastAsia="宋体" w:hint="default"/>
                <w:sz w:val="21"/>
                <w:szCs w:val="21"/>
              </w:rPr>
              <w:t>了</w:t>
            </w:r>
            <w:r>
              <w:rPr>
                <w:rFonts w:ascii="宋体" w:hAnsi="宋体" w:cs="宋体" w:eastAsia="宋体" w:hint="default"/>
                <w:spacing w:val="-44"/>
                <w:sz w:val="21"/>
                <w:szCs w:val="21"/>
              </w:rPr>
              <w:t> </w:t>
            </w:r>
            <w:r>
              <w:rPr>
                <w:rFonts w:ascii="宋体" w:hAnsi="宋体" w:cs="宋体" w:eastAsia="宋体" w:hint="default"/>
                <w:spacing w:val="40"/>
                <w:sz w:val="21"/>
                <w:szCs w:val="21"/>
              </w:rPr>
              <w:t>全部议</w:t>
            </w:r>
            <w:r>
              <w:rPr>
                <w:rFonts w:ascii="宋体" w:hAnsi="宋体" w:cs="宋体" w:eastAsia="宋体" w:hint="default"/>
                <w:spacing w:val="-45"/>
                <w:sz w:val="21"/>
                <w:szCs w:val="21"/>
              </w:rPr>
              <w:t> </w:t>
            </w:r>
            <w:r>
              <w:rPr>
                <w:rFonts w:ascii="宋体" w:hAnsi="宋体" w:cs="宋体" w:eastAsia="宋体" w:hint="default"/>
                <w:sz w:val="21"/>
                <w:szCs w:val="21"/>
              </w:rPr>
            </w:r>
          </w:p>
        </w:tc>
        <w:tc>
          <w:tcPr>
            <w:tcW w:w="1686"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司 2014</w:t>
            </w:r>
            <w:r>
              <w:rPr>
                <w:rFonts w:ascii="宋体" w:hAnsi="宋体" w:cs="宋体" w:eastAsia="宋体" w:hint="default"/>
                <w:spacing w:val="22"/>
                <w:sz w:val="21"/>
                <w:szCs w:val="21"/>
              </w:rPr>
              <w:t> </w:t>
            </w:r>
            <w:r>
              <w:rPr>
                <w:rFonts w:ascii="宋体" w:hAnsi="宋体" w:cs="宋体" w:eastAsia="宋体" w:hint="default"/>
                <w:spacing w:val="5"/>
                <w:sz w:val="21"/>
                <w:szCs w:val="21"/>
              </w:rPr>
              <w:t>年第</w:t>
            </w: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债券条件的</w:t>
            </w:r>
            <w:r>
              <w:rPr>
                <w:rFonts w:ascii="宋体" w:hAnsi="宋体" w:cs="宋体" w:eastAsia="宋体" w:hint="default"/>
                <w:spacing w:val="-74"/>
                <w:sz w:val="21"/>
                <w:szCs w:val="21"/>
              </w:rPr>
              <w:t> </w:t>
            </w:r>
            <w:r>
              <w:rPr>
                <w:rFonts w:ascii="宋体" w:hAnsi="宋体" w:cs="宋体" w:eastAsia="宋体" w:hint="default"/>
                <w:sz w:val="21"/>
                <w:szCs w:val="21"/>
              </w:rPr>
              <w:t>议</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案。</w:t>
            </w:r>
          </w:p>
        </w:tc>
        <w:tc>
          <w:tcPr>
            <w:tcW w:w="168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二次临时股东</w:t>
            </w: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12"/>
                <w:sz w:val="21"/>
                <w:szCs w:val="21"/>
              </w:rPr>
              <w:t>案》、《关于发</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行公司债券</w:t>
            </w:r>
            <w:r>
              <w:rPr>
                <w:rFonts w:ascii="宋体" w:hAnsi="宋体" w:cs="宋体" w:eastAsia="宋体" w:hint="default"/>
                <w:spacing w:val="-74"/>
                <w:sz w:val="21"/>
                <w:szCs w:val="21"/>
              </w:rPr>
              <w:t> </w:t>
            </w:r>
            <w:r>
              <w:rPr>
                <w:rFonts w:ascii="宋体" w:hAnsi="宋体" w:cs="宋体" w:eastAsia="宋体" w:hint="default"/>
                <w:sz w:val="21"/>
                <w:szCs w:val="21"/>
              </w:rPr>
              <w:t>方</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案的议案</w:t>
            </w:r>
            <w:r>
              <w:rPr>
                <w:rFonts w:ascii="宋体" w:hAnsi="宋体" w:cs="宋体" w:eastAsia="宋体" w:hint="default"/>
                <w:spacing w:val="-96"/>
                <w:sz w:val="21"/>
                <w:szCs w:val="21"/>
              </w:rPr>
              <w:t>》</w:t>
            </w:r>
            <w:r>
              <w:rPr>
                <w:rFonts w:ascii="宋体" w:hAnsi="宋体" w:cs="宋体" w:eastAsia="宋体" w:hint="default"/>
                <w:spacing w:val="-192"/>
                <w:sz w:val="21"/>
                <w:szCs w:val="21"/>
              </w:rPr>
              <w:t>、</w:t>
            </w:r>
            <w:r>
              <w:rPr>
                <w:rFonts w:ascii="宋体" w:hAnsi="宋体" w:cs="宋体" w:eastAsia="宋体" w:hint="default"/>
                <w:spacing w:val="1"/>
                <w:sz w:val="21"/>
                <w:szCs w:val="21"/>
              </w:rPr>
              <w:t>《关</w:t>
            </w:r>
            <w:r>
              <w:rPr>
                <w:rFonts w:ascii="宋体" w:hAnsi="宋体" w:cs="宋体" w:eastAsia="宋体" w:hint="default"/>
                <w:sz w:val="21"/>
                <w:szCs w:val="21"/>
              </w:rPr>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于提请股东</w:t>
            </w:r>
            <w:r>
              <w:rPr>
                <w:rFonts w:ascii="宋体" w:hAnsi="宋体" w:cs="宋体" w:eastAsia="宋体" w:hint="default"/>
                <w:spacing w:val="-74"/>
                <w:sz w:val="21"/>
                <w:szCs w:val="21"/>
              </w:rPr>
              <w:t> </w:t>
            </w:r>
            <w:r>
              <w:rPr>
                <w:rFonts w:ascii="宋体" w:hAnsi="宋体" w:cs="宋体" w:eastAsia="宋体" w:hint="default"/>
                <w:sz w:val="21"/>
                <w:szCs w:val="21"/>
              </w:rPr>
              <w:t>大</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会授权董事</w:t>
            </w:r>
            <w:r>
              <w:rPr>
                <w:rFonts w:ascii="宋体" w:hAnsi="宋体" w:cs="宋体" w:eastAsia="宋体" w:hint="default"/>
                <w:spacing w:val="-74"/>
                <w:sz w:val="21"/>
                <w:szCs w:val="21"/>
              </w:rPr>
              <w:t> </w:t>
            </w:r>
            <w:r>
              <w:rPr>
                <w:rFonts w:ascii="宋体" w:hAnsi="宋体" w:cs="宋体" w:eastAsia="宋体" w:hint="default"/>
                <w:sz w:val="21"/>
                <w:szCs w:val="21"/>
              </w:rPr>
              <w:t>会</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或董事会授</w:t>
            </w:r>
            <w:r>
              <w:rPr>
                <w:rFonts w:ascii="宋体" w:hAnsi="宋体" w:cs="宋体" w:eastAsia="宋体" w:hint="default"/>
                <w:spacing w:val="-74"/>
                <w:sz w:val="21"/>
                <w:szCs w:val="21"/>
              </w:rPr>
              <w:t> </w:t>
            </w:r>
            <w:r>
              <w:rPr>
                <w:rFonts w:ascii="宋体" w:hAnsi="宋体" w:cs="宋体" w:eastAsia="宋体" w:hint="default"/>
                <w:sz w:val="21"/>
                <w:szCs w:val="21"/>
              </w:rPr>
              <w:t>权</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人士办理本</w:t>
            </w:r>
            <w:r>
              <w:rPr>
                <w:rFonts w:ascii="宋体" w:hAnsi="宋体" w:cs="宋体" w:eastAsia="宋体" w:hint="default"/>
                <w:spacing w:val="-74"/>
                <w:sz w:val="21"/>
                <w:szCs w:val="21"/>
              </w:rPr>
              <w:t> </w:t>
            </w:r>
            <w:r>
              <w:rPr>
                <w:rFonts w:ascii="宋体" w:hAnsi="宋体" w:cs="宋体" w:eastAsia="宋体" w:hint="default"/>
                <w:sz w:val="21"/>
                <w:szCs w:val="21"/>
              </w:rPr>
              <w:t>次</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发行公司债</w:t>
            </w:r>
            <w:r>
              <w:rPr>
                <w:rFonts w:ascii="宋体" w:hAnsi="宋体" w:cs="宋体" w:eastAsia="宋体" w:hint="default"/>
                <w:spacing w:val="-74"/>
                <w:sz w:val="21"/>
                <w:szCs w:val="21"/>
              </w:rPr>
              <w:t> </w:t>
            </w:r>
            <w:r>
              <w:rPr>
                <w:rFonts w:ascii="宋体" w:hAnsi="宋体" w:cs="宋体" w:eastAsia="宋体" w:hint="default"/>
                <w:sz w:val="21"/>
                <w:szCs w:val="21"/>
              </w:rPr>
              <w:t>券</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相关事项的</w:t>
            </w:r>
            <w:r>
              <w:rPr>
                <w:rFonts w:ascii="宋体" w:hAnsi="宋体" w:cs="宋体" w:eastAsia="宋体" w:hint="default"/>
                <w:spacing w:val="-74"/>
                <w:sz w:val="21"/>
                <w:szCs w:val="21"/>
              </w:rPr>
              <w:t> </w:t>
            </w:r>
            <w:r>
              <w:rPr>
                <w:rFonts w:ascii="宋体" w:hAnsi="宋体" w:cs="宋体" w:eastAsia="宋体" w:hint="default"/>
                <w:sz w:val="21"/>
                <w:szCs w:val="21"/>
              </w:rPr>
              <w:t>议</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151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60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案》</w:t>
            </w:r>
          </w:p>
        </w:tc>
        <w:tc>
          <w:tcPr>
            <w:tcW w:w="1510" w:type="dxa"/>
            <w:tcBorders>
              <w:top w:val="nil" w:sz="6" w:space="0" w:color="auto"/>
              <w:left w:val="single" w:sz="4" w:space="0" w:color="000000"/>
              <w:bottom w:val="single" w:sz="4" w:space="0" w:color="000000"/>
              <w:right w:val="single" w:sz="4" w:space="0" w:color="000000"/>
            </w:tcBorders>
          </w:tcPr>
          <w:p>
            <w:pPr/>
          </w:p>
        </w:tc>
        <w:tc>
          <w:tcPr>
            <w:tcW w:w="1686"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r>
      <w:tr>
        <w:trPr>
          <w:trHeight w:val="275" w:hRule="exact"/>
        </w:trPr>
        <w:tc>
          <w:tcPr>
            <w:tcW w:w="1511"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深圳市金证科</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5</w:t>
            </w:r>
            <w:r>
              <w:rPr>
                <w:rFonts w:ascii="宋体" w:hAnsi="宋体" w:cs="宋体" w:eastAsia="宋体" w:hint="default"/>
                <w:spacing w:val="-37"/>
                <w:sz w:val="21"/>
                <w:szCs w:val="21"/>
              </w:rPr>
              <w:t> </w:t>
            </w:r>
            <w:r>
              <w:rPr>
                <w:rFonts w:ascii="宋体" w:hAnsi="宋体" w:cs="宋体" w:eastAsia="宋体" w:hint="default"/>
                <w:sz w:val="21"/>
                <w:szCs w:val="21"/>
              </w:rPr>
              <w:t>月</w:t>
            </w:r>
          </w:p>
        </w:tc>
        <w:tc>
          <w:tcPr>
            <w:tcW w:w="1608"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pacing w:val="-11"/>
                <w:sz w:val="21"/>
                <w:szCs w:val="21"/>
              </w:rPr>
              <w:t>审议《关于公司</w:t>
            </w:r>
          </w:p>
        </w:tc>
        <w:tc>
          <w:tcPr>
            <w:tcW w:w="1510"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会议审议并通</w:t>
            </w:r>
          </w:p>
        </w:tc>
        <w:tc>
          <w:tcPr>
            <w:tcW w:w="1686"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right="0"/>
              <w:jc w:val="center"/>
              <w:rPr>
                <w:rFonts w:ascii="宋体" w:hAnsi="宋体" w:cs="宋体" w:eastAsia="宋体" w:hint="default"/>
                <w:sz w:val="21"/>
                <w:szCs w:val="21"/>
              </w:rPr>
            </w:pPr>
            <w:hyperlink r:id="rId10">
              <w:r>
                <w:rPr>
                  <w:rFonts w:ascii="宋体"/>
                  <w:sz w:val="21"/>
                </w:rPr>
                <w:t>www.sse.com.cn</w:t>
              </w:r>
            </w:hyperlink>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5</w:t>
            </w:r>
            <w:r>
              <w:rPr>
                <w:rFonts w:ascii="宋体" w:hAnsi="宋体" w:cs="宋体" w:eastAsia="宋体" w:hint="default"/>
                <w:spacing w:val="-36"/>
                <w:sz w:val="21"/>
                <w:szCs w:val="21"/>
              </w:rPr>
              <w:t> </w:t>
            </w:r>
            <w:r>
              <w:rPr>
                <w:rFonts w:ascii="宋体" w:hAnsi="宋体" w:cs="宋体" w:eastAsia="宋体" w:hint="default"/>
                <w:sz w:val="21"/>
                <w:szCs w:val="21"/>
              </w:rPr>
              <w:t>月</w:t>
            </w: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技股份有限公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6"/>
                <w:sz w:val="21"/>
                <w:szCs w:val="21"/>
              </w:rPr>
              <w:t>8日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符合非公开</w:t>
            </w:r>
            <w:r>
              <w:rPr>
                <w:rFonts w:ascii="宋体" w:hAnsi="宋体" w:cs="宋体" w:eastAsia="宋体" w:hint="default"/>
                <w:spacing w:val="-74"/>
                <w:sz w:val="21"/>
                <w:szCs w:val="21"/>
              </w:rPr>
              <w:t> </w:t>
            </w:r>
            <w:r>
              <w:rPr>
                <w:rFonts w:ascii="宋体" w:hAnsi="宋体" w:cs="宋体" w:eastAsia="宋体" w:hint="default"/>
                <w:sz w:val="21"/>
                <w:szCs w:val="21"/>
              </w:rPr>
              <w:t>发</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过</w:t>
            </w:r>
            <w:r>
              <w:rPr>
                <w:rFonts w:ascii="宋体" w:hAnsi="宋体" w:cs="宋体" w:eastAsia="宋体" w:hint="default"/>
                <w:spacing w:val="-44"/>
                <w:sz w:val="21"/>
                <w:szCs w:val="21"/>
              </w:rPr>
              <w:t> </w:t>
            </w:r>
            <w:r>
              <w:rPr>
                <w:rFonts w:ascii="宋体" w:hAnsi="宋体" w:cs="宋体" w:eastAsia="宋体" w:hint="default"/>
                <w:sz w:val="21"/>
                <w:szCs w:val="21"/>
              </w:rPr>
              <w:t>了</w:t>
            </w:r>
            <w:r>
              <w:rPr>
                <w:rFonts w:ascii="宋体" w:hAnsi="宋体" w:cs="宋体" w:eastAsia="宋体" w:hint="default"/>
                <w:spacing w:val="-44"/>
                <w:sz w:val="21"/>
                <w:szCs w:val="21"/>
              </w:rPr>
              <w:t> </w:t>
            </w:r>
            <w:r>
              <w:rPr>
                <w:rFonts w:ascii="宋体" w:hAnsi="宋体" w:cs="宋体" w:eastAsia="宋体" w:hint="default"/>
                <w:spacing w:val="40"/>
                <w:sz w:val="21"/>
                <w:szCs w:val="21"/>
              </w:rPr>
              <w:t>全部议</w:t>
            </w:r>
            <w:r>
              <w:rPr>
                <w:rFonts w:ascii="宋体" w:hAnsi="宋体" w:cs="宋体" w:eastAsia="宋体" w:hint="default"/>
                <w:spacing w:val="-45"/>
                <w:sz w:val="21"/>
                <w:szCs w:val="21"/>
              </w:rPr>
              <w:t> </w:t>
            </w:r>
            <w:r>
              <w:rPr>
                <w:rFonts w:ascii="宋体" w:hAnsi="宋体" w:cs="宋体" w:eastAsia="宋体" w:hint="default"/>
                <w:sz w:val="21"/>
                <w:szCs w:val="21"/>
              </w:rPr>
            </w: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6"/>
                <w:sz w:val="21"/>
                <w:szCs w:val="21"/>
              </w:rPr>
              <w:t>9日</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273" w:hRule="exact"/>
        </w:trPr>
        <w:tc>
          <w:tcPr>
            <w:tcW w:w="15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司 2014</w:t>
            </w:r>
            <w:r>
              <w:rPr>
                <w:rFonts w:ascii="宋体" w:hAnsi="宋体" w:cs="宋体" w:eastAsia="宋体" w:hint="default"/>
                <w:spacing w:val="22"/>
                <w:sz w:val="21"/>
                <w:szCs w:val="21"/>
              </w:rPr>
              <w:t> </w:t>
            </w:r>
            <w:r>
              <w:rPr>
                <w:rFonts w:ascii="宋体" w:hAnsi="宋体" w:cs="宋体" w:eastAsia="宋体" w:hint="default"/>
                <w:spacing w:val="5"/>
                <w:sz w:val="21"/>
                <w:szCs w:val="21"/>
              </w:rPr>
              <w:t>年第</w:t>
            </w: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行股票条件</w:t>
            </w:r>
            <w:r>
              <w:rPr>
                <w:rFonts w:ascii="宋体" w:hAnsi="宋体" w:cs="宋体" w:eastAsia="宋体" w:hint="default"/>
                <w:spacing w:val="-74"/>
                <w:sz w:val="21"/>
                <w:szCs w:val="21"/>
              </w:rPr>
              <w:t> </w:t>
            </w:r>
            <w:r>
              <w:rPr>
                <w:rFonts w:ascii="宋体" w:hAnsi="宋体" w:cs="宋体" w:eastAsia="宋体" w:hint="default"/>
                <w:sz w:val="21"/>
                <w:szCs w:val="21"/>
              </w:rPr>
              <w:t>的</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案。</w:t>
            </w: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三次临时股东</w:t>
            </w: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12"/>
                <w:sz w:val="21"/>
                <w:szCs w:val="21"/>
              </w:rPr>
              <w:t>议案》、《关于</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公司非公开</w:t>
            </w:r>
            <w:r>
              <w:rPr>
                <w:rFonts w:ascii="宋体" w:hAnsi="宋体" w:cs="宋体" w:eastAsia="宋体" w:hint="default"/>
                <w:spacing w:val="-74"/>
                <w:sz w:val="21"/>
                <w:szCs w:val="21"/>
              </w:rPr>
              <w:t> </w:t>
            </w:r>
            <w:r>
              <w:rPr>
                <w:rFonts w:ascii="宋体" w:hAnsi="宋体" w:cs="宋体" w:eastAsia="宋体" w:hint="default"/>
                <w:sz w:val="21"/>
                <w:szCs w:val="21"/>
              </w:rPr>
              <w:t>发</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行股票方案</w:t>
            </w:r>
            <w:r>
              <w:rPr>
                <w:rFonts w:ascii="宋体" w:hAnsi="宋体" w:cs="宋体" w:eastAsia="宋体" w:hint="default"/>
                <w:spacing w:val="-74"/>
                <w:sz w:val="21"/>
                <w:szCs w:val="21"/>
              </w:rPr>
              <w:t> </w:t>
            </w:r>
            <w:r>
              <w:rPr>
                <w:rFonts w:ascii="宋体" w:hAnsi="宋体" w:cs="宋体" w:eastAsia="宋体" w:hint="default"/>
                <w:sz w:val="21"/>
                <w:szCs w:val="21"/>
              </w:rPr>
              <w:t>的</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12"/>
                <w:sz w:val="21"/>
                <w:szCs w:val="21"/>
              </w:rPr>
              <w:t>议案》、《关于</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公司非公开</w:t>
            </w:r>
            <w:r>
              <w:rPr>
                <w:rFonts w:ascii="宋体" w:hAnsi="宋体" w:cs="宋体" w:eastAsia="宋体" w:hint="default"/>
                <w:spacing w:val="-74"/>
                <w:sz w:val="21"/>
                <w:szCs w:val="21"/>
              </w:rPr>
              <w:t> </w:t>
            </w:r>
            <w:r>
              <w:rPr>
                <w:rFonts w:ascii="宋体" w:hAnsi="宋体" w:cs="宋体" w:eastAsia="宋体" w:hint="default"/>
                <w:sz w:val="21"/>
                <w:szCs w:val="21"/>
              </w:rPr>
              <w:t>发</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行股票预案</w:t>
            </w:r>
            <w:r>
              <w:rPr>
                <w:rFonts w:ascii="宋体" w:hAnsi="宋体" w:cs="宋体" w:eastAsia="宋体" w:hint="default"/>
                <w:spacing w:val="-74"/>
                <w:sz w:val="21"/>
                <w:szCs w:val="21"/>
              </w:rPr>
              <w:t> </w:t>
            </w:r>
            <w:r>
              <w:rPr>
                <w:rFonts w:ascii="宋体" w:hAnsi="宋体" w:cs="宋体" w:eastAsia="宋体" w:hint="default"/>
                <w:sz w:val="21"/>
                <w:szCs w:val="21"/>
              </w:rPr>
              <w:t>的</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12"/>
                <w:sz w:val="21"/>
                <w:szCs w:val="21"/>
              </w:rPr>
              <w:t>议案》、《关于</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本次非公开</w:t>
            </w:r>
            <w:r>
              <w:rPr>
                <w:rFonts w:ascii="宋体" w:hAnsi="宋体" w:cs="宋体" w:eastAsia="宋体" w:hint="default"/>
                <w:spacing w:val="-74"/>
                <w:sz w:val="21"/>
                <w:szCs w:val="21"/>
              </w:rPr>
              <w:t> </w:t>
            </w:r>
            <w:r>
              <w:rPr>
                <w:rFonts w:ascii="宋体" w:hAnsi="宋体" w:cs="宋体" w:eastAsia="宋体" w:hint="default"/>
                <w:sz w:val="21"/>
                <w:szCs w:val="21"/>
              </w:rPr>
              <w:t>发</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行股票募集</w:t>
            </w:r>
            <w:r>
              <w:rPr>
                <w:rFonts w:ascii="宋体" w:hAnsi="宋体" w:cs="宋体" w:eastAsia="宋体" w:hint="default"/>
                <w:spacing w:val="-74"/>
                <w:sz w:val="21"/>
                <w:szCs w:val="21"/>
              </w:rPr>
              <w:t> </w:t>
            </w:r>
            <w:r>
              <w:rPr>
                <w:rFonts w:ascii="宋体" w:hAnsi="宋体" w:cs="宋体" w:eastAsia="宋体" w:hint="default"/>
                <w:sz w:val="21"/>
                <w:szCs w:val="21"/>
              </w:rPr>
              <w:t>资</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金使用可行</w:t>
            </w:r>
            <w:r>
              <w:rPr>
                <w:rFonts w:ascii="宋体" w:hAnsi="宋体" w:cs="宋体" w:eastAsia="宋体" w:hint="default"/>
                <w:spacing w:val="-74"/>
                <w:sz w:val="21"/>
                <w:szCs w:val="21"/>
              </w:rPr>
              <w:t> </w:t>
            </w:r>
            <w:r>
              <w:rPr>
                <w:rFonts w:ascii="宋体" w:hAnsi="宋体" w:cs="宋体" w:eastAsia="宋体" w:hint="default"/>
                <w:sz w:val="21"/>
                <w:szCs w:val="21"/>
              </w:rPr>
              <w:t>性</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报告的议案》、</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《关于公司</w:t>
            </w:r>
            <w:r>
              <w:rPr>
                <w:rFonts w:ascii="宋体" w:hAnsi="宋体" w:cs="宋体" w:eastAsia="宋体" w:hint="default"/>
                <w:spacing w:val="-74"/>
                <w:sz w:val="21"/>
                <w:szCs w:val="21"/>
              </w:rPr>
              <w:t> </w:t>
            </w:r>
            <w:r>
              <w:rPr>
                <w:rFonts w:ascii="宋体" w:hAnsi="宋体" w:cs="宋体" w:eastAsia="宋体" w:hint="default"/>
                <w:sz w:val="21"/>
                <w:szCs w:val="21"/>
              </w:rPr>
              <w:t>与</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特定投资者</w:t>
            </w:r>
            <w:r>
              <w:rPr>
                <w:rFonts w:ascii="宋体" w:hAnsi="宋体" w:cs="宋体" w:eastAsia="宋体" w:hint="default"/>
                <w:spacing w:val="-74"/>
                <w:sz w:val="21"/>
                <w:szCs w:val="21"/>
              </w:rPr>
              <w:t> </w:t>
            </w:r>
            <w:r>
              <w:rPr>
                <w:rFonts w:ascii="宋体" w:hAnsi="宋体" w:cs="宋体" w:eastAsia="宋体" w:hint="default"/>
                <w:sz w:val="21"/>
                <w:szCs w:val="21"/>
              </w:rPr>
              <w:t>签</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署附生效条</w:t>
            </w:r>
            <w:r>
              <w:rPr>
                <w:rFonts w:ascii="宋体" w:hAnsi="宋体" w:cs="宋体" w:eastAsia="宋体" w:hint="default"/>
                <w:spacing w:val="-74"/>
                <w:sz w:val="21"/>
                <w:szCs w:val="21"/>
              </w:rPr>
              <w:t> </w:t>
            </w:r>
            <w:r>
              <w:rPr>
                <w:rFonts w:ascii="宋体" w:hAnsi="宋体" w:cs="宋体" w:eastAsia="宋体" w:hint="default"/>
                <w:sz w:val="21"/>
                <w:szCs w:val="21"/>
              </w:rPr>
              <w:t>件</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股份认购协</w:t>
            </w:r>
            <w:r>
              <w:rPr>
                <w:rFonts w:ascii="宋体" w:hAnsi="宋体" w:cs="宋体" w:eastAsia="宋体" w:hint="default"/>
                <w:spacing w:val="-74"/>
                <w:sz w:val="21"/>
                <w:szCs w:val="21"/>
              </w:rPr>
              <w:t> </w:t>
            </w:r>
            <w:r>
              <w:rPr>
                <w:rFonts w:ascii="宋体" w:hAnsi="宋体" w:cs="宋体" w:eastAsia="宋体" w:hint="default"/>
                <w:sz w:val="21"/>
                <w:szCs w:val="21"/>
              </w:rPr>
              <w:t>议</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12"/>
                <w:sz w:val="21"/>
                <w:szCs w:val="21"/>
              </w:rPr>
              <w:t>的议案》、《关</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于本次非公</w:t>
            </w:r>
            <w:r>
              <w:rPr>
                <w:rFonts w:ascii="宋体" w:hAnsi="宋体" w:cs="宋体" w:eastAsia="宋体" w:hint="default"/>
                <w:spacing w:val="-74"/>
                <w:sz w:val="21"/>
                <w:szCs w:val="21"/>
              </w:rPr>
              <w:t> </w:t>
            </w:r>
            <w:r>
              <w:rPr>
                <w:rFonts w:ascii="宋体" w:hAnsi="宋体" w:cs="宋体" w:eastAsia="宋体" w:hint="default"/>
                <w:sz w:val="21"/>
                <w:szCs w:val="21"/>
              </w:rPr>
              <w:t>开</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发行股票涉</w:t>
            </w:r>
            <w:r>
              <w:rPr>
                <w:rFonts w:ascii="宋体" w:hAnsi="宋体" w:cs="宋体" w:eastAsia="宋体" w:hint="default"/>
                <w:spacing w:val="-74"/>
                <w:sz w:val="21"/>
                <w:szCs w:val="21"/>
              </w:rPr>
              <w:t> </w:t>
            </w:r>
            <w:r>
              <w:rPr>
                <w:rFonts w:ascii="宋体" w:hAnsi="宋体" w:cs="宋体" w:eastAsia="宋体" w:hint="default"/>
                <w:sz w:val="21"/>
                <w:szCs w:val="21"/>
              </w:rPr>
              <w:t>及</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重大关联交</w:t>
            </w:r>
            <w:r>
              <w:rPr>
                <w:rFonts w:ascii="宋体" w:hAnsi="宋体" w:cs="宋体" w:eastAsia="宋体" w:hint="default"/>
                <w:spacing w:val="-74"/>
                <w:sz w:val="21"/>
                <w:szCs w:val="21"/>
              </w:rPr>
              <w:t> </w:t>
            </w:r>
            <w:r>
              <w:rPr>
                <w:rFonts w:ascii="宋体" w:hAnsi="宋体" w:cs="宋体" w:eastAsia="宋体" w:hint="default"/>
                <w:sz w:val="21"/>
                <w:szCs w:val="21"/>
              </w:rPr>
              <w:t>易</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12"/>
                <w:sz w:val="21"/>
                <w:szCs w:val="21"/>
              </w:rPr>
              <w:t>的议案》、《关</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于设立募集</w:t>
            </w:r>
            <w:r>
              <w:rPr>
                <w:rFonts w:ascii="宋体" w:hAnsi="宋体" w:cs="宋体" w:eastAsia="宋体" w:hint="default"/>
                <w:spacing w:val="-74"/>
                <w:sz w:val="21"/>
                <w:szCs w:val="21"/>
              </w:rPr>
              <w:t> </w:t>
            </w:r>
            <w:r>
              <w:rPr>
                <w:rFonts w:ascii="宋体" w:hAnsi="宋体" w:cs="宋体" w:eastAsia="宋体" w:hint="default"/>
                <w:sz w:val="21"/>
                <w:szCs w:val="21"/>
              </w:rPr>
              <w:t>资</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金专用账户</w:t>
            </w:r>
            <w:r>
              <w:rPr>
                <w:rFonts w:ascii="宋体" w:hAnsi="宋体" w:cs="宋体" w:eastAsia="宋体" w:hint="default"/>
                <w:spacing w:val="-74"/>
                <w:sz w:val="21"/>
                <w:szCs w:val="21"/>
              </w:rPr>
              <w:t> </w:t>
            </w:r>
            <w:r>
              <w:rPr>
                <w:rFonts w:ascii="宋体" w:hAnsi="宋体" w:cs="宋体" w:eastAsia="宋体" w:hint="default"/>
                <w:sz w:val="21"/>
                <w:szCs w:val="21"/>
              </w:rPr>
              <w:t>的</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12"/>
                <w:sz w:val="21"/>
                <w:szCs w:val="21"/>
              </w:rPr>
              <w:t>议案》、《关于</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提请股东大</w:t>
            </w:r>
            <w:r>
              <w:rPr>
                <w:rFonts w:ascii="宋体" w:hAnsi="宋体" w:cs="宋体" w:eastAsia="宋体" w:hint="default"/>
                <w:spacing w:val="-74"/>
                <w:sz w:val="21"/>
                <w:szCs w:val="21"/>
              </w:rPr>
              <w:t> </w:t>
            </w:r>
            <w:r>
              <w:rPr>
                <w:rFonts w:ascii="宋体" w:hAnsi="宋体" w:cs="宋体" w:eastAsia="宋体" w:hint="default"/>
                <w:sz w:val="21"/>
                <w:szCs w:val="21"/>
              </w:rPr>
              <w:t>会</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授权董事会</w:t>
            </w:r>
            <w:r>
              <w:rPr>
                <w:rFonts w:ascii="宋体" w:hAnsi="宋体" w:cs="宋体" w:eastAsia="宋体" w:hint="default"/>
                <w:spacing w:val="-74"/>
                <w:sz w:val="21"/>
                <w:szCs w:val="21"/>
              </w:rPr>
              <w:t> </w:t>
            </w:r>
            <w:r>
              <w:rPr>
                <w:rFonts w:ascii="宋体" w:hAnsi="宋体" w:cs="宋体" w:eastAsia="宋体" w:hint="default"/>
                <w:sz w:val="21"/>
                <w:szCs w:val="21"/>
              </w:rPr>
              <w:t>全</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权办理本次</w:t>
            </w:r>
            <w:r>
              <w:rPr>
                <w:rFonts w:ascii="宋体" w:hAnsi="宋体" w:cs="宋体" w:eastAsia="宋体" w:hint="default"/>
                <w:spacing w:val="-74"/>
                <w:sz w:val="21"/>
                <w:szCs w:val="21"/>
              </w:rPr>
              <w:t> </w:t>
            </w:r>
            <w:r>
              <w:rPr>
                <w:rFonts w:ascii="宋体" w:hAnsi="宋体" w:cs="宋体" w:eastAsia="宋体" w:hint="default"/>
                <w:sz w:val="21"/>
                <w:szCs w:val="21"/>
              </w:rPr>
              <w:t>非</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公开发行股</w:t>
            </w:r>
            <w:r>
              <w:rPr>
                <w:rFonts w:ascii="宋体" w:hAnsi="宋体" w:cs="宋体" w:eastAsia="宋体" w:hint="default"/>
                <w:spacing w:val="-74"/>
                <w:sz w:val="21"/>
                <w:szCs w:val="21"/>
              </w:rPr>
              <w:t> </w:t>
            </w:r>
            <w:r>
              <w:rPr>
                <w:rFonts w:ascii="宋体" w:hAnsi="宋体" w:cs="宋体" w:eastAsia="宋体" w:hint="default"/>
                <w:sz w:val="21"/>
                <w:szCs w:val="21"/>
              </w:rPr>
              <w:t>票</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相关事宜的</w:t>
            </w:r>
            <w:r>
              <w:rPr>
                <w:rFonts w:ascii="宋体" w:hAnsi="宋体" w:cs="宋体" w:eastAsia="宋体" w:hint="default"/>
                <w:spacing w:val="-74"/>
                <w:sz w:val="21"/>
                <w:szCs w:val="21"/>
              </w:rPr>
              <w:t> </w:t>
            </w:r>
            <w:r>
              <w:rPr>
                <w:rFonts w:ascii="宋体" w:hAnsi="宋体" w:cs="宋体" w:eastAsia="宋体" w:hint="default"/>
                <w:sz w:val="21"/>
                <w:szCs w:val="21"/>
              </w:rPr>
              <w:t>议</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3"/>
                <w:sz w:val="21"/>
                <w:szCs w:val="21"/>
              </w:rPr>
              <w:t>案》、《关于&lt;</w:t>
            </w:r>
            <w:r>
              <w:rPr>
                <w:rFonts w:ascii="宋体" w:hAnsi="宋体" w:cs="宋体" w:eastAsia="宋体" w:hint="default"/>
                <w:sz w:val="21"/>
                <w:szCs w:val="21"/>
              </w:rPr>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深圳市金证</w:t>
            </w:r>
            <w:r>
              <w:rPr>
                <w:rFonts w:ascii="宋体" w:hAnsi="宋体" w:cs="宋体" w:eastAsia="宋体" w:hint="default"/>
                <w:spacing w:val="-74"/>
                <w:sz w:val="21"/>
                <w:szCs w:val="21"/>
              </w:rPr>
              <w:t> </w:t>
            </w:r>
            <w:r>
              <w:rPr>
                <w:rFonts w:ascii="宋体" w:hAnsi="宋体" w:cs="宋体" w:eastAsia="宋体" w:hint="default"/>
                <w:sz w:val="21"/>
                <w:szCs w:val="21"/>
              </w:rPr>
              <w:t>科</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技股份有限</w:t>
            </w:r>
            <w:r>
              <w:rPr>
                <w:rFonts w:ascii="宋体" w:hAnsi="宋体" w:cs="宋体" w:eastAsia="宋体" w:hint="default"/>
                <w:spacing w:val="-74"/>
                <w:sz w:val="21"/>
                <w:szCs w:val="21"/>
              </w:rPr>
              <w:t> </w:t>
            </w:r>
            <w:r>
              <w:rPr>
                <w:rFonts w:ascii="宋体" w:hAnsi="宋体" w:cs="宋体" w:eastAsia="宋体" w:hint="default"/>
                <w:sz w:val="21"/>
                <w:szCs w:val="21"/>
              </w:rPr>
              <w:t>公</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司募集资金</w:t>
            </w:r>
            <w:r>
              <w:rPr>
                <w:rFonts w:ascii="宋体" w:hAnsi="宋体" w:cs="宋体" w:eastAsia="宋体" w:hint="default"/>
                <w:spacing w:val="-74"/>
                <w:sz w:val="21"/>
                <w:szCs w:val="21"/>
              </w:rPr>
              <w:t> </w:t>
            </w:r>
            <w:r>
              <w:rPr>
                <w:rFonts w:ascii="宋体" w:hAnsi="宋体" w:cs="宋体" w:eastAsia="宋体" w:hint="default"/>
                <w:sz w:val="21"/>
                <w:szCs w:val="21"/>
              </w:rPr>
              <w:t>使</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4"/>
                <w:sz w:val="21"/>
                <w:szCs w:val="21"/>
              </w:rPr>
              <w:t>用管理制度&gt;的</w:t>
            </w:r>
            <w:r>
              <w:rPr>
                <w:rFonts w:ascii="宋体" w:hAnsi="宋体" w:cs="宋体" w:eastAsia="宋体" w:hint="default"/>
                <w:sz w:val="21"/>
                <w:szCs w:val="21"/>
              </w:rPr>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151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60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议案》</w:t>
            </w:r>
          </w:p>
        </w:tc>
        <w:tc>
          <w:tcPr>
            <w:tcW w:w="1510"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r>
      <w:tr>
        <w:trPr>
          <w:trHeight w:val="283" w:hRule="exact"/>
        </w:trPr>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深圳市金证科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5</w:t>
            </w:r>
            <w:r>
              <w:rPr>
                <w:rFonts w:ascii="宋体" w:hAnsi="宋体" w:cs="宋体" w:eastAsia="宋体" w:hint="default"/>
                <w:spacing w:val="-37"/>
                <w:sz w:val="21"/>
                <w:szCs w:val="21"/>
              </w:rPr>
              <w:t> </w:t>
            </w:r>
            <w:r>
              <w:rPr>
                <w:rFonts w:ascii="宋体" w:hAnsi="宋体" w:cs="宋体" w:eastAsia="宋体" w:hint="default"/>
                <w:sz w:val="21"/>
                <w:szCs w:val="21"/>
              </w:rPr>
              <w:t>月</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12"/>
                <w:sz w:val="21"/>
                <w:szCs w:val="21"/>
              </w:rPr>
              <w:t>审议《关于修改</w:t>
            </w:r>
            <w:r>
              <w:rPr>
                <w:rFonts w:ascii="宋体" w:hAnsi="宋体" w:cs="宋体" w:eastAsia="宋体" w:hint="default"/>
                <w:sz w:val="21"/>
                <w:szCs w:val="21"/>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会议审议并通</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10">
              <w:r>
                <w:rPr>
                  <w:rFonts w:ascii="宋体"/>
                  <w:sz w:val="21"/>
                </w:rPr>
                <w:t>www.sse.com.cn</w:t>
              </w:r>
            </w:hyperlink>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5</w:t>
            </w:r>
            <w:r>
              <w:rPr>
                <w:rFonts w:ascii="宋体" w:hAnsi="宋体" w:cs="宋体" w:eastAsia="宋体" w:hint="default"/>
                <w:spacing w:val="-36"/>
                <w:sz w:val="21"/>
                <w:szCs w:val="21"/>
              </w:rPr>
              <w:t> </w:t>
            </w:r>
            <w:r>
              <w:rPr>
                <w:rFonts w:ascii="宋体" w:hAnsi="宋体" w:cs="宋体" w:eastAsia="宋体" w:hint="default"/>
                <w:sz w:val="21"/>
                <w:szCs w:val="21"/>
              </w:rPr>
              <w:t>月</w:t>
            </w:r>
          </w:p>
        </w:tc>
      </w:tr>
    </w:tbl>
    <w:p>
      <w:pPr>
        <w:spacing w:after="0" w:line="241" w:lineRule="exact"/>
        <w:jc w:val="left"/>
        <w:rPr>
          <w:rFonts w:ascii="宋体" w:hAnsi="宋体" w:cs="宋体" w:eastAsia="宋体" w:hint="default"/>
          <w:sz w:val="21"/>
          <w:szCs w:val="21"/>
        </w:rPr>
        <w:sectPr>
          <w:pgSz w:w="11910" w:h="16840"/>
          <w:pgMar w:header="882" w:footer="1197"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1511"/>
        <w:gridCol w:w="1367"/>
        <w:gridCol w:w="1608"/>
        <w:gridCol w:w="1510"/>
        <w:gridCol w:w="1686"/>
        <w:gridCol w:w="1368"/>
      </w:tblGrid>
      <w:tr>
        <w:trPr>
          <w:trHeight w:val="275" w:hRule="exact"/>
        </w:trPr>
        <w:tc>
          <w:tcPr>
            <w:tcW w:w="1511"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技股份有限公</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60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公司章程部</w:t>
            </w:r>
            <w:r>
              <w:rPr>
                <w:rFonts w:ascii="宋体" w:hAnsi="宋体" w:cs="宋体" w:eastAsia="宋体" w:hint="default"/>
                <w:spacing w:val="-74"/>
                <w:sz w:val="21"/>
                <w:szCs w:val="21"/>
              </w:rPr>
              <w:t> </w:t>
            </w:r>
            <w:r>
              <w:rPr>
                <w:rFonts w:ascii="宋体" w:hAnsi="宋体" w:cs="宋体" w:eastAsia="宋体" w:hint="default"/>
                <w:sz w:val="21"/>
                <w:szCs w:val="21"/>
              </w:rPr>
              <w:t>分</w:t>
            </w:r>
          </w:p>
        </w:tc>
        <w:tc>
          <w:tcPr>
            <w:tcW w:w="1510"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过</w:t>
            </w:r>
            <w:r>
              <w:rPr>
                <w:rFonts w:ascii="宋体" w:hAnsi="宋体" w:cs="宋体" w:eastAsia="宋体" w:hint="default"/>
                <w:spacing w:val="-44"/>
                <w:sz w:val="21"/>
                <w:szCs w:val="21"/>
              </w:rPr>
              <w:t> </w:t>
            </w:r>
            <w:r>
              <w:rPr>
                <w:rFonts w:ascii="宋体" w:hAnsi="宋体" w:cs="宋体" w:eastAsia="宋体" w:hint="default"/>
                <w:sz w:val="21"/>
                <w:szCs w:val="21"/>
              </w:rPr>
              <w:t>了</w:t>
            </w:r>
            <w:r>
              <w:rPr>
                <w:rFonts w:ascii="宋体" w:hAnsi="宋体" w:cs="宋体" w:eastAsia="宋体" w:hint="default"/>
                <w:spacing w:val="-44"/>
                <w:sz w:val="21"/>
                <w:szCs w:val="21"/>
              </w:rPr>
              <w:t> </w:t>
            </w:r>
            <w:r>
              <w:rPr>
                <w:rFonts w:ascii="宋体" w:hAnsi="宋体" w:cs="宋体" w:eastAsia="宋体" w:hint="default"/>
                <w:spacing w:val="40"/>
                <w:sz w:val="21"/>
                <w:szCs w:val="21"/>
              </w:rPr>
              <w:t>全部议</w:t>
            </w:r>
            <w:r>
              <w:rPr>
                <w:rFonts w:ascii="宋体" w:hAnsi="宋体" w:cs="宋体" w:eastAsia="宋体" w:hint="default"/>
                <w:spacing w:val="-45"/>
                <w:sz w:val="21"/>
                <w:szCs w:val="21"/>
              </w:rPr>
              <w:t> </w:t>
            </w:r>
            <w:r>
              <w:rPr>
                <w:rFonts w:ascii="宋体" w:hAnsi="宋体" w:cs="宋体" w:eastAsia="宋体" w:hint="default"/>
                <w:sz w:val="21"/>
                <w:szCs w:val="21"/>
              </w:rPr>
            </w:r>
          </w:p>
        </w:tc>
        <w:tc>
          <w:tcPr>
            <w:tcW w:w="1686"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司 2014</w:t>
            </w:r>
            <w:r>
              <w:rPr>
                <w:rFonts w:ascii="宋体" w:hAnsi="宋体" w:cs="宋体" w:eastAsia="宋体" w:hint="default"/>
                <w:spacing w:val="22"/>
                <w:sz w:val="21"/>
                <w:szCs w:val="21"/>
              </w:rPr>
              <w:t> </w:t>
            </w:r>
            <w:r>
              <w:rPr>
                <w:rFonts w:ascii="宋体" w:hAnsi="宋体" w:cs="宋体" w:eastAsia="宋体" w:hint="default"/>
                <w:spacing w:val="5"/>
                <w:sz w:val="21"/>
                <w:szCs w:val="21"/>
              </w:rPr>
              <w:t>年第</w:t>
            </w: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条款的议案》、</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案。</w:t>
            </w:r>
          </w:p>
        </w:tc>
        <w:tc>
          <w:tcPr>
            <w:tcW w:w="168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四次临时股东</w:t>
            </w: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《关于向银</w:t>
            </w:r>
            <w:r>
              <w:rPr>
                <w:rFonts w:ascii="宋体" w:hAnsi="宋体" w:cs="宋体" w:eastAsia="宋体" w:hint="default"/>
                <w:spacing w:val="-74"/>
                <w:sz w:val="21"/>
                <w:szCs w:val="21"/>
              </w:rPr>
              <w:t> </w:t>
            </w:r>
            <w:r>
              <w:rPr>
                <w:rFonts w:ascii="宋体" w:hAnsi="宋体" w:cs="宋体" w:eastAsia="宋体" w:hint="default"/>
                <w:sz w:val="21"/>
                <w:szCs w:val="21"/>
              </w:rPr>
              <w:t>行</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申请综合授</w:t>
            </w:r>
            <w:r>
              <w:rPr>
                <w:rFonts w:ascii="宋体" w:hAnsi="宋体" w:cs="宋体" w:eastAsia="宋体" w:hint="default"/>
                <w:spacing w:val="-74"/>
                <w:sz w:val="21"/>
                <w:szCs w:val="21"/>
              </w:rPr>
              <w:t> </w:t>
            </w:r>
            <w:r>
              <w:rPr>
                <w:rFonts w:ascii="宋体" w:hAnsi="宋体" w:cs="宋体" w:eastAsia="宋体" w:hint="default"/>
                <w:sz w:val="21"/>
                <w:szCs w:val="21"/>
              </w:rPr>
              <w:t>信</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151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60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的议案》</w:t>
            </w:r>
          </w:p>
        </w:tc>
        <w:tc>
          <w:tcPr>
            <w:tcW w:w="1510" w:type="dxa"/>
            <w:tcBorders>
              <w:top w:val="nil" w:sz="6" w:space="0" w:color="auto"/>
              <w:left w:val="single" w:sz="4" w:space="0" w:color="000000"/>
              <w:bottom w:val="single" w:sz="4" w:space="0" w:color="000000"/>
              <w:right w:val="single" w:sz="4" w:space="0" w:color="000000"/>
            </w:tcBorders>
          </w:tcPr>
          <w:p>
            <w:pPr/>
          </w:p>
        </w:tc>
        <w:tc>
          <w:tcPr>
            <w:tcW w:w="1686"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r>
      <w:tr>
        <w:trPr>
          <w:trHeight w:val="275" w:hRule="exact"/>
        </w:trPr>
        <w:tc>
          <w:tcPr>
            <w:tcW w:w="1511"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深圳市金证科</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7</w:t>
            </w:r>
            <w:r>
              <w:rPr>
                <w:rFonts w:ascii="宋体" w:hAnsi="宋体" w:cs="宋体" w:eastAsia="宋体" w:hint="default"/>
                <w:spacing w:val="-37"/>
                <w:sz w:val="21"/>
                <w:szCs w:val="21"/>
              </w:rPr>
              <w:t> </w:t>
            </w:r>
            <w:r>
              <w:rPr>
                <w:rFonts w:ascii="宋体" w:hAnsi="宋体" w:cs="宋体" w:eastAsia="宋体" w:hint="default"/>
                <w:sz w:val="21"/>
                <w:szCs w:val="21"/>
              </w:rPr>
              <w:t>月</w:t>
            </w:r>
          </w:p>
        </w:tc>
        <w:tc>
          <w:tcPr>
            <w:tcW w:w="1608"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pacing w:val="-11"/>
                <w:sz w:val="21"/>
                <w:szCs w:val="21"/>
              </w:rPr>
              <w:t>审议《关于修改</w:t>
            </w:r>
          </w:p>
        </w:tc>
        <w:tc>
          <w:tcPr>
            <w:tcW w:w="1510"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会议审议并通</w:t>
            </w:r>
          </w:p>
        </w:tc>
        <w:tc>
          <w:tcPr>
            <w:tcW w:w="1686"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right="0"/>
              <w:jc w:val="center"/>
              <w:rPr>
                <w:rFonts w:ascii="宋体" w:hAnsi="宋体" w:cs="宋体" w:eastAsia="宋体" w:hint="default"/>
                <w:sz w:val="21"/>
                <w:szCs w:val="21"/>
              </w:rPr>
            </w:pPr>
            <w:hyperlink r:id="rId10">
              <w:r>
                <w:rPr>
                  <w:rFonts w:ascii="宋体"/>
                  <w:sz w:val="21"/>
                </w:rPr>
                <w:t>www.sse.com.cn</w:t>
              </w:r>
            </w:hyperlink>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7</w:t>
            </w:r>
            <w:r>
              <w:rPr>
                <w:rFonts w:ascii="宋体" w:hAnsi="宋体" w:cs="宋体" w:eastAsia="宋体" w:hint="default"/>
                <w:spacing w:val="-36"/>
                <w:sz w:val="21"/>
                <w:szCs w:val="21"/>
              </w:rPr>
              <w:t> </w:t>
            </w:r>
            <w:r>
              <w:rPr>
                <w:rFonts w:ascii="宋体" w:hAnsi="宋体" w:cs="宋体" w:eastAsia="宋体" w:hint="default"/>
                <w:sz w:val="21"/>
                <w:szCs w:val="21"/>
              </w:rPr>
              <w:t>月</w:t>
            </w: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技股份有限公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公司章程部</w:t>
            </w:r>
            <w:r>
              <w:rPr>
                <w:rFonts w:ascii="宋体" w:hAnsi="宋体" w:cs="宋体" w:eastAsia="宋体" w:hint="default"/>
                <w:spacing w:val="-74"/>
                <w:sz w:val="21"/>
                <w:szCs w:val="21"/>
              </w:rPr>
              <w:t> </w:t>
            </w:r>
            <w:r>
              <w:rPr>
                <w:rFonts w:ascii="宋体" w:hAnsi="宋体" w:cs="宋体" w:eastAsia="宋体" w:hint="default"/>
                <w:sz w:val="21"/>
                <w:szCs w:val="21"/>
              </w:rPr>
              <w:t>分</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过</w:t>
            </w:r>
            <w:r>
              <w:rPr>
                <w:rFonts w:ascii="宋体" w:hAnsi="宋体" w:cs="宋体" w:eastAsia="宋体" w:hint="default"/>
                <w:spacing w:val="-44"/>
                <w:sz w:val="21"/>
                <w:szCs w:val="21"/>
              </w:rPr>
              <w:t> </w:t>
            </w:r>
            <w:r>
              <w:rPr>
                <w:rFonts w:ascii="宋体" w:hAnsi="宋体" w:cs="宋体" w:eastAsia="宋体" w:hint="default"/>
                <w:sz w:val="21"/>
                <w:szCs w:val="21"/>
              </w:rPr>
              <w:t>了</w:t>
            </w:r>
            <w:r>
              <w:rPr>
                <w:rFonts w:ascii="宋体" w:hAnsi="宋体" w:cs="宋体" w:eastAsia="宋体" w:hint="default"/>
                <w:spacing w:val="-44"/>
                <w:sz w:val="21"/>
                <w:szCs w:val="21"/>
              </w:rPr>
              <w:t> </w:t>
            </w:r>
            <w:r>
              <w:rPr>
                <w:rFonts w:ascii="宋体" w:hAnsi="宋体" w:cs="宋体" w:eastAsia="宋体" w:hint="default"/>
                <w:spacing w:val="40"/>
                <w:sz w:val="21"/>
                <w:szCs w:val="21"/>
              </w:rPr>
              <w:t>全部议</w:t>
            </w:r>
            <w:r>
              <w:rPr>
                <w:rFonts w:ascii="宋体" w:hAnsi="宋体" w:cs="宋体" w:eastAsia="宋体" w:hint="default"/>
                <w:spacing w:val="-45"/>
                <w:sz w:val="21"/>
                <w:szCs w:val="21"/>
              </w:rPr>
              <w:t> </w:t>
            </w:r>
            <w:r>
              <w:rPr>
                <w:rFonts w:ascii="宋体" w:hAnsi="宋体" w:cs="宋体" w:eastAsia="宋体" w:hint="default"/>
                <w:sz w:val="21"/>
                <w:szCs w:val="21"/>
              </w:rPr>
            </w: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司 2014</w:t>
            </w:r>
            <w:r>
              <w:rPr>
                <w:rFonts w:ascii="宋体" w:hAnsi="宋体" w:cs="宋体" w:eastAsia="宋体" w:hint="default"/>
                <w:spacing w:val="22"/>
                <w:sz w:val="21"/>
                <w:szCs w:val="21"/>
              </w:rPr>
              <w:t> </w:t>
            </w:r>
            <w:r>
              <w:rPr>
                <w:rFonts w:ascii="宋体" w:hAnsi="宋体" w:cs="宋体" w:eastAsia="宋体" w:hint="default"/>
                <w:spacing w:val="5"/>
                <w:sz w:val="21"/>
                <w:szCs w:val="21"/>
              </w:rPr>
              <w:t>年第</w:t>
            </w: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条款的议案》、</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案。</w:t>
            </w: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五次临时股东</w:t>
            </w: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《关于向银</w:t>
            </w:r>
            <w:r>
              <w:rPr>
                <w:rFonts w:ascii="宋体" w:hAnsi="宋体" w:cs="宋体" w:eastAsia="宋体" w:hint="default"/>
                <w:spacing w:val="-74"/>
                <w:sz w:val="21"/>
                <w:szCs w:val="21"/>
              </w:rPr>
              <w:t> </w:t>
            </w:r>
            <w:r>
              <w:rPr>
                <w:rFonts w:ascii="宋体" w:hAnsi="宋体" w:cs="宋体" w:eastAsia="宋体" w:hint="default"/>
                <w:sz w:val="21"/>
                <w:szCs w:val="21"/>
              </w:rPr>
              <w:t>行</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申请综合授</w:t>
            </w:r>
            <w:r>
              <w:rPr>
                <w:rFonts w:ascii="宋体" w:hAnsi="宋体" w:cs="宋体" w:eastAsia="宋体" w:hint="default"/>
                <w:spacing w:val="-74"/>
                <w:sz w:val="21"/>
                <w:szCs w:val="21"/>
              </w:rPr>
              <w:t> </w:t>
            </w:r>
            <w:r>
              <w:rPr>
                <w:rFonts w:ascii="宋体" w:hAnsi="宋体" w:cs="宋体" w:eastAsia="宋体" w:hint="default"/>
                <w:sz w:val="21"/>
                <w:szCs w:val="21"/>
              </w:rPr>
              <w:t>信</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151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60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的议案》</w:t>
            </w:r>
          </w:p>
        </w:tc>
        <w:tc>
          <w:tcPr>
            <w:tcW w:w="1510"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r>
      <w:tr>
        <w:trPr>
          <w:trHeight w:val="275" w:hRule="exact"/>
        </w:trPr>
        <w:tc>
          <w:tcPr>
            <w:tcW w:w="1511"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深圳市金证科</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11</w:t>
            </w:r>
            <w:r>
              <w:rPr>
                <w:rFonts w:ascii="宋体" w:hAnsi="宋体" w:cs="宋体" w:eastAsia="宋体" w:hint="default"/>
                <w:spacing w:val="-72"/>
                <w:sz w:val="21"/>
                <w:szCs w:val="21"/>
              </w:rPr>
              <w:t> </w:t>
            </w:r>
            <w:r>
              <w:rPr>
                <w:rFonts w:ascii="宋体" w:hAnsi="宋体" w:cs="宋体" w:eastAsia="宋体" w:hint="default"/>
                <w:sz w:val="21"/>
                <w:szCs w:val="21"/>
              </w:rPr>
              <w:t>月</w:t>
            </w:r>
          </w:p>
        </w:tc>
        <w:tc>
          <w:tcPr>
            <w:tcW w:w="1608"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pacing w:val="-11"/>
                <w:sz w:val="21"/>
                <w:szCs w:val="21"/>
              </w:rPr>
              <w:t>审议《关于为控</w:t>
            </w:r>
          </w:p>
        </w:tc>
        <w:tc>
          <w:tcPr>
            <w:tcW w:w="1510"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会议审议并通</w:t>
            </w:r>
          </w:p>
        </w:tc>
        <w:tc>
          <w:tcPr>
            <w:tcW w:w="1686"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right="0"/>
              <w:jc w:val="center"/>
              <w:rPr>
                <w:rFonts w:ascii="宋体" w:hAnsi="宋体" w:cs="宋体" w:eastAsia="宋体" w:hint="default"/>
                <w:sz w:val="21"/>
                <w:szCs w:val="21"/>
              </w:rPr>
            </w:pPr>
            <w:hyperlink r:id="rId10">
              <w:r>
                <w:rPr>
                  <w:rFonts w:ascii="宋体"/>
                  <w:sz w:val="21"/>
                </w:rPr>
                <w:t>www.sse.com.cn</w:t>
              </w:r>
            </w:hyperlink>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宋体" w:hAnsi="宋体" w:cs="宋体" w:eastAsia="宋体" w:hint="default"/>
                <w:sz w:val="21"/>
                <w:szCs w:val="21"/>
              </w:rPr>
              <w:t>11</w:t>
            </w:r>
            <w:r>
              <w:rPr>
                <w:rFonts w:ascii="宋体" w:hAnsi="宋体" w:cs="宋体" w:eastAsia="宋体" w:hint="default"/>
                <w:spacing w:val="-72"/>
                <w:sz w:val="21"/>
                <w:szCs w:val="21"/>
              </w:rPr>
              <w:t> </w:t>
            </w:r>
            <w:r>
              <w:rPr>
                <w:rFonts w:ascii="宋体" w:hAnsi="宋体" w:cs="宋体" w:eastAsia="宋体" w:hint="default"/>
                <w:sz w:val="21"/>
                <w:szCs w:val="21"/>
              </w:rPr>
              <w:t>月</w:t>
            </w: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技股份有限公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6"/>
                <w:sz w:val="21"/>
                <w:szCs w:val="21"/>
              </w:rPr>
              <w:t>6日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股子公司深</w:t>
            </w:r>
            <w:r>
              <w:rPr>
                <w:rFonts w:ascii="宋体" w:hAnsi="宋体" w:cs="宋体" w:eastAsia="宋体" w:hint="default"/>
                <w:spacing w:val="-74"/>
                <w:sz w:val="21"/>
                <w:szCs w:val="21"/>
              </w:rPr>
              <w:t> </w:t>
            </w:r>
            <w:r>
              <w:rPr>
                <w:rFonts w:ascii="宋体" w:hAnsi="宋体" w:cs="宋体" w:eastAsia="宋体" w:hint="default"/>
                <w:sz w:val="21"/>
                <w:szCs w:val="21"/>
              </w:rPr>
              <w:t>圳</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过</w:t>
            </w:r>
            <w:r>
              <w:rPr>
                <w:rFonts w:ascii="宋体" w:hAnsi="宋体" w:cs="宋体" w:eastAsia="宋体" w:hint="default"/>
                <w:spacing w:val="-44"/>
                <w:sz w:val="21"/>
                <w:szCs w:val="21"/>
              </w:rPr>
              <w:t> </w:t>
            </w:r>
            <w:r>
              <w:rPr>
                <w:rFonts w:ascii="宋体" w:hAnsi="宋体" w:cs="宋体" w:eastAsia="宋体" w:hint="default"/>
                <w:sz w:val="21"/>
                <w:szCs w:val="21"/>
              </w:rPr>
              <w:t>了</w:t>
            </w:r>
            <w:r>
              <w:rPr>
                <w:rFonts w:ascii="宋体" w:hAnsi="宋体" w:cs="宋体" w:eastAsia="宋体" w:hint="default"/>
                <w:spacing w:val="-44"/>
                <w:sz w:val="21"/>
                <w:szCs w:val="21"/>
              </w:rPr>
              <w:t> </w:t>
            </w:r>
            <w:r>
              <w:rPr>
                <w:rFonts w:ascii="宋体" w:hAnsi="宋体" w:cs="宋体" w:eastAsia="宋体" w:hint="default"/>
                <w:spacing w:val="40"/>
                <w:sz w:val="21"/>
                <w:szCs w:val="21"/>
              </w:rPr>
              <w:t>全部议</w:t>
            </w:r>
            <w:r>
              <w:rPr>
                <w:rFonts w:ascii="宋体" w:hAnsi="宋体" w:cs="宋体" w:eastAsia="宋体" w:hint="default"/>
                <w:spacing w:val="-45"/>
                <w:sz w:val="21"/>
                <w:szCs w:val="21"/>
              </w:rPr>
              <w:t> </w:t>
            </w:r>
            <w:r>
              <w:rPr>
                <w:rFonts w:ascii="宋体" w:hAnsi="宋体" w:cs="宋体" w:eastAsia="宋体" w:hint="default"/>
                <w:sz w:val="21"/>
                <w:szCs w:val="21"/>
              </w:rPr>
            </w: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6"/>
                <w:sz w:val="21"/>
                <w:szCs w:val="21"/>
              </w:rPr>
              <w:t>7日</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司 2014</w:t>
            </w:r>
            <w:r>
              <w:rPr>
                <w:rFonts w:ascii="宋体" w:hAnsi="宋体" w:cs="宋体" w:eastAsia="宋体" w:hint="default"/>
                <w:spacing w:val="22"/>
                <w:sz w:val="21"/>
                <w:szCs w:val="21"/>
              </w:rPr>
              <w:t> </w:t>
            </w:r>
            <w:r>
              <w:rPr>
                <w:rFonts w:ascii="宋体" w:hAnsi="宋体" w:cs="宋体" w:eastAsia="宋体" w:hint="default"/>
                <w:spacing w:val="5"/>
                <w:sz w:val="21"/>
                <w:szCs w:val="21"/>
              </w:rPr>
              <w:t>年第</w:t>
            </w: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市齐普生信</w:t>
            </w:r>
            <w:r>
              <w:rPr>
                <w:rFonts w:ascii="宋体" w:hAnsi="宋体" w:cs="宋体" w:eastAsia="宋体" w:hint="default"/>
                <w:spacing w:val="-74"/>
                <w:sz w:val="21"/>
                <w:szCs w:val="21"/>
              </w:rPr>
              <w:t> </w:t>
            </w:r>
            <w:r>
              <w:rPr>
                <w:rFonts w:ascii="宋体" w:hAnsi="宋体" w:cs="宋体" w:eastAsia="宋体" w:hint="default"/>
                <w:sz w:val="21"/>
                <w:szCs w:val="21"/>
              </w:rPr>
              <w:t>息</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案。</w:t>
            </w: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六次临时股东</w:t>
            </w: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科技有限公</w:t>
            </w:r>
            <w:r>
              <w:rPr>
                <w:rFonts w:ascii="宋体" w:hAnsi="宋体" w:cs="宋体" w:eastAsia="宋体" w:hint="default"/>
                <w:spacing w:val="-74"/>
                <w:sz w:val="21"/>
                <w:szCs w:val="21"/>
              </w:rPr>
              <w:t> </w:t>
            </w:r>
            <w:r>
              <w:rPr>
                <w:rFonts w:ascii="宋体" w:hAnsi="宋体" w:cs="宋体" w:eastAsia="宋体" w:hint="default"/>
                <w:sz w:val="21"/>
                <w:szCs w:val="21"/>
              </w:rPr>
              <w:t>司</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提供担保的</w:t>
            </w:r>
            <w:r>
              <w:rPr>
                <w:rFonts w:ascii="宋体" w:hAnsi="宋体" w:cs="宋体" w:eastAsia="宋体" w:hint="default"/>
                <w:spacing w:val="-74"/>
                <w:sz w:val="21"/>
                <w:szCs w:val="21"/>
              </w:rPr>
              <w:t> </w:t>
            </w:r>
            <w:r>
              <w:rPr>
                <w:rFonts w:ascii="宋体" w:hAnsi="宋体" w:cs="宋体" w:eastAsia="宋体" w:hint="default"/>
                <w:sz w:val="21"/>
                <w:szCs w:val="21"/>
              </w:rPr>
              <w:t>议</w:t>
            </w: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151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60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案》</w:t>
            </w:r>
          </w:p>
        </w:tc>
        <w:tc>
          <w:tcPr>
            <w:tcW w:w="1510"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r>
      <w:tr>
        <w:trPr>
          <w:trHeight w:val="275" w:hRule="exact"/>
        </w:trPr>
        <w:tc>
          <w:tcPr>
            <w:tcW w:w="1511"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深圳市金证科</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12</w:t>
            </w:r>
            <w:r>
              <w:rPr>
                <w:rFonts w:ascii="宋体" w:hAnsi="宋体" w:cs="宋体" w:eastAsia="宋体" w:hint="default"/>
                <w:spacing w:val="-72"/>
                <w:sz w:val="21"/>
                <w:szCs w:val="21"/>
              </w:rPr>
              <w:t> </w:t>
            </w:r>
            <w:r>
              <w:rPr>
                <w:rFonts w:ascii="宋体" w:hAnsi="宋体" w:cs="宋体" w:eastAsia="宋体" w:hint="default"/>
                <w:sz w:val="21"/>
                <w:szCs w:val="21"/>
              </w:rPr>
              <w:t>月</w:t>
            </w:r>
          </w:p>
        </w:tc>
        <w:tc>
          <w:tcPr>
            <w:tcW w:w="1608"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pacing w:val="-11"/>
                <w:sz w:val="21"/>
                <w:szCs w:val="21"/>
              </w:rPr>
              <w:t>审议《关于向银</w:t>
            </w:r>
          </w:p>
        </w:tc>
        <w:tc>
          <w:tcPr>
            <w:tcW w:w="1510"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会议审议并通</w:t>
            </w:r>
          </w:p>
        </w:tc>
        <w:tc>
          <w:tcPr>
            <w:tcW w:w="1686"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right="0"/>
              <w:jc w:val="center"/>
              <w:rPr>
                <w:rFonts w:ascii="宋体" w:hAnsi="宋体" w:cs="宋体" w:eastAsia="宋体" w:hint="default"/>
                <w:sz w:val="21"/>
                <w:szCs w:val="21"/>
              </w:rPr>
            </w:pPr>
            <w:hyperlink r:id="rId10">
              <w:r>
                <w:rPr>
                  <w:rFonts w:ascii="宋体"/>
                  <w:sz w:val="21"/>
                </w:rPr>
                <w:t>www.sse.com.cn</w:t>
              </w:r>
            </w:hyperlink>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宋体" w:hAnsi="宋体" w:cs="宋体" w:eastAsia="宋体" w:hint="default"/>
                <w:sz w:val="21"/>
                <w:szCs w:val="21"/>
              </w:rPr>
              <w:t>12</w:t>
            </w:r>
            <w:r>
              <w:rPr>
                <w:rFonts w:ascii="宋体" w:hAnsi="宋体" w:cs="宋体" w:eastAsia="宋体" w:hint="default"/>
                <w:spacing w:val="-72"/>
                <w:sz w:val="21"/>
                <w:szCs w:val="21"/>
              </w:rPr>
              <w:t> </w:t>
            </w:r>
            <w:r>
              <w:rPr>
                <w:rFonts w:ascii="宋体" w:hAnsi="宋体" w:cs="宋体" w:eastAsia="宋体" w:hint="default"/>
                <w:sz w:val="21"/>
                <w:szCs w:val="21"/>
              </w:rPr>
              <w:t>月</w:t>
            </w: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技股份有限公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行申请综合</w:t>
            </w:r>
            <w:r>
              <w:rPr>
                <w:rFonts w:ascii="宋体" w:hAnsi="宋体" w:cs="宋体" w:eastAsia="宋体" w:hint="default"/>
                <w:spacing w:val="-74"/>
                <w:sz w:val="21"/>
                <w:szCs w:val="21"/>
              </w:rPr>
              <w:t> </w:t>
            </w:r>
            <w:r>
              <w:rPr>
                <w:rFonts w:ascii="宋体" w:hAnsi="宋体" w:cs="宋体" w:eastAsia="宋体" w:hint="default"/>
                <w:sz w:val="21"/>
                <w:szCs w:val="21"/>
              </w:rPr>
              <w:t>授</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过</w:t>
            </w:r>
            <w:r>
              <w:rPr>
                <w:rFonts w:ascii="宋体" w:hAnsi="宋体" w:cs="宋体" w:eastAsia="宋体" w:hint="default"/>
                <w:spacing w:val="-44"/>
                <w:sz w:val="21"/>
                <w:szCs w:val="21"/>
              </w:rPr>
              <w:t> </w:t>
            </w:r>
            <w:r>
              <w:rPr>
                <w:rFonts w:ascii="宋体" w:hAnsi="宋体" w:cs="宋体" w:eastAsia="宋体" w:hint="default"/>
                <w:sz w:val="21"/>
                <w:szCs w:val="21"/>
              </w:rPr>
              <w:t>了</w:t>
            </w:r>
            <w:r>
              <w:rPr>
                <w:rFonts w:ascii="宋体" w:hAnsi="宋体" w:cs="宋体" w:eastAsia="宋体" w:hint="default"/>
                <w:spacing w:val="-44"/>
                <w:sz w:val="21"/>
                <w:szCs w:val="21"/>
              </w:rPr>
              <w:t> </w:t>
            </w:r>
            <w:r>
              <w:rPr>
                <w:rFonts w:ascii="宋体" w:hAnsi="宋体" w:cs="宋体" w:eastAsia="宋体" w:hint="default"/>
                <w:spacing w:val="40"/>
                <w:sz w:val="21"/>
                <w:szCs w:val="21"/>
              </w:rPr>
              <w:t>全部议</w:t>
            </w:r>
            <w:r>
              <w:rPr>
                <w:rFonts w:ascii="宋体" w:hAnsi="宋体" w:cs="宋体" w:eastAsia="宋体" w:hint="default"/>
                <w:spacing w:val="-45"/>
                <w:sz w:val="21"/>
                <w:szCs w:val="21"/>
              </w:rPr>
              <w:t> </w:t>
            </w:r>
            <w:r>
              <w:rPr>
                <w:rFonts w:ascii="宋体" w:hAnsi="宋体" w:cs="宋体" w:eastAsia="宋体" w:hint="default"/>
                <w:sz w:val="21"/>
                <w:szCs w:val="21"/>
              </w:rPr>
            </w: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司 2014</w:t>
            </w:r>
            <w:r>
              <w:rPr>
                <w:rFonts w:ascii="宋体" w:hAnsi="宋体" w:cs="宋体" w:eastAsia="宋体" w:hint="default"/>
                <w:spacing w:val="22"/>
                <w:sz w:val="21"/>
                <w:szCs w:val="21"/>
              </w:rPr>
              <w:t> </w:t>
            </w:r>
            <w:r>
              <w:rPr>
                <w:rFonts w:ascii="宋体" w:hAnsi="宋体" w:cs="宋体" w:eastAsia="宋体" w:hint="default"/>
                <w:spacing w:val="5"/>
                <w:sz w:val="21"/>
                <w:szCs w:val="21"/>
              </w:rPr>
              <w:t>年第</w:t>
            </w: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信的议案》</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案。</w:t>
            </w: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七次临时股东</w:t>
            </w:r>
          </w:p>
        </w:tc>
        <w:tc>
          <w:tcPr>
            <w:tcW w:w="1367"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1511"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367" w:type="dxa"/>
            <w:tcBorders>
              <w:top w:val="nil" w:sz="6" w:space="0" w:color="auto"/>
              <w:left w:val="single" w:sz="4" w:space="0" w:color="000000"/>
              <w:bottom w:val="single" w:sz="4" w:space="0" w:color="000000"/>
              <w:right w:val="single" w:sz="4" w:space="0" w:color="000000"/>
            </w:tcBorders>
          </w:tcPr>
          <w:p>
            <w:pPr/>
          </w:p>
        </w:tc>
        <w:tc>
          <w:tcPr>
            <w:tcW w:w="1608" w:type="dxa"/>
            <w:tcBorders>
              <w:top w:val="nil" w:sz="6" w:space="0" w:color="auto"/>
              <w:left w:val="single" w:sz="4" w:space="0" w:color="000000"/>
              <w:bottom w:val="single" w:sz="4" w:space="0" w:color="000000"/>
              <w:right w:val="single" w:sz="4" w:space="0" w:color="000000"/>
            </w:tcBorders>
          </w:tcPr>
          <w:p>
            <w:pPr/>
          </w:p>
        </w:tc>
        <w:tc>
          <w:tcPr>
            <w:tcW w:w="1510"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r>
    </w:tbl>
    <w:p>
      <w:pPr>
        <w:spacing w:line="240" w:lineRule="auto" w:before="9"/>
        <w:rPr>
          <w:rFonts w:ascii="Times New Roman" w:hAnsi="Times New Roman" w:cs="Times New Roman" w:eastAsia="Times New Roman" w:hint="default"/>
          <w:sz w:val="22"/>
          <w:szCs w:val="22"/>
        </w:rPr>
      </w:pPr>
    </w:p>
    <w:p>
      <w:pPr>
        <w:pStyle w:val="Heading3"/>
        <w:spacing w:line="240" w:lineRule="auto"/>
        <w:ind w:right="114"/>
        <w:jc w:val="left"/>
        <w:rPr>
          <w:b w:val="0"/>
          <w:bCs w:val="0"/>
        </w:rPr>
      </w:pPr>
      <w:r>
        <w:rPr/>
        <w:t>三、董事履行职责情况</w:t>
      </w:r>
      <w:r>
        <w:rPr>
          <w:b w:val="0"/>
          <w:bCs w:val="0"/>
        </w:rPr>
      </w:r>
    </w:p>
    <w:p>
      <w:pPr>
        <w:pStyle w:val="Heading3"/>
        <w:spacing w:line="240" w:lineRule="auto" w:before="57"/>
        <w:ind w:right="11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6"/>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4" w:type="dxa"/>
        <w:tblLayout w:type="fixed"/>
        <w:tblCellMar>
          <w:top w:w="0" w:type="dxa"/>
          <w:left w:w="0" w:type="dxa"/>
          <w:bottom w:w="0" w:type="dxa"/>
          <w:right w:w="0" w:type="dxa"/>
        </w:tblCellMar>
        <w:tblLook w:val="01E0"/>
      </w:tblPr>
      <w:tblGrid>
        <w:gridCol w:w="980"/>
        <w:gridCol w:w="846"/>
        <w:gridCol w:w="1099"/>
        <w:gridCol w:w="852"/>
        <w:gridCol w:w="968"/>
        <w:gridCol w:w="905"/>
        <w:gridCol w:w="845"/>
        <w:gridCol w:w="1292"/>
        <w:gridCol w:w="1261"/>
      </w:tblGrid>
      <w:tr>
        <w:trPr>
          <w:trHeight w:val="571" w:hRule="exact"/>
        </w:trPr>
        <w:tc>
          <w:tcPr>
            <w:tcW w:w="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3"/>
              <w:ind w:left="274" w:right="275"/>
              <w:jc w:val="left"/>
              <w:rPr>
                <w:rFonts w:ascii="宋体" w:hAnsi="宋体" w:cs="宋体" w:eastAsia="宋体" w:hint="default"/>
                <w:sz w:val="21"/>
                <w:szCs w:val="21"/>
              </w:rPr>
            </w:pPr>
            <w:r>
              <w:rPr>
                <w:rFonts w:ascii="宋体" w:hAnsi="宋体" w:cs="宋体" w:eastAsia="宋体" w:hint="default"/>
                <w:sz w:val="21"/>
                <w:szCs w:val="21"/>
              </w:rPr>
              <w:t>董事 姓名</w:t>
            </w:r>
          </w:p>
        </w:tc>
        <w:tc>
          <w:tcPr>
            <w:tcW w:w="8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3"/>
              <w:ind w:left="102" w:right="102"/>
              <w:jc w:val="left"/>
              <w:rPr>
                <w:rFonts w:ascii="宋体" w:hAnsi="宋体" w:cs="宋体" w:eastAsia="宋体" w:hint="default"/>
                <w:sz w:val="21"/>
                <w:szCs w:val="21"/>
              </w:rPr>
            </w:pPr>
            <w:r>
              <w:rPr>
                <w:rFonts w:ascii="宋体" w:hAnsi="宋体" w:cs="宋体" w:eastAsia="宋体" w:hint="default"/>
                <w:sz w:val="21"/>
                <w:szCs w:val="21"/>
              </w:rPr>
              <w:t>是否独 立董事</w:t>
            </w:r>
          </w:p>
        </w:tc>
        <w:tc>
          <w:tcPr>
            <w:tcW w:w="596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
              <w:ind w:left="205" w:right="204"/>
              <w:jc w:val="left"/>
              <w:rPr>
                <w:rFonts w:ascii="宋体" w:hAnsi="宋体" w:cs="宋体" w:eastAsia="宋体" w:hint="default"/>
                <w:sz w:val="21"/>
                <w:szCs w:val="21"/>
              </w:rPr>
            </w:pPr>
            <w:r>
              <w:rPr>
                <w:rFonts w:ascii="宋体" w:hAnsi="宋体" w:cs="宋体" w:eastAsia="宋体" w:hint="default"/>
                <w:sz w:val="21"/>
                <w:szCs w:val="21"/>
              </w:rPr>
              <w:t>参加股东 大会情况</w:t>
            </w:r>
          </w:p>
        </w:tc>
      </w:tr>
      <w:tr>
        <w:trPr>
          <w:trHeight w:val="827" w:hRule="exact"/>
        </w:trPr>
        <w:tc>
          <w:tcPr>
            <w:tcW w:w="980" w:type="dxa"/>
            <w:vMerge/>
            <w:tcBorders>
              <w:left w:val="single" w:sz="4" w:space="0" w:color="000000"/>
              <w:bottom w:val="single" w:sz="4" w:space="0" w:color="000000"/>
              <w:right w:val="single" w:sz="4" w:space="0" w:color="000000"/>
            </w:tcBorders>
          </w:tcPr>
          <w:p>
            <w:pPr/>
          </w:p>
        </w:tc>
        <w:tc>
          <w:tcPr>
            <w:tcW w:w="846" w:type="dxa"/>
            <w:vMerge/>
            <w:tcBorders>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3"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6"/>
              <w:ind w:left="333" w:right="125" w:hanging="210"/>
              <w:jc w:val="left"/>
              <w:rPr>
                <w:rFonts w:ascii="宋体" w:hAnsi="宋体" w:cs="宋体" w:eastAsia="宋体" w:hint="default"/>
                <w:sz w:val="21"/>
                <w:szCs w:val="21"/>
              </w:rPr>
            </w:pPr>
            <w:r>
              <w:rPr>
                <w:rFonts w:ascii="宋体" w:hAnsi="宋体" w:cs="宋体" w:eastAsia="宋体" w:hint="default"/>
                <w:sz w:val="21"/>
                <w:szCs w:val="21"/>
              </w:rPr>
              <w:t>加董事会 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5" w:right="104"/>
              <w:jc w:val="left"/>
              <w:rPr>
                <w:rFonts w:ascii="宋体" w:hAnsi="宋体" w:cs="宋体" w:eastAsia="宋体" w:hint="default"/>
                <w:sz w:val="21"/>
                <w:szCs w:val="21"/>
              </w:rPr>
            </w:pPr>
            <w:r>
              <w:rPr>
                <w:rFonts w:ascii="宋体" w:hAnsi="宋体" w:cs="宋体" w:eastAsia="宋体" w:hint="default"/>
                <w:sz w:val="21"/>
                <w:szCs w:val="21"/>
              </w:rPr>
              <w:t>亲自出 席次数</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4"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6"/>
              <w:ind w:left="164" w:right="162"/>
              <w:jc w:val="left"/>
              <w:rPr>
                <w:rFonts w:ascii="宋体" w:hAnsi="宋体" w:cs="宋体" w:eastAsia="宋体" w:hint="default"/>
                <w:sz w:val="21"/>
                <w:szCs w:val="21"/>
              </w:rPr>
            </w:pPr>
            <w:r>
              <w:rPr>
                <w:rFonts w:ascii="宋体" w:hAnsi="宋体" w:cs="宋体" w:eastAsia="宋体" w:hint="default"/>
                <w:sz w:val="21"/>
                <w:szCs w:val="21"/>
              </w:rPr>
              <w:t>方式参 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30" w:right="132"/>
              <w:jc w:val="left"/>
              <w:rPr>
                <w:rFonts w:ascii="宋体" w:hAnsi="宋体" w:cs="宋体" w:eastAsia="宋体" w:hint="default"/>
                <w:sz w:val="21"/>
                <w:szCs w:val="21"/>
              </w:rPr>
            </w:pPr>
            <w:r>
              <w:rPr>
                <w:rFonts w:ascii="宋体" w:hAnsi="宋体" w:cs="宋体" w:eastAsia="宋体" w:hint="default"/>
                <w:sz w:val="21"/>
                <w:szCs w:val="21"/>
              </w:rPr>
              <w:t>委托出 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07" w:right="205"/>
              <w:jc w:val="left"/>
              <w:rPr>
                <w:rFonts w:ascii="宋体" w:hAnsi="宋体" w:cs="宋体" w:eastAsia="宋体" w:hint="default"/>
                <w:sz w:val="21"/>
                <w:szCs w:val="21"/>
              </w:rPr>
            </w:pPr>
            <w:r>
              <w:rPr>
                <w:rFonts w:ascii="宋体" w:hAnsi="宋体" w:cs="宋体" w:eastAsia="宋体" w:hint="default"/>
                <w:sz w:val="21"/>
                <w:szCs w:val="21"/>
              </w:rPr>
              <w:t>缺席 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6"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6"/>
              <w:ind w:left="326" w:right="114" w:hanging="210"/>
              <w:jc w:val="left"/>
              <w:rPr>
                <w:rFonts w:ascii="宋体" w:hAnsi="宋体" w:cs="宋体" w:eastAsia="宋体" w:hint="default"/>
                <w:sz w:val="21"/>
                <w:szCs w:val="21"/>
              </w:rPr>
            </w:pPr>
            <w:r>
              <w:rPr>
                <w:rFonts w:ascii="宋体" w:hAnsi="宋体" w:cs="宋体" w:eastAsia="宋体" w:hint="default"/>
                <w:sz w:val="21"/>
                <w:szCs w:val="21"/>
              </w:rPr>
              <w:t>次未亲自参 加会议</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5"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6"/>
              <w:ind w:left="520" w:right="204" w:hanging="316"/>
              <w:jc w:val="left"/>
              <w:rPr>
                <w:rFonts w:ascii="宋体" w:hAnsi="宋体" w:cs="宋体" w:eastAsia="宋体" w:hint="default"/>
                <w:sz w:val="21"/>
                <w:szCs w:val="21"/>
              </w:rPr>
            </w:pPr>
            <w:r>
              <w:rPr>
                <w:rFonts w:ascii="宋体" w:hAnsi="宋体" w:cs="宋体" w:eastAsia="宋体" w:hint="default"/>
                <w:sz w:val="21"/>
                <w:szCs w:val="21"/>
              </w:rPr>
              <w:t>大会的次 数</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徐岷波</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王开因</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肖幼美</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张龙飞</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w:t>
            </w:r>
          </w:p>
        </w:tc>
      </w:tr>
    </w:tbl>
    <w:p>
      <w:pPr>
        <w:spacing w:line="240" w:lineRule="auto" w:before="11"/>
        <w:rPr>
          <w:rFonts w:ascii="宋体" w:hAnsi="宋体" w:cs="宋体" w:eastAsia="宋体" w:hint="default"/>
          <w:b/>
          <w:bCs/>
          <w:sz w:val="20"/>
          <w:szCs w:val="20"/>
        </w:rPr>
      </w:pPr>
    </w:p>
    <w:tbl>
      <w:tblPr>
        <w:tblW w:w="0" w:type="auto"/>
        <w:jc w:val="left"/>
        <w:tblInd w:w="104" w:type="dxa"/>
        <w:tblLayout w:type="fixed"/>
        <w:tblCellMar>
          <w:top w:w="0" w:type="dxa"/>
          <w:left w:w="0" w:type="dxa"/>
          <w:bottom w:w="0" w:type="dxa"/>
          <w:right w:w="0" w:type="dxa"/>
        </w:tblCellMar>
        <w:tblLook w:val="01E0"/>
      </w:tblPr>
      <w:tblGrid>
        <w:gridCol w:w="4524"/>
        <w:gridCol w:w="4525"/>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13</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1</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12</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0</w:t>
            </w:r>
          </w:p>
        </w:tc>
      </w:tr>
    </w:tbl>
    <w:p>
      <w:pPr>
        <w:pStyle w:val="BodyText"/>
        <w:spacing w:line="350" w:lineRule="auto" w:before="75"/>
        <w:ind w:right="857"/>
        <w:jc w:val="left"/>
      </w:pPr>
      <w:r>
        <w:rPr/>
        <w:t>独立董事对公司有关事项提出异议的说明 报告期内，公司独立董事未对公司本年度的董事会议案及其他非董事会议案事项提出异议</w:t>
      </w:r>
    </w:p>
    <w:p>
      <w:pPr>
        <w:spacing w:after="0" w:line="350" w:lineRule="auto"/>
        <w:jc w:val="left"/>
        <w:sectPr>
          <w:pgSz w:w="11910" w:h="16840"/>
          <w:pgMar w:header="882" w:footer="1197" w:top="1120" w:bottom="13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3"/>
        <w:spacing w:line="240" w:lineRule="auto"/>
        <w:ind w:left="137" w:right="98"/>
        <w:jc w:val="left"/>
        <w:rPr>
          <w:b w:val="0"/>
          <w:bCs w:val="0"/>
        </w:rPr>
      </w:pPr>
      <w:r>
        <w:rPr/>
        <w:t>四、董事会下设专门委员会在报告期内履行职责时所提出的重要意见和建议</w:t>
      </w:r>
      <w:r>
        <w:rPr>
          <w:b w:val="0"/>
          <w:bCs w:val="0"/>
        </w:rPr>
      </w:r>
    </w:p>
    <w:p>
      <w:pPr>
        <w:spacing w:line="240" w:lineRule="auto" w:before="2"/>
        <w:rPr>
          <w:rFonts w:ascii="宋体" w:hAnsi="宋体" w:cs="宋体" w:eastAsia="宋体" w:hint="default"/>
          <w:b/>
          <w:bCs/>
          <w:sz w:val="14"/>
          <w:szCs w:val="14"/>
        </w:rPr>
      </w:pPr>
    </w:p>
    <w:p>
      <w:pPr>
        <w:pStyle w:val="BodyText"/>
        <w:spacing w:line="350" w:lineRule="auto"/>
        <w:ind w:left="137" w:right="98"/>
        <w:jc w:val="left"/>
      </w:pPr>
      <w:r>
        <w:rPr/>
        <w:t>报告期内，根据监管部门有关文件的要求，审计委员会对年度报告财务会计报告发表了两次审阅 </w:t>
      </w:r>
      <w:r>
        <w:rPr>
          <w:spacing w:val="-3"/>
        </w:rPr>
        <w:t>意见，并就会计事务所年报审计工作的进行总结，同时就对下年度续聘会计师事务所的形成决议。</w:t>
      </w:r>
      <w:r>
        <w:rPr>
          <w:spacing w:val="-68"/>
        </w:rPr>
        <w:t> </w:t>
      </w:r>
      <w:r>
        <w:rPr>
          <w:spacing w:val="-68"/>
        </w:rPr>
      </w:r>
      <w:r>
        <w:rPr/>
        <w:t>在年审注册会计师进场前，对未经审计的财务报告发表首次书面意见，审计委员会意见如下：我 们认真审阅了公司计划财务部</w:t>
      </w:r>
      <w:r>
        <w:rPr>
          <w:spacing w:val="-56"/>
        </w:rPr>
        <w:t> </w:t>
      </w:r>
      <w:r>
        <w:rPr/>
        <w:t>2015</w:t>
      </w:r>
      <w:r>
        <w:rPr>
          <w:spacing w:val="-56"/>
        </w:rPr>
        <w:t> </w:t>
      </w:r>
      <w:r>
        <w:rPr/>
        <w:t>年</w:t>
      </w:r>
      <w:r>
        <w:rPr>
          <w:spacing w:val="-56"/>
        </w:rPr>
        <w:t> </w:t>
      </w:r>
      <w:r>
        <w:rPr/>
        <w:t>3</w:t>
      </w:r>
      <w:r>
        <w:rPr>
          <w:spacing w:val="-55"/>
        </w:rPr>
        <w:t> </w:t>
      </w:r>
      <w:r>
        <w:rPr/>
        <w:t>月提交的财务报表，包括截止</w:t>
      </w:r>
      <w:r>
        <w:rPr>
          <w:spacing w:val="-56"/>
        </w:rPr>
        <w:t> </w:t>
      </w:r>
      <w:r>
        <w:rPr/>
        <w:t>2014</w:t>
      </w:r>
      <w:r>
        <w:rPr>
          <w:spacing w:val="-55"/>
        </w:rPr>
        <w:t> </w:t>
      </w:r>
      <w:r>
        <w:rPr/>
        <w:t>年</w:t>
      </w:r>
      <w:r>
        <w:rPr>
          <w:spacing w:val="-57"/>
        </w:rPr>
        <w:t> </w:t>
      </w:r>
      <w:r>
        <w:rPr/>
        <w:t>12</w:t>
      </w:r>
      <w:r>
        <w:rPr>
          <w:spacing w:val="-56"/>
        </w:rPr>
        <w:t> </w:t>
      </w:r>
      <w:r>
        <w:rPr/>
        <w:t>月</w:t>
      </w:r>
      <w:r>
        <w:rPr>
          <w:spacing w:val="-57"/>
        </w:rPr>
        <w:t> </w:t>
      </w:r>
      <w:r>
        <w:rPr/>
        <w:t>31</w:t>
      </w:r>
      <w:r>
        <w:rPr>
          <w:spacing w:val="-55"/>
        </w:rPr>
        <w:t> </w:t>
      </w:r>
      <w:r>
        <w:rPr/>
        <w:t>日的资产</w:t>
      </w:r>
      <w:r>
        <w:rPr>
          <w:spacing w:val="-1"/>
        </w:rPr>
        <w:t> </w:t>
      </w:r>
      <w:r>
        <w:rPr/>
        <w:t>负债表，2014</w:t>
      </w:r>
      <w:r>
        <w:rPr>
          <w:spacing w:val="-73"/>
        </w:rPr>
        <w:t> </w:t>
      </w:r>
      <w:r>
        <w:rPr/>
        <w:t>年度利润表、股东权益变动表和现金流量表。我们认为：公司编制的财务会计报表</w:t>
      </w:r>
      <w:r>
        <w:rPr>
          <w:spacing w:val="-1"/>
        </w:rPr>
        <w:t> </w:t>
      </w:r>
      <w:r>
        <w:rPr/>
        <w:t>基本反映了公司的生产经营成果及财务状况，选择运用的会计政策恰当，做出的会计估计合理。</w:t>
      </w:r>
      <w:r>
        <w:rPr/>
        <w:t> 未发现有大股东占用公司资金情况，未发现公司有对外违规担保情况及异常关联交易情况。我们 一致同意公司以此财务会计报表为基础开展 2014</w:t>
      </w:r>
      <w:r>
        <w:rPr>
          <w:spacing w:val="-85"/>
        </w:rPr>
        <w:t> </w:t>
      </w:r>
      <w:r>
        <w:rPr/>
        <w:t>年度的财务审计工作。</w:t>
      </w:r>
    </w:p>
    <w:p>
      <w:pPr>
        <w:spacing w:line="240" w:lineRule="auto" w:before="0"/>
        <w:rPr>
          <w:rFonts w:ascii="宋体" w:hAnsi="宋体" w:cs="宋体" w:eastAsia="宋体" w:hint="default"/>
          <w:sz w:val="20"/>
          <w:szCs w:val="20"/>
        </w:rPr>
      </w:pPr>
    </w:p>
    <w:p>
      <w:pPr>
        <w:pStyle w:val="BodyText"/>
        <w:spacing w:line="350" w:lineRule="auto" w:before="166"/>
        <w:ind w:left="137" w:right="211"/>
        <w:jc w:val="left"/>
      </w:pPr>
      <w:r>
        <w:rPr/>
        <w:t>在年审注册会计师出具初步审计意见后，审计委员会再次审阅财务报告并发表第二次书面意见： 我们审阅了公司财务部提交的经年审注册会计师出具初步审计意见，公司出具的财务报表，包括 2014</w:t>
      </w:r>
      <w:r>
        <w:rPr>
          <w:spacing w:val="-61"/>
        </w:rPr>
        <w:t> </w:t>
      </w:r>
      <w:r>
        <w:rPr/>
        <w:t>年</w:t>
      </w:r>
      <w:r>
        <w:rPr>
          <w:spacing w:val="-61"/>
        </w:rPr>
        <w:t> </w:t>
      </w:r>
      <w:r>
        <w:rPr/>
        <w:t>12</w:t>
      </w:r>
      <w:r>
        <w:rPr>
          <w:spacing w:val="-61"/>
        </w:rPr>
        <w:t> </w:t>
      </w:r>
      <w:r>
        <w:rPr/>
        <w:t>月</w:t>
      </w:r>
      <w:r>
        <w:rPr>
          <w:spacing w:val="-61"/>
        </w:rPr>
        <w:t> </w:t>
      </w:r>
      <w:r>
        <w:rPr/>
        <w:t>31</w:t>
      </w:r>
      <w:r>
        <w:rPr>
          <w:spacing w:val="-60"/>
        </w:rPr>
        <w:t> </w:t>
      </w:r>
      <w:r>
        <w:rPr>
          <w:spacing w:val="-4"/>
        </w:rPr>
        <w:t>日的资产负债表、2014</w:t>
      </w:r>
      <w:r>
        <w:rPr>
          <w:spacing w:val="-60"/>
        </w:rPr>
        <w:t> </w:t>
      </w:r>
      <w:r>
        <w:rPr/>
        <w:t>年度的利润表、股东权益变动表和现金流量表以及财务报</w:t>
      </w:r>
      <w:r>
        <w:rPr/>
        <w:t> 告附注。通过与年审注册会计师沟通初步审计意见后，我们认为：公司财务报表在所有重大方面 公允反映了公司</w:t>
      </w:r>
      <w:r>
        <w:rPr>
          <w:spacing w:val="-58"/>
        </w:rPr>
        <w:t> </w:t>
      </w:r>
      <w:r>
        <w:rPr/>
        <w:t>2014</w:t>
      </w:r>
      <w:r>
        <w:rPr>
          <w:spacing w:val="-57"/>
        </w:rPr>
        <w:t> </w:t>
      </w:r>
      <w:r>
        <w:rPr/>
        <w:t>年</w:t>
      </w:r>
      <w:r>
        <w:rPr>
          <w:spacing w:val="-59"/>
        </w:rPr>
        <w:t> </w:t>
      </w:r>
      <w:r>
        <w:rPr/>
        <w:t>12</w:t>
      </w:r>
      <w:r>
        <w:rPr>
          <w:spacing w:val="-58"/>
        </w:rPr>
        <w:t> </w:t>
      </w:r>
      <w:r>
        <w:rPr/>
        <w:t>月</w:t>
      </w:r>
      <w:r>
        <w:rPr>
          <w:spacing w:val="-58"/>
        </w:rPr>
        <w:t> </w:t>
      </w:r>
      <w:r>
        <w:rPr/>
        <w:t>31</w:t>
      </w:r>
      <w:r>
        <w:rPr>
          <w:spacing w:val="-57"/>
        </w:rPr>
        <w:t> </w:t>
      </w:r>
      <w:r>
        <w:rPr/>
        <w:t>日的财务状况以及</w:t>
      </w:r>
      <w:r>
        <w:rPr>
          <w:spacing w:val="-58"/>
        </w:rPr>
        <w:t> </w:t>
      </w:r>
      <w:r>
        <w:rPr/>
        <w:t>2014</w:t>
      </w:r>
      <w:r>
        <w:rPr>
          <w:spacing w:val="-57"/>
        </w:rPr>
        <w:t> </w:t>
      </w:r>
      <w:r>
        <w:rPr/>
        <w:t>年度的经营成果和现金流量，同意将大</w:t>
      </w:r>
      <w:r>
        <w:rPr>
          <w:spacing w:val="-1"/>
        </w:rPr>
        <w:t> </w:t>
      </w:r>
      <w:r>
        <w:rPr/>
        <w:t>华会计师事务所（特殊普通合伙）</w:t>
      </w:r>
      <w:r>
        <w:rPr>
          <w:spacing w:val="-5"/>
        </w:rPr>
        <w:t> </w:t>
      </w:r>
      <w:r>
        <w:rPr/>
        <w:t>审定的公司</w:t>
      </w:r>
      <w:r>
        <w:rPr>
          <w:spacing w:val="-55"/>
        </w:rPr>
        <w:t> </w:t>
      </w:r>
      <w:r>
        <w:rPr/>
        <w:t>2014</w:t>
      </w:r>
      <w:r>
        <w:rPr>
          <w:spacing w:val="-54"/>
        </w:rPr>
        <w:t> </w:t>
      </w:r>
      <w:r>
        <w:rPr/>
        <w:t>年财务报告提交公司董事会审议。</w:t>
      </w:r>
      <w:r>
        <w:rPr>
          <w:spacing w:val="-1"/>
        </w:rPr>
        <w:t> </w:t>
      </w:r>
      <w:r>
        <w:rPr/>
        <w:t>审计委员会关于大华会计师事务所（特殊普通合伙）</w:t>
      </w:r>
      <w:r>
        <w:rPr>
          <w:spacing w:val="-57"/>
        </w:rPr>
        <w:t> </w:t>
      </w:r>
      <w:r>
        <w:rPr/>
        <w:t>从事本年度审计工作的总结报告：2015</w:t>
      </w:r>
      <w:r>
        <w:rPr>
          <w:spacing w:val="-71"/>
        </w:rPr>
        <w:t> </w:t>
      </w:r>
      <w:r>
        <w:rPr/>
        <w:t>年</w:t>
      </w:r>
      <w:r>
        <w:rPr>
          <w:spacing w:val="-71"/>
        </w:rPr>
        <w:t> </w:t>
      </w:r>
      <w:r>
        <w:rPr/>
        <w:t>3</w:t>
      </w:r>
      <w:r>
        <w:rPr/>
        <w:t> 月我们收到了公司财务部提交的公司年报审计安排情况表及</w:t>
      </w:r>
      <w:r>
        <w:rPr>
          <w:spacing w:val="-60"/>
        </w:rPr>
        <w:t> </w:t>
      </w:r>
      <w:r>
        <w:rPr/>
        <w:t>2013</w:t>
      </w:r>
      <w:r>
        <w:rPr>
          <w:spacing w:val="-60"/>
        </w:rPr>
        <w:t> </w:t>
      </w:r>
      <w:r>
        <w:rPr>
          <w:spacing w:val="-8"/>
        </w:rPr>
        <w:t>年财务报表，按照《企业会计准</w:t>
      </w:r>
      <w:r>
        <w:rPr>
          <w:spacing w:val="-1"/>
        </w:rPr>
        <w:t> </w:t>
      </w:r>
      <w:r>
        <w:rPr>
          <w:spacing w:val="-3"/>
        </w:rPr>
        <w:t>则-基本准则》、《企业会计准则》等具体准则以及公司有关财务制度规定，我们对会计资料的真</w:t>
      </w:r>
      <w:r>
        <w:rPr>
          <w:spacing w:val="-70"/>
        </w:rPr>
        <w:t> </w:t>
      </w:r>
      <w:r>
        <w:rPr>
          <w:spacing w:val="-70"/>
        </w:rPr>
      </w:r>
      <w:r>
        <w:rPr>
          <w:spacing w:val="-3"/>
        </w:rPr>
        <w:t>实性、完整性、财务报表是否严格按照会计准则及公司有关财务制度规定编制予以了重点关注。3</w:t>
      </w:r>
      <w:r>
        <w:rPr>
          <w:spacing w:val="-72"/>
        </w:rPr>
        <w:t> </w:t>
      </w:r>
      <w:r>
        <w:rPr>
          <w:spacing w:val="-72"/>
        </w:rPr>
      </w:r>
      <w:r>
        <w:rPr/>
        <w:t>月</w:t>
      </w:r>
      <w:r>
        <w:rPr>
          <w:spacing w:val="-54"/>
        </w:rPr>
        <w:t> </w:t>
      </w:r>
      <w:r>
        <w:rPr/>
        <w:t>16</w:t>
      </w:r>
      <w:r>
        <w:rPr>
          <w:spacing w:val="-53"/>
        </w:rPr>
        <w:t> </w:t>
      </w:r>
      <w:r>
        <w:rPr/>
        <w:t>日我们约见了公司年报审计的主审人员及会计师就年报审计中的有关问题进行了充分的沟</w:t>
      </w:r>
      <w:r>
        <w:rPr/>
        <w:t> </w:t>
      </w:r>
      <w:r>
        <w:rPr>
          <w:spacing w:val="-3"/>
        </w:rPr>
        <w:t>通。2015</w:t>
      </w:r>
      <w:r>
        <w:rPr>
          <w:spacing w:val="-55"/>
        </w:rPr>
        <w:t> </w:t>
      </w:r>
      <w:r>
        <w:rPr/>
        <w:t>年</w:t>
      </w:r>
      <w:r>
        <w:rPr>
          <w:spacing w:val="-56"/>
        </w:rPr>
        <w:t> </w:t>
      </w:r>
      <w:r>
        <w:rPr/>
        <w:t>3</w:t>
      </w:r>
      <w:r>
        <w:rPr>
          <w:spacing w:val="-54"/>
        </w:rPr>
        <w:t> </w:t>
      </w:r>
      <w:r>
        <w:rPr/>
        <w:t>月大华会计师事务所（特殊普通合伙）</w:t>
      </w:r>
      <w:r>
        <w:rPr>
          <w:spacing w:val="-18"/>
        </w:rPr>
        <w:t> </w:t>
      </w:r>
      <w:r>
        <w:rPr/>
        <w:t>为公司</w:t>
      </w:r>
      <w:r>
        <w:rPr>
          <w:spacing w:val="-56"/>
        </w:rPr>
        <w:t> </w:t>
      </w:r>
      <w:r>
        <w:rPr/>
        <w:t>2014</w:t>
      </w:r>
      <w:r>
        <w:rPr>
          <w:spacing w:val="-54"/>
        </w:rPr>
        <w:t> </w:t>
      </w:r>
      <w:r>
        <w:rPr/>
        <w:t>年度报告出具了标准无保留意</w:t>
      </w:r>
      <w:r>
        <w:rPr/>
        <w:t> 见的审计报告。我们认为：大华会计师事务所（特殊普通合伙）</w:t>
      </w:r>
      <w:r>
        <w:rPr>
          <w:spacing w:val="-1"/>
        </w:rPr>
        <w:t> </w:t>
      </w:r>
      <w:r>
        <w:rPr/>
        <w:t>出具的审计报告充分反映公司</w:t>
      </w:r>
      <w:r>
        <w:rPr/>
        <w:t> 2014</w:t>
      </w:r>
      <w:r>
        <w:rPr>
          <w:spacing w:val="-58"/>
        </w:rPr>
        <w:t> </w:t>
      </w:r>
      <w:r>
        <w:rPr/>
        <w:t>年</w:t>
      </w:r>
      <w:r>
        <w:rPr>
          <w:spacing w:val="-58"/>
        </w:rPr>
        <w:t> </w:t>
      </w:r>
      <w:r>
        <w:rPr/>
        <w:t>12</w:t>
      </w:r>
      <w:r>
        <w:rPr>
          <w:spacing w:val="-58"/>
        </w:rPr>
        <w:t> </w:t>
      </w:r>
      <w:r>
        <w:rPr/>
        <w:t>月</w:t>
      </w:r>
      <w:r>
        <w:rPr>
          <w:spacing w:val="-58"/>
        </w:rPr>
        <w:t> </w:t>
      </w:r>
      <w:r>
        <w:rPr/>
        <w:t>31</w:t>
      </w:r>
      <w:r>
        <w:rPr>
          <w:spacing w:val="-57"/>
        </w:rPr>
        <w:t> </w:t>
      </w:r>
      <w:r>
        <w:rPr/>
        <w:t>日的财务状况以及</w:t>
      </w:r>
      <w:r>
        <w:rPr>
          <w:spacing w:val="-58"/>
        </w:rPr>
        <w:t> </w:t>
      </w:r>
      <w:r>
        <w:rPr/>
        <w:t>2014</w:t>
      </w:r>
      <w:r>
        <w:rPr>
          <w:spacing w:val="-57"/>
        </w:rPr>
        <w:t> </w:t>
      </w:r>
      <w:r>
        <w:rPr/>
        <w:t>年度的经营成果和现金流量，出具的审计结论符合公司</w:t>
      </w:r>
      <w:r>
        <w:rPr>
          <w:spacing w:val="-1"/>
        </w:rPr>
        <w:t> </w:t>
      </w:r>
      <w:r>
        <w:rPr/>
        <w:t>的实际情况。</w:t>
      </w:r>
    </w:p>
    <w:p>
      <w:pPr>
        <w:spacing w:line="240" w:lineRule="auto" w:before="0"/>
        <w:rPr>
          <w:rFonts w:ascii="宋体" w:hAnsi="宋体" w:cs="宋体" w:eastAsia="宋体" w:hint="default"/>
          <w:sz w:val="20"/>
          <w:szCs w:val="20"/>
        </w:rPr>
      </w:pPr>
    </w:p>
    <w:p>
      <w:pPr>
        <w:pStyle w:val="BodyText"/>
        <w:spacing w:line="348" w:lineRule="auto" w:before="167"/>
        <w:ind w:left="137" w:right="98"/>
        <w:jc w:val="left"/>
      </w:pPr>
      <w:r>
        <w:rPr>
          <w:spacing w:val="-3"/>
        </w:rPr>
        <w:t>审计委员会关于续聘会计师事务所的意见：我们同意继续聘请该所为公司</w:t>
      </w:r>
      <w:r>
        <w:rPr>
          <w:spacing w:val="-47"/>
        </w:rPr>
        <w:t> </w:t>
      </w:r>
      <w:r>
        <w:rPr/>
        <w:t>2015</w:t>
      </w:r>
      <w:r>
        <w:rPr>
          <w:spacing w:val="-46"/>
        </w:rPr>
        <w:t> </w:t>
      </w:r>
      <w:r>
        <w:rPr>
          <w:spacing w:val="-7"/>
        </w:rPr>
        <w:t>年度审计单位，上</w:t>
      </w:r>
      <w:r>
        <w:rPr>
          <w:spacing w:val="-99"/>
        </w:rPr>
        <w:t> </w:t>
      </w:r>
      <w:r>
        <w:rPr>
          <w:spacing w:val="-99"/>
        </w:rPr>
      </w:r>
      <w:r>
        <w:rPr/>
        <w:t>述议案需提交公司董事会审议。</w:t>
      </w:r>
    </w:p>
    <w:p>
      <w:pPr>
        <w:spacing w:line="240" w:lineRule="auto" w:before="0"/>
        <w:rPr>
          <w:rFonts w:ascii="宋体" w:hAnsi="宋体" w:cs="宋体" w:eastAsia="宋体" w:hint="default"/>
          <w:sz w:val="20"/>
          <w:szCs w:val="20"/>
        </w:rPr>
      </w:pPr>
    </w:p>
    <w:p>
      <w:pPr>
        <w:pStyle w:val="BodyText"/>
        <w:spacing w:line="350" w:lineRule="auto" w:before="169"/>
        <w:ind w:left="137" w:right="207"/>
        <w:jc w:val="left"/>
      </w:pPr>
      <w:r>
        <w:rPr/>
        <w:t>2、</w:t>
      </w:r>
      <w:r>
        <w:rPr>
          <w:spacing w:val="-1"/>
        </w:rPr>
        <w:t> </w:t>
      </w:r>
      <w:r>
        <w:rPr/>
        <w:t>董事会下设的薪酬委员会的履职情况汇总报告</w:t>
      </w:r>
      <w:r>
        <w:rPr/>
        <w:t> 董事会薪酬委员会对公司董事和高级管理人员的</w:t>
      </w:r>
      <w:r>
        <w:rPr>
          <w:spacing w:val="-60"/>
        </w:rPr>
        <w:t> </w:t>
      </w:r>
      <w:r>
        <w:rPr/>
        <w:t>2014</w:t>
      </w:r>
      <w:r>
        <w:rPr>
          <w:spacing w:val="-59"/>
        </w:rPr>
        <w:t> </w:t>
      </w:r>
      <w:r>
        <w:rPr>
          <w:spacing w:val="-6"/>
        </w:rPr>
        <w:t>年薪酬情况进行了审核，认为：公司根据公</w:t>
      </w:r>
      <w:r>
        <w:rPr>
          <w:spacing w:val="-1"/>
        </w:rPr>
        <w:t> </w:t>
      </w:r>
      <w:r>
        <w:rPr/>
        <w:t>司总体发展战略和年度经营目标确定董事和高级管理人员的年度经营业绩考核综合指标或管理职</w:t>
      </w:r>
      <w:r>
        <w:rPr/>
        <w:t> 责，并根据董事和高级管理人员的经营业绩综合指标进行考核，公司董事和高级管理人员的薪酬 决策程序符合规定。2014</w:t>
      </w:r>
      <w:r>
        <w:rPr>
          <w:spacing w:val="-64"/>
        </w:rPr>
        <w:t> </w:t>
      </w:r>
      <w:r>
        <w:rPr/>
        <w:t>年公司董事领取报酬总额为</w:t>
      </w:r>
      <w:r>
        <w:rPr>
          <w:spacing w:val="-65"/>
        </w:rPr>
        <w:t> </w:t>
      </w:r>
      <w:r>
        <w:rPr/>
        <w:t>277.34</w:t>
      </w:r>
      <w:r>
        <w:rPr>
          <w:spacing w:val="-65"/>
        </w:rPr>
        <w:t> </w:t>
      </w:r>
      <w:r>
        <w:rPr/>
        <w:t>万元；监事领取报酬总额为</w:t>
      </w:r>
      <w:r>
        <w:rPr>
          <w:spacing w:val="-65"/>
        </w:rPr>
        <w:t> </w:t>
      </w:r>
      <w:r>
        <w:rPr/>
        <w:t>67.80</w:t>
      </w:r>
    </w:p>
    <w:p>
      <w:pPr>
        <w:spacing w:after="0" w:line="350" w:lineRule="auto"/>
        <w:jc w:val="left"/>
        <w:sectPr>
          <w:pgSz w:w="11910" w:h="16840"/>
          <w:pgMar w:header="882" w:footer="1197" w:top="1120" w:bottom="1380" w:left="1660" w:right="10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348" w:lineRule="auto" w:before="35"/>
        <w:ind w:left="137" w:right="201"/>
        <w:jc w:val="left"/>
      </w:pPr>
      <w:r>
        <w:rPr>
          <w:spacing w:val="-4"/>
        </w:rPr>
        <w:t>万元；高管人员领取报酬总额为</w:t>
      </w:r>
      <w:r>
        <w:rPr>
          <w:spacing w:val="-50"/>
        </w:rPr>
        <w:t> </w:t>
      </w:r>
      <w:r>
        <w:rPr/>
        <w:t>283.94</w:t>
      </w:r>
      <w:r>
        <w:rPr>
          <w:spacing w:val="-49"/>
        </w:rPr>
        <w:t> </w:t>
      </w:r>
      <w:r>
        <w:rPr/>
        <w:t>万元.公司</w:t>
      </w:r>
      <w:r>
        <w:rPr>
          <w:spacing w:val="-51"/>
        </w:rPr>
        <w:t> </w:t>
      </w:r>
      <w:r>
        <w:rPr/>
        <w:t>2014</w:t>
      </w:r>
      <w:r>
        <w:rPr>
          <w:spacing w:val="-49"/>
        </w:rPr>
        <w:t> </w:t>
      </w:r>
      <w:r>
        <w:rPr>
          <w:spacing w:val="-3"/>
        </w:rPr>
        <w:t>年度报告中披露的董事、监事和高级管理</w:t>
      </w:r>
      <w:r>
        <w:rPr/>
        <w:t> 人员的薪酬真实、准确</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Heading3"/>
        <w:spacing w:line="240" w:lineRule="auto" w:before="0"/>
        <w:ind w:left="137" w:right="98"/>
        <w:jc w:val="left"/>
        <w:rPr>
          <w:b w:val="0"/>
          <w:bCs w:val="0"/>
        </w:rPr>
      </w:pPr>
      <w:r>
        <w:rPr/>
        <w:t>五、报告期内对高级管理人员的考评机制，以及激励机制的建立、实施情况</w:t>
      </w:r>
      <w:r>
        <w:rPr>
          <w:b w:val="0"/>
          <w:bCs w:val="0"/>
        </w:rPr>
      </w:r>
    </w:p>
    <w:p>
      <w:pPr>
        <w:spacing w:line="240" w:lineRule="auto" w:before="2"/>
        <w:rPr>
          <w:rFonts w:ascii="宋体" w:hAnsi="宋体" w:cs="宋体" w:eastAsia="宋体" w:hint="default"/>
          <w:b/>
          <w:bCs/>
          <w:sz w:val="14"/>
          <w:szCs w:val="14"/>
        </w:rPr>
      </w:pPr>
    </w:p>
    <w:p>
      <w:pPr>
        <w:pStyle w:val="BodyText"/>
        <w:spacing w:line="350" w:lineRule="auto"/>
        <w:ind w:left="137" w:right="224"/>
        <w:jc w:val="both"/>
      </w:pPr>
      <w:r>
        <w:rPr/>
        <w:t>公司制定了《深圳市金证科技股份有限公司董事、监事及高级管理人员薪酬管理制度》和《深圳 市金证科技股份有限公司激励制度》，年初时根据公司总体发展战略和年度经营目标确定各位高 管人员的年度经营业绩考核综合指标或管理职责，年末根据各高管人员的经营业绩综合指标进行 考核。</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Heading1"/>
        <w:tabs>
          <w:tab w:pos="1259" w:val="left" w:leader="none"/>
        </w:tabs>
        <w:spacing w:line="240" w:lineRule="auto" w:before="0"/>
        <w:ind w:right="75"/>
        <w:jc w:val="center"/>
        <w:rPr>
          <w:b w:val="0"/>
          <w:bCs w:val="0"/>
        </w:rPr>
      </w:pPr>
      <w:bookmarkStart w:name="_TOC_250002" w:id="7"/>
      <w:r>
        <w:rPr>
          <w:w w:val="95"/>
        </w:rPr>
        <w:t>第九节</w:t>
        <w:tab/>
      </w:r>
      <w:r>
        <w:rPr/>
        <w:t>内部控制</w:t>
      </w:r>
      <w:bookmarkEnd w:id="7"/>
      <w:r>
        <w:rPr>
          <w:b w:val="0"/>
          <w:bCs w:val="0"/>
        </w:rPr>
      </w:r>
    </w:p>
    <w:p>
      <w:pPr>
        <w:pStyle w:val="Heading3"/>
        <w:spacing w:line="240" w:lineRule="auto" w:before="175"/>
        <w:ind w:left="137" w:right="98"/>
        <w:jc w:val="left"/>
        <w:rPr>
          <w:b w:val="0"/>
          <w:bCs w:val="0"/>
        </w:rPr>
      </w:pPr>
      <w:r>
        <w:rPr/>
        <w:t>一、内部控制责任声明及内部控制制度建设情况</w:t>
      </w:r>
      <w:r>
        <w:rPr>
          <w:b w:val="0"/>
          <w:bCs w:val="0"/>
        </w:rPr>
      </w:r>
    </w:p>
    <w:p>
      <w:pPr>
        <w:spacing w:line="240" w:lineRule="auto" w:before="3"/>
        <w:rPr>
          <w:rFonts w:ascii="宋体" w:hAnsi="宋体" w:cs="宋体" w:eastAsia="宋体" w:hint="default"/>
          <w:b/>
          <w:bCs/>
          <w:sz w:val="14"/>
          <w:szCs w:val="14"/>
        </w:rPr>
      </w:pPr>
    </w:p>
    <w:p>
      <w:pPr>
        <w:pStyle w:val="BodyText"/>
        <w:spacing w:line="350" w:lineRule="auto"/>
        <w:ind w:left="137" w:right="98"/>
        <w:jc w:val="left"/>
      </w:pPr>
      <w:r>
        <w:rPr/>
        <w:t>根据《企业内部控制基本规范》、《企业内部控制配套指引》等法律法规的要求，为深化公司内 部控制建设，保证内部控制有效运行，公司成立了以董事会审计委员会为领导机构，稽核部、财 务部及相关业务部门人员为组员的实施小组，制定了内部控制建设工作计划与内部控制自我评价 工作计划。 公司按照风险导向原则确定纳入评价范围的主要单位、业务和事项以及高风险领域。本次内部控 制评价的范围涵盖了深圳市金证科技股份有限公司、深圳市齐普生信息科技有限公司、深圳市金 证博泽科技有限公司、深圳市金证软银科技有限公司、上海金证高科技有限公司、北京北方金证 科技有限公司、成都市金证科技有限责任公司、成都金证信息技术有限公司、金证财富南京科技 有限公司、南京金证信息技术有限公司的各种业务和事项，纳入评价范围的业务和事项包括：</w:t>
      </w:r>
      <w:r>
        <w:rPr>
          <w:spacing w:val="-57"/>
        </w:rPr>
        <w:t> </w:t>
      </w:r>
      <w:r>
        <w:rPr/>
        <w:t>组</w:t>
      </w:r>
      <w:r>
        <w:rPr/>
        <w:t> 织架构、发展战略、人力资源、社会责任、企业文化、全面预算、合同管理、内部信息传递、资 金活动、采购业务、资产管理、销售业务、研究与开发、工程项目、担保业务、业务外包、财务 报告。 </w:t>
      </w:r>
      <w:r>
        <w:rPr>
          <w:spacing w:val="-3"/>
        </w:rPr>
        <w:t>报告期内，公司按照计划切实地推进了内部控制制度建设，并按要求披露内部控制自我评价报告。</w:t>
      </w:r>
      <w:r>
        <w:rPr>
          <w:spacing w:val="-68"/>
        </w:rPr>
        <w:t> </w:t>
      </w:r>
      <w:r>
        <w:rPr>
          <w:spacing w:val="-68"/>
        </w:rPr>
      </w:r>
      <w:r>
        <w:rPr/>
        <w:t>内部控制自我评价报告详见</w:t>
      </w:r>
      <w:r>
        <w:rPr>
          <w:spacing w:val="-58"/>
        </w:rPr>
        <w:t> </w:t>
      </w:r>
      <w:r>
        <w:rPr/>
        <w:t>2015</w:t>
      </w:r>
      <w:r>
        <w:rPr>
          <w:spacing w:val="-57"/>
        </w:rPr>
        <w:t> </w:t>
      </w:r>
      <w:r>
        <w:rPr/>
        <w:t>年</w:t>
      </w:r>
      <w:r>
        <w:rPr>
          <w:spacing w:val="-59"/>
        </w:rPr>
        <w:t> </w:t>
      </w:r>
      <w:r>
        <w:rPr/>
        <w:t>3</w:t>
      </w:r>
      <w:r>
        <w:rPr>
          <w:spacing w:val="-57"/>
        </w:rPr>
        <w:t> </w:t>
      </w:r>
      <w:r>
        <w:rPr/>
        <w:t>月</w:t>
      </w:r>
      <w:r>
        <w:rPr>
          <w:spacing w:val="-59"/>
        </w:rPr>
        <w:t> </w:t>
      </w:r>
      <w:r>
        <w:rPr/>
        <w:t>20</w:t>
      </w:r>
      <w:r>
        <w:rPr>
          <w:spacing w:val="-57"/>
        </w:rPr>
        <w:t> </w:t>
      </w:r>
      <w:r>
        <w:rPr/>
        <w:t>日上海证券交易所网站相关公告。</w:t>
      </w:r>
    </w:p>
    <w:p>
      <w:pPr>
        <w:spacing w:line="240" w:lineRule="auto" w:before="0"/>
        <w:rPr>
          <w:rFonts w:ascii="宋体" w:hAnsi="宋体" w:cs="宋体" w:eastAsia="宋体" w:hint="default"/>
          <w:sz w:val="20"/>
          <w:szCs w:val="20"/>
        </w:rPr>
      </w:pPr>
    </w:p>
    <w:p>
      <w:pPr>
        <w:pStyle w:val="BodyText"/>
        <w:spacing w:line="240" w:lineRule="auto" w:before="167"/>
        <w:ind w:left="137" w:right="98"/>
        <w:jc w:val="left"/>
      </w:pPr>
      <w:r>
        <w:rPr/>
        <w:t>是否披露内部控制自我评价报告：是</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3"/>
        <w:spacing w:line="240" w:lineRule="auto" w:before="0"/>
        <w:ind w:left="137" w:right="98"/>
        <w:jc w:val="left"/>
        <w:rPr>
          <w:b w:val="0"/>
          <w:bCs w:val="0"/>
        </w:rPr>
      </w:pPr>
      <w:r>
        <w:rPr/>
        <w:t>二、内部控制审计报告的相关情况说明</w:t>
      </w:r>
      <w:r>
        <w:rPr>
          <w:b w:val="0"/>
          <w:bCs w:val="0"/>
        </w:rPr>
      </w:r>
    </w:p>
    <w:p>
      <w:pPr>
        <w:spacing w:line="240" w:lineRule="auto" w:before="3"/>
        <w:rPr>
          <w:rFonts w:ascii="宋体" w:hAnsi="宋体" w:cs="宋体" w:eastAsia="宋体" w:hint="default"/>
          <w:b/>
          <w:bCs/>
          <w:sz w:val="14"/>
          <w:szCs w:val="14"/>
        </w:rPr>
      </w:pPr>
    </w:p>
    <w:p>
      <w:pPr>
        <w:pStyle w:val="BodyText"/>
        <w:spacing w:line="348" w:lineRule="auto"/>
        <w:ind w:left="137" w:right="207"/>
        <w:jc w:val="left"/>
      </w:pPr>
      <w:r>
        <w:rPr/>
        <w:t>公司聘请大华会计师事务所（特殊普通合伙）对公司财务报告相关内部控制有效性进行审计，并 出具审计报告。内部控制审计报告详见</w:t>
      </w:r>
      <w:r>
        <w:rPr>
          <w:spacing w:val="-59"/>
        </w:rPr>
        <w:t> </w:t>
      </w:r>
      <w:r>
        <w:rPr/>
        <w:t>2015</w:t>
      </w:r>
      <w:r>
        <w:rPr>
          <w:spacing w:val="-58"/>
        </w:rPr>
        <w:t> </w:t>
      </w:r>
      <w:r>
        <w:rPr/>
        <w:t>年</w:t>
      </w:r>
      <w:r>
        <w:rPr>
          <w:spacing w:val="-60"/>
        </w:rPr>
        <w:t> </w:t>
      </w:r>
      <w:r>
        <w:rPr/>
        <w:t>3</w:t>
      </w:r>
      <w:r>
        <w:rPr>
          <w:spacing w:val="-58"/>
        </w:rPr>
        <w:t> </w:t>
      </w:r>
      <w:r>
        <w:rPr/>
        <w:t>月</w:t>
      </w:r>
      <w:r>
        <w:rPr>
          <w:spacing w:val="-60"/>
        </w:rPr>
        <w:t> </w:t>
      </w:r>
      <w:r>
        <w:rPr/>
        <w:t>20</w:t>
      </w:r>
      <w:r>
        <w:rPr>
          <w:spacing w:val="-58"/>
        </w:rPr>
        <w:t> </w:t>
      </w:r>
      <w:r>
        <w:rPr/>
        <w:t>日上海证券交易所网站相关公告。</w:t>
      </w:r>
    </w:p>
    <w:p>
      <w:pPr>
        <w:spacing w:line="240" w:lineRule="auto" w:before="0"/>
        <w:rPr>
          <w:rFonts w:ascii="宋体" w:hAnsi="宋体" w:cs="宋体" w:eastAsia="宋体" w:hint="default"/>
          <w:sz w:val="20"/>
          <w:szCs w:val="20"/>
        </w:rPr>
      </w:pPr>
    </w:p>
    <w:p>
      <w:pPr>
        <w:pStyle w:val="BodyText"/>
        <w:spacing w:line="240" w:lineRule="auto" w:before="169"/>
        <w:ind w:left="137" w:right="98"/>
        <w:jc w:val="left"/>
      </w:pPr>
      <w:r>
        <w:rPr/>
        <w:t>是否披露内部控制审计报告：是</w:t>
      </w:r>
    </w:p>
    <w:p>
      <w:pPr>
        <w:spacing w:after="0" w:line="240" w:lineRule="auto"/>
        <w:jc w:val="left"/>
        <w:sectPr>
          <w:pgSz w:w="11910" w:h="16840"/>
          <w:pgMar w:header="882" w:footer="1197"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Heading3"/>
        <w:spacing w:line="240" w:lineRule="auto"/>
        <w:ind w:left="137" w:right="0"/>
        <w:jc w:val="both"/>
        <w:rPr>
          <w:b w:val="0"/>
          <w:bCs w:val="0"/>
        </w:rPr>
      </w:pPr>
      <w:r>
        <w:rPr/>
        <w:t>三、年度报告重大差错责任追究制度及相关执行情况说明</w:t>
      </w:r>
      <w:r>
        <w:rPr>
          <w:b w:val="0"/>
          <w:bCs w:val="0"/>
        </w:rPr>
      </w:r>
    </w:p>
    <w:p>
      <w:pPr>
        <w:spacing w:line="240" w:lineRule="auto" w:before="3"/>
        <w:rPr>
          <w:rFonts w:ascii="宋体" w:hAnsi="宋体" w:cs="宋体" w:eastAsia="宋体" w:hint="default"/>
          <w:b/>
          <w:bCs/>
          <w:sz w:val="14"/>
          <w:szCs w:val="14"/>
        </w:rPr>
      </w:pPr>
    </w:p>
    <w:p>
      <w:pPr>
        <w:pStyle w:val="BodyText"/>
        <w:spacing w:line="348" w:lineRule="auto"/>
        <w:ind w:left="137" w:right="132"/>
        <w:jc w:val="both"/>
      </w:pPr>
      <w:r>
        <w:rPr/>
        <w:t>公司第三届</w:t>
      </w:r>
      <w:r>
        <w:rPr>
          <w:spacing w:val="-51"/>
        </w:rPr>
        <w:t> </w:t>
      </w:r>
      <w:r>
        <w:rPr/>
        <w:t>2010</w:t>
      </w:r>
      <w:r>
        <w:rPr>
          <w:spacing w:val="-50"/>
        </w:rPr>
        <w:t> </w:t>
      </w:r>
      <w:r>
        <w:rPr>
          <w:spacing w:val="-4"/>
        </w:rPr>
        <w:t>年第二次董事会审议通过了《关于修订公司相关制度的议案》，其中对年报信息</w:t>
      </w:r>
      <w:r>
        <w:rPr>
          <w:spacing w:val="-103"/>
        </w:rPr>
        <w:t> </w:t>
      </w:r>
      <w:r>
        <w:rPr>
          <w:spacing w:val="-103"/>
        </w:rPr>
      </w:r>
      <w:r>
        <w:rPr/>
        <w:t>披露差错责任追究做了具体规定，明确了对年报信息披露差错责任人的问责措施。报告期内，公</w:t>
      </w:r>
      <w:r>
        <w:rPr/>
        <w:t> 司未出现重大会计差错更正、重大遗漏信息补充及业绩预告更正等年报信息披露重大差错。</w:t>
      </w:r>
    </w:p>
    <w:p>
      <w:pPr>
        <w:spacing w:after="0" w:line="348" w:lineRule="auto"/>
        <w:jc w:val="both"/>
        <w:sectPr>
          <w:footerReference w:type="default" r:id="rId64"/>
          <w:pgSz w:w="11910" w:h="16840"/>
          <w:pgMar w:footer="1197" w:header="882"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1"/>
        <w:tabs>
          <w:tab w:pos="1263" w:val="left" w:leader="none"/>
        </w:tabs>
        <w:spacing w:line="240" w:lineRule="auto"/>
        <w:ind w:left="3" w:right="0"/>
        <w:jc w:val="center"/>
        <w:rPr>
          <w:rFonts w:ascii="宋体" w:hAnsi="宋体" w:cs="宋体" w:eastAsia="宋体" w:hint="default"/>
          <w:b w:val="0"/>
          <w:bCs w:val="0"/>
        </w:rPr>
      </w:pPr>
      <w:bookmarkStart w:name="_TOC_250001" w:id="8"/>
      <w:r>
        <w:rPr>
          <w:rFonts w:ascii="宋体" w:hAnsi="宋体" w:cs="宋体" w:eastAsia="宋体" w:hint="default"/>
          <w:w w:val="95"/>
        </w:rPr>
        <w:t>第十节</w:t>
        <w:tab/>
      </w:r>
      <w:r>
        <w:rPr>
          <w:rFonts w:ascii="宋体" w:hAnsi="宋体" w:cs="宋体" w:eastAsia="宋体" w:hint="default"/>
        </w:rPr>
        <w:t>财务报告</w:t>
      </w:r>
      <w:bookmarkEnd w:id="8"/>
      <w:r>
        <w:rPr>
          <w:rFonts w:ascii="宋体" w:hAnsi="宋体" w:cs="宋体" w:eastAsia="宋体" w:hint="default"/>
          <w:b w:val="0"/>
          <w:bCs w:val="0"/>
        </w:rPr>
      </w:r>
    </w:p>
    <w:p>
      <w:pPr>
        <w:spacing w:line="240" w:lineRule="auto" w:before="5"/>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footerReference w:type="default" r:id="rId65"/>
          <w:pgSz w:w="11910" w:h="16840"/>
          <w:pgMar w:footer="1197" w:header="882" w:top="1120" w:bottom="1380" w:left="1660" w:right="1140"/>
          <w:pgNumType w:start="51"/>
        </w:sectPr>
      </w:pPr>
    </w:p>
    <w:p>
      <w:pPr>
        <w:pStyle w:val="BodyText"/>
        <w:spacing w:line="240" w:lineRule="auto" w:before="35"/>
        <w:ind w:left="137" w:right="-20"/>
        <w:jc w:val="left"/>
      </w:pPr>
      <w:r>
        <w:rPr/>
        <w:t>审计报告</w:t>
      </w:r>
    </w:p>
    <w:p>
      <w:pPr>
        <w:spacing w:line="240" w:lineRule="auto" w:before="2"/>
        <w:rPr>
          <w:rFonts w:ascii="宋体" w:hAnsi="宋体" w:cs="宋体" w:eastAsia="宋体" w:hint="default"/>
          <w:sz w:val="22"/>
          <w:szCs w:val="22"/>
        </w:rPr>
      </w:pPr>
      <w:r>
        <w:rPr/>
        <w:br w:type="column"/>
      </w:r>
      <w:r>
        <w:rPr>
          <w:rFonts w:ascii="宋体"/>
          <w:sz w:val="22"/>
        </w:rPr>
      </w:r>
    </w:p>
    <w:p>
      <w:pPr>
        <w:spacing w:before="0"/>
        <w:ind w:left="137" w:right="0" w:firstLine="0"/>
        <w:jc w:val="left"/>
        <w:rPr>
          <w:rFonts w:ascii="黑体" w:hAnsi="黑体" w:cs="黑体" w:eastAsia="黑体" w:hint="default"/>
          <w:sz w:val="32"/>
          <w:szCs w:val="32"/>
        </w:rPr>
      </w:pPr>
      <w:r>
        <w:rPr>
          <w:rFonts w:ascii="黑体" w:hAnsi="黑体" w:cs="黑体" w:eastAsia="黑体" w:hint="default"/>
          <w:b/>
          <w:bCs/>
          <w:sz w:val="32"/>
          <w:szCs w:val="32"/>
        </w:rPr>
        <w:t>审 计 报</w:t>
      </w:r>
      <w:r>
        <w:rPr>
          <w:rFonts w:ascii="黑体" w:hAnsi="黑体" w:cs="黑体" w:eastAsia="黑体" w:hint="default"/>
          <w:b/>
          <w:bCs/>
          <w:spacing w:val="-7"/>
          <w:sz w:val="32"/>
          <w:szCs w:val="32"/>
        </w:rPr>
        <w:t> </w:t>
      </w:r>
      <w:r>
        <w:rPr>
          <w:rFonts w:ascii="黑体" w:hAnsi="黑体" w:cs="黑体" w:eastAsia="黑体" w:hint="default"/>
          <w:b/>
          <w:bCs/>
          <w:sz w:val="32"/>
          <w:szCs w:val="32"/>
        </w:rPr>
        <w:t>告</w:t>
      </w:r>
      <w:r>
        <w:rPr>
          <w:rFonts w:ascii="黑体" w:hAnsi="黑体" w:cs="黑体" w:eastAsia="黑体" w:hint="default"/>
          <w:sz w:val="32"/>
          <w:szCs w:val="32"/>
        </w:rPr>
      </w:r>
    </w:p>
    <w:p>
      <w:pPr>
        <w:spacing w:after="0"/>
        <w:jc w:val="left"/>
        <w:rPr>
          <w:rFonts w:ascii="黑体" w:hAnsi="黑体" w:cs="黑体" w:eastAsia="黑体" w:hint="default"/>
          <w:sz w:val="32"/>
          <w:szCs w:val="32"/>
        </w:rPr>
        <w:sectPr>
          <w:type w:val="continuous"/>
          <w:pgSz w:w="11910" w:h="16840"/>
          <w:pgMar w:top="1080" w:bottom="1380" w:left="1660" w:right="1140"/>
          <w:cols w:num="2" w:equalWidth="0">
            <w:col w:w="978" w:space="2475"/>
            <w:col w:w="5657"/>
          </w:cols>
        </w:sect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18"/>
          <w:szCs w:val="18"/>
        </w:rPr>
      </w:pPr>
    </w:p>
    <w:p>
      <w:pPr>
        <w:pStyle w:val="Heading3"/>
        <w:spacing w:line="240" w:lineRule="auto"/>
        <w:ind w:left="137" w:right="127"/>
        <w:jc w:val="left"/>
        <w:rPr>
          <w:b w:val="0"/>
          <w:bCs w:val="0"/>
        </w:rPr>
      </w:pPr>
      <w:r>
        <w:rPr/>
        <w:t>大华审字[2015] 003278</w:t>
      </w:r>
      <w:r>
        <w:rPr>
          <w:spacing w:val="-14"/>
        </w:rPr>
        <w:t> </w:t>
      </w:r>
      <w:r>
        <w:rPr/>
        <w:t>号</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pStyle w:val="BodyText"/>
        <w:spacing w:line="350" w:lineRule="auto"/>
        <w:ind w:left="137" w:right="127"/>
        <w:jc w:val="left"/>
      </w:pPr>
      <w:r>
        <w:rPr>
          <w:rFonts w:ascii="宋体" w:hAnsi="宋体" w:cs="宋体" w:eastAsia="宋体" w:hint="default"/>
          <w:b/>
          <w:bCs/>
        </w:rPr>
        <w:t>深圳市金证科技股份有限公司全体股东：</w:t>
      </w:r>
      <w:r>
        <w:rPr>
          <w:rFonts w:ascii="宋体" w:hAnsi="宋体" w:cs="宋体" w:eastAsia="宋体" w:hint="default"/>
          <w:b/>
          <w:bCs/>
          <w:spacing w:val="1"/>
          <w:w w:val="99"/>
        </w:rPr>
        <w:t> </w:t>
      </w:r>
      <w:r>
        <w:rPr/>
        <w:t>我们审计了后附的深圳市金证科技股份有限公司(以下简称深圳市金证科技股份有限公司)财务报 表，包括</w:t>
      </w:r>
      <w:r>
        <w:rPr>
          <w:spacing w:val="-58"/>
        </w:rPr>
        <w:t> </w:t>
      </w:r>
      <w:r>
        <w:rPr/>
        <w:t>2014</w:t>
      </w:r>
      <w:r>
        <w:rPr>
          <w:spacing w:val="-57"/>
        </w:rPr>
        <w:t> </w:t>
      </w:r>
      <w:r>
        <w:rPr/>
        <w:t>年</w:t>
      </w:r>
      <w:r>
        <w:rPr>
          <w:spacing w:val="-59"/>
        </w:rPr>
        <w:t> </w:t>
      </w:r>
      <w:r>
        <w:rPr/>
        <w:t>12</w:t>
      </w:r>
      <w:r>
        <w:rPr>
          <w:spacing w:val="-58"/>
        </w:rPr>
        <w:t> </w:t>
      </w:r>
      <w:r>
        <w:rPr/>
        <w:t>月</w:t>
      </w:r>
      <w:r>
        <w:rPr>
          <w:spacing w:val="-58"/>
        </w:rPr>
        <w:t> </w:t>
      </w:r>
      <w:r>
        <w:rPr/>
        <w:t>31</w:t>
      </w:r>
      <w:r>
        <w:rPr>
          <w:spacing w:val="-58"/>
        </w:rPr>
        <w:t> </w:t>
      </w:r>
      <w:r>
        <w:rPr/>
        <w:t>日的合并及母公司资产负债表，2014</w:t>
      </w:r>
      <w:r>
        <w:rPr>
          <w:spacing w:val="-57"/>
        </w:rPr>
        <w:t> </w:t>
      </w:r>
      <w:r>
        <w:rPr/>
        <w:t>年度的合并及母公司利润表、合</w:t>
      </w:r>
      <w:r>
        <w:rPr>
          <w:spacing w:val="-1"/>
        </w:rPr>
        <w:t> </w:t>
      </w:r>
      <w:r>
        <w:rPr/>
        <w:t>并及母公司现金流量表、合并及母公司股东权益变动表，以及财务报表附注。</w:t>
      </w:r>
      <w:r>
        <w:rPr/>
        <w:t> </w:t>
      </w:r>
      <w:r>
        <w:rPr>
          <w:rFonts w:ascii="宋体" w:hAnsi="宋体" w:cs="宋体" w:eastAsia="宋体" w:hint="default"/>
          <w:b/>
          <w:bCs/>
        </w:rPr>
        <w:t>一、管理层对财务报表的责任</w:t>
      </w:r>
      <w:r>
        <w:rPr>
          <w:rFonts w:ascii="宋体" w:hAnsi="宋体" w:cs="宋体" w:eastAsia="宋体" w:hint="default"/>
          <w:b/>
          <w:bCs/>
          <w:spacing w:val="1"/>
          <w:w w:val="99"/>
        </w:rPr>
        <w:t> </w:t>
      </w:r>
      <w:r>
        <w:rPr>
          <w:spacing w:val="-4"/>
        </w:rPr>
        <w:t>编制和公允列报财务报表是深圳市金证科技股份有限公司管理层的责任，这种责任包括：（1）按</w:t>
      </w:r>
      <w:r>
        <w:rPr>
          <w:spacing w:val="-64"/>
        </w:rPr>
        <w:t> </w:t>
      </w:r>
      <w:r>
        <w:rPr>
          <w:spacing w:val="-64"/>
        </w:rPr>
      </w:r>
      <w:r>
        <w:rPr>
          <w:spacing w:val="-4"/>
        </w:rPr>
        <w:t>照企业会计准则的规定编制财务报表，并使其实现公允反映；（2）设计、执行和维护必要的内部</w:t>
      </w:r>
      <w:r>
        <w:rPr>
          <w:spacing w:val="-63"/>
        </w:rPr>
        <w:t> </w:t>
      </w:r>
      <w:r>
        <w:rPr>
          <w:spacing w:val="-63"/>
        </w:rPr>
      </w:r>
      <w:r>
        <w:rPr/>
        <w:t>控制，以使财务报表不存在由于舞弊或错误导致的重大错报。</w:t>
      </w:r>
    </w:p>
    <w:p>
      <w:pPr>
        <w:pStyle w:val="BodyText"/>
        <w:spacing w:line="350" w:lineRule="auto" w:before="29"/>
        <w:ind w:left="137" w:right="127"/>
        <w:jc w:val="left"/>
      </w:pPr>
      <w:r>
        <w:rPr>
          <w:rFonts w:ascii="宋体" w:hAnsi="宋体" w:cs="宋体" w:eastAsia="宋体" w:hint="default"/>
          <w:b/>
          <w:bCs/>
        </w:rPr>
        <w:t>二、注册会计师的责任</w:t>
      </w:r>
      <w:r>
        <w:rPr>
          <w:rFonts w:ascii="宋体" w:hAnsi="宋体" w:cs="宋体" w:eastAsia="宋体" w:hint="default"/>
          <w:b/>
          <w:bCs/>
          <w:w w:val="99"/>
        </w:rPr>
        <w:t> </w:t>
      </w:r>
      <w:r>
        <w:rPr/>
        <w:t>我们的责任是在执行审计工作的基础上对财务报表发表审计意见。我们按照中国注册会计师审计 准则的规定执行了审计工作。中国注册会计师审计准则要求我们遵守职业道德守则，计划和执行 审计工作以对财务报表是否不存在重大错报获取合理保证。 审计工作涉及实施审计程序，以获取有关财务报表金额和披露的审计证据。选择的审计程序取决 于注册会计师的判断，包括对由于舞弊或错误导致的财务报表重大错报风险的评估。在进行风险 评估时，注册会计师考虑与财务报表编制和公允列报相关的内部控制，以设计恰当的审计程序。 审计工作还包括评价管理层选用会计政策的恰当性和作出会计估计的合理性，以及评价财务报表 的总体列报。</w:t>
      </w:r>
    </w:p>
    <w:p>
      <w:pPr>
        <w:pStyle w:val="BodyText"/>
        <w:spacing w:line="348" w:lineRule="auto" w:before="29"/>
        <w:ind w:left="137" w:right="1597"/>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50" w:lineRule="auto" w:before="30"/>
        <w:ind w:left="137" w:right="127"/>
        <w:jc w:val="left"/>
      </w:pPr>
      <w:r>
        <w:rPr/>
        <w:t>我们认为，深圳市金证科技股份有限公司的财务报表在所有重大方面按照企业会计准则的规定编 制，公允反映了深圳市金证科技股份有限公司</w:t>
      </w:r>
      <w:r>
        <w:rPr>
          <w:spacing w:val="-54"/>
        </w:rPr>
        <w:t> </w:t>
      </w:r>
      <w:r>
        <w:rPr/>
        <w:t>2014</w:t>
      </w:r>
      <w:r>
        <w:rPr>
          <w:spacing w:val="-53"/>
        </w:rPr>
        <w:t> </w:t>
      </w:r>
      <w:r>
        <w:rPr/>
        <w:t>年</w:t>
      </w:r>
      <w:r>
        <w:rPr>
          <w:spacing w:val="-55"/>
        </w:rPr>
        <w:t> </w:t>
      </w:r>
      <w:r>
        <w:rPr/>
        <w:t>12</w:t>
      </w:r>
      <w:r>
        <w:rPr>
          <w:spacing w:val="-54"/>
        </w:rPr>
        <w:t> </w:t>
      </w:r>
      <w:r>
        <w:rPr/>
        <w:t>月</w:t>
      </w:r>
      <w:r>
        <w:rPr>
          <w:spacing w:val="-55"/>
        </w:rPr>
        <w:t> </w:t>
      </w:r>
      <w:r>
        <w:rPr/>
        <w:t>31</w:t>
      </w:r>
      <w:r>
        <w:rPr>
          <w:spacing w:val="-53"/>
        </w:rPr>
        <w:t> </w:t>
      </w:r>
      <w:r>
        <w:rPr/>
        <w:t>日的合并及母公司财务状况以及</w:t>
      </w:r>
    </w:p>
    <w:p>
      <w:pPr>
        <w:pStyle w:val="BodyText"/>
        <w:spacing w:line="240" w:lineRule="auto" w:before="28"/>
        <w:ind w:left="137" w:right="127"/>
        <w:jc w:val="left"/>
      </w:pPr>
      <w:r>
        <w:rPr/>
        <w:t>2014</w:t>
      </w:r>
      <w:r>
        <w:rPr>
          <w:spacing w:val="-54"/>
        </w:rPr>
        <w:t> </w:t>
      </w:r>
      <w:r>
        <w:rPr/>
        <w:t>年度的合并及母公司经营成果和现金流量。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tabs>
          <w:tab w:pos="4902" w:val="left" w:leader="none"/>
        </w:tabs>
        <w:spacing w:line="240" w:lineRule="auto"/>
        <w:ind w:left="177" w:right="127"/>
        <w:jc w:val="left"/>
      </w:pPr>
      <w:r>
        <w:rPr>
          <w:spacing w:val="-1"/>
        </w:rPr>
        <w:t>大华会计师事务所(特殊普通合伙)</w:t>
        <w:tab/>
      </w:r>
      <w:r>
        <w:rPr/>
        <w:t>中国注册会计师：周珊珊</w:t>
      </w:r>
    </w:p>
    <w:p>
      <w:pPr>
        <w:spacing w:after="0" w:line="240" w:lineRule="auto"/>
        <w:jc w:val="left"/>
        <w:sectPr>
          <w:type w:val="continuous"/>
          <w:pgSz w:w="11910" w:h="16840"/>
          <w:pgMar w:top="108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tabs>
          <w:tab w:pos="4982" w:val="left" w:leader="none"/>
        </w:tabs>
        <w:spacing w:line="240" w:lineRule="auto" w:before="35"/>
        <w:ind w:left="257" w:right="114"/>
        <w:jc w:val="left"/>
      </w:pPr>
      <w:r>
        <w:rPr/>
        <w:t>中国</w:t>
      </w:r>
      <w:r>
        <w:rPr>
          <w:rFonts w:ascii="宋体" w:hAnsi="宋体" w:cs="宋体" w:eastAsia="宋体" w:hint="default"/>
          <w:b/>
          <w:bCs/>
        </w:rPr>
        <w:t>·</w:t>
      </w:r>
      <w:r>
        <w:rPr/>
        <w:t>北京</w:t>
        <w:tab/>
        <w:t>中国注册会计师：陈纯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240" w:lineRule="auto"/>
        <w:ind w:left="4982" w:right="114"/>
        <w:jc w:val="left"/>
      </w:pPr>
      <w:r>
        <w:rPr/>
        <w:t>二〇一五年三月十八日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line="272" w:lineRule="exact" w:before="0"/>
        <w:ind w:left="217" w:right="7321" w:firstLine="0"/>
        <w:jc w:val="left"/>
        <w:rPr>
          <w:rFonts w:ascii="宋体" w:hAnsi="宋体" w:cs="宋体" w:eastAsia="宋体" w:hint="default"/>
          <w:sz w:val="21"/>
          <w:szCs w:val="21"/>
        </w:rPr>
      </w:pPr>
      <w:r>
        <w:rPr>
          <w:rFonts w:ascii="宋体" w:hAnsi="宋体" w:cs="宋体" w:eastAsia="宋体" w:hint="default"/>
          <w:sz w:val="21"/>
          <w:szCs w:val="21"/>
        </w:rPr>
        <w:t>财务报表 </w:t>
      </w: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BodyText"/>
        <w:tabs>
          <w:tab w:pos="1163" w:val="left" w:leader="none"/>
        </w:tabs>
        <w:spacing w:line="272" w:lineRule="exact"/>
        <w:ind w:right="5284"/>
        <w:jc w:val="left"/>
      </w:pPr>
      <w:r>
        <w:rPr/>
        <w:t>编制单位: 深圳市金证科技股份有限公司 单位:元</w:t>
        <w:tab/>
        <w:t>币种:人民币</w:t>
      </w:r>
    </w:p>
    <w:tbl>
      <w:tblPr>
        <w:tblW w:w="0" w:type="auto"/>
        <w:jc w:val="left"/>
        <w:tblInd w:w="102" w:type="dxa"/>
        <w:tblLayout w:type="fixed"/>
        <w:tblCellMar>
          <w:top w:w="0" w:type="dxa"/>
          <w:left w:w="0" w:type="dxa"/>
          <w:bottom w:w="0" w:type="dxa"/>
          <w:right w:w="0" w:type="dxa"/>
        </w:tblCellMar>
        <w:tblLook w:val="01E0"/>
      </w:tblPr>
      <w:tblGrid>
        <w:gridCol w:w="3936"/>
        <w:gridCol w:w="992"/>
        <w:gridCol w:w="1984"/>
        <w:gridCol w:w="2137"/>
      </w:tblGrid>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113"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4"/>
                <w:sz w:val="21"/>
                <w:szCs w:val="21"/>
              </w:rPr>
              <w:t> </w:t>
            </w:r>
            <w:r>
              <w:rPr>
                <w:rFonts w:ascii="宋体" w:hAnsi="宋体" w:cs="宋体" w:eastAsia="宋体" w:hint="default"/>
                <w:sz w:val="21"/>
                <w:szCs w:val="21"/>
              </w:rPr>
              <w:t>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252,015,410.81</w:t>
            </w:r>
            <w:r>
              <w:rPr>
                <w:rFonts w:ascii="宋体"/>
                <w:sz w:val="21"/>
              </w:rPr>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306,279,412.25</w:t>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的金融资产</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45,883,593.32</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27,360,977.28</w:t>
            </w:r>
            <w:r>
              <w:rPr>
                <w:rFonts w:ascii="宋体"/>
                <w:sz w:val="21"/>
              </w:rPr>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4"/>
                <w:sz w:val="21"/>
                <w:szCs w:val="21"/>
              </w:rPr>
              <w:t> </w:t>
            </w:r>
            <w:r>
              <w:rPr>
                <w:rFonts w:ascii="宋体" w:hAnsi="宋体" w:cs="宋体" w:eastAsia="宋体" w:hint="default"/>
                <w:sz w:val="21"/>
                <w:szCs w:val="21"/>
              </w:rPr>
              <w:t>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203,811,616.66</w:t>
            </w:r>
            <w:r>
              <w:rPr>
                <w:rFonts w:ascii="宋体"/>
                <w:sz w:val="21"/>
              </w:rPr>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219,299,313.03</w:t>
            </w:r>
            <w:r>
              <w:rPr>
                <w:rFonts w:ascii="宋体"/>
                <w:sz w:val="21"/>
              </w:rPr>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4"/>
                <w:sz w:val="21"/>
                <w:szCs w:val="21"/>
              </w:rPr>
              <w:t> </w:t>
            </w:r>
            <w:r>
              <w:rPr>
                <w:rFonts w:ascii="宋体" w:hAnsi="宋体" w:cs="宋体" w:eastAsia="宋体" w:hint="default"/>
                <w:sz w:val="21"/>
                <w:szCs w:val="21"/>
              </w:rPr>
              <w:t>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30,599,219.69</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42,253,821.98</w:t>
            </w:r>
            <w:r>
              <w:rPr>
                <w:rFonts w:ascii="宋体"/>
                <w:sz w:val="21"/>
              </w:rPr>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4"/>
                <w:sz w:val="21"/>
                <w:szCs w:val="21"/>
              </w:rPr>
              <w:t> </w:t>
            </w:r>
            <w:r>
              <w:rPr>
                <w:rFonts w:ascii="宋体" w:hAnsi="宋体" w:cs="宋体" w:eastAsia="宋体" w:hint="default"/>
                <w:sz w:val="21"/>
                <w:szCs w:val="21"/>
              </w:rPr>
              <w:t>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33,062,546.04</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38,910,929.61</w:t>
            </w:r>
            <w:r>
              <w:rPr>
                <w:rFonts w:ascii="宋体"/>
                <w:sz w:val="21"/>
              </w:rPr>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宋体" w:hAnsi="宋体" w:cs="宋体" w:eastAsia="宋体" w:hint="default"/>
                <w:sz w:val="21"/>
                <w:szCs w:val="21"/>
              </w:rPr>
              <w:t>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520,710,390.11</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461,168,501.20</w:t>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4"/>
                <w:sz w:val="21"/>
                <w:szCs w:val="21"/>
              </w:rPr>
              <w:t> </w:t>
            </w:r>
            <w:r>
              <w:rPr>
                <w:rFonts w:ascii="宋体" w:hAnsi="宋体" w:cs="宋体" w:eastAsia="宋体" w:hint="default"/>
                <w:sz w:val="21"/>
                <w:szCs w:val="21"/>
              </w:rPr>
              <w:t>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41,520,877.70</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61,006,477.96</w:t>
            </w:r>
            <w:r>
              <w:rPr>
                <w:rFonts w:ascii="宋体"/>
                <w:sz w:val="21"/>
              </w:rPr>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1,127,603,654.33</w:t>
            </w:r>
            <w:r>
              <w:rPr>
                <w:rFonts w:ascii="宋体"/>
                <w:sz w:val="21"/>
              </w:rPr>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1,156,279,433.31</w:t>
            </w:r>
            <w:r>
              <w:rPr>
                <w:rFonts w:ascii="宋体"/>
                <w:sz w:val="21"/>
              </w:rPr>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113"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4"/>
                <w:sz w:val="21"/>
                <w:szCs w:val="21"/>
              </w:rPr>
              <w:t> </w:t>
            </w:r>
            <w:r>
              <w:rPr>
                <w:rFonts w:ascii="宋体" w:hAnsi="宋体" w:cs="宋体" w:eastAsia="宋体" w:hint="default"/>
                <w:sz w:val="21"/>
                <w:szCs w:val="21"/>
              </w:rPr>
              <w:t>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35,600,000.00</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10,400,000.00</w:t>
            </w:r>
            <w:r>
              <w:rPr>
                <w:rFonts w:ascii="宋体"/>
                <w:sz w:val="21"/>
              </w:rPr>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4"/>
                <w:sz w:val="21"/>
                <w:szCs w:val="21"/>
              </w:rPr>
              <w:t> </w:t>
            </w:r>
            <w:r>
              <w:rPr>
                <w:rFonts w:ascii="宋体" w:hAnsi="宋体" w:cs="宋体" w:eastAsia="宋体" w:hint="default"/>
                <w:sz w:val="21"/>
                <w:szCs w:val="21"/>
              </w:rPr>
              <w:t>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506,346,464.60</w:t>
            </w:r>
            <w:r>
              <w:rPr>
                <w:rFonts w:ascii="宋体"/>
                <w:sz w:val="21"/>
              </w:rPr>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462,781,544.49</w:t>
            </w:r>
            <w:r>
              <w:rPr>
                <w:rFonts w:ascii="宋体"/>
                <w:sz w:val="21"/>
              </w:rPr>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6"/>
                <w:sz w:val="21"/>
                <w:szCs w:val="21"/>
              </w:rPr>
              <w:t> </w:t>
            </w:r>
            <w:r>
              <w:rPr>
                <w:rFonts w:ascii="宋体" w:hAnsi="宋体" w:cs="宋体" w:eastAsia="宋体" w:hint="default"/>
                <w:sz w:val="21"/>
                <w:szCs w:val="21"/>
              </w:rPr>
              <w:t>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28,080,992.07</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14,911,959.28</w:t>
            </w:r>
            <w:r>
              <w:rPr>
                <w:rFonts w:ascii="宋体"/>
                <w:sz w:val="21"/>
              </w:rPr>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6"/>
                <w:sz w:val="21"/>
                <w:szCs w:val="21"/>
              </w:rPr>
              <w:t> </w:t>
            </w:r>
            <w:r>
              <w:rPr>
                <w:rFonts w:ascii="宋体" w:hAnsi="宋体" w:cs="宋体" w:eastAsia="宋体" w:hint="default"/>
                <w:sz w:val="21"/>
                <w:szCs w:val="21"/>
              </w:rPr>
              <w:t>11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73,245,693.68</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77,866,803.51</w:t>
            </w:r>
            <w:r>
              <w:rPr>
                <w:rFonts w:ascii="宋体"/>
                <w:sz w:val="21"/>
              </w:rPr>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6"/>
                <w:sz w:val="21"/>
                <w:szCs w:val="21"/>
              </w:rPr>
              <w:t> </w:t>
            </w:r>
            <w:r>
              <w:rPr>
                <w:rFonts w:ascii="宋体" w:hAnsi="宋体" w:cs="宋体" w:eastAsia="宋体" w:hint="default"/>
                <w:sz w:val="21"/>
                <w:szCs w:val="21"/>
              </w:rPr>
              <w:t>12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77,171,939.66</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51,199,440.84</w:t>
            </w:r>
            <w:r>
              <w:rPr>
                <w:rFonts w:ascii="宋体"/>
                <w:sz w:val="21"/>
              </w:rPr>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2" w:footer="1197"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936"/>
        <w:gridCol w:w="992"/>
        <w:gridCol w:w="1984"/>
        <w:gridCol w:w="2137"/>
      </w:tblGrid>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6"/>
                <w:sz w:val="21"/>
                <w:szCs w:val="21"/>
              </w:rPr>
              <w:t> </w:t>
            </w:r>
            <w:r>
              <w:rPr>
                <w:rFonts w:ascii="宋体" w:hAnsi="宋体" w:cs="宋体" w:eastAsia="宋体" w:hint="default"/>
                <w:sz w:val="21"/>
                <w:szCs w:val="21"/>
              </w:rPr>
              <w:t>13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63,034,317.12</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21,889,180.78</w:t>
            </w:r>
            <w:r>
              <w:rPr>
                <w:rFonts w:ascii="宋体"/>
                <w:sz w:val="21"/>
              </w:rPr>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6"/>
                <w:sz w:val="21"/>
                <w:szCs w:val="21"/>
              </w:rPr>
              <w:t> </w:t>
            </w:r>
            <w:r>
              <w:rPr>
                <w:rFonts w:ascii="宋体" w:hAnsi="宋体" w:cs="宋体" w:eastAsia="宋体" w:hint="default"/>
                <w:sz w:val="21"/>
                <w:szCs w:val="21"/>
              </w:rPr>
              <w:t>14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3,472,820.52</w:t>
            </w:r>
            <w:r>
              <w:rPr>
                <w:rFonts w:ascii="宋体"/>
                <w:sz w:val="21"/>
              </w:rPr>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5,852,484.25</w:t>
            </w:r>
            <w:r>
              <w:rPr>
                <w:rFonts w:ascii="宋体"/>
                <w:sz w:val="21"/>
              </w:rPr>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6"/>
                <w:sz w:val="21"/>
                <w:szCs w:val="21"/>
              </w:rPr>
              <w:t> </w:t>
            </w:r>
            <w:r>
              <w:rPr>
                <w:rFonts w:ascii="宋体" w:hAnsi="宋体" w:cs="宋体" w:eastAsia="宋体" w:hint="default"/>
                <w:sz w:val="21"/>
                <w:szCs w:val="21"/>
              </w:rPr>
              <w:t>15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4,269,099.96</w:t>
            </w:r>
            <w:r>
              <w:rPr>
                <w:rFonts w:ascii="宋体"/>
                <w:sz w:val="21"/>
              </w:rPr>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4,103,147.27</w:t>
            </w:r>
            <w:r>
              <w:rPr>
                <w:rFonts w:ascii="宋体"/>
                <w:sz w:val="21"/>
              </w:rPr>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791,221,327.61</w:t>
            </w:r>
            <w:r>
              <w:rPr>
                <w:rFonts w:ascii="宋体"/>
                <w:sz w:val="21"/>
              </w:rPr>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649,004,560.42</w:t>
            </w:r>
            <w:r>
              <w:rPr>
                <w:rFonts w:ascii="宋体"/>
                <w:sz w:val="21"/>
              </w:rPr>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1,918,824,981.94</w:t>
            </w:r>
            <w:r>
              <w:rPr>
                <w:rFonts w:ascii="宋体"/>
                <w:sz w:val="21"/>
              </w:rPr>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1,805,283,993.73</w:t>
            </w:r>
            <w:r>
              <w:rPr>
                <w:rFonts w:ascii="宋体"/>
                <w:sz w:val="21"/>
              </w:rPr>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113"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6"/>
                <w:sz w:val="21"/>
                <w:szCs w:val="21"/>
              </w:rPr>
              <w:t> </w:t>
            </w:r>
            <w:r>
              <w:rPr>
                <w:rFonts w:ascii="宋体" w:hAnsi="宋体" w:cs="宋体" w:eastAsia="宋体" w:hint="default"/>
                <w:sz w:val="21"/>
                <w:szCs w:val="21"/>
              </w:rPr>
              <w:t>16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155,370,000.00</w:t>
            </w:r>
            <w:r>
              <w:rPr>
                <w:rFonts w:ascii="宋体"/>
                <w:sz w:val="21"/>
              </w:rPr>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230,090,433.93</w:t>
            </w:r>
            <w:r>
              <w:rPr>
                <w:rFonts w:ascii="宋体"/>
                <w:sz w:val="21"/>
              </w:rPr>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益的金融负债</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6"/>
                <w:sz w:val="21"/>
                <w:szCs w:val="21"/>
              </w:rPr>
              <w:t> </w:t>
            </w:r>
            <w:r>
              <w:rPr>
                <w:rFonts w:ascii="宋体" w:hAnsi="宋体" w:cs="宋体" w:eastAsia="宋体" w:hint="default"/>
                <w:sz w:val="21"/>
                <w:szCs w:val="21"/>
              </w:rPr>
              <w:t>17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11,800,929.00</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10,106,598.00</w:t>
            </w:r>
            <w:r>
              <w:rPr>
                <w:rFonts w:ascii="宋体"/>
                <w:sz w:val="21"/>
              </w:rPr>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6"/>
                <w:sz w:val="21"/>
                <w:szCs w:val="21"/>
              </w:rPr>
              <w:t> </w:t>
            </w:r>
            <w:r>
              <w:rPr>
                <w:rFonts w:ascii="宋体" w:hAnsi="宋体" w:cs="宋体" w:eastAsia="宋体" w:hint="default"/>
                <w:sz w:val="21"/>
                <w:szCs w:val="21"/>
              </w:rPr>
              <w:t>18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336,612,097.22</w:t>
            </w:r>
            <w:r>
              <w:rPr>
                <w:rFonts w:ascii="宋体"/>
                <w:sz w:val="21"/>
              </w:rPr>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253,112,377.07</w:t>
            </w:r>
            <w:r>
              <w:rPr>
                <w:rFonts w:ascii="宋体"/>
                <w:sz w:val="21"/>
              </w:rPr>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6"/>
                <w:sz w:val="21"/>
                <w:szCs w:val="21"/>
              </w:rPr>
              <w:t> </w:t>
            </w:r>
            <w:r>
              <w:rPr>
                <w:rFonts w:ascii="宋体" w:hAnsi="宋体" w:cs="宋体" w:eastAsia="宋体" w:hint="default"/>
                <w:sz w:val="21"/>
                <w:szCs w:val="21"/>
              </w:rPr>
              <w:t>19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198,732,838.26</w:t>
            </w:r>
            <w:r>
              <w:rPr>
                <w:rFonts w:ascii="宋体"/>
                <w:sz w:val="21"/>
              </w:rPr>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267,933,988.72</w:t>
            </w:r>
            <w:r>
              <w:rPr>
                <w:rFonts w:ascii="宋体"/>
                <w:sz w:val="21"/>
              </w:rPr>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6"/>
                <w:sz w:val="21"/>
                <w:szCs w:val="21"/>
              </w:rPr>
              <w:t> </w:t>
            </w:r>
            <w:r>
              <w:rPr>
                <w:rFonts w:ascii="宋体" w:hAnsi="宋体" w:cs="宋体" w:eastAsia="宋体" w:hint="default"/>
                <w:sz w:val="21"/>
                <w:szCs w:val="21"/>
              </w:rPr>
              <w:t>20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106,114,070.11</w:t>
            </w:r>
            <w:r>
              <w:rPr>
                <w:rFonts w:ascii="宋体"/>
                <w:sz w:val="21"/>
              </w:rPr>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77,496,017.15</w:t>
            </w:r>
            <w:r>
              <w:rPr>
                <w:rFonts w:ascii="宋体"/>
                <w:sz w:val="21"/>
              </w:rPr>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6"/>
                <w:sz w:val="21"/>
                <w:szCs w:val="21"/>
              </w:rPr>
              <w:t> </w:t>
            </w:r>
            <w:r>
              <w:rPr>
                <w:rFonts w:ascii="宋体" w:hAnsi="宋体" w:cs="宋体" w:eastAsia="宋体" w:hint="default"/>
                <w:sz w:val="21"/>
                <w:szCs w:val="21"/>
              </w:rPr>
              <w:t>21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34,618,492.20</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16,661,567.00</w:t>
            </w:r>
            <w:r>
              <w:rPr>
                <w:rFonts w:ascii="宋体"/>
                <w:sz w:val="21"/>
              </w:rPr>
            </w:r>
          </w:p>
        </w:tc>
      </w:tr>
      <w:tr>
        <w:trPr>
          <w:trHeight w:val="361"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31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57,500.00</w:t>
            </w: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6"/>
                <w:sz w:val="21"/>
                <w:szCs w:val="21"/>
              </w:rPr>
              <w:t> </w:t>
            </w:r>
            <w:r>
              <w:rPr>
                <w:rFonts w:ascii="宋体" w:hAnsi="宋体" w:cs="宋体" w:eastAsia="宋体" w:hint="default"/>
                <w:sz w:val="21"/>
                <w:szCs w:val="21"/>
              </w:rPr>
              <w:t>22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67,001,990.99</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103,054,701.42</w:t>
            </w:r>
            <w:r>
              <w:rPr>
                <w:rFonts w:ascii="宋体"/>
                <w:sz w:val="21"/>
              </w:rPr>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910,307,917.78</w:t>
            </w:r>
            <w:r>
              <w:rPr>
                <w:rFonts w:ascii="宋体"/>
                <w:sz w:val="21"/>
              </w:rPr>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958,455,683.29</w:t>
            </w:r>
            <w:r>
              <w:rPr>
                <w:rFonts w:ascii="宋体"/>
                <w:sz w:val="21"/>
              </w:rPr>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6"/>
                <w:sz w:val="21"/>
                <w:szCs w:val="21"/>
              </w:rPr>
              <w:t> </w:t>
            </w:r>
            <w:r>
              <w:rPr>
                <w:rFonts w:ascii="宋体" w:hAnsi="宋体" w:cs="宋体" w:eastAsia="宋体" w:hint="default"/>
                <w:sz w:val="21"/>
                <w:szCs w:val="21"/>
              </w:rPr>
              <w:t>23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40,000,000.00</w:t>
            </w:r>
            <w:r>
              <w:rPr>
                <w:rFonts w:ascii="宋体"/>
                <w:sz w:val="21"/>
              </w:rPr>
            </w: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宋体" w:hAnsi="宋体" w:cs="宋体" w:eastAsia="宋体" w:hint="default"/>
                <w:sz w:val="21"/>
                <w:szCs w:val="21"/>
              </w:rPr>
              <w:t>24</w:t>
            </w: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54,575,551.11</w:t>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6"/>
                <w:sz w:val="21"/>
                <w:szCs w:val="21"/>
              </w:rPr>
              <w:t> </w:t>
            </w:r>
            <w:r>
              <w:rPr>
                <w:rFonts w:ascii="宋体" w:hAnsi="宋体" w:cs="宋体" w:eastAsia="宋体" w:hint="default"/>
                <w:sz w:val="21"/>
                <w:szCs w:val="21"/>
              </w:rPr>
              <w:t>25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12,366,666.28</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13,600,000.00</w:t>
            </w:r>
            <w:r>
              <w:rPr>
                <w:rFonts w:ascii="宋体"/>
                <w:sz w:val="21"/>
              </w:rPr>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2" w:footer="1197"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936"/>
        <w:gridCol w:w="992"/>
        <w:gridCol w:w="1984"/>
        <w:gridCol w:w="2137"/>
      </w:tblGrid>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6"/>
                <w:sz w:val="21"/>
                <w:szCs w:val="21"/>
              </w:rPr>
              <w:t> </w:t>
            </w:r>
            <w:r>
              <w:rPr>
                <w:rFonts w:ascii="宋体" w:hAnsi="宋体" w:cs="宋体" w:eastAsia="宋体" w:hint="default"/>
                <w:sz w:val="21"/>
                <w:szCs w:val="21"/>
              </w:rPr>
              <w:t>26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18,191,397.30</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14,634,375.45</w:t>
            </w:r>
            <w:r>
              <w:rPr>
                <w:rFonts w:ascii="宋体"/>
                <w:sz w:val="21"/>
              </w:rPr>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70,558,063.58</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82,809,926.56</w:t>
            </w:r>
            <w:r>
              <w:rPr>
                <w:rFonts w:ascii="宋体"/>
                <w:sz w:val="21"/>
              </w:rPr>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980,865,981.36</w:t>
            </w:r>
            <w:r>
              <w:rPr>
                <w:rFonts w:ascii="宋体"/>
                <w:sz w:val="21"/>
              </w:rPr>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1,041,265,609.85</w:t>
            </w:r>
            <w:r>
              <w:rPr>
                <w:rFonts w:ascii="宋体"/>
                <w:sz w:val="21"/>
              </w:rPr>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113"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4"/>
                <w:sz w:val="21"/>
                <w:szCs w:val="21"/>
              </w:rPr>
              <w:t> </w:t>
            </w:r>
            <w:r>
              <w:rPr>
                <w:rFonts w:ascii="宋体" w:hAnsi="宋体" w:cs="宋体" w:eastAsia="宋体" w:hint="default"/>
                <w:sz w:val="21"/>
                <w:szCs w:val="21"/>
              </w:rPr>
              <w:t>27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265,635,500.00</w:t>
            </w:r>
            <w:r>
              <w:rPr>
                <w:rFonts w:ascii="宋体"/>
                <w:sz w:val="21"/>
              </w:rPr>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262,605,000.00</w:t>
            </w:r>
            <w:r>
              <w:rPr>
                <w:rFonts w:ascii="宋体"/>
                <w:sz w:val="21"/>
              </w:rPr>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宋体" w:hAnsi="宋体" w:cs="宋体" w:eastAsia="宋体" w:hint="default"/>
                <w:sz w:val="21"/>
                <w:szCs w:val="21"/>
              </w:rPr>
              <w:t>28</w:t>
            </w: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宋体" w:hAnsi="宋体" w:cs="宋体" w:eastAsia="宋体" w:hint="default"/>
                <w:sz w:val="21"/>
                <w:szCs w:val="21"/>
              </w:rPr>
              <w:t>29</w:t>
            </w: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宋体" w:hAnsi="宋体" w:cs="宋体" w:eastAsia="宋体" w:hint="default"/>
                <w:sz w:val="21"/>
                <w:szCs w:val="21"/>
              </w:rPr>
              <w:t>30</w:t>
            </w: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6"/>
                <w:sz w:val="21"/>
                <w:szCs w:val="21"/>
              </w:rPr>
              <w:t> </w:t>
            </w:r>
            <w:r>
              <w:rPr>
                <w:rFonts w:ascii="宋体" w:hAnsi="宋体" w:cs="宋体" w:eastAsia="宋体" w:hint="default"/>
                <w:sz w:val="21"/>
                <w:szCs w:val="21"/>
              </w:rPr>
              <w:t>28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50,984,909.98</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30,393,764.14</w:t>
            </w:r>
            <w:r>
              <w:rPr>
                <w:rFonts w:ascii="宋体"/>
                <w:sz w:val="21"/>
              </w:rPr>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6"/>
                <w:sz w:val="21"/>
                <w:szCs w:val="21"/>
              </w:rPr>
              <w:t> </w:t>
            </w:r>
            <w:r>
              <w:rPr>
                <w:rFonts w:ascii="宋体" w:hAnsi="宋体" w:cs="宋体" w:eastAsia="宋体" w:hint="default"/>
                <w:sz w:val="21"/>
                <w:szCs w:val="21"/>
              </w:rPr>
              <w:t>29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71,681,632.56</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57,777,943.59</w:t>
            </w:r>
            <w:r>
              <w:rPr>
                <w:rFonts w:ascii="宋体"/>
                <w:sz w:val="21"/>
              </w:rPr>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6"/>
                <w:sz w:val="21"/>
                <w:szCs w:val="21"/>
              </w:rPr>
              <w:t> </w:t>
            </w:r>
            <w:r>
              <w:rPr>
                <w:rFonts w:ascii="宋体" w:hAnsi="宋体" w:cs="宋体" w:eastAsia="宋体" w:hint="default"/>
                <w:sz w:val="21"/>
                <w:szCs w:val="21"/>
              </w:rPr>
              <w:t>30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449,654,957.00</w:t>
            </w:r>
            <w:r>
              <w:rPr>
                <w:rFonts w:ascii="宋体"/>
                <w:sz w:val="21"/>
              </w:rPr>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332,264,489.55</w:t>
            </w:r>
            <w:r>
              <w:rPr>
                <w:rFonts w:ascii="宋体"/>
                <w:sz w:val="21"/>
              </w:rPr>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837,956,999.54</w:t>
            </w:r>
            <w:r>
              <w:rPr>
                <w:rFonts w:ascii="宋体"/>
                <w:sz w:val="21"/>
              </w:rPr>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683,041,197.28</w:t>
            </w:r>
            <w:r>
              <w:rPr>
                <w:rFonts w:ascii="宋体"/>
                <w:sz w:val="21"/>
              </w:rPr>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100,002,001.04</w:t>
            </w:r>
            <w:r>
              <w:rPr>
                <w:rFonts w:ascii="宋体"/>
                <w:sz w:val="21"/>
              </w:rPr>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80,977,186.60</w:t>
            </w:r>
            <w:r>
              <w:rPr>
                <w:rFonts w:ascii="宋体"/>
                <w:sz w:val="21"/>
              </w:rPr>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937,959,000.58</w:t>
            </w:r>
            <w:r>
              <w:rPr>
                <w:rFonts w:ascii="宋体"/>
                <w:sz w:val="21"/>
              </w:rPr>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764,018,383.88</w:t>
            </w:r>
            <w:r>
              <w:rPr>
                <w:rFonts w:ascii="宋体"/>
                <w:sz w:val="21"/>
              </w:rPr>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1,918,824,981.94</w:t>
            </w:r>
            <w:r>
              <w:rPr>
                <w:rFonts w:ascii="宋体"/>
                <w:sz w:val="21"/>
              </w:rPr>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1,805,283,993.73</w:t>
            </w:r>
            <w:r>
              <w:rPr>
                <w:rFonts w:ascii="宋体"/>
                <w:sz w:val="21"/>
              </w:rPr>
            </w:r>
          </w:p>
        </w:tc>
      </w:tr>
    </w:tbl>
    <w:p>
      <w:pPr>
        <w:spacing w:line="240" w:lineRule="auto" w:before="6"/>
        <w:rPr>
          <w:rFonts w:ascii="Times New Roman" w:hAnsi="Times New Roman" w:cs="Times New Roman" w:eastAsia="Times New Roman" w:hint="default"/>
          <w:sz w:val="17"/>
          <w:szCs w:val="17"/>
        </w:rPr>
      </w:pPr>
    </w:p>
    <w:p>
      <w:pPr>
        <w:pStyle w:val="BodyText"/>
        <w:spacing w:line="240" w:lineRule="auto" w:before="35"/>
        <w:ind w:right="114"/>
        <w:jc w:val="left"/>
      </w:pPr>
      <w:r>
        <w:rPr/>
        <w:t>法定代表人：赵剑主管会计工作负责人：周永洪会计机构负责人：周永洪</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7" w:top="1100" w:bottom="1380" w:left="1580" w:right="1040"/>
        </w:sectPr>
      </w:pPr>
    </w:p>
    <w:p>
      <w:pPr>
        <w:spacing w:line="272" w:lineRule="exact" w:before="63"/>
        <w:ind w:left="3768" w:right="0" w:firstLine="22"/>
        <w:jc w:val="right"/>
        <w:rPr>
          <w:rFonts w:ascii="宋体" w:hAnsi="宋体" w:cs="宋体" w:eastAsia="宋体" w:hint="default"/>
          <w:sz w:val="21"/>
          <w:szCs w:val="21"/>
        </w:rPr>
      </w:pPr>
      <w:r>
        <w:rPr>
          <w:rFonts w:ascii="宋体" w:hAnsi="宋体" w:cs="宋体" w:eastAsia="宋体" w:hint="default"/>
          <w:b/>
          <w:bCs/>
          <w:w w:val="95"/>
          <w:sz w:val="21"/>
          <w:szCs w:val="21"/>
        </w:rPr>
        <w:t>母公司资产负债表</w:t>
      </w:r>
      <w:r>
        <w:rPr>
          <w:rFonts w:ascii="宋体" w:hAnsi="宋体" w:cs="宋体" w:eastAsia="宋体" w:hint="default"/>
          <w:b/>
          <w:bCs/>
          <w:spacing w:val="-65"/>
          <w:w w:val="95"/>
          <w:sz w:val="21"/>
          <w:szCs w:val="21"/>
        </w:rPr>
        <w:t> </w:t>
      </w:r>
      <w:r>
        <w:rPr>
          <w:rFonts w:ascii="宋体" w:hAnsi="宋体" w:cs="宋体" w:eastAsia="宋体" w:hint="default"/>
          <w:b/>
          <w:bCs/>
          <w:spacing w:val="-65"/>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BodyText"/>
        <w:spacing w:line="248" w:lineRule="exact"/>
        <w:ind w:right="0"/>
        <w:jc w:val="left"/>
      </w:pPr>
      <w:r>
        <w:rPr/>
        <w:t>编制单位:深圳市金证科技股份有限公司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63" w:val="left" w:leader="none"/>
        </w:tabs>
        <w:spacing w:line="240" w:lineRule="auto"/>
        <w:ind w:right="0"/>
        <w:jc w:val="left"/>
      </w:pPr>
      <w:r>
        <w:rPr/>
        <w:t>单位:元</w:t>
        <w:tab/>
        <w:t>币种:人民币</w:t>
      </w:r>
    </w:p>
    <w:p>
      <w:pPr>
        <w:spacing w:after="0" w:line="240" w:lineRule="auto"/>
        <w:jc w:val="left"/>
        <w:sectPr>
          <w:type w:val="continuous"/>
          <w:pgSz w:w="11910" w:h="16840"/>
          <w:pgMar w:top="1080" w:bottom="1380" w:left="1580" w:right="1040"/>
          <w:cols w:num="2" w:equalWidth="0">
            <w:col w:w="5502" w:space="1233"/>
            <w:col w:w="2555"/>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2"/>
        <w:gridCol w:w="2236"/>
      </w:tblGrid>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58"/>
              <w:jc w:val="right"/>
              <w:rPr>
                <w:rFonts w:ascii="宋体" w:hAnsi="宋体" w:cs="宋体" w:eastAsia="宋体" w:hint="default"/>
                <w:sz w:val="21"/>
                <w:szCs w:val="21"/>
              </w:rPr>
            </w:pPr>
            <w:r>
              <w:rPr>
                <w:rFonts w:ascii="宋体" w:hAnsi="宋体" w:cs="宋体" w:eastAsia="宋体" w:hint="default"/>
                <w:b/>
                <w:bCs/>
                <w:w w:val="95"/>
                <w:sz w:val="21"/>
                <w:szCs w:val="21"/>
              </w:rPr>
              <w:t>附注</w:t>
            </w:r>
            <w:r>
              <w:rPr>
                <w:rFonts w:ascii="宋体" w:hAnsi="宋体" w:cs="宋体" w:eastAsia="宋体" w:hint="default"/>
                <w:sz w:val="21"/>
                <w:szCs w:val="21"/>
              </w:rPr>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665"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687"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41,117,477.74</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140,108,001.05</w:t>
            </w:r>
            <w:r>
              <w:rPr>
                <w:rFonts w:ascii="宋体"/>
                <w:sz w:val="21"/>
              </w:rPr>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29,703,324.30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1,101,200.00</w:t>
            </w:r>
            <w:r>
              <w:rPr>
                <w:rFonts w:ascii="宋体"/>
                <w:sz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1"/>
              <w:jc w:val="righ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4"/>
                <w:sz w:val="21"/>
                <w:szCs w:val="21"/>
              </w:rPr>
              <w:t> </w:t>
            </w:r>
            <w:r>
              <w:rPr>
                <w:rFonts w:ascii="宋体" w:hAnsi="宋体" w:cs="宋体" w:eastAsia="宋体" w:hint="default"/>
                <w:sz w:val="21"/>
                <w:szCs w:val="21"/>
              </w:rPr>
              <w:t>1</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116,013,266.31</w:t>
            </w:r>
            <w:r>
              <w:rPr>
                <w:rFonts w:ascii="宋体"/>
                <w:sz w:val="21"/>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143,869,683.40</w:t>
            </w:r>
            <w:r>
              <w:rPr>
                <w:rFonts w:ascii="宋体"/>
                <w:sz w:val="21"/>
              </w:rPr>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14,429,188.36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25,381,312.77</w:t>
            </w:r>
            <w:r>
              <w:rPr>
                <w:rFonts w:ascii="宋体"/>
                <w:sz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1,150,000.00</w:t>
            </w:r>
            <w:r>
              <w:rPr>
                <w:rFonts w:ascii="宋体"/>
                <w:sz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1"/>
              <w:jc w:val="righ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29,415,929.05</w:t>
            </w:r>
            <w:r>
              <w:rPr>
                <w:rFonts w:ascii="宋体"/>
                <w:sz w:val="21"/>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34,281,047.72</w:t>
            </w:r>
            <w:r>
              <w:rPr>
                <w:rFonts w:ascii="宋体"/>
                <w:sz w:val="21"/>
              </w:rPr>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119,546,866.61</w:t>
            </w:r>
            <w:r>
              <w:rPr>
                <w:rFonts w:ascii="宋体"/>
                <w:sz w:val="21"/>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184,480,414.12</w:t>
            </w:r>
            <w:r>
              <w:rPr>
                <w:rFonts w:ascii="宋体"/>
                <w:sz w:val="21"/>
              </w:rPr>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-475,124.29</w:t>
            </w:r>
            <w:r>
              <w:rPr>
                <w:rFonts w:ascii="宋体"/>
                <w:sz w:val="21"/>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36,263,571.37</w:t>
            </w:r>
            <w:r>
              <w:rPr>
                <w:rFonts w:ascii="宋体"/>
                <w:sz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349,750,928.08</w:t>
            </w:r>
            <w:r>
              <w:rPr>
                <w:rFonts w:ascii="宋体"/>
                <w:sz w:val="21"/>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566,635,230.43</w:t>
            </w:r>
            <w:r>
              <w:rPr>
                <w:rFonts w:ascii="宋体"/>
                <w:sz w:val="21"/>
              </w:rPr>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35,600,000.00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10,400,000.00</w:t>
            </w:r>
            <w:r>
              <w:rPr>
                <w:rFonts w:ascii="宋体"/>
                <w:sz w:val="21"/>
              </w:rPr>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505,075,985.32</w:t>
            </w:r>
            <w:r>
              <w:rPr>
                <w:rFonts w:ascii="宋体"/>
                <w:sz w:val="21"/>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461,511,065.21</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08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2"/>
        <w:gridCol w:w="2236"/>
      </w:tblGrid>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4"/>
                <w:sz w:val="21"/>
                <w:szCs w:val="21"/>
              </w:rPr>
              <w:t> </w:t>
            </w:r>
            <w:r>
              <w:rPr>
                <w:rFonts w:ascii="宋体" w:hAnsi="宋体" w:cs="宋体" w:eastAsia="宋体" w:hint="default"/>
                <w:sz w:val="21"/>
                <w:szCs w:val="21"/>
              </w:rPr>
              <w:t>3</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316,706,703.24</w:t>
            </w:r>
            <w:r>
              <w:rPr>
                <w:rFonts w:ascii="宋体"/>
                <w:sz w:val="21"/>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247,537,670.45</w:t>
            </w:r>
            <w:r>
              <w:rPr>
                <w:rFonts w:ascii="宋体"/>
                <w:sz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69,759,516.44</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74,914,506.12</w:t>
            </w:r>
            <w:r>
              <w:rPr>
                <w:rFonts w:ascii="宋体"/>
                <w:sz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10,000,952.17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11,771,584.02</w:t>
            </w:r>
            <w:r>
              <w:rPr>
                <w:rFonts w:ascii="宋体"/>
                <w:sz w:val="21"/>
              </w:rPr>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3,472,820.52</w:t>
            </w:r>
            <w:r>
              <w:rPr>
                <w:rFonts w:ascii="宋体"/>
                <w:sz w:val="21"/>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5,768,168.89</w:t>
            </w:r>
            <w:r>
              <w:rPr>
                <w:rFonts w:ascii="宋体"/>
                <w:sz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2,685,577.43</w:t>
            </w:r>
            <w:r>
              <w:rPr>
                <w:rFonts w:ascii="宋体"/>
                <w:sz w:val="21"/>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2,748,905.79</w:t>
            </w:r>
            <w:r>
              <w:rPr>
                <w:rFonts w:ascii="宋体"/>
                <w:sz w:val="21"/>
              </w:rPr>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943,301,555.12</w:t>
            </w:r>
            <w:r>
              <w:rPr>
                <w:rFonts w:ascii="宋体"/>
                <w:sz w:val="21"/>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814,651,900.48</w:t>
            </w:r>
            <w:r>
              <w:rPr>
                <w:rFonts w:ascii="宋体"/>
                <w:sz w:val="21"/>
              </w:rPr>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1,293,052,483.20</w:t>
            </w:r>
            <w:r>
              <w:rPr>
                <w:rFonts w:ascii="宋体"/>
                <w:sz w:val="21"/>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1,381,287,130.91</w:t>
            </w:r>
            <w:r>
              <w:rPr>
                <w:rFonts w:ascii="宋体"/>
                <w:sz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125,370,000.00</w:t>
            </w:r>
            <w:r>
              <w:rPr>
                <w:rFonts w:ascii="宋体"/>
                <w:sz w:val="21"/>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230,090,433.93</w:t>
            </w:r>
            <w:r>
              <w:rPr>
                <w:rFonts w:ascii="宋体"/>
                <w:sz w:val="21"/>
              </w:rPr>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11,800,929.00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10,106,598.00</w:t>
            </w:r>
            <w:r>
              <w:rPr>
                <w:rFonts w:ascii="宋体"/>
                <w:sz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55,482,090.74</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77,460,340.91</w:t>
            </w:r>
            <w:r>
              <w:rPr>
                <w:rFonts w:ascii="宋体"/>
                <w:sz w:val="21"/>
              </w:rPr>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93,915,188.06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188,845,238.28</w:t>
            </w:r>
            <w:r>
              <w:rPr>
                <w:rFonts w:ascii="宋体"/>
                <w:sz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93,332,720.41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67,576,643.27</w:t>
            </w:r>
            <w:r>
              <w:rPr>
                <w:rFonts w:ascii="宋体"/>
                <w:sz w:val="21"/>
              </w:rPr>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22,665,426.27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8,916,343.87</w:t>
            </w:r>
            <w:r>
              <w:rPr>
                <w:rFonts w:ascii="宋体"/>
                <w:sz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57,121,853.77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94,775,110.22</w:t>
            </w:r>
            <w:r>
              <w:rPr>
                <w:rFonts w:ascii="宋体"/>
                <w:sz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459,688,208.25</w:t>
            </w:r>
            <w:r>
              <w:rPr>
                <w:rFonts w:ascii="宋体"/>
                <w:sz w:val="21"/>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677,770,708.48</w:t>
            </w:r>
            <w:r>
              <w:rPr>
                <w:rFonts w:ascii="宋体"/>
                <w:sz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40,000,000.00</w:t>
            </w:r>
            <w:r>
              <w:rPr>
                <w:rFonts w:ascii="宋体"/>
                <w:sz w:val="21"/>
              </w:rPr>
            </w: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54,575,551.11</w:t>
            </w:r>
            <w:r>
              <w:rPr>
                <w:rFonts w:ascii="宋体"/>
                <w:sz w:val="21"/>
              </w:rPr>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12,366,666.28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12,100,000.00</w:t>
            </w:r>
            <w:r>
              <w:rPr>
                <w:rFonts w:ascii="宋体"/>
                <w:sz w:val="21"/>
              </w:rPr>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18,191,397.30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14,634,375.45</w:t>
            </w:r>
            <w:r>
              <w:rPr>
                <w:rFonts w:ascii="宋体"/>
                <w:sz w:val="21"/>
              </w:rPr>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70,558,063.58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81,309,926.56</w:t>
            </w:r>
            <w:r>
              <w:rPr>
                <w:rFonts w:ascii="宋体"/>
                <w:sz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530,246,271.83</w:t>
            </w:r>
            <w:r>
              <w:rPr>
                <w:rFonts w:ascii="宋体"/>
                <w:sz w:val="21"/>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759,080,635.04</w:t>
            </w:r>
            <w:r>
              <w:rPr>
                <w:rFonts w:ascii="宋体"/>
                <w:sz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2" w:footer="1197"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2"/>
        <w:gridCol w:w="2236"/>
      </w:tblGrid>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265,635,500.00</w:t>
            </w:r>
            <w:r>
              <w:rPr>
                <w:rFonts w:ascii="宋体"/>
                <w:sz w:val="21"/>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262,605,000.00</w:t>
            </w:r>
            <w:r>
              <w:rPr>
                <w:rFonts w:ascii="宋体"/>
                <w:sz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49,834,789.40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29,243,643.56</w:t>
            </w:r>
            <w:r>
              <w:rPr>
                <w:rFonts w:ascii="宋体"/>
                <w:sz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66,919,481.32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53,015,792.35</w:t>
            </w:r>
            <w:r>
              <w:rPr>
                <w:rFonts w:ascii="宋体"/>
                <w:sz w:val="21"/>
              </w:rPr>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380,416,440.65</w:t>
            </w:r>
            <w:r>
              <w:rPr>
                <w:rFonts w:ascii="宋体"/>
                <w:sz w:val="21"/>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277,342,059.96</w:t>
            </w:r>
            <w:r>
              <w:rPr>
                <w:rFonts w:ascii="宋体"/>
                <w:sz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762,806,211.37</w:t>
            </w:r>
            <w:r>
              <w:rPr>
                <w:rFonts w:ascii="宋体"/>
                <w:sz w:val="21"/>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622,206,495.87</w:t>
            </w:r>
            <w:r>
              <w:rPr>
                <w:rFonts w:ascii="宋体"/>
                <w:sz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1,293,052,483.20</w:t>
            </w:r>
            <w:r>
              <w:rPr>
                <w:rFonts w:ascii="宋体"/>
                <w:sz w:val="21"/>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1,381,287,130.91</w:t>
            </w:r>
            <w:r>
              <w:rPr>
                <w:rFonts w:ascii="宋体"/>
                <w:sz w:val="21"/>
              </w:rPr>
            </w:r>
          </w:p>
        </w:tc>
      </w:tr>
    </w:tbl>
    <w:p>
      <w:pPr>
        <w:spacing w:line="240" w:lineRule="auto" w:before="6"/>
        <w:rPr>
          <w:rFonts w:ascii="Times New Roman" w:hAnsi="Times New Roman" w:cs="Times New Roman" w:eastAsia="Times New Roman" w:hint="default"/>
          <w:sz w:val="17"/>
          <w:szCs w:val="17"/>
        </w:rPr>
      </w:pPr>
    </w:p>
    <w:p>
      <w:pPr>
        <w:pStyle w:val="BodyText"/>
        <w:spacing w:line="240" w:lineRule="auto" w:before="35"/>
        <w:ind w:right="114"/>
        <w:jc w:val="left"/>
      </w:pPr>
      <w:r>
        <w:rPr/>
        <w:t>法定代表人：赵剑主管会计工作负责人：周永洪会计机构负责人：周永洪</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7" w:top="1100" w:bottom="1380" w:left="1580" w:right="1040"/>
        </w:sectPr>
      </w:pPr>
    </w:p>
    <w:p>
      <w:pPr>
        <w:spacing w:line="272" w:lineRule="exact" w:before="63"/>
        <w:ind w:left="3872" w:right="-13" w:firstLine="234"/>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tabs>
          <w:tab w:pos="2462" w:val="left" w:leader="none"/>
        </w:tabs>
        <w:spacing w:line="240" w:lineRule="auto"/>
        <w:ind w:left="1516" w:right="0"/>
        <w:jc w:val="left"/>
      </w:pPr>
      <w:r>
        <w:rPr/>
        <w:t>单位:元</w:t>
        <w:tab/>
        <w:t>币种:人民币</w:t>
      </w:r>
    </w:p>
    <w:p>
      <w:pPr>
        <w:spacing w:after="0" w:line="240" w:lineRule="auto"/>
        <w:jc w:val="left"/>
        <w:sectPr>
          <w:type w:val="continuous"/>
          <w:pgSz w:w="11910" w:h="16840"/>
          <w:pgMar w:top="1080" w:bottom="1380" w:left="1580" w:right="1040"/>
          <w:cols w:num="2" w:equalWidth="0">
            <w:col w:w="5396" w:space="40"/>
            <w:col w:w="3854"/>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5"/>
              <w:jc w:val="center"/>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宋体" w:hAnsi="宋体" w:cs="宋体" w:eastAsia="宋体" w:hint="default"/>
                <w:sz w:val="21"/>
                <w:szCs w:val="21"/>
              </w:rPr>
              <w:t>31</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2,368,042,840.46</w:t>
            </w:r>
            <w:r>
              <w:rPr>
                <w:rFonts w:ascii="宋体"/>
                <w:sz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2,031,613,437.82</w:t>
            </w:r>
            <w:r>
              <w:rPr>
                <w:rFonts w:ascii="宋体"/>
                <w:sz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2,368,042,840.46</w:t>
            </w:r>
            <w:r>
              <w:rPr>
                <w:rFonts w:ascii="宋体"/>
                <w:sz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2,031,613,437.82</w:t>
            </w:r>
            <w:r>
              <w:rPr>
                <w:rFonts w:ascii="宋体"/>
                <w:sz w:val="21"/>
              </w:rPr>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2,172,608,285.21</w:t>
            </w:r>
            <w:r>
              <w:rPr>
                <w:rFonts w:ascii="宋体"/>
                <w:sz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1,897,744,138.93</w:t>
            </w:r>
            <w:r>
              <w:rPr>
                <w:rFonts w:ascii="宋体"/>
                <w:sz w:val="21"/>
              </w:rPr>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5"/>
              <w:jc w:val="center"/>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宋体" w:hAnsi="宋体" w:cs="宋体" w:eastAsia="宋体" w:hint="default"/>
                <w:sz w:val="21"/>
                <w:szCs w:val="21"/>
              </w:rPr>
              <w:t>31</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1,855,701,913.61</w:t>
            </w:r>
            <w:r>
              <w:rPr>
                <w:rFonts w:ascii="宋体"/>
                <w:sz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1,612,993,417.89</w:t>
            </w:r>
            <w:r>
              <w:rPr>
                <w:rFonts w:ascii="宋体"/>
                <w:sz w:val="21"/>
              </w:rPr>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3"/>
              <w:jc w:val="center"/>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宋体" w:hAnsi="宋体" w:cs="宋体" w:eastAsia="宋体" w:hint="default"/>
                <w:sz w:val="21"/>
                <w:szCs w:val="21"/>
              </w:rPr>
              <w:t>32</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18,717,097.44</w:t>
            </w:r>
            <w:r>
              <w:rPr>
                <w:rFonts w:ascii="宋体"/>
                <w:sz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8,183,235.94</w:t>
            </w:r>
            <w:r>
              <w:rPr>
                <w:rFonts w:ascii="宋体"/>
                <w:sz w:val="21"/>
              </w:rPr>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5"/>
              <w:jc w:val="center"/>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宋体" w:hAnsi="宋体" w:cs="宋体" w:eastAsia="宋体" w:hint="default"/>
                <w:sz w:val="21"/>
                <w:szCs w:val="21"/>
              </w:rPr>
              <w:t>33</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75,155,853.66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69,928,634.26</w:t>
            </w:r>
            <w:r>
              <w:rPr>
                <w:rFonts w:ascii="宋体"/>
                <w:sz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5"/>
              <w:jc w:val="center"/>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宋体" w:hAnsi="宋体" w:cs="宋体" w:eastAsia="宋体" w:hint="default"/>
                <w:sz w:val="21"/>
                <w:szCs w:val="21"/>
              </w:rPr>
              <w:t>34</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338,716,324.85</w:t>
            </w:r>
            <w:r>
              <w:rPr>
                <w:rFonts w:ascii="宋体"/>
                <w:sz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293,903,956.87</w:t>
            </w:r>
            <w:r>
              <w:rPr>
                <w:rFonts w:ascii="宋体"/>
                <w:sz w:val="21"/>
              </w:rPr>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5"/>
              <w:jc w:val="center"/>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宋体" w:hAnsi="宋体" w:cs="宋体" w:eastAsia="宋体" w:hint="default"/>
                <w:sz w:val="21"/>
                <w:szCs w:val="21"/>
              </w:rPr>
              <w:t>35</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-123,616,234.98</w:t>
            </w:r>
            <w:r>
              <w:rPr>
                <w:rFonts w:ascii="宋体"/>
                <w:sz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-90,102,698.71</w:t>
            </w:r>
            <w:r>
              <w:rPr>
                <w:rFonts w:ascii="宋体"/>
                <w:sz w:val="21"/>
              </w:rPr>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3"/>
              <w:jc w:val="center"/>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宋体" w:hAnsi="宋体" w:cs="宋体" w:eastAsia="宋体" w:hint="default"/>
                <w:sz w:val="21"/>
                <w:szCs w:val="21"/>
              </w:rPr>
              <w:t>36</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7,933,330.63</w:t>
            </w:r>
            <w:r>
              <w:rPr>
                <w:rFonts w:ascii="宋体"/>
                <w:sz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2,837,592.68</w:t>
            </w:r>
            <w:r>
              <w:rPr>
                <w:rFonts w:ascii="宋体"/>
                <w:sz w:val="21"/>
              </w:rPr>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8"/>
              <w:jc w:val="righ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5"/>
              <w:jc w:val="center"/>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宋体" w:hAnsi="宋体" w:cs="宋体" w:eastAsia="宋体" w:hint="default"/>
                <w:sz w:val="21"/>
                <w:szCs w:val="21"/>
              </w:rPr>
              <w:t>37</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-2,716,360.34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-2,419,277.58</w:t>
            </w:r>
            <w:r>
              <w:rPr>
                <w:rFonts w:ascii="宋体"/>
                <w:sz w:val="21"/>
              </w:rPr>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pacing w:val="-6"/>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-3,460,966.21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-3,839,847.00</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8"/>
              <w:jc w:val="righ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192,718,194.91</w:t>
            </w:r>
            <w:r>
              <w:rPr>
                <w:rFonts w:ascii="宋体"/>
                <w:sz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131,450,021.31</w:t>
            </w:r>
            <w:r>
              <w:rPr>
                <w:rFonts w:ascii="宋体"/>
                <w:sz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3"/>
              <w:jc w:val="center"/>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宋体" w:hAnsi="宋体" w:cs="宋体" w:eastAsia="宋体" w:hint="default"/>
                <w:sz w:val="21"/>
                <w:szCs w:val="21"/>
              </w:rPr>
              <w:t>38</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6,172,965.90</w:t>
            </w:r>
            <w:r>
              <w:rPr>
                <w:rFonts w:ascii="宋体"/>
                <w:sz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7,475,457.49</w:t>
            </w:r>
            <w:r>
              <w:rPr>
                <w:rFonts w:ascii="宋体"/>
                <w:sz w:val="21"/>
              </w:rPr>
            </w:r>
          </w:p>
        </w:tc>
      </w:tr>
    </w:tbl>
    <w:p>
      <w:pPr>
        <w:spacing w:after="0" w:line="240" w:lineRule="exact"/>
        <w:jc w:val="right"/>
        <w:rPr>
          <w:rFonts w:ascii="宋体" w:hAnsi="宋体" w:cs="宋体" w:eastAsia="宋体" w:hint="default"/>
          <w:sz w:val="21"/>
          <w:szCs w:val="21"/>
        </w:rPr>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514.82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784.73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宋体" w:hAnsi="宋体" w:cs="宋体" w:eastAsia="宋体" w:hint="default"/>
                <w:sz w:val="21"/>
                <w:szCs w:val="21"/>
              </w:rPr>
              <w:t>39</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313,410.95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39,776.81</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194,471.34</w:t>
            </w:r>
            <w:r>
              <w:rPr>
                <w:rFonts w:ascii="宋体"/>
                <w:sz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30,868.15</w:t>
            </w:r>
            <w:r>
              <w:rPr>
                <w:rFonts w:ascii="宋体"/>
                <w:sz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198,577,749.86</w:t>
            </w:r>
            <w:r>
              <w:rPr>
                <w:rFonts w:ascii="宋体"/>
                <w:sz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138,885,701.99</w:t>
            </w:r>
            <w:r>
              <w:rPr>
                <w:rFonts w:ascii="宋体"/>
                <w:sz w:val="21"/>
              </w:rPr>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宋体" w:hAnsi="宋体" w:cs="宋体" w:eastAsia="宋体" w:hint="default"/>
                <w:sz w:val="21"/>
                <w:szCs w:val="21"/>
              </w:rPr>
              <w:t>40</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21,499,959.00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13,841,416.36</w:t>
            </w:r>
            <w:r>
              <w:rPr>
                <w:rFonts w:ascii="宋体"/>
                <w:sz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177,077,790.86</w:t>
            </w:r>
            <w:r>
              <w:rPr>
                <w:rFonts w:ascii="宋体"/>
                <w:sz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125,044,285.63</w:t>
            </w:r>
            <w:r>
              <w:rPr>
                <w:rFonts w:ascii="宋体"/>
                <w:sz w:val="21"/>
              </w:rPr>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153,352,976.42</w:t>
            </w:r>
            <w:r>
              <w:rPr>
                <w:rFonts w:ascii="宋体"/>
                <w:sz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109,207,964.59</w:t>
            </w:r>
            <w:r>
              <w:rPr>
                <w:rFonts w:ascii="宋体"/>
                <w:sz w:val="21"/>
              </w:rPr>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23,724,814.44</w:t>
            </w:r>
            <w:r>
              <w:rPr>
                <w:rFonts w:ascii="宋体"/>
                <w:sz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15,836,321.04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5"/>
                <w:sz w:val="21"/>
                <w:szCs w:val="21"/>
              </w:rPr>
              <w:t>（一）以后不能重分类进损益的其他综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0" w:right="0"/>
              <w:jc w:val="left"/>
              <w:rPr>
                <w:rFonts w:ascii="宋体" w:hAnsi="宋体" w:cs="宋体" w:eastAsia="宋体" w:hint="default"/>
                <w:sz w:val="21"/>
                <w:szCs w:val="21"/>
              </w:rPr>
            </w:pPr>
            <w:r>
              <w:rPr>
                <w:rFonts w:ascii="宋体" w:hAnsi="宋体" w:cs="宋体" w:eastAsia="宋体" w:hint="default"/>
                <w:sz w:val="21"/>
                <w:szCs w:val="21"/>
              </w:rPr>
              <w:t>1.重新计量设定受益计划净负债或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2.权益法下在被投资单位不能重分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pacing w:val="-5"/>
                <w:sz w:val="21"/>
                <w:szCs w:val="21"/>
              </w:rPr>
              <w:t>（二）以后将重分类进损益的其他综合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firstLine="630"/>
              <w:jc w:val="left"/>
              <w:rPr>
                <w:rFonts w:ascii="宋体" w:hAnsi="宋体" w:cs="宋体" w:eastAsia="宋体" w:hint="default"/>
                <w:sz w:val="21"/>
                <w:szCs w:val="21"/>
              </w:rPr>
            </w:pPr>
            <w:r>
              <w:rPr>
                <w:rFonts w:ascii="宋体" w:hAnsi="宋体" w:cs="宋体" w:eastAsia="宋体" w:hint="default"/>
                <w:sz w:val="21"/>
                <w:szCs w:val="21"/>
              </w:rPr>
              <w:t>1.权益法下在被投资单位以后将重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2.可供出售金融资产公允价值变动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0" w:right="0"/>
              <w:jc w:val="left"/>
              <w:rPr>
                <w:rFonts w:ascii="宋体" w:hAnsi="宋体" w:cs="宋体" w:eastAsia="宋体" w:hint="default"/>
                <w:sz w:val="21"/>
                <w:szCs w:val="21"/>
              </w:rPr>
            </w:pPr>
            <w:r>
              <w:rPr>
                <w:rFonts w:ascii="宋体" w:hAnsi="宋体" w:cs="宋体" w:eastAsia="宋体" w:hint="default"/>
                <w:sz w:val="21"/>
                <w:szCs w:val="21"/>
              </w:rPr>
              <w:t>3.持有至到期投资重分类为可供出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4.现金流量套期损益的有效部分</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5.外币财务报表折算差额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6.其他</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177,077,790.86</w:t>
            </w:r>
            <w:r>
              <w:rPr>
                <w:rFonts w:ascii="宋体"/>
                <w:sz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125,044,285.63</w:t>
            </w:r>
            <w:r>
              <w:rPr>
                <w:rFonts w:ascii="宋体"/>
                <w:sz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153,352,976.42</w:t>
            </w:r>
            <w:r>
              <w:rPr>
                <w:rFonts w:ascii="宋体"/>
                <w:sz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109,207,964.59</w:t>
            </w:r>
            <w:r>
              <w:rPr>
                <w:rFonts w:ascii="宋体"/>
                <w:sz w:val="21"/>
              </w:rPr>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23,724,814.44</w:t>
            </w:r>
            <w:r>
              <w:rPr>
                <w:rFonts w:ascii="宋体"/>
                <w:sz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15,836,321.04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（一）基本每股收益(元/股)</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0.58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0.42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（二）稀释每股收益(元/股)</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0.58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0.41</w:t>
            </w:r>
          </w:p>
        </w:tc>
      </w:tr>
    </w:tbl>
    <w:p>
      <w:pPr>
        <w:spacing w:line="240" w:lineRule="auto" w:before="6"/>
        <w:rPr>
          <w:rFonts w:ascii="宋体" w:hAnsi="宋体" w:cs="宋体" w:eastAsia="宋体" w:hint="default"/>
          <w:sz w:val="15"/>
          <w:szCs w:val="15"/>
        </w:rPr>
      </w:pPr>
    </w:p>
    <w:p>
      <w:pPr>
        <w:pStyle w:val="BodyText"/>
        <w:tabs>
          <w:tab w:pos="2631" w:val="left" w:leader="none"/>
          <w:tab w:pos="7266" w:val="left" w:leader="none"/>
        </w:tabs>
        <w:spacing w:line="272" w:lineRule="exact" w:before="63"/>
        <w:ind w:right="240"/>
        <w:jc w:val="left"/>
      </w:pPr>
      <w:r>
        <w:rPr>
          <w:spacing w:val="-2"/>
        </w:rPr>
        <w:t>本期发生同一控制下企业合并的，被合并方在合并前实现的净利润为</w:t>
      </w:r>
      <w:r>
        <w:rPr>
          <w:spacing w:val="-2"/>
          <w:u w:val="single" w:color="33339A"/>
        </w:rPr>
        <w:t>：</w:t>
        <w:tab/>
      </w:r>
      <w:r>
        <w:rPr>
          <w:spacing w:val="-2"/>
        </w:rPr>
      </w:r>
      <w:r>
        <w:rPr/>
        <w:t>元,</w:t>
      </w:r>
      <w:r>
        <w:rPr>
          <w:spacing w:val="4"/>
        </w:rPr>
        <w:t> </w:t>
      </w:r>
      <w:r>
        <w:rPr>
          <w:spacing w:val="-1"/>
        </w:rPr>
        <w:t>上期被合并方</w:t>
      </w:r>
      <w:r>
        <w:rPr/>
        <w:t> 实现的净利润为：</w:t>
      </w:r>
      <w:r>
        <w:rPr>
          <w:rFonts w:ascii="Times New Roman" w:hAnsi="Times New Roman" w:cs="Times New Roman" w:eastAsia="Times New Roman" w:hint="default"/>
        </w:rPr>
      </w:r>
      <w:r>
        <w:rPr>
          <w:rFonts w:ascii="Times New Roman" w:hAnsi="Times New Roman" w:cs="Times New Roman" w:eastAsia="Times New Roman" w:hint="default"/>
          <w:u w:val="single" w:color="33339A"/>
        </w:rPr>
        <w:t> </w:t>
        <w:tab/>
      </w:r>
      <w:r>
        <w:rPr>
          <w:rFonts w:ascii="Times New Roman" w:hAnsi="Times New Roman" w:cs="Times New Roman" w:eastAsia="Times New Roman" w:hint="default"/>
        </w:rPr>
      </w:r>
      <w:r>
        <w:rPr/>
        <w:t>元。 法定代表人：赵剑主管会计工作负责人：周永洪会计机构负责人：周永洪</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7" w:top="1100" w:bottom="1380" w:left="1580" w:right="1040"/>
        </w:sectPr>
      </w:pPr>
    </w:p>
    <w:p>
      <w:pPr>
        <w:spacing w:line="272" w:lineRule="exact" w:before="63"/>
        <w:ind w:left="3872" w:right="-13" w:firstLine="128"/>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462" w:val="left" w:leader="none"/>
        </w:tabs>
        <w:spacing w:line="240" w:lineRule="auto"/>
        <w:ind w:left="1516" w:right="0"/>
        <w:jc w:val="left"/>
      </w:pPr>
      <w:r>
        <w:rPr/>
        <w:t>单位:元</w:t>
        <w:tab/>
        <w:t>币种:人民币</w:t>
      </w:r>
    </w:p>
    <w:p>
      <w:pPr>
        <w:spacing w:after="0" w:line="240" w:lineRule="auto"/>
        <w:jc w:val="left"/>
        <w:sectPr>
          <w:type w:val="continuous"/>
          <w:pgSz w:w="11910" w:h="16840"/>
          <w:pgMar w:top="1080" w:bottom="1380" w:left="1580" w:right="1040"/>
          <w:cols w:num="2" w:equalWidth="0">
            <w:col w:w="5396" w:space="40"/>
            <w:col w:w="3854"/>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861"/>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63"/>
              <w:jc w:val="right"/>
              <w:rPr>
                <w:rFonts w:ascii="宋体" w:hAnsi="宋体" w:cs="宋体" w:eastAsia="宋体" w:hint="default"/>
                <w:sz w:val="21"/>
                <w:szCs w:val="21"/>
              </w:rPr>
            </w:pPr>
            <w:r>
              <w:rPr>
                <w:rFonts w:ascii="宋体" w:hAnsi="宋体" w:cs="宋体" w:eastAsia="宋体" w:hint="default"/>
                <w:b/>
                <w:bCs/>
                <w:w w:val="95"/>
                <w:sz w:val="21"/>
                <w:szCs w:val="21"/>
              </w:rPr>
              <w:t>附注</w:t>
            </w:r>
            <w:r>
              <w:rPr>
                <w:rFonts w:ascii="宋体" w:hAnsi="宋体" w:cs="宋体" w:eastAsia="宋体" w:hint="default"/>
                <w:sz w:val="21"/>
                <w:szCs w:val="21"/>
              </w:rPr>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5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5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1"/>
              <w:jc w:val="righ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4"/>
                <w:sz w:val="21"/>
                <w:szCs w:val="21"/>
              </w:rPr>
              <w:t> </w:t>
            </w:r>
            <w:r>
              <w:rPr>
                <w:rFonts w:ascii="宋体" w:hAnsi="宋体" w:cs="宋体" w:eastAsia="宋体" w:hint="default"/>
                <w:sz w:val="21"/>
                <w:szCs w:val="21"/>
              </w:rPr>
              <w:t>4</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602,016,841.05</w:t>
            </w:r>
            <w:r>
              <w:rPr>
                <w:rFonts w:ascii="宋体"/>
                <w:sz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564,973,101.07</w:t>
            </w:r>
            <w:r>
              <w:rPr>
                <w:rFonts w:ascii="宋体"/>
                <w:sz w:val="21"/>
              </w:rPr>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1"/>
              <w:jc w:val="righ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4"/>
                <w:sz w:val="21"/>
                <w:szCs w:val="21"/>
              </w:rPr>
              <w:t> </w:t>
            </w:r>
            <w:r>
              <w:rPr>
                <w:rFonts w:ascii="宋体" w:hAnsi="宋体" w:cs="宋体" w:eastAsia="宋体" w:hint="default"/>
                <w:sz w:val="21"/>
                <w:szCs w:val="21"/>
              </w:rPr>
              <w:t>4</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288,244,605.99</w:t>
            </w:r>
            <w:r>
              <w:rPr>
                <w:rFonts w:ascii="宋体"/>
                <w:sz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297,987,023.43</w:t>
            </w:r>
            <w:r>
              <w:rPr>
                <w:rFonts w:ascii="宋体"/>
                <w:sz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10"/>
              <w:jc w:val="right"/>
              <w:rPr>
                <w:rFonts w:ascii="宋体" w:hAnsi="宋体" w:cs="宋体" w:eastAsia="宋体" w:hint="default"/>
                <w:sz w:val="21"/>
                <w:szCs w:val="21"/>
              </w:rPr>
            </w:pPr>
            <w:r>
              <w:rPr>
                <w:rFonts w:ascii="宋体" w:hAnsi="宋体" w:cs="宋体" w:eastAsia="宋体" w:hint="default"/>
                <w:spacing w:val="-1"/>
                <w:sz w:val="21"/>
                <w:szCs w:val="21"/>
              </w:rPr>
              <w:t>营业税金及附加</w:t>
            </w:r>
            <w:r>
              <w:rPr>
                <w:rFonts w:ascii="宋体" w:hAnsi="宋体" w:cs="宋体" w:eastAsia="宋体" w:hint="default"/>
                <w:sz w:val="21"/>
                <w:szCs w:val="21"/>
              </w:rPr>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16,051,521.20</w:t>
            </w:r>
            <w:r>
              <w:rPr>
                <w:rFonts w:ascii="宋体"/>
                <w:sz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5,526,276.83</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14,829,758.24</w:t>
            </w:r>
            <w:r>
              <w:rPr>
                <w:rFonts w:ascii="宋体"/>
                <w:sz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14,485,981.22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247,713,087.49</w:t>
            </w:r>
            <w:r>
              <w:rPr>
                <w:rFonts w:ascii="宋体"/>
                <w:sz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220,189,629.65</w:t>
            </w:r>
            <w:r>
              <w:rPr>
                <w:rFonts w:ascii="宋体"/>
                <w:sz w:val="21"/>
              </w:rPr>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-102,721,139.86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-66,871,206.51</w:t>
            </w:r>
            <w:r>
              <w:rPr>
                <w:rFonts w:ascii="宋体"/>
                <w:sz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3,493,122.23</w:t>
            </w:r>
            <w:r>
              <w:rPr>
                <w:rFonts w:ascii="宋体"/>
                <w:sz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4,864,931.49</w:t>
            </w:r>
            <w:r>
              <w:rPr>
                <w:rFonts w:ascii="宋体"/>
                <w:sz w:val="21"/>
              </w:rPr>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4"/>
                <w:sz w:val="21"/>
                <w:szCs w:val="21"/>
              </w:rPr>
              <w:t> </w:t>
            </w:r>
            <w:r>
              <w:rPr>
                <w:rFonts w:ascii="宋体" w:hAnsi="宋体" w:cs="宋体" w:eastAsia="宋体" w:hint="default"/>
                <w:sz w:val="21"/>
                <w:szCs w:val="21"/>
              </w:rPr>
              <w:t>5</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10,482,093.25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10,770,122.84</w:t>
            </w:r>
            <w:r>
              <w:rPr>
                <w:rFonts w:ascii="宋体"/>
                <w:sz w:val="21"/>
              </w:rPr>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0" w:right="0"/>
              <w:jc w:val="left"/>
              <w:rPr>
                <w:rFonts w:ascii="宋体" w:hAnsi="宋体" w:cs="宋体" w:eastAsia="宋体" w:hint="default"/>
                <w:sz w:val="21"/>
                <w:szCs w:val="21"/>
              </w:rPr>
            </w:pPr>
            <w:r>
              <w:rPr>
                <w:rFonts w:ascii="宋体" w:hAnsi="宋体" w:cs="宋体" w:eastAsia="宋体" w:hint="default"/>
                <w:spacing w:val="-6"/>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-3,460,966.21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-3,839,847.00</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144,887,979.01</w:t>
            </w:r>
            <w:r>
              <w:rPr>
                <w:rFonts w:ascii="宋体"/>
                <w:sz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99,560,587.80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2,685,648.91</w:t>
            </w:r>
            <w:r>
              <w:rPr>
                <w:rFonts w:ascii="宋体"/>
                <w:sz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5,466,688.06</w:t>
            </w:r>
            <w:r>
              <w:rPr>
                <w:rFonts w:ascii="宋体"/>
                <w:sz w:val="21"/>
              </w:rPr>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67,038.70</w:t>
            </w:r>
            <w:r>
              <w:rPr>
                <w:rFonts w:ascii="宋体"/>
                <w:sz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13,756.18</w:t>
            </w:r>
            <w:r>
              <w:rPr>
                <w:rFonts w:ascii="宋体"/>
                <w:sz w:val="21"/>
              </w:rPr>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64,616.72</w:t>
            </w:r>
            <w:r>
              <w:rPr>
                <w:rFonts w:ascii="宋体"/>
                <w:sz w:val="21"/>
              </w:rPr>
            </w: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147,506,589.22</w:t>
            </w:r>
            <w:r>
              <w:rPr>
                <w:rFonts w:ascii="宋体"/>
                <w:sz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105,013,519.68</w:t>
            </w:r>
            <w:r>
              <w:rPr>
                <w:rFonts w:ascii="宋体"/>
                <w:sz w:val="21"/>
              </w:rPr>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8,469,699.56</w:t>
            </w:r>
            <w:r>
              <w:rPr>
                <w:rFonts w:ascii="宋体"/>
                <w:sz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5,606,976.67</w:t>
            </w:r>
            <w:r>
              <w:rPr>
                <w:rFonts w:ascii="宋体"/>
                <w:sz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139,036,889.66</w:t>
            </w:r>
            <w:r>
              <w:rPr>
                <w:rFonts w:ascii="宋体"/>
                <w:sz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99,406,543.01</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1"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（一）以后不能重分类进损益的其他综合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1.重新计量设定受益计划净负债或净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63" w:right="0"/>
              <w:jc w:val="left"/>
              <w:rPr>
                <w:rFonts w:ascii="宋体" w:hAnsi="宋体" w:cs="宋体" w:eastAsia="宋体" w:hint="default"/>
                <w:sz w:val="21"/>
                <w:szCs w:val="21"/>
              </w:rPr>
            </w:pPr>
            <w:r>
              <w:rPr>
                <w:rFonts w:ascii="宋体" w:hAnsi="宋体" w:cs="宋体" w:eastAsia="宋体" w:hint="default"/>
                <w:sz w:val="21"/>
                <w:szCs w:val="21"/>
              </w:rPr>
              <w:t>2.权益法下在被投资单位不能重分类</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（二）以后将重分类进损益的其他综合收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1.权益法下在被投资单位以后将重分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2.可供出售金融资产公允价值变动损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3.持有至到期投资重分类为可供出售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4.现金流量套期损益的有效部分</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5.外币财务报表折算差额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6.其他</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139,036,889.66</w:t>
            </w:r>
            <w:r>
              <w:rPr>
                <w:rFonts w:ascii="宋体"/>
                <w:sz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99,406,543.01</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1"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（一）基本每股收益(元/股)</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（二）稀释每股收益(元/股)</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4"/>
        <w:rPr>
          <w:rFonts w:ascii="宋体" w:hAnsi="宋体" w:cs="宋体" w:eastAsia="宋体" w:hint="default"/>
          <w:sz w:val="15"/>
          <w:szCs w:val="15"/>
        </w:rPr>
      </w:pPr>
    </w:p>
    <w:p>
      <w:pPr>
        <w:pStyle w:val="BodyText"/>
        <w:spacing w:line="240" w:lineRule="auto" w:before="35"/>
        <w:ind w:right="114"/>
        <w:jc w:val="left"/>
      </w:pPr>
      <w:r>
        <w:rPr/>
        <w:t>法定代表人：赵剑主管会计工作负责人：周永洪会计机构负责人：周永洪</w:t>
      </w:r>
    </w:p>
    <w:p>
      <w:pPr>
        <w:spacing w:after="0" w:line="240" w:lineRule="auto"/>
        <w:jc w:val="left"/>
        <w:sectPr>
          <w:pgSz w:w="11910" w:h="16840"/>
          <w:pgMar w:header="882" w:footer="1197" w:top="1100" w:bottom="1380" w:left="1580" w:right="10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7" w:top="1100" w:bottom="1380" w:left="1580" w:right="1040"/>
        </w:sectPr>
      </w:pPr>
    </w:p>
    <w:p>
      <w:pPr>
        <w:spacing w:line="272" w:lineRule="exact" w:before="63"/>
        <w:ind w:left="3872" w:right="0" w:firstLine="24"/>
        <w:jc w:val="right"/>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79"/>
          <w:w w:val="95"/>
          <w:sz w:val="21"/>
          <w:szCs w:val="21"/>
        </w:rPr>
        <w:t> </w:t>
      </w:r>
      <w:r>
        <w:rPr>
          <w:rFonts w:ascii="宋体" w:hAnsi="宋体" w:cs="宋体" w:eastAsia="宋体" w:hint="default"/>
          <w:b/>
          <w:bCs/>
          <w:spacing w:val="-79"/>
          <w:w w:val="95"/>
          <w:sz w:val="21"/>
          <w:szCs w:val="21"/>
        </w:rPr>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355" w:val="left" w:leader="none"/>
        </w:tabs>
        <w:spacing w:line="240" w:lineRule="auto"/>
        <w:ind w:left="1305" w:right="0"/>
        <w:jc w:val="left"/>
      </w:pPr>
      <w:r>
        <w:rPr/>
        <w:t>单位：元</w:t>
        <w:tab/>
        <w:t>币种：人民币</w:t>
      </w:r>
    </w:p>
    <w:p>
      <w:pPr>
        <w:spacing w:after="0" w:line="240" w:lineRule="auto"/>
        <w:jc w:val="left"/>
        <w:sectPr>
          <w:type w:val="continuous"/>
          <w:pgSz w:w="11910" w:h="16840"/>
          <w:pgMar w:top="1080" w:bottom="1380" w:left="1580" w:right="1040"/>
          <w:cols w:num="2" w:equalWidth="0">
            <w:col w:w="5396" w:space="40"/>
            <w:col w:w="3854"/>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0"/>
        <w:gridCol w:w="983"/>
        <w:gridCol w:w="2215"/>
        <w:gridCol w:w="2201"/>
      </w:tblGrid>
      <w:tr>
        <w:trPr>
          <w:trHeight w:val="287"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2,654,295,144.84</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2,229,389,838.46</w:t>
            </w:r>
            <w:r>
              <w:rPr>
                <w:rFonts w:ascii="宋体"/>
                <w:sz w:val="21"/>
              </w:rPr>
            </w:r>
          </w:p>
        </w:tc>
      </w:tr>
      <w:tr>
        <w:trPr>
          <w:trHeight w:val="288"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1,926,143.33</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450,469.25</w:t>
            </w:r>
            <w:r>
              <w:rPr>
                <w:rFonts w:ascii="宋体"/>
                <w:sz w:val="21"/>
              </w:rPr>
            </w:r>
          </w:p>
        </w:tc>
      </w:tr>
      <w:tr>
        <w:trPr>
          <w:trHeight w:val="287"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86"/>
              <w:jc w:val="center"/>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6"/>
                <w:sz w:val="21"/>
                <w:szCs w:val="21"/>
              </w:rPr>
              <w:t> </w:t>
            </w:r>
            <w:r>
              <w:rPr>
                <w:rFonts w:ascii="宋体" w:hAnsi="宋体" w:cs="宋体" w:eastAsia="宋体" w:hint="default"/>
                <w:sz w:val="21"/>
                <w:szCs w:val="21"/>
              </w:rPr>
              <w:t>41</w:t>
            </w: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204,023,745.23</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209,713,392.74</w:t>
            </w:r>
            <w:r>
              <w:rPr>
                <w:rFonts w:ascii="宋体"/>
                <w:sz w:val="21"/>
              </w:rPr>
            </w:r>
          </w:p>
        </w:tc>
      </w:tr>
      <w:tr>
        <w:trPr>
          <w:trHeight w:val="288"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2,860,245,033.40</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2,439,553,700.45</w:t>
            </w:r>
            <w:r>
              <w:rPr>
                <w:rFonts w:ascii="宋体"/>
                <w:sz w:val="21"/>
              </w:rPr>
            </w:r>
          </w:p>
        </w:tc>
      </w:tr>
      <w:tr>
        <w:trPr>
          <w:trHeight w:val="287"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2,082,480,940.06</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1,845,550,403.73</w:t>
            </w:r>
            <w:r>
              <w:rPr>
                <w:rFonts w:ascii="宋体"/>
                <w:sz w:val="21"/>
              </w:rPr>
            </w:r>
          </w:p>
        </w:tc>
      </w:tr>
      <w:tr>
        <w:trPr>
          <w:trHeight w:val="288"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4"/>
              <w:jc w:val="right"/>
              <w:rPr>
                <w:rFonts w:ascii="宋体" w:hAnsi="宋体" w:cs="宋体" w:eastAsia="宋体" w:hint="default"/>
                <w:sz w:val="21"/>
                <w:szCs w:val="21"/>
              </w:rPr>
            </w:pPr>
            <w:r>
              <w:rPr>
                <w:rFonts w:ascii="宋体" w:hAnsi="宋体" w:cs="宋体" w:eastAsia="宋体" w:hint="default"/>
                <w:spacing w:val="-1"/>
                <w:sz w:val="21"/>
                <w:szCs w:val="21"/>
              </w:rPr>
              <w:t>支付给职工以及为职工支付的现金</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244,188,713.71</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183,412,744.24</w:t>
            </w:r>
            <w:r>
              <w:rPr>
                <w:rFonts w:ascii="宋体"/>
                <w:sz w:val="21"/>
              </w:rPr>
            </w:r>
          </w:p>
        </w:tc>
      </w:tr>
      <w:tr>
        <w:trPr>
          <w:trHeight w:val="288"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57,291,790.59</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44,094,157.12</w:t>
            </w:r>
          </w:p>
        </w:tc>
      </w:tr>
      <w:tr>
        <w:trPr>
          <w:trHeight w:val="287"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86"/>
              <w:jc w:val="center"/>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6"/>
                <w:sz w:val="21"/>
                <w:szCs w:val="21"/>
              </w:rPr>
              <w:t> </w:t>
            </w:r>
            <w:r>
              <w:rPr>
                <w:rFonts w:ascii="宋体" w:hAnsi="宋体" w:cs="宋体" w:eastAsia="宋体" w:hint="default"/>
                <w:sz w:val="21"/>
                <w:szCs w:val="21"/>
              </w:rPr>
              <w:t>41</w:t>
            </w: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375,358,013.43</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277,738,097.88</w:t>
            </w:r>
            <w:r>
              <w:rPr>
                <w:rFonts w:ascii="宋体"/>
                <w:sz w:val="21"/>
              </w:rPr>
            </w:r>
          </w:p>
        </w:tc>
      </w:tr>
      <w:tr>
        <w:trPr>
          <w:trHeight w:val="287"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2,759,319,457.79</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2,350,795,402.97</w:t>
            </w:r>
            <w:r>
              <w:rPr>
                <w:rFonts w:ascii="宋体"/>
                <w:sz w:val="21"/>
              </w:rPr>
            </w:r>
          </w:p>
        </w:tc>
      </w:tr>
      <w:tr>
        <w:trPr>
          <w:trHeight w:val="288"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4"/>
              <w:jc w:val="right"/>
              <w:rPr>
                <w:rFonts w:ascii="宋体" w:hAnsi="宋体" w:cs="宋体" w:eastAsia="宋体" w:hint="default"/>
                <w:sz w:val="21"/>
                <w:szCs w:val="21"/>
              </w:rPr>
            </w:pPr>
            <w:r>
              <w:rPr>
                <w:rFonts w:ascii="宋体" w:hAnsi="宋体" w:cs="宋体" w:eastAsia="宋体" w:hint="default"/>
                <w:spacing w:val="-1"/>
                <w:sz w:val="21"/>
                <w:szCs w:val="21"/>
              </w:rPr>
              <w:t>经营活动产生的现金流量净额</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100,925,575.61</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88,758,297.48</w:t>
            </w:r>
          </w:p>
        </w:tc>
      </w:tr>
      <w:tr>
        <w:trPr>
          <w:trHeight w:val="287"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299,204,496.80</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57,314,254.44</w:t>
            </w:r>
          </w:p>
        </w:tc>
      </w:tr>
      <w:tr>
        <w:trPr>
          <w:trHeight w:val="287"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79,752,265.82</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425,918.86</w:t>
            </w:r>
            <w:r>
              <w:rPr>
                <w:rFonts w:ascii="宋体"/>
                <w:sz w:val="21"/>
              </w:rPr>
            </w:r>
          </w:p>
        </w:tc>
      </w:tr>
      <w:tr>
        <w:trPr>
          <w:trHeight w:val="560"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23,441.67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20,660.00</w:t>
            </w:r>
          </w:p>
        </w:tc>
      </w:tr>
      <w:tr>
        <w:trPr>
          <w:trHeight w:val="559"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6"/>
              <w:jc w:val="center"/>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6"/>
                <w:sz w:val="21"/>
                <w:szCs w:val="21"/>
              </w:rPr>
              <w:t> </w:t>
            </w:r>
            <w:r>
              <w:rPr>
                <w:rFonts w:ascii="宋体" w:hAnsi="宋体" w:cs="宋体" w:eastAsia="宋体" w:hint="default"/>
                <w:sz w:val="21"/>
                <w:szCs w:val="21"/>
              </w:rPr>
              <w:t>41</w:t>
            </w: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27,500,000.00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121,000,000.00</w:t>
            </w:r>
            <w:r>
              <w:rPr>
                <w:rFonts w:ascii="宋体"/>
                <w:sz w:val="21"/>
              </w:rPr>
            </w:r>
          </w:p>
        </w:tc>
      </w:tr>
      <w:tr>
        <w:trPr>
          <w:trHeight w:val="287"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406,480,204.29</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178,760,833.30</w:t>
            </w:r>
            <w:r>
              <w:rPr>
                <w:rFonts w:ascii="宋体"/>
                <w:sz w:val="21"/>
              </w:rPr>
            </w:r>
          </w:p>
        </w:tc>
      </w:tr>
      <w:tr>
        <w:trPr>
          <w:trHeight w:val="559"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64,917,019.58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68,824,404.34</w:t>
            </w:r>
          </w:p>
        </w:tc>
      </w:tr>
      <w:tr>
        <w:trPr>
          <w:trHeight w:val="288"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324,252,557.89</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376,511,056.70</w:t>
            </w:r>
            <w:r>
              <w:rPr>
                <w:rFonts w:ascii="宋体"/>
                <w:sz w:val="21"/>
              </w:rPr>
            </w:r>
          </w:p>
        </w:tc>
      </w:tr>
      <w:tr>
        <w:trPr>
          <w:trHeight w:val="287"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86"/>
              <w:jc w:val="center"/>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6"/>
                <w:sz w:val="21"/>
                <w:szCs w:val="21"/>
              </w:rPr>
              <w:t> </w:t>
            </w:r>
            <w:r>
              <w:rPr>
                <w:rFonts w:ascii="宋体" w:hAnsi="宋体" w:cs="宋体" w:eastAsia="宋体" w:hint="default"/>
                <w:sz w:val="21"/>
                <w:szCs w:val="21"/>
              </w:rPr>
              <w:t>41</w:t>
            </w: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55,076,203.53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23,000,000.00</w:t>
            </w:r>
            <w:r>
              <w:rPr>
                <w:rFonts w:ascii="宋体"/>
                <w:sz w:val="21"/>
              </w:rPr>
            </w:r>
          </w:p>
        </w:tc>
      </w:tr>
      <w:tr>
        <w:trPr>
          <w:trHeight w:val="288"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444,245,781.00</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468,335,461.04</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0"/>
        <w:gridCol w:w="983"/>
        <w:gridCol w:w="2215"/>
        <w:gridCol w:w="2201"/>
      </w:tblGrid>
      <w:tr>
        <w:trPr>
          <w:trHeight w:val="287"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4"/>
              <w:jc w:val="right"/>
              <w:rPr>
                <w:rFonts w:ascii="宋体" w:hAnsi="宋体" w:cs="宋体" w:eastAsia="宋体" w:hint="default"/>
                <w:sz w:val="21"/>
                <w:szCs w:val="21"/>
              </w:rPr>
            </w:pPr>
            <w:r>
              <w:rPr>
                <w:rFonts w:ascii="宋体" w:hAnsi="宋体" w:cs="宋体" w:eastAsia="宋体" w:hint="default"/>
                <w:spacing w:val="-1"/>
                <w:sz w:val="21"/>
                <w:szCs w:val="21"/>
              </w:rPr>
              <w:t>投资活动产生的现金流量净额</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-37,765,576.71</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-289,574,627.74</w:t>
            </w:r>
          </w:p>
        </w:tc>
      </w:tr>
      <w:tr>
        <w:trPr>
          <w:trHeight w:val="288"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22,274,175.00</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21,414,670.00</w:t>
            </w:r>
          </w:p>
        </w:tc>
      </w:tr>
      <w:tr>
        <w:trPr>
          <w:trHeight w:val="560"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10,500,000.00</w:t>
            </w:r>
          </w:p>
        </w:tc>
      </w:tr>
      <w:tr>
        <w:trPr>
          <w:trHeight w:val="287"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468,290,000.00</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381,490,433.93</w:t>
            </w:r>
            <w:r>
              <w:rPr>
                <w:rFonts w:ascii="宋体"/>
                <w:sz w:val="21"/>
              </w:rPr>
            </w:r>
          </w:p>
        </w:tc>
      </w:tr>
      <w:tr>
        <w:trPr>
          <w:trHeight w:val="288"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宋体" w:hAnsi="宋体" w:cs="宋体" w:eastAsia="宋体" w:hint="default"/>
                <w:sz w:val="21"/>
                <w:szCs w:val="21"/>
              </w:rPr>
              <w:t>41</w:t>
            </w:r>
          </w:p>
        </w:tc>
        <w:tc>
          <w:tcPr>
            <w:tcW w:w="2215"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410,249.63</w:t>
            </w:r>
          </w:p>
        </w:tc>
      </w:tr>
      <w:tr>
        <w:trPr>
          <w:trHeight w:val="287"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490,564,175.00</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403,315,353.56</w:t>
            </w:r>
            <w:r>
              <w:rPr>
                <w:rFonts w:ascii="宋体"/>
                <w:sz w:val="21"/>
              </w:rPr>
            </w:r>
          </w:p>
        </w:tc>
      </w:tr>
      <w:tr>
        <w:trPr>
          <w:trHeight w:val="288"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555,010,433.93</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115,000,000.00</w:t>
            </w:r>
            <w:r>
              <w:rPr>
                <w:rFonts w:ascii="宋体"/>
                <w:sz w:val="21"/>
              </w:rPr>
            </w:r>
          </w:p>
        </w:tc>
      </w:tr>
      <w:tr>
        <w:trPr>
          <w:trHeight w:val="559"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57,786,436.06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18,114,950.33</w:t>
            </w:r>
          </w:p>
        </w:tc>
      </w:tr>
      <w:tr>
        <w:trPr>
          <w:trHeight w:val="560"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4,700,000.00</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3,760,000.00</w:t>
            </w:r>
            <w:r>
              <w:rPr>
                <w:rFonts w:ascii="宋体"/>
                <w:sz w:val="21"/>
              </w:rPr>
            </w:r>
          </w:p>
        </w:tc>
      </w:tr>
      <w:tr>
        <w:trPr>
          <w:trHeight w:val="287"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6"/>
                <w:sz w:val="21"/>
                <w:szCs w:val="21"/>
              </w:rPr>
              <w:t> </w:t>
            </w:r>
            <w:r>
              <w:rPr>
                <w:rFonts w:ascii="宋体" w:hAnsi="宋体" w:cs="宋体" w:eastAsia="宋体" w:hint="default"/>
                <w:sz w:val="21"/>
                <w:szCs w:val="21"/>
              </w:rPr>
              <w:t>41</w:t>
            </w: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646,449.14</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613,443,319.13</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133,114,950.33</w:t>
            </w:r>
            <w:r>
              <w:rPr>
                <w:rFonts w:ascii="宋体"/>
                <w:sz w:val="21"/>
              </w:rPr>
            </w:r>
          </w:p>
        </w:tc>
      </w:tr>
      <w:tr>
        <w:trPr>
          <w:trHeight w:val="287"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4"/>
              <w:jc w:val="right"/>
              <w:rPr>
                <w:rFonts w:ascii="宋体" w:hAnsi="宋体" w:cs="宋体" w:eastAsia="宋体" w:hint="default"/>
                <w:sz w:val="21"/>
                <w:szCs w:val="21"/>
              </w:rPr>
            </w:pPr>
            <w:r>
              <w:rPr>
                <w:rFonts w:ascii="宋体" w:hAnsi="宋体" w:cs="宋体" w:eastAsia="宋体" w:hint="default"/>
                <w:spacing w:val="-1"/>
                <w:sz w:val="21"/>
                <w:szCs w:val="21"/>
              </w:rPr>
              <w:t>筹资活动产生的现金流量净额</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-122,879,144.13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270,200,403.23</w:t>
            </w:r>
            <w:r>
              <w:rPr>
                <w:rFonts w:ascii="宋体"/>
                <w:sz w:val="21"/>
              </w:rPr>
            </w:r>
          </w:p>
        </w:tc>
      </w:tr>
      <w:tr>
        <w:trPr>
          <w:trHeight w:val="559"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-59,719,145.23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69,384,072.97</w:t>
            </w:r>
          </w:p>
        </w:tc>
      </w:tr>
      <w:tr>
        <w:trPr>
          <w:trHeight w:val="287"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297,842,896.30</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228,458,823.33</w:t>
            </w:r>
            <w:r>
              <w:rPr>
                <w:rFonts w:ascii="宋体"/>
                <w:sz w:val="21"/>
              </w:rPr>
            </w:r>
          </w:p>
        </w:tc>
      </w:tr>
      <w:tr>
        <w:trPr>
          <w:trHeight w:val="288"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238,123,751.07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297,842,896.30</w:t>
            </w:r>
          </w:p>
        </w:tc>
      </w:tr>
    </w:tbl>
    <w:p>
      <w:pPr>
        <w:spacing w:line="240" w:lineRule="auto" w:before="6"/>
        <w:rPr>
          <w:rFonts w:ascii="宋体" w:hAnsi="宋体" w:cs="宋体" w:eastAsia="宋体" w:hint="default"/>
          <w:sz w:val="15"/>
          <w:szCs w:val="15"/>
        </w:rPr>
      </w:pPr>
    </w:p>
    <w:p>
      <w:pPr>
        <w:pStyle w:val="BodyText"/>
        <w:spacing w:line="240" w:lineRule="auto" w:before="35"/>
        <w:ind w:right="114"/>
        <w:jc w:val="left"/>
      </w:pPr>
      <w:r>
        <w:rPr/>
        <w:t>法定代表人：赵剑主管会计工作负责人：周永洪会计机构负责人：周永洪</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66"/>
          <w:pgSz w:w="11910" w:h="16840"/>
          <w:pgMar w:footer="1197" w:header="882" w:top="1100" w:bottom="1380" w:left="1580" w:right="1040"/>
        </w:sectPr>
      </w:pPr>
    </w:p>
    <w:p>
      <w:pPr>
        <w:spacing w:line="272" w:lineRule="exact" w:before="63"/>
        <w:ind w:left="3872" w:right="-19" w:hanging="82"/>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
          <w:w w:val="99"/>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379" w:val="left" w:leader="none"/>
        </w:tabs>
        <w:spacing w:line="240" w:lineRule="auto"/>
        <w:ind w:left="1433" w:right="0"/>
        <w:jc w:val="left"/>
      </w:pPr>
      <w:r>
        <w:rPr/>
        <w:t>单位:元</w:t>
        <w:tab/>
        <w:t>币种:人民币</w:t>
      </w:r>
    </w:p>
    <w:p>
      <w:pPr>
        <w:spacing w:after="0" w:line="240" w:lineRule="auto"/>
        <w:jc w:val="left"/>
        <w:sectPr>
          <w:type w:val="continuous"/>
          <w:pgSz w:w="11910" w:h="16840"/>
          <w:pgMar w:top="1080" w:bottom="1380" w:left="1580" w:right="1040"/>
          <w:cols w:num="2" w:equalWidth="0">
            <w:col w:w="5479" w:space="40"/>
            <w:col w:w="377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2"/>
        <w:gridCol w:w="995"/>
        <w:gridCol w:w="2208"/>
        <w:gridCol w:w="2195"/>
      </w:tblGrid>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6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548,397,784.72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616,763,443.58</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693,787.14</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279,947.85</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44,976,991.13</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13,841,499.09</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594,068,562.99</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630,884,890.52</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259,794,692.89</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348,701,846.62</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167,279,297.97</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124,333,667.68</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24,933,478.36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14,766,472.76</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65,936,957.15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101,617,260.21</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517,944,426.37</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589,419,247.27</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76,124,136.62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41,465,643.25</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262,204,496.80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31,714,254.44</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94,100,719.41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13,645,715.40</w:t>
            </w: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14,336.00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8,655.00</w:t>
            </w:r>
          </w:p>
        </w:tc>
      </w:tr>
      <w:tr>
        <w:trPr>
          <w:trHeight w:val="560"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2"/>
        <w:gridCol w:w="995"/>
        <w:gridCol w:w="2208"/>
        <w:gridCol w:w="2195"/>
      </w:tblGrid>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27,500,000.00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121,000,000.00</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383,819,552.21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166,368,624.84</w:t>
            </w: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2,686,538.76</w:t>
            </w:r>
            <w:r>
              <w:rPr>
                <w:rFonts w:ascii="宋体"/>
                <w:sz w:val="21"/>
              </w:rPr>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8,972,432.70</w:t>
            </w:r>
            <w:r>
              <w:rPr>
                <w:rFonts w:ascii="宋体"/>
                <w:sz w:val="21"/>
              </w:rPr>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361,252,557.89</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387,011,056.70</w:t>
            </w: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55,076,203.53</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23,000,000.00</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419,015,300.18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418,983,489.40</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4"/>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-35,195,747.97</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-252,614,864.56</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22,274,175.00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10,914,670.00</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327,290,000.00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295,490,433.93</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410,249.63</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349,564,175.00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306,815,353.56</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444,010,433.93</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29,000,000.00</w:t>
            </w: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47,709,781.57</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12,407,785.97</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646,449.14</w:t>
            </w: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492,366,664.64</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41,407,785.97</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4"/>
              <w:jc w:val="righ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-142,802,489.64</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265,407,567.59</w:t>
            </w: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-101,874,100.99</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54,258,346.28</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133,888,795.95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79,630,449.67</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32,014,694.96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133,888,795.95</w:t>
            </w:r>
          </w:p>
        </w:tc>
      </w:tr>
    </w:tbl>
    <w:p>
      <w:pPr>
        <w:spacing w:line="240" w:lineRule="auto" w:before="6"/>
        <w:rPr>
          <w:rFonts w:ascii="宋体" w:hAnsi="宋体" w:cs="宋体" w:eastAsia="宋体" w:hint="default"/>
          <w:sz w:val="15"/>
          <w:szCs w:val="15"/>
        </w:rPr>
      </w:pPr>
    </w:p>
    <w:p>
      <w:pPr>
        <w:pStyle w:val="BodyText"/>
        <w:spacing w:line="240" w:lineRule="auto" w:before="35"/>
        <w:ind w:right="114"/>
        <w:jc w:val="left"/>
      </w:pPr>
      <w:r>
        <w:rPr/>
        <w:t>法定代表人：赵剑主管会计工作负责人：周永洪会计机构负责人：周永洪</w:t>
      </w:r>
    </w:p>
    <w:p>
      <w:pPr>
        <w:spacing w:after="0" w:line="240" w:lineRule="auto"/>
        <w:jc w:val="left"/>
        <w:sectPr>
          <w:footerReference w:type="default" r:id="rId67"/>
          <w:pgSz w:w="11910" w:h="16840"/>
          <w:pgMar w:footer="1197" w:header="882"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68"/>
          <w:footerReference w:type="default" r:id="rId69"/>
          <w:pgSz w:w="16840" w:h="11910" w:orient="landscape"/>
          <w:pgMar w:header="877" w:footer="1193" w:top="1100" w:bottom="1380" w:left="1260" w:right="1320"/>
          <w:pgNumType w:start="62"/>
        </w:sectPr>
      </w:pPr>
    </w:p>
    <w:p>
      <w:pPr>
        <w:spacing w:line="272" w:lineRule="exact" w:before="63"/>
        <w:ind w:left="6343" w:right="0" w:hanging="293"/>
        <w:jc w:val="left"/>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2"/>
          <w:w w:val="95"/>
          <w:sz w:val="21"/>
          <w:szCs w:val="21"/>
        </w:rPr>
        <w:t> </w:t>
      </w:r>
      <w:r>
        <w:rPr>
          <w:rFonts w:ascii="宋体" w:hAnsi="宋体" w:cs="宋体" w:eastAsia="宋体" w:hint="default"/>
          <w:b/>
          <w:bCs/>
          <w:spacing w:val="2"/>
          <w:w w:val="95"/>
          <w:sz w:val="21"/>
          <w:szCs w:val="21"/>
        </w:rPr>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4702" w:val="left" w:leader="none"/>
        </w:tabs>
        <w:spacing w:line="240" w:lineRule="auto"/>
        <w:ind w:left="3756" w:right="0"/>
        <w:jc w:val="left"/>
      </w:pPr>
      <w:r>
        <w:rPr/>
        <w:t>单位:元</w:t>
        <w:tab/>
        <w:t>币种:人民币</w:t>
      </w:r>
    </w:p>
    <w:p>
      <w:pPr>
        <w:spacing w:after="0" w:line="240" w:lineRule="auto"/>
        <w:jc w:val="left"/>
        <w:sectPr>
          <w:type w:val="continuous"/>
          <w:pgSz w:w="16840" w:h="11910" w:orient="landscape"/>
          <w:pgMar w:top="1080" w:bottom="1380" w:left="1260" w:right="1320"/>
          <w:cols w:num="2" w:equalWidth="0">
            <w:col w:w="8158" w:space="40"/>
            <w:col w:w="6062"/>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293"/>
        <w:gridCol w:w="852"/>
        <w:gridCol w:w="856"/>
        <w:gridCol w:w="866"/>
        <w:gridCol w:w="870"/>
        <w:gridCol w:w="870"/>
        <w:gridCol w:w="871"/>
        <w:gridCol w:w="878"/>
        <w:gridCol w:w="857"/>
        <w:gridCol w:w="872"/>
        <w:gridCol w:w="870"/>
        <w:gridCol w:w="875"/>
        <w:gridCol w:w="1100"/>
        <w:gridCol w:w="1096"/>
      </w:tblGrid>
      <w:tr>
        <w:trPr>
          <w:trHeight w:val="251" w:hRule="exact"/>
        </w:trPr>
        <w:tc>
          <w:tcPr>
            <w:tcW w:w="22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734"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593"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293" w:type="dxa"/>
            <w:vMerge/>
            <w:tcBorders>
              <w:left w:val="single" w:sz="4" w:space="0" w:color="000000"/>
              <w:right w:val="single" w:sz="4" w:space="0" w:color="000000"/>
            </w:tcBorders>
          </w:tcPr>
          <w:p>
            <w:pPr/>
          </w:p>
        </w:tc>
        <w:tc>
          <w:tcPr>
            <w:tcW w:w="953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57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65" w:right="18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0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72" w:right="181"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2" w:hRule="exact"/>
        </w:trPr>
        <w:tc>
          <w:tcPr>
            <w:tcW w:w="2293" w:type="dxa"/>
            <w:vMerge/>
            <w:tcBorders>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0" w:type="dxa"/>
            <w:vMerge w:val="restart"/>
            <w:tcBorders>
              <w:top w:val="single" w:sz="4" w:space="0" w:color="000000"/>
              <w:left w:val="single" w:sz="4" w:space="0" w:color="000000"/>
              <w:right w:val="single" w:sz="4" w:space="0" w:color="000000"/>
            </w:tcBorders>
          </w:tcPr>
          <w:p>
            <w:pPr>
              <w:pStyle w:val="TableParagraph"/>
              <w:spacing w:line="244" w:lineRule="auto" w:before="91"/>
              <w:ind w:left="339" w:right="1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91"/>
              <w:ind w:left="340" w:right="101" w:hanging="238"/>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878" w:type="dxa"/>
            <w:vMerge w:val="restart"/>
            <w:tcBorders>
              <w:top w:val="single" w:sz="4" w:space="0" w:color="000000"/>
              <w:left w:val="single" w:sz="4" w:space="0" w:color="000000"/>
              <w:right w:val="single" w:sz="4" w:space="0" w:color="000000"/>
            </w:tcBorders>
          </w:tcPr>
          <w:p>
            <w:pPr>
              <w:pStyle w:val="TableParagraph"/>
              <w:spacing w:line="244" w:lineRule="auto" w:before="91"/>
              <w:ind w:left="164" w:right="16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91"/>
              <w:ind w:left="333" w:right="15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91"/>
              <w:ind w:left="340" w:right="161"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70" w:type="dxa"/>
            <w:vMerge w:val="restart"/>
            <w:tcBorders>
              <w:top w:val="single" w:sz="4" w:space="0" w:color="000000"/>
              <w:left w:val="single" w:sz="4" w:space="0" w:color="000000"/>
              <w:right w:val="single" w:sz="4" w:space="0" w:color="000000"/>
            </w:tcBorders>
          </w:tcPr>
          <w:p>
            <w:pPr>
              <w:pStyle w:val="TableParagraph"/>
              <w:spacing w:line="244" w:lineRule="auto" w:before="91"/>
              <w:ind w:left="159" w:right="15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5" w:type="dxa"/>
            <w:vMerge w:val="restart"/>
            <w:tcBorders>
              <w:top w:val="single" w:sz="4" w:space="0" w:color="000000"/>
              <w:left w:val="single" w:sz="4" w:space="0" w:color="000000"/>
              <w:right w:val="single" w:sz="4" w:space="0" w:color="000000"/>
            </w:tcBorders>
          </w:tcPr>
          <w:p>
            <w:pPr>
              <w:pStyle w:val="TableParagraph"/>
              <w:spacing w:line="244" w:lineRule="auto" w:before="91"/>
              <w:ind w:left="252" w:right="1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100" w:type="dxa"/>
            <w:vMerge/>
            <w:tcBorders>
              <w:left w:val="single" w:sz="4" w:space="0" w:color="000000"/>
              <w:right w:val="single" w:sz="4" w:space="0" w:color="000000"/>
            </w:tcBorders>
          </w:tcPr>
          <w:p>
            <w:pPr/>
          </w:p>
        </w:tc>
        <w:tc>
          <w:tcPr>
            <w:tcW w:w="1096" w:type="dxa"/>
            <w:vMerge/>
            <w:tcBorders>
              <w:left w:val="single" w:sz="4" w:space="0" w:color="000000"/>
              <w:right w:val="single" w:sz="4" w:space="0" w:color="000000"/>
            </w:tcBorders>
          </w:tcPr>
          <w:p>
            <w:pPr/>
          </w:p>
        </w:tc>
      </w:tr>
      <w:tr>
        <w:trPr>
          <w:trHeight w:val="354" w:hRule="exact"/>
        </w:trPr>
        <w:tc>
          <w:tcPr>
            <w:tcW w:w="229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2"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0"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5" w:type="dxa"/>
            <w:vMerge/>
            <w:tcBorders>
              <w:left w:val="single" w:sz="4" w:space="0" w:color="000000"/>
              <w:bottom w:val="single" w:sz="4" w:space="0" w:color="000000"/>
              <w:right w:val="single" w:sz="4" w:space="0" w:color="000000"/>
            </w:tcBorders>
          </w:tcPr>
          <w:p>
            <w:pPr/>
          </w:p>
        </w:tc>
        <w:tc>
          <w:tcPr>
            <w:tcW w:w="1100" w:type="dxa"/>
            <w:vMerge/>
            <w:tcBorders>
              <w:left w:val="single" w:sz="4" w:space="0" w:color="000000"/>
              <w:bottom w:val="single" w:sz="4" w:space="0" w:color="000000"/>
              <w:right w:val="single" w:sz="4" w:space="0" w:color="000000"/>
            </w:tcBorders>
          </w:tcPr>
          <w:p>
            <w:pPr/>
          </w:p>
        </w:tc>
        <w:tc>
          <w:tcPr>
            <w:tcW w:w="1096" w:type="dxa"/>
            <w:vMerge/>
            <w:tcBorders>
              <w:left w:val="single" w:sz="4" w:space="0" w:color="000000"/>
              <w:bottom w:val="single" w:sz="4" w:space="0" w:color="000000"/>
              <w:right w:val="single" w:sz="4" w:space="0" w:color="000000"/>
            </w:tcBorders>
          </w:tcPr>
          <w:p>
            <w:pPr/>
          </w:p>
        </w:tc>
      </w:tr>
      <w:tr>
        <w:trPr>
          <w:trHeight w:val="478"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 w:right="0"/>
              <w:jc w:val="left"/>
              <w:rPr>
                <w:rFonts w:ascii="宋体" w:hAnsi="宋体" w:cs="宋体" w:eastAsia="宋体" w:hint="default"/>
                <w:sz w:val="18"/>
                <w:szCs w:val="18"/>
              </w:rPr>
            </w:pPr>
            <w:r>
              <w:rPr>
                <w:rFonts w:ascii="宋体"/>
                <w:sz w:val="18"/>
              </w:rPr>
              <w:t>262,605</w:t>
            </w:r>
          </w:p>
          <w:p>
            <w:pPr>
              <w:pStyle w:val="TableParagraph"/>
              <w:spacing w:line="234" w:lineRule="exact"/>
              <w:ind w:left="109" w:right="0"/>
              <w:jc w:val="left"/>
              <w:rPr>
                <w:rFonts w:ascii="宋体" w:hAnsi="宋体" w:cs="宋体" w:eastAsia="宋体" w:hint="default"/>
                <w:sz w:val="18"/>
                <w:szCs w:val="18"/>
              </w:rPr>
            </w:pPr>
            <w:r>
              <w:rPr>
                <w:rFonts w:ascii="宋体"/>
                <w:sz w:val="18"/>
              </w:rPr>
              <w:t>,000.00</w:t>
            </w: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30,393,</w:t>
            </w:r>
          </w:p>
          <w:p>
            <w:pPr>
              <w:pStyle w:val="TableParagraph"/>
              <w:spacing w:line="234" w:lineRule="exact"/>
              <w:ind w:left="217" w:right="0"/>
              <w:jc w:val="left"/>
              <w:rPr>
                <w:rFonts w:ascii="宋体" w:hAnsi="宋体" w:cs="宋体" w:eastAsia="宋体" w:hint="default"/>
                <w:sz w:val="18"/>
                <w:szCs w:val="18"/>
              </w:rPr>
            </w:pPr>
            <w:r>
              <w:rPr>
                <w:rFonts w:ascii="宋体"/>
                <w:sz w:val="18"/>
              </w:rPr>
              <w:t>764.14</w:t>
            </w:r>
          </w:p>
        </w:tc>
        <w:tc>
          <w:tcPr>
            <w:tcW w:w="87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57,777,</w:t>
            </w:r>
          </w:p>
          <w:p>
            <w:pPr>
              <w:pStyle w:val="TableParagraph"/>
              <w:spacing w:line="234" w:lineRule="exact"/>
              <w:ind w:left="219" w:right="0"/>
              <w:jc w:val="left"/>
              <w:rPr>
                <w:rFonts w:ascii="宋体" w:hAnsi="宋体" w:cs="宋体" w:eastAsia="宋体" w:hint="default"/>
                <w:sz w:val="18"/>
                <w:szCs w:val="18"/>
              </w:rPr>
            </w:pPr>
            <w:r>
              <w:rPr>
                <w:rFonts w:ascii="宋体"/>
                <w:sz w:val="18"/>
              </w:rPr>
              <w:t>943.59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332,264</w:t>
            </w:r>
          </w:p>
          <w:p>
            <w:pPr>
              <w:pStyle w:val="TableParagraph"/>
              <w:spacing w:line="234" w:lineRule="exact"/>
              <w:ind w:left="130" w:right="0"/>
              <w:jc w:val="left"/>
              <w:rPr>
                <w:rFonts w:ascii="宋体" w:hAnsi="宋体" w:cs="宋体" w:eastAsia="宋体" w:hint="default"/>
                <w:sz w:val="18"/>
                <w:szCs w:val="18"/>
              </w:rPr>
            </w:pPr>
            <w:r>
              <w:rPr>
                <w:rFonts w:ascii="宋体"/>
                <w:sz w:val="18"/>
              </w:rPr>
              <w:t>,489.55</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80,977,18</w:t>
            </w:r>
          </w:p>
          <w:p>
            <w:pPr>
              <w:pStyle w:val="TableParagraph"/>
              <w:spacing w:line="234" w:lineRule="exact"/>
              <w:ind w:left="628" w:right="0"/>
              <w:jc w:val="left"/>
              <w:rPr>
                <w:rFonts w:ascii="宋体" w:hAnsi="宋体" w:cs="宋体" w:eastAsia="宋体" w:hint="default"/>
                <w:sz w:val="18"/>
                <w:szCs w:val="18"/>
              </w:rPr>
            </w:pPr>
            <w:r>
              <w:rPr>
                <w:rFonts w:ascii="宋体"/>
                <w:sz w:val="18"/>
              </w:rPr>
              <w:t>6.60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764,018,3</w:t>
            </w:r>
          </w:p>
          <w:p>
            <w:pPr>
              <w:pStyle w:val="TableParagraph"/>
              <w:spacing w:line="234" w:lineRule="exact"/>
              <w:ind w:left="531" w:right="0"/>
              <w:jc w:val="left"/>
              <w:rPr>
                <w:rFonts w:ascii="宋体" w:hAnsi="宋体" w:cs="宋体" w:eastAsia="宋体" w:hint="default"/>
                <w:sz w:val="18"/>
                <w:szCs w:val="18"/>
              </w:rPr>
            </w:pPr>
            <w:r>
              <w:rPr>
                <w:rFonts w:ascii="宋体"/>
                <w:sz w:val="18"/>
              </w:rPr>
              <w:t>83.88</w:t>
            </w:r>
          </w:p>
        </w:tc>
      </w:tr>
      <w:tr>
        <w:trPr>
          <w:trHeight w:val="244"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 w:right="0"/>
              <w:jc w:val="left"/>
              <w:rPr>
                <w:rFonts w:ascii="宋体" w:hAnsi="宋体" w:cs="宋体" w:eastAsia="宋体" w:hint="default"/>
                <w:sz w:val="18"/>
                <w:szCs w:val="18"/>
              </w:rPr>
            </w:pPr>
            <w:r>
              <w:rPr>
                <w:rFonts w:ascii="宋体"/>
                <w:sz w:val="18"/>
              </w:rPr>
              <w:t>262,605</w:t>
            </w:r>
          </w:p>
          <w:p>
            <w:pPr>
              <w:pStyle w:val="TableParagraph"/>
              <w:spacing w:line="234" w:lineRule="exact"/>
              <w:ind w:left="109" w:right="0"/>
              <w:jc w:val="left"/>
              <w:rPr>
                <w:rFonts w:ascii="宋体" w:hAnsi="宋体" w:cs="宋体" w:eastAsia="宋体" w:hint="default"/>
                <w:sz w:val="18"/>
                <w:szCs w:val="18"/>
              </w:rPr>
            </w:pPr>
            <w:r>
              <w:rPr>
                <w:rFonts w:ascii="宋体"/>
                <w:sz w:val="18"/>
              </w:rPr>
              <w:t>,000.00</w:t>
            </w: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30,393,</w:t>
            </w:r>
          </w:p>
          <w:p>
            <w:pPr>
              <w:pStyle w:val="TableParagraph"/>
              <w:spacing w:line="234" w:lineRule="exact"/>
              <w:ind w:left="217" w:right="0"/>
              <w:jc w:val="left"/>
              <w:rPr>
                <w:rFonts w:ascii="宋体" w:hAnsi="宋体" w:cs="宋体" w:eastAsia="宋体" w:hint="default"/>
                <w:sz w:val="18"/>
                <w:szCs w:val="18"/>
              </w:rPr>
            </w:pPr>
            <w:r>
              <w:rPr>
                <w:rFonts w:ascii="宋体"/>
                <w:sz w:val="18"/>
              </w:rPr>
              <w:t>764.14</w:t>
            </w:r>
          </w:p>
        </w:tc>
        <w:tc>
          <w:tcPr>
            <w:tcW w:w="87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57,777,</w:t>
            </w:r>
          </w:p>
          <w:p>
            <w:pPr>
              <w:pStyle w:val="TableParagraph"/>
              <w:spacing w:line="234" w:lineRule="exact"/>
              <w:ind w:left="219" w:right="0"/>
              <w:jc w:val="left"/>
              <w:rPr>
                <w:rFonts w:ascii="宋体" w:hAnsi="宋体" w:cs="宋体" w:eastAsia="宋体" w:hint="default"/>
                <w:sz w:val="18"/>
                <w:szCs w:val="18"/>
              </w:rPr>
            </w:pPr>
            <w:r>
              <w:rPr>
                <w:rFonts w:ascii="宋体"/>
                <w:sz w:val="18"/>
              </w:rPr>
              <w:t>943.59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332,264</w:t>
            </w:r>
          </w:p>
          <w:p>
            <w:pPr>
              <w:pStyle w:val="TableParagraph"/>
              <w:spacing w:line="234" w:lineRule="exact"/>
              <w:ind w:left="130" w:right="0"/>
              <w:jc w:val="left"/>
              <w:rPr>
                <w:rFonts w:ascii="宋体" w:hAnsi="宋体" w:cs="宋体" w:eastAsia="宋体" w:hint="default"/>
                <w:sz w:val="18"/>
                <w:szCs w:val="18"/>
              </w:rPr>
            </w:pPr>
            <w:r>
              <w:rPr>
                <w:rFonts w:ascii="宋体"/>
                <w:sz w:val="18"/>
              </w:rPr>
              <w:t>,489.55</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80,977,18</w:t>
            </w:r>
          </w:p>
          <w:p>
            <w:pPr>
              <w:pStyle w:val="TableParagraph"/>
              <w:spacing w:line="234" w:lineRule="exact"/>
              <w:ind w:left="628" w:right="0"/>
              <w:jc w:val="left"/>
              <w:rPr>
                <w:rFonts w:ascii="宋体" w:hAnsi="宋体" w:cs="宋体" w:eastAsia="宋体" w:hint="default"/>
                <w:sz w:val="18"/>
                <w:szCs w:val="18"/>
              </w:rPr>
            </w:pPr>
            <w:r>
              <w:rPr>
                <w:rFonts w:ascii="宋体"/>
                <w:sz w:val="18"/>
              </w:rPr>
              <w:t>6.60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764,018,3</w:t>
            </w:r>
          </w:p>
          <w:p>
            <w:pPr>
              <w:pStyle w:val="TableParagraph"/>
              <w:spacing w:line="234" w:lineRule="exact"/>
              <w:ind w:left="531" w:right="0"/>
              <w:jc w:val="left"/>
              <w:rPr>
                <w:rFonts w:ascii="宋体" w:hAnsi="宋体" w:cs="宋体" w:eastAsia="宋体" w:hint="default"/>
                <w:sz w:val="18"/>
                <w:szCs w:val="18"/>
              </w:rPr>
            </w:pPr>
            <w:r>
              <w:rPr>
                <w:rFonts w:ascii="宋体"/>
                <w:sz w:val="18"/>
              </w:rPr>
              <w:t>83.88</w:t>
            </w:r>
          </w:p>
        </w:tc>
      </w:tr>
      <w:tr>
        <w:trPr>
          <w:trHeight w:val="476"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三、本期增减变动金额（减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center"/>
              <w:rPr>
                <w:rFonts w:ascii="宋体" w:hAnsi="宋体" w:cs="宋体" w:eastAsia="宋体" w:hint="default"/>
                <w:sz w:val="18"/>
                <w:szCs w:val="18"/>
              </w:rPr>
            </w:pPr>
            <w:r>
              <w:rPr>
                <w:rFonts w:ascii="宋体"/>
                <w:sz w:val="18"/>
              </w:rPr>
              <w:t>3,030,5</w:t>
            </w:r>
          </w:p>
          <w:p>
            <w:pPr>
              <w:pStyle w:val="TableParagraph"/>
              <w:spacing w:line="235" w:lineRule="exact"/>
              <w:ind w:left="185" w:right="0"/>
              <w:jc w:val="center"/>
              <w:rPr>
                <w:rFonts w:ascii="宋体" w:hAnsi="宋体" w:cs="宋体" w:eastAsia="宋体" w:hint="default"/>
                <w:sz w:val="18"/>
                <w:szCs w:val="18"/>
              </w:rPr>
            </w:pPr>
            <w:r>
              <w:rPr>
                <w:rFonts w:ascii="宋体"/>
                <w:sz w:val="18"/>
              </w:rPr>
              <w:t>00.00</w:t>
            </w: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20,591,</w:t>
            </w:r>
          </w:p>
          <w:p>
            <w:pPr>
              <w:pStyle w:val="TableParagraph"/>
              <w:spacing w:line="235" w:lineRule="exact"/>
              <w:ind w:left="217" w:right="0"/>
              <w:jc w:val="left"/>
              <w:rPr>
                <w:rFonts w:ascii="宋体" w:hAnsi="宋体" w:cs="宋体" w:eastAsia="宋体" w:hint="default"/>
                <w:sz w:val="18"/>
                <w:szCs w:val="18"/>
              </w:rPr>
            </w:pPr>
            <w:r>
              <w:rPr>
                <w:rFonts w:ascii="宋体"/>
                <w:sz w:val="18"/>
              </w:rPr>
              <w:t>145.84</w:t>
            </w:r>
          </w:p>
        </w:tc>
        <w:tc>
          <w:tcPr>
            <w:tcW w:w="87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13,903,</w:t>
            </w:r>
          </w:p>
          <w:p>
            <w:pPr>
              <w:pStyle w:val="TableParagraph"/>
              <w:spacing w:line="235" w:lineRule="exact"/>
              <w:ind w:left="219" w:right="0"/>
              <w:jc w:val="left"/>
              <w:rPr>
                <w:rFonts w:ascii="宋体" w:hAnsi="宋体" w:cs="宋体" w:eastAsia="宋体" w:hint="default"/>
                <w:sz w:val="18"/>
                <w:szCs w:val="18"/>
              </w:rPr>
            </w:pPr>
            <w:r>
              <w:rPr>
                <w:rFonts w:ascii="宋体"/>
                <w:sz w:val="18"/>
              </w:rPr>
              <w:t>688.97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117,390</w:t>
            </w:r>
          </w:p>
          <w:p>
            <w:pPr>
              <w:pStyle w:val="TableParagraph"/>
              <w:spacing w:line="235" w:lineRule="exact"/>
              <w:ind w:left="130" w:right="0"/>
              <w:jc w:val="left"/>
              <w:rPr>
                <w:rFonts w:ascii="宋体" w:hAnsi="宋体" w:cs="宋体" w:eastAsia="宋体" w:hint="default"/>
                <w:sz w:val="18"/>
                <w:szCs w:val="18"/>
              </w:rPr>
            </w:pPr>
            <w:r>
              <w:rPr>
                <w:rFonts w:ascii="宋体"/>
                <w:sz w:val="18"/>
              </w:rPr>
              <w:t>,467.45</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19,024,81</w:t>
            </w:r>
          </w:p>
          <w:p>
            <w:pPr>
              <w:pStyle w:val="TableParagraph"/>
              <w:spacing w:line="235" w:lineRule="exact"/>
              <w:ind w:left="628" w:right="0"/>
              <w:jc w:val="left"/>
              <w:rPr>
                <w:rFonts w:ascii="宋体" w:hAnsi="宋体" w:cs="宋体" w:eastAsia="宋体" w:hint="default"/>
                <w:sz w:val="18"/>
                <w:szCs w:val="18"/>
              </w:rPr>
            </w:pPr>
            <w:r>
              <w:rPr>
                <w:rFonts w:ascii="宋体"/>
                <w:sz w:val="18"/>
              </w:rPr>
              <w:t>4.44</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173,940,6</w:t>
            </w:r>
          </w:p>
          <w:p>
            <w:pPr>
              <w:pStyle w:val="TableParagraph"/>
              <w:spacing w:line="235" w:lineRule="exact"/>
              <w:ind w:left="531" w:right="0"/>
              <w:jc w:val="left"/>
              <w:rPr>
                <w:rFonts w:ascii="宋体" w:hAnsi="宋体" w:cs="宋体" w:eastAsia="宋体" w:hint="default"/>
                <w:sz w:val="18"/>
                <w:szCs w:val="18"/>
              </w:rPr>
            </w:pPr>
            <w:r>
              <w:rPr>
                <w:rFonts w:ascii="宋体"/>
                <w:sz w:val="18"/>
              </w:rPr>
              <w:t>16.70</w:t>
            </w:r>
          </w:p>
        </w:tc>
      </w:tr>
      <w:tr>
        <w:trPr>
          <w:trHeight w:val="478"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153,352</w:t>
            </w:r>
          </w:p>
          <w:p>
            <w:pPr>
              <w:pStyle w:val="TableParagraph"/>
              <w:spacing w:line="235" w:lineRule="exact"/>
              <w:ind w:left="130" w:right="0"/>
              <w:jc w:val="left"/>
              <w:rPr>
                <w:rFonts w:ascii="宋体" w:hAnsi="宋体" w:cs="宋体" w:eastAsia="宋体" w:hint="default"/>
                <w:sz w:val="18"/>
                <w:szCs w:val="18"/>
              </w:rPr>
            </w:pPr>
            <w:r>
              <w:rPr>
                <w:rFonts w:ascii="宋体"/>
                <w:sz w:val="18"/>
              </w:rPr>
              <w:t>,976.42</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23,724,81</w:t>
            </w:r>
          </w:p>
          <w:p>
            <w:pPr>
              <w:pStyle w:val="TableParagraph"/>
              <w:spacing w:line="235" w:lineRule="exact"/>
              <w:ind w:left="628" w:right="0"/>
              <w:jc w:val="left"/>
              <w:rPr>
                <w:rFonts w:ascii="宋体" w:hAnsi="宋体" w:cs="宋体" w:eastAsia="宋体" w:hint="default"/>
                <w:sz w:val="18"/>
                <w:szCs w:val="18"/>
              </w:rPr>
            </w:pPr>
            <w:r>
              <w:rPr>
                <w:rFonts w:ascii="宋体"/>
                <w:sz w:val="18"/>
              </w:rPr>
              <w:t>4.44</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177,077,7</w:t>
            </w:r>
          </w:p>
          <w:p>
            <w:pPr>
              <w:pStyle w:val="TableParagraph"/>
              <w:spacing w:line="235" w:lineRule="exact"/>
              <w:ind w:left="531" w:right="0"/>
              <w:jc w:val="left"/>
              <w:rPr>
                <w:rFonts w:ascii="宋体" w:hAnsi="宋体" w:cs="宋体" w:eastAsia="宋体" w:hint="default"/>
                <w:sz w:val="18"/>
                <w:szCs w:val="18"/>
              </w:rPr>
            </w:pPr>
            <w:r>
              <w:rPr>
                <w:rFonts w:ascii="宋体"/>
                <w:sz w:val="18"/>
              </w:rPr>
              <w:t>90.86</w:t>
            </w:r>
          </w:p>
        </w:tc>
      </w:tr>
      <w:tr>
        <w:trPr>
          <w:trHeight w:val="476"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3"/>
                <w:sz w:val="18"/>
                <w:szCs w:val="18"/>
              </w:rPr>
              <w:t>）</w:t>
            </w:r>
            <w:r>
              <w:rPr>
                <w:rFonts w:ascii="宋体" w:hAnsi="宋体" w:cs="宋体" w:eastAsia="宋体" w:hint="default"/>
                <w:sz w:val="18"/>
                <w:szCs w:val="18"/>
              </w:rPr>
              <w:t>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 w:right="0"/>
              <w:jc w:val="center"/>
              <w:rPr>
                <w:rFonts w:ascii="宋体" w:hAnsi="宋体" w:cs="宋体" w:eastAsia="宋体" w:hint="default"/>
                <w:sz w:val="18"/>
                <w:szCs w:val="18"/>
              </w:rPr>
            </w:pPr>
            <w:r>
              <w:rPr>
                <w:rFonts w:ascii="宋体"/>
                <w:sz w:val="18"/>
              </w:rPr>
              <w:t>3,030,5</w:t>
            </w:r>
          </w:p>
          <w:p>
            <w:pPr>
              <w:pStyle w:val="TableParagraph"/>
              <w:spacing w:line="234" w:lineRule="exact"/>
              <w:ind w:left="185" w:right="0"/>
              <w:jc w:val="center"/>
              <w:rPr>
                <w:rFonts w:ascii="宋体" w:hAnsi="宋体" w:cs="宋体" w:eastAsia="宋体" w:hint="default"/>
                <w:sz w:val="18"/>
                <w:szCs w:val="18"/>
              </w:rPr>
            </w:pPr>
            <w:r>
              <w:rPr>
                <w:rFonts w:ascii="宋体"/>
                <w:sz w:val="18"/>
              </w:rPr>
              <w:t>00.00</w:t>
            </w: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20,591,</w:t>
            </w:r>
          </w:p>
          <w:p>
            <w:pPr>
              <w:pStyle w:val="TableParagraph"/>
              <w:spacing w:line="234" w:lineRule="exact"/>
              <w:ind w:left="217" w:right="0"/>
              <w:jc w:val="left"/>
              <w:rPr>
                <w:rFonts w:ascii="宋体" w:hAnsi="宋体" w:cs="宋体" w:eastAsia="宋体" w:hint="default"/>
                <w:sz w:val="18"/>
                <w:szCs w:val="18"/>
              </w:rPr>
            </w:pPr>
            <w:r>
              <w:rPr>
                <w:rFonts w:ascii="宋体"/>
                <w:sz w:val="18"/>
              </w:rPr>
              <w:t>145.84</w:t>
            </w:r>
          </w:p>
        </w:tc>
        <w:tc>
          <w:tcPr>
            <w:tcW w:w="87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1" w:right="0"/>
              <w:jc w:val="left"/>
              <w:rPr>
                <w:rFonts w:ascii="宋体" w:hAnsi="宋体" w:cs="宋体" w:eastAsia="宋体" w:hint="default"/>
                <w:sz w:val="18"/>
                <w:szCs w:val="18"/>
              </w:rPr>
            </w:pPr>
            <w:r>
              <w:rPr>
                <w:rFonts w:ascii="宋体"/>
                <w:sz w:val="18"/>
              </w:rPr>
              <w:t>23,621,64</w:t>
            </w:r>
          </w:p>
          <w:p>
            <w:pPr>
              <w:pStyle w:val="TableParagraph"/>
              <w:spacing w:line="234" w:lineRule="exact"/>
              <w:ind w:left="621" w:right="0"/>
              <w:jc w:val="left"/>
              <w:rPr>
                <w:rFonts w:ascii="宋体" w:hAnsi="宋体" w:cs="宋体" w:eastAsia="宋体" w:hint="default"/>
                <w:sz w:val="18"/>
                <w:szCs w:val="18"/>
              </w:rPr>
            </w:pPr>
            <w:r>
              <w:rPr>
                <w:rFonts w:ascii="宋体"/>
                <w:sz w:val="18"/>
              </w:rPr>
              <w:t>5.84</w:t>
            </w:r>
          </w:p>
        </w:tc>
      </w:tr>
      <w:tr>
        <w:trPr>
          <w:trHeight w:val="476"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1．股东投入的普通股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center"/>
              <w:rPr>
                <w:rFonts w:ascii="宋体" w:hAnsi="宋体" w:cs="宋体" w:eastAsia="宋体" w:hint="default"/>
                <w:sz w:val="18"/>
                <w:szCs w:val="18"/>
              </w:rPr>
            </w:pPr>
            <w:r>
              <w:rPr>
                <w:rFonts w:ascii="宋体"/>
                <w:sz w:val="18"/>
              </w:rPr>
              <w:t>3,030,5</w:t>
            </w:r>
          </w:p>
          <w:p>
            <w:pPr>
              <w:pStyle w:val="TableParagraph"/>
              <w:spacing w:line="235" w:lineRule="exact"/>
              <w:ind w:left="185" w:right="0"/>
              <w:jc w:val="center"/>
              <w:rPr>
                <w:rFonts w:ascii="宋体" w:hAnsi="宋体" w:cs="宋体" w:eastAsia="宋体" w:hint="default"/>
                <w:sz w:val="18"/>
                <w:szCs w:val="18"/>
              </w:rPr>
            </w:pPr>
            <w:r>
              <w:rPr>
                <w:rFonts w:ascii="宋体"/>
                <w:sz w:val="18"/>
              </w:rPr>
              <w:t>00.00</w:t>
            </w: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19,243,</w:t>
            </w:r>
          </w:p>
          <w:p>
            <w:pPr>
              <w:pStyle w:val="TableParagraph"/>
              <w:spacing w:line="235" w:lineRule="exact"/>
              <w:ind w:left="217" w:right="0"/>
              <w:jc w:val="left"/>
              <w:rPr>
                <w:rFonts w:ascii="宋体" w:hAnsi="宋体" w:cs="宋体" w:eastAsia="宋体" w:hint="default"/>
                <w:sz w:val="18"/>
                <w:szCs w:val="18"/>
              </w:rPr>
            </w:pPr>
            <w:r>
              <w:rPr>
                <w:rFonts w:ascii="宋体"/>
                <w:sz w:val="18"/>
              </w:rPr>
              <w:t>675.00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22,274,17</w:t>
            </w:r>
          </w:p>
          <w:p>
            <w:pPr>
              <w:pStyle w:val="TableParagraph"/>
              <w:spacing w:line="235" w:lineRule="exact"/>
              <w:ind w:left="621" w:right="0"/>
              <w:jc w:val="left"/>
              <w:rPr>
                <w:rFonts w:ascii="宋体" w:hAnsi="宋体" w:cs="宋体" w:eastAsia="宋体" w:hint="default"/>
                <w:sz w:val="18"/>
                <w:szCs w:val="18"/>
              </w:rPr>
            </w:pPr>
            <w:r>
              <w:rPr>
                <w:rFonts w:ascii="宋体"/>
                <w:sz w:val="18"/>
              </w:rPr>
              <w:t>5.00</w:t>
            </w:r>
          </w:p>
        </w:tc>
      </w:tr>
      <w:tr>
        <w:trPr>
          <w:trHeight w:val="478"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3．股份支付计入所有者权</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center"/>
              <w:rPr>
                <w:rFonts w:ascii="宋体" w:hAnsi="宋体" w:cs="宋体" w:eastAsia="宋体" w:hint="default"/>
                <w:sz w:val="18"/>
                <w:szCs w:val="18"/>
              </w:rPr>
            </w:pPr>
            <w:r>
              <w:rPr>
                <w:rFonts w:ascii="宋体"/>
                <w:sz w:val="18"/>
              </w:rPr>
              <w:t>1,347,4</w:t>
            </w:r>
          </w:p>
          <w:p>
            <w:pPr>
              <w:pStyle w:val="TableParagraph"/>
              <w:spacing w:line="235" w:lineRule="exact"/>
              <w:ind w:left="203" w:right="0"/>
              <w:jc w:val="center"/>
              <w:rPr>
                <w:rFonts w:ascii="宋体" w:hAnsi="宋体" w:cs="宋体" w:eastAsia="宋体" w:hint="default"/>
                <w:sz w:val="18"/>
                <w:szCs w:val="18"/>
              </w:rPr>
            </w:pPr>
            <w:r>
              <w:rPr>
                <w:rFonts w:ascii="宋体"/>
                <w:sz w:val="18"/>
              </w:rPr>
              <w:t>70.84</w:t>
            </w:r>
          </w:p>
        </w:tc>
        <w:tc>
          <w:tcPr>
            <w:tcW w:w="87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1,347,470</w:t>
            </w:r>
          </w:p>
          <w:p>
            <w:pPr>
              <w:pStyle w:val="TableParagraph"/>
              <w:spacing w:line="235" w:lineRule="exact"/>
              <w:ind w:left="711" w:right="0"/>
              <w:jc w:val="left"/>
              <w:rPr>
                <w:rFonts w:ascii="宋体" w:hAnsi="宋体" w:cs="宋体" w:eastAsia="宋体" w:hint="default"/>
                <w:sz w:val="18"/>
                <w:szCs w:val="18"/>
              </w:rPr>
            </w:pPr>
            <w:r>
              <w:rPr>
                <w:rFonts w:ascii="宋体"/>
                <w:sz w:val="18"/>
              </w:rPr>
              <w:t>.84</w:t>
            </w:r>
          </w:p>
        </w:tc>
      </w:tr>
      <w:tr>
        <w:trPr>
          <w:trHeight w:val="244"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13,903,</w:t>
            </w:r>
          </w:p>
          <w:p>
            <w:pPr>
              <w:pStyle w:val="TableParagraph"/>
              <w:spacing w:line="235" w:lineRule="exact"/>
              <w:ind w:left="219" w:right="0"/>
              <w:jc w:val="left"/>
              <w:rPr>
                <w:rFonts w:ascii="宋体" w:hAnsi="宋体" w:cs="宋体" w:eastAsia="宋体" w:hint="default"/>
                <w:sz w:val="18"/>
                <w:szCs w:val="18"/>
              </w:rPr>
            </w:pPr>
            <w:r>
              <w:rPr>
                <w:rFonts w:ascii="宋体"/>
                <w:sz w:val="18"/>
              </w:rPr>
              <w:t>688.97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-35,962</w:t>
            </w:r>
          </w:p>
          <w:p>
            <w:pPr>
              <w:pStyle w:val="TableParagraph"/>
              <w:spacing w:line="235" w:lineRule="exact"/>
              <w:ind w:left="130" w:right="0"/>
              <w:jc w:val="left"/>
              <w:rPr>
                <w:rFonts w:ascii="宋体" w:hAnsi="宋体" w:cs="宋体" w:eastAsia="宋体" w:hint="default"/>
                <w:sz w:val="18"/>
                <w:szCs w:val="18"/>
              </w:rPr>
            </w:pPr>
            <w:r>
              <w:rPr>
                <w:rFonts w:ascii="宋体"/>
                <w:sz w:val="18"/>
              </w:rPr>
              <w:t>,508.97</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-4,700,00</w:t>
            </w:r>
          </w:p>
          <w:p>
            <w:pPr>
              <w:pStyle w:val="TableParagraph"/>
              <w:spacing w:line="235" w:lineRule="exact"/>
              <w:ind w:left="628" w:right="0"/>
              <w:jc w:val="left"/>
              <w:rPr>
                <w:rFonts w:ascii="宋体" w:hAnsi="宋体" w:cs="宋体" w:eastAsia="宋体" w:hint="default"/>
                <w:sz w:val="18"/>
                <w:szCs w:val="18"/>
              </w:rPr>
            </w:pPr>
            <w:r>
              <w:rPr>
                <w:rFonts w:ascii="宋体"/>
                <w:sz w:val="18"/>
              </w:rPr>
              <w:t>0.00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-26,758,8</w:t>
            </w:r>
          </w:p>
          <w:p>
            <w:pPr>
              <w:pStyle w:val="TableParagraph"/>
              <w:spacing w:line="235" w:lineRule="exact"/>
              <w:ind w:left="531" w:right="0"/>
              <w:jc w:val="left"/>
              <w:rPr>
                <w:rFonts w:ascii="宋体" w:hAnsi="宋体" w:cs="宋体" w:eastAsia="宋体" w:hint="default"/>
                <w:sz w:val="18"/>
                <w:szCs w:val="18"/>
              </w:rPr>
            </w:pPr>
            <w:r>
              <w:rPr>
                <w:rFonts w:ascii="宋体"/>
                <w:sz w:val="18"/>
              </w:rPr>
              <w:t>20.00</w:t>
            </w:r>
          </w:p>
        </w:tc>
      </w:tr>
      <w:tr>
        <w:trPr>
          <w:trHeight w:val="478"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13,903,</w:t>
            </w:r>
          </w:p>
          <w:p>
            <w:pPr>
              <w:pStyle w:val="TableParagraph"/>
              <w:spacing w:line="234" w:lineRule="exact"/>
              <w:ind w:left="219" w:right="0"/>
              <w:jc w:val="left"/>
              <w:rPr>
                <w:rFonts w:ascii="宋体" w:hAnsi="宋体" w:cs="宋体" w:eastAsia="宋体" w:hint="default"/>
                <w:sz w:val="18"/>
                <w:szCs w:val="18"/>
              </w:rPr>
            </w:pPr>
            <w:r>
              <w:rPr>
                <w:rFonts w:ascii="宋体"/>
                <w:sz w:val="18"/>
              </w:rPr>
              <w:t>688.97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-13,903</w:t>
            </w:r>
          </w:p>
          <w:p>
            <w:pPr>
              <w:pStyle w:val="TableParagraph"/>
              <w:spacing w:line="234" w:lineRule="exact"/>
              <w:ind w:left="130" w:right="0"/>
              <w:jc w:val="left"/>
              <w:rPr>
                <w:rFonts w:ascii="宋体" w:hAnsi="宋体" w:cs="宋体" w:eastAsia="宋体" w:hint="default"/>
                <w:sz w:val="18"/>
                <w:szCs w:val="18"/>
              </w:rPr>
            </w:pPr>
            <w:r>
              <w:rPr>
                <w:rFonts w:ascii="宋体"/>
                <w:sz w:val="18"/>
              </w:rPr>
              <w:t>,688.97</w:t>
            </w:r>
          </w:p>
        </w:tc>
        <w:tc>
          <w:tcPr>
            <w:tcW w:w="110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80" w:bottom="1380" w:left="1260" w:right="13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2293"/>
        <w:gridCol w:w="852"/>
        <w:gridCol w:w="856"/>
        <w:gridCol w:w="866"/>
        <w:gridCol w:w="870"/>
        <w:gridCol w:w="870"/>
        <w:gridCol w:w="871"/>
        <w:gridCol w:w="878"/>
        <w:gridCol w:w="857"/>
        <w:gridCol w:w="872"/>
        <w:gridCol w:w="870"/>
        <w:gridCol w:w="875"/>
        <w:gridCol w:w="1100"/>
        <w:gridCol w:w="1096"/>
      </w:tblGrid>
      <w:tr>
        <w:trPr>
          <w:trHeight w:val="476"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0" w:right="0"/>
              <w:jc w:val="left"/>
              <w:rPr>
                <w:rFonts w:ascii="宋体" w:hAnsi="宋体" w:cs="宋体" w:eastAsia="宋体" w:hint="default"/>
                <w:sz w:val="18"/>
                <w:szCs w:val="18"/>
              </w:rPr>
            </w:pPr>
            <w:r>
              <w:rPr>
                <w:rFonts w:ascii="宋体"/>
                <w:sz w:val="18"/>
              </w:rPr>
              <w:t>-22,058</w:t>
            </w:r>
          </w:p>
          <w:p>
            <w:pPr>
              <w:pStyle w:val="TableParagraph"/>
              <w:spacing w:line="234" w:lineRule="exact"/>
              <w:ind w:left="130" w:right="0"/>
              <w:jc w:val="left"/>
              <w:rPr>
                <w:rFonts w:ascii="宋体" w:hAnsi="宋体" w:cs="宋体" w:eastAsia="宋体" w:hint="default"/>
                <w:sz w:val="18"/>
                <w:szCs w:val="18"/>
              </w:rPr>
            </w:pPr>
            <w:r>
              <w:rPr>
                <w:rFonts w:ascii="宋体"/>
                <w:sz w:val="18"/>
              </w:rPr>
              <w:t>,820.00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8" w:right="0"/>
              <w:jc w:val="left"/>
              <w:rPr>
                <w:rFonts w:ascii="宋体" w:hAnsi="宋体" w:cs="宋体" w:eastAsia="宋体" w:hint="default"/>
                <w:sz w:val="18"/>
                <w:szCs w:val="18"/>
              </w:rPr>
            </w:pPr>
            <w:r>
              <w:rPr>
                <w:rFonts w:ascii="宋体"/>
                <w:sz w:val="18"/>
              </w:rPr>
              <w:t>-4,700,00</w:t>
            </w:r>
          </w:p>
          <w:p>
            <w:pPr>
              <w:pStyle w:val="TableParagraph"/>
              <w:spacing w:line="234" w:lineRule="exact"/>
              <w:ind w:left="628" w:right="0"/>
              <w:jc w:val="left"/>
              <w:rPr>
                <w:rFonts w:ascii="宋体" w:hAnsi="宋体" w:cs="宋体" w:eastAsia="宋体" w:hint="default"/>
                <w:sz w:val="18"/>
                <w:szCs w:val="18"/>
              </w:rPr>
            </w:pPr>
            <w:r>
              <w:rPr>
                <w:rFonts w:ascii="宋体"/>
                <w:sz w:val="18"/>
              </w:rPr>
              <w:t>0.00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1" w:right="0"/>
              <w:jc w:val="left"/>
              <w:rPr>
                <w:rFonts w:ascii="宋体" w:hAnsi="宋体" w:cs="宋体" w:eastAsia="宋体" w:hint="default"/>
                <w:sz w:val="18"/>
                <w:szCs w:val="18"/>
              </w:rPr>
            </w:pPr>
            <w:r>
              <w:rPr>
                <w:rFonts w:ascii="宋体"/>
                <w:sz w:val="18"/>
              </w:rPr>
              <w:t>-26,758,8</w:t>
            </w:r>
          </w:p>
          <w:p>
            <w:pPr>
              <w:pStyle w:val="TableParagraph"/>
              <w:spacing w:line="234" w:lineRule="exact"/>
              <w:ind w:left="531" w:right="0"/>
              <w:jc w:val="left"/>
              <w:rPr>
                <w:rFonts w:ascii="宋体" w:hAnsi="宋体" w:cs="宋体" w:eastAsia="宋体" w:hint="default"/>
                <w:sz w:val="18"/>
                <w:szCs w:val="18"/>
              </w:rPr>
            </w:pPr>
            <w:r>
              <w:rPr>
                <w:rFonts w:ascii="宋体"/>
                <w:sz w:val="18"/>
              </w:rPr>
              <w:t>20.00</w:t>
            </w:r>
          </w:p>
        </w:tc>
      </w:tr>
      <w:tr>
        <w:trPr>
          <w:trHeight w:val="476"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3．对所有者（或股东）的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3"/>
                <w:sz w:val="18"/>
                <w:szCs w:val="18"/>
              </w:rPr>
              <w:t>）</w:t>
            </w:r>
            <w:r>
              <w:rPr>
                <w:rFonts w:ascii="宋体" w:hAnsi="宋体" w:cs="宋体" w:eastAsia="宋体" w:hint="default"/>
                <w:sz w:val="18"/>
                <w:szCs w:val="18"/>
              </w:rPr>
              <w:t>所有者权益内部结转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1．资本公积转增资本（或</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2．盈余公积转增资本（或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 w:right="0"/>
              <w:jc w:val="left"/>
              <w:rPr>
                <w:rFonts w:ascii="宋体" w:hAnsi="宋体" w:cs="宋体" w:eastAsia="宋体" w:hint="default"/>
                <w:sz w:val="18"/>
                <w:szCs w:val="18"/>
              </w:rPr>
            </w:pPr>
            <w:r>
              <w:rPr>
                <w:rFonts w:ascii="宋体"/>
                <w:sz w:val="18"/>
              </w:rPr>
              <w:t>265,635</w:t>
            </w:r>
          </w:p>
          <w:p>
            <w:pPr>
              <w:pStyle w:val="TableParagraph"/>
              <w:spacing w:line="235" w:lineRule="exact"/>
              <w:ind w:left="109" w:right="0"/>
              <w:jc w:val="left"/>
              <w:rPr>
                <w:rFonts w:ascii="宋体" w:hAnsi="宋体" w:cs="宋体" w:eastAsia="宋体" w:hint="default"/>
                <w:sz w:val="18"/>
                <w:szCs w:val="18"/>
              </w:rPr>
            </w:pPr>
            <w:r>
              <w:rPr>
                <w:rFonts w:ascii="宋体"/>
                <w:sz w:val="18"/>
              </w:rPr>
              <w:t>,500.00</w:t>
            </w: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50,984,</w:t>
            </w:r>
          </w:p>
          <w:p>
            <w:pPr>
              <w:pStyle w:val="TableParagraph"/>
              <w:spacing w:line="235" w:lineRule="exact"/>
              <w:ind w:left="217" w:right="0"/>
              <w:jc w:val="left"/>
              <w:rPr>
                <w:rFonts w:ascii="宋体" w:hAnsi="宋体" w:cs="宋体" w:eastAsia="宋体" w:hint="default"/>
                <w:sz w:val="18"/>
                <w:szCs w:val="18"/>
              </w:rPr>
            </w:pPr>
            <w:r>
              <w:rPr>
                <w:rFonts w:ascii="宋体"/>
                <w:sz w:val="18"/>
              </w:rPr>
              <w:t>909.98</w:t>
            </w:r>
          </w:p>
        </w:tc>
        <w:tc>
          <w:tcPr>
            <w:tcW w:w="87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71,681,</w:t>
            </w:r>
          </w:p>
          <w:p>
            <w:pPr>
              <w:pStyle w:val="TableParagraph"/>
              <w:spacing w:line="235" w:lineRule="exact"/>
              <w:ind w:left="219" w:right="0"/>
              <w:jc w:val="left"/>
              <w:rPr>
                <w:rFonts w:ascii="宋体" w:hAnsi="宋体" w:cs="宋体" w:eastAsia="宋体" w:hint="default"/>
                <w:sz w:val="18"/>
                <w:szCs w:val="18"/>
              </w:rPr>
            </w:pPr>
            <w:r>
              <w:rPr>
                <w:rFonts w:ascii="宋体"/>
                <w:sz w:val="18"/>
              </w:rPr>
              <w:t>632.56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449,654</w:t>
            </w:r>
          </w:p>
          <w:p>
            <w:pPr>
              <w:pStyle w:val="TableParagraph"/>
              <w:spacing w:line="235" w:lineRule="exact"/>
              <w:ind w:left="130" w:right="0"/>
              <w:jc w:val="left"/>
              <w:rPr>
                <w:rFonts w:ascii="宋体" w:hAnsi="宋体" w:cs="宋体" w:eastAsia="宋体" w:hint="default"/>
                <w:sz w:val="18"/>
                <w:szCs w:val="18"/>
              </w:rPr>
            </w:pPr>
            <w:r>
              <w:rPr>
                <w:rFonts w:ascii="宋体"/>
                <w:sz w:val="18"/>
              </w:rPr>
              <w:t>,957.00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100,002,0</w:t>
            </w:r>
          </w:p>
          <w:p>
            <w:pPr>
              <w:pStyle w:val="TableParagraph"/>
              <w:spacing w:line="235" w:lineRule="exact"/>
              <w:ind w:left="538" w:right="0"/>
              <w:jc w:val="left"/>
              <w:rPr>
                <w:rFonts w:ascii="宋体" w:hAnsi="宋体" w:cs="宋体" w:eastAsia="宋体" w:hint="default"/>
                <w:sz w:val="18"/>
                <w:szCs w:val="18"/>
              </w:rPr>
            </w:pPr>
            <w:r>
              <w:rPr>
                <w:rFonts w:ascii="宋体"/>
                <w:sz w:val="18"/>
              </w:rPr>
              <w:t>01.04</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937,959,0</w:t>
            </w:r>
          </w:p>
          <w:p>
            <w:pPr>
              <w:pStyle w:val="TableParagraph"/>
              <w:spacing w:line="235" w:lineRule="exact"/>
              <w:ind w:left="531" w:right="0"/>
              <w:jc w:val="left"/>
              <w:rPr>
                <w:rFonts w:ascii="宋体" w:hAnsi="宋体" w:cs="宋体" w:eastAsia="宋体" w:hint="default"/>
                <w:sz w:val="18"/>
                <w:szCs w:val="18"/>
              </w:rPr>
            </w:pPr>
            <w:r>
              <w:rPr>
                <w:rFonts w:ascii="宋体"/>
                <w:sz w:val="18"/>
              </w:rPr>
              <w:t>00.58</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2285"/>
        <w:gridCol w:w="870"/>
        <w:gridCol w:w="857"/>
        <w:gridCol w:w="857"/>
        <w:gridCol w:w="886"/>
        <w:gridCol w:w="870"/>
        <w:gridCol w:w="857"/>
        <w:gridCol w:w="884"/>
        <w:gridCol w:w="858"/>
        <w:gridCol w:w="870"/>
        <w:gridCol w:w="886"/>
        <w:gridCol w:w="871"/>
        <w:gridCol w:w="1081"/>
        <w:gridCol w:w="1109"/>
      </w:tblGrid>
      <w:tr>
        <w:trPr>
          <w:trHeight w:val="250" w:hRule="exact"/>
        </w:trPr>
        <w:tc>
          <w:tcPr>
            <w:tcW w:w="22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55"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1" w:hRule="exact"/>
        </w:trPr>
        <w:tc>
          <w:tcPr>
            <w:tcW w:w="2285" w:type="dxa"/>
            <w:vMerge/>
            <w:tcBorders>
              <w:left w:val="single" w:sz="4" w:space="0" w:color="000000"/>
              <w:right w:val="single" w:sz="4" w:space="0" w:color="000000"/>
            </w:tcBorders>
          </w:tcPr>
          <w:p>
            <w:pPr/>
          </w:p>
        </w:tc>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8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355" w:right="174"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78" w:right="188"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92" w:hRule="exact"/>
        </w:trPr>
        <w:tc>
          <w:tcPr>
            <w:tcW w:w="2285" w:type="dxa"/>
            <w:vMerge/>
            <w:tcBorders>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0" w:type="dxa"/>
            <w:vMerge w:val="restart"/>
            <w:tcBorders>
              <w:top w:val="single" w:sz="4" w:space="0" w:color="000000"/>
              <w:left w:val="single" w:sz="4" w:space="0" w:color="000000"/>
              <w:right w:val="single" w:sz="4" w:space="0" w:color="000000"/>
            </w:tcBorders>
          </w:tcPr>
          <w:p>
            <w:pPr>
              <w:pStyle w:val="TableParagraph"/>
              <w:spacing w:line="244" w:lineRule="auto" w:before="85"/>
              <w:ind w:left="339" w:right="1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01" w:hanging="231"/>
              <w:jc w:val="left"/>
              <w:rPr>
                <w:rFonts w:ascii="宋体" w:hAnsi="宋体" w:cs="宋体" w:eastAsia="宋体" w:hint="default"/>
                <w:sz w:val="18"/>
                <w:szCs w:val="18"/>
              </w:rPr>
            </w:pPr>
            <w:r>
              <w:rPr>
                <w:rFonts w:ascii="宋体" w:hAnsi="宋体" w:cs="宋体" w:eastAsia="宋体" w:hint="default"/>
                <w:spacing w:val="-20"/>
                <w:sz w:val="18"/>
                <w:szCs w:val="18"/>
              </w:rPr>
              <w:t>减：库存</w:t>
            </w:r>
            <w:r>
              <w:rPr>
                <w:rFonts w:ascii="宋体" w:hAnsi="宋体" w:cs="宋体" w:eastAsia="宋体" w:hint="default"/>
                <w:sz w:val="18"/>
                <w:szCs w:val="18"/>
              </w:rPr>
              <w:t> 股</w:t>
            </w:r>
          </w:p>
        </w:tc>
        <w:tc>
          <w:tcPr>
            <w:tcW w:w="884" w:type="dxa"/>
            <w:vMerge w:val="restart"/>
            <w:tcBorders>
              <w:top w:val="single" w:sz="4" w:space="0" w:color="000000"/>
              <w:left w:val="single" w:sz="4" w:space="0" w:color="000000"/>
              <w:right w:val="single" w:sz="4" w:space="0" w:color="000000"/>
            </w:tcBorders>
          </w:tcPr>
          <w:p>
            <w:pPr>
              <w:pStyle w:val="TableParagraph"/>
              <w:spacing w:line="244" w:lineRule="auto" w:before="85"/>
              <w:ind w:left="166" w:right="16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8"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52"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0" w:type="dxa"/>
            <w:vMerge w:val="restart"/>
            <w:tcBorders>
              <w:top w:val="single" w:sz="4" w:space="0" w:color="000000"/>
              <w:left w:val="single" w:sz="4" w:space="0" w:color="000000"/>
              <w:right w:val="single" w:sz="4" w:space="0" w:color="000000"/>
            </w:tcBorders>
          </w:tcPr>
          <w:p>
            <w:pPr>
              <w:pStyle w:val="TableParagraph"/>
              <w:spacing w:line="244" w:lineRule="auto" w:before="85"/>
              <w:ind w:left="339" w:right="15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86" w:type="dxa"/>
            <w:vMerge w:val="restart"/>
            <w:tcBorders>
              <w:top w:val="single" w:sz="4" w:space="0" w:color="000000"/>
              <w:left w:val="single" w:sz="4" w:space="0" w:color="000000"/>
              <w:right w:val="single" w:sz="4" w:space="0" w:color="000000"/>
            </w:tcBorders>
          </w:tcPr>
          <w:p>
            <w:pPr>
              <w:pStyle w:val="TableParagraph"/>
              <w:spacing w:line="244" w:lineRule="auto" w:before="85"/>
              <w:ind w:left="166" w:right="1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5"/>
              <w:ind w:left="250" w:right="158"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08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3" w:hRule="exact"/>
        </w:trPr>
        <w:tc>
          <w:tcPr>
            <w:tcW w:w="2285"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0"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58"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1081"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261,136</w:t>
            </w:r>
          </w:p>
          <w:p>
            <w:pPr>
              <w:pStyle w:val="TableParagraph"/>
              <w:spacing w:line="235" w:lineRule="exact"/>
              <w:ind w:left="127" w:right="0"/>
              <w:jc w:val="left"/>
              <w:rPr>
                <w:rFonts w:ascii="宋体" w:hAnsi="宋体" w:cs="宋体" w:eastAsia="宋体" w:hint="default"/>
                <w:sz w:val="18"/>
                <w:szCs w:val="18"/>
              </w:rPr>
            </w:pPr>
            <w:r>
              <w:rPr>
                <w:rFonts w:ascii="宋体"/>
                <w:sz w:val="18"/>
              </w:rPr>
              <w:t>,000.00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17,796,</w:t>
            </w:r>
          </w:p>
          <w:p>
            <w:pPr>
              <w:pStyle w:val="TableParagraph"/>
              <w:spacing w:line="235" w:lineRule="exact"/>
              <w:ind w:left="217" w:right="0"/>
              <w:jc w:val="left"/>
              <w:rPr>
                <w:rFonts w:ascii="宋体" w:hAnsi="宋体" w:cs="宋体" w:eastAsia="宋体" w:hint="default"/>
                <w:sz w:val="18"/>
                <w:szCs w:val="18"/>
              </w:rPr>
            </w:pPr>
            <w:r>
              <w:rPr>
                <w:rFonts w:ascii="宋体"/>
                <w:sz w:val="18"/>
              </w:rPr>
              <w:t>859.80</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47,837,</w:t>
            </w:r>
          </w:p>
          <w:p>
            <w:pPr>
              <w:pStyle w:val="TableParagraph"/>
              <w:spacing w:line="235" w:lineRule="exact"/>
              <w:ind w:left="217" w:right="0"/>
              <w:jc w:val="left"/>
              <w:rPr>
                <w:rFonts w:ascii="宋体" w:hAnsi="宋体" w:cs="宋体" w:eastAsia="宋体" w:hint="default"/>
                <w:sz w:val="18"/>
                <w:szCs w:val="18"/>
              </w:rPr>
            </w:pPr>
            <w:r>
              <w:rPr>
                <w:rFonts w:ascii="宋体"/>
                <w:sz w:val="18"/>
              </w:rPr>
              <w:t>289.29</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sz w:val="18"/>
              </w:rPr>
              <w:t>240,308</w:t>
            </w:r>
          </w:p>
          <w:p>
            <w:pPr>
              <w:pStyle w:val="TableParagraph"/>
              <w:spacing w:line="235" w:lineRule="exact"/>
              <w:ind w:left="128" w:right="0"/>
              <w:jc w:val="left"/>
              <w:rPr>
                <w:rFonts w:ascii="宋体" w:hAnsi="宋体" w:cs="宋体" w:eastAsia="宋体" w:hint="default"/>
                <w:sz w:val="18"/>
                <w:szCs w:val="18"/>
              </w:rPr>
            </w:pPr>
            <w:r>
              <w:rPr>
                <w:rFonts w:ascii="宋体"/>
                <w:sz w:val="18"/>
              </w:rPr>
              <w:t>,987.26</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58,400,86</w:t>
            </w:r>
          </w:p>
          <w:p>
            <w:pPr>
              <w:pStyle w:val="TableParagraph"/>
              <w:spacing w:line="235" w:lineRule="exact"/>
              <w:ind w:left="608" w:right="0"/>
              <w:jc w:val="left"/>
              <w:rPr>
                <w:rFonts w:ascii="宋体" w:hAnsi="宋体" w:cs="宋体" w:eastAsia="宋体" w:hint="default"/>
                <w:sz w:val="18"/>
                <w:szCs w:val="18"/>
              </w:rPr>
            </w:pPr>
            <w:r>
              <w:rPr>
                <w:rFonts w:ascii="宋体"/>
                <w:sz w:val="18"/>
              </w:rPr>
              <w:t>5.56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625,480,0</w:t>
            </w:r>
          </w:p>
          <w:p>
            <w:pPr>
              <w:pStyle w:val="TableParagraph"/>
              <w:spacing w:line="235" w:lineRule="exact"/>
              <w:ind w:left="544" w:right="0"/>
              <w:jc w:val="left"/>
              <w:rPr>
                <w:rFonts w:ascii="宋体" w:hAnsi="宋体" w:cs="宋体" w:eastAsia="宋体" w:hint="default"/>
                <w:sz w:val="18"/>
                <w:szCs w:val="18"/>
              </w:rPr>
            </w:pPr>
            <w:r>
              <w:rPr>
                <w:rFonts w:ascii="宋体"/>
                <w:sz w:val="18"/>
              </w:rPr>
              <w:t>01.91</w:t>
            </w: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261,136</w:t>
            </w:r>
          </w:p>
          <w:p>
            <w:pPr>
              <w:pStyle w:val="TableParagraph"/>
              <w:spacing w:line="235" w:lineRule="exact"/>
              <w:ind w:left="127" w:right="0"/>
              <w:jc w:val="left"/>
              <w:rPr>
                <w:rFonts w:ascii="宋体" w:hAnsi="宋体" w:cs="宋体" w:eastAsia="宋体" w:hint="default"/>
                <w:sz w:val="18"/>
                <w:szCs w:val="18"/>
              </w:rPr>
            </w:pPr>
            <w:r>
              <w:rPr>
                <w:rFonts w:ascii="宋体"/>
                <w:sz w:val="18"/>
              </w:rPr>
              <w:t>,000.00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17,796,</w:t>
            </w:r>
          </w:p>
          <w:p>
            <w:pPr>
              <w:pStyle w:val="TableParagraph"/>
              <w:spacing w:line="235" w:lineRule="exact"/>
              <w:ind w:left="217" w:right="0"/>
              <w:jc w:val="left"/>
              <w:rPr>
                <w:rFonts w:ascii="宋体" w:hAnsi="宋体" w:cs="宋体" w:eastAsia="宋体" w:hint="default"/>
                <w:sz w:val="18"/>
                <w:szCs w:val="18"/>
              </w:rPr>
            </w:pPr>
            <w:r>
              <w:rPr>
                <w:rFonts w:ascii="宋体"/>
                <w:sz w:val="18"/>
              </w:rPr>
              <w:t>859.80</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47,837,</w:t>
            </w:r>
          </w:p>
          <w:p>
            <w:pPr>
              <w:pStyle w:val="TableParagraph"/>
              <w:spacing w:line="235" w:lineRule="exact"/>
              <w:ind w:left="217" w:right="0"/>
              <w:jc w:val="left"/>
              <w:rPr>
                <w:rFonts w:ascii="宋体" w:hAnsi="宋体" w:cs="宋体" w:eastAsia="宋体" w:hint="default"/>
                <w:sz w:val="18"/>
                <w:szCs w:val="18"/>
              </w:rPr>
            </w:pPr>
            <w:r>
              <w:rPr>
                <w:rFonts w:ascii="宋体"/>
                <w:sz w:val="18"/>
              </w:rPr>
              <w:t>289.29</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sz w:val="18"/>
              </w:rPr>
              <w:t>240,308</w:t>
            </w:r>
          </w:p>
          <w:p>
            <w:pPr>
              <w:pStyle w:val="TableParagraph"/>
              <w:spacing w:line="235" w:lineRule="exact"/>
              <w:ind w:left="128" w:right="0"/>
              <w:jc w:val="left"/>
              <w:rPr>
                <w:rFonts w:ascii="宋体" w:hAnsi="宋体" w:cs="宋体" w:eastAsia="宋体" w:hint="default"/>
                <w:sz w:val="18"/>
                <w:szCs w:val="18"/>
              </w:rPr>
            </w:pPr>
            <w:r>
              <w:rPr>
                <w:rFonts w:ascii="宋体"/>
                <w:sz w:val="18"/>
              </w:rPr>
              <w:t>,987.26</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58,400,86</w:t>
            </w:r>
          </w:p>
          <w:p>
            <w:pPr>
              <w:pStyle w:val="TableParagraph"/>
              <w:spacing w:line="235" w:lineRule="exact"/>
              <w:ind w:left="608" w:right="0"/>
              <w:jc w:val="left"/>
              <w:rPr>
                <w:rFonts w:ascii="宋体" w:hAnsi="宋体" w:cs="宋体" w:eastAsia="宋体" w:hint="default"/>
                <w:sz w:val="18"/>
                <w:szCs w:val="18"/>
              </w:rPr>
            </w:pPr>
            <w:r>
              <w:rPr>
                <w:rFonts w:ascii="宋体"/>
                <w:sz w:val="18"/>
              </w:rPr>
              <w:t>5.56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625,480,0</w:t>
            </w:r>
          </w:p>
          <w:p>
            <w:pPr>
              <w:pStyle w:val="TableParagraph"/>
              <w:spacing w:line="235" w:lineRule="exact"/>
              <w:ind w:left="544" w:right="0"/>
              <w:jc w:val="left"/>
              <w:rPr>
                <w:rFonts w:ascii="宋体" w:hAnsi="宋体" w:cs="宋体" w:eastAsia="宋体" w:hint="default"/>
                <w:sz w:val="18"/>
                <w:szCs w:val="18"/>
              </w:rPr>
            </w:pPr>
            <w:r>
              <w:rPr>
                <w:rFonts w:ascii="宋体"/>
                <w:sz w:val="18"/>
              </w:rPr>
              <w:t>01.91</w:t>
            </w: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7" w:right="0"/>
              <w:jc w:val="left"/>
              <w:rPr>
                <w:rFonts w:ascii="宋体" w:hAnsi="宋体" w:cs="宋体" w:eastAsia="宋体" w:hint="default"/>
                <w:sz w:val="18"/>
                <w:szCs w:val="18"/>
              </w:rPr>
            </w:pPr>
            <w:r>
              <w:rPr>
                <w:rFonts w:ascii="宋体"/>
                <w:sz w:val="18"/>
              </w:rPr>
              <w:t>1,469,0</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7" w:right="0"/>
              <w:jc w:val="left"/>
              <w:rPr>
                <w:rFonts w:ascii="宋体" w:hAnsi="宋体" w:cs="宋体" w:eastAsia="宋体" w:hint="default"/>
                <w:sz w:val="18"/>
                <w:szCs w:val="18"/>
              </w:rPr>
            </w:pPr>
            <w:r>
              <w:rPr>
                <w:rFonts w:ascii="宋体"/>
                <w:sz w:val="18"/>
              </w:rPr>
              <w:t>12,596,</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7" w:right="0"/>
              <w:jc w:val="left"/>
              <w:rPr>
                <w:rFonts w:ascii="宋体" w:hAnsi="宋体" w:cs="宋体" w:eastAsia="宋体" w:hint="default"/>
                <w:sz w:val="18"/>
                <w:szCs w:val="18"/>
              </w:rPr>
            </w:pPr>
            <w:r>
              <w:rPr>
                <w:rFonts w:ascii="宋体"/>
                <w:sz w:val="18"/>
              </w:rPr>
              <w:t>9,940,6</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8" w:right="0"/>
              <w:jc w:val="left"/>
              <w:rPr>
                <w:rFonts w:ascii="宋体" w:hAnsi="宋体" w:cs="宋体" w:eastAsia="宋体" w:hint="default"/>
                <w:sz w:val="18"/>
                <w:szCs w:val="18"/>
              </w:rPr>
            </w:pPr>
            <w:r>
              <w:rPr>
                <w:rFonts w:ascii="宋体"/>
                <w:sz w:val="18"/>
              </w:rPr>
              <w:t>91,955,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58" w:right="0"/>
              <w:jc w:val="left"/>
              <w:rPr>
                <w:rFonts w:ascii="宋体" w:hAnsi="宋体" w:cs="宋体" w:eastAsia="宋体" w:hint="default"/>
                <w:sz w:val="18"/>
                <w:szCs w:val="18"/>
              </w:rPr>
            </w:pPr>
            <w:r>
              <w:rPr>
                <w:rFonts w:ascii="宋体"/>
                <w:sz w:val="18"/>
              </w:rPr>
              <w:t>22,576,32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84" w:right="0"/>
              <w:jc w:val="left"/>
              <w:rPr>
                <w:rFonts w:ascii="宋体" w:hAnsi="宋体" w:cs="宋体" w:eastAsia="宋体" w:hint="default"/>
                <w:sz w:val="18"/>
                <w:szCs w:val="18"/>
              </w:rPr>
            </w:pPr>
            <w:r>
              <w:rPr>
                <w:rFonts w:ascii="宋体"/>
                <w:sz w:val="18"/>
              </w:rPr>
              <w:t>138,538,3</w:t>
            </w:r>
          </w:p>
        </w:tc>
      </w:tr>
    </w:tbl>
    <w:p>
      <w:pPr>
        <w:spacing w:after="0" w:line="207" w:lineRule="exact"/>
        <w:jc w:val="left"/>
        <w:rPr>
          <w:rFonts w:ascii="宋体" w:hAnsi="宋体" w:cs="宋体" w:eastAsia="宋体" w:hint="default"/>
          <w:sz w:val="18"/>
          <w:szCs w:val="18"/>
        </w:rPr>
        <w:sectPr>
          <w:pgSz w:w="16840" w:h="11910" w:orient="landscape"/>
          <w:pgMar w:header="877" w:footer="1193" w:top="1100" w:bottom="1380" w:left="1260" w:right="13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285"/>
        <w:gridCol w:w="870"/>
        <w:gridCol w:w="857"/>
        <w:gridCol w:w="857"/>
        <w:gridCol w:w="886"/>
        <w:gridCol w:w="870"/>
        <w:gridCol w:w="857"/>
        <w:gridCol w:w="884"/>
        <w:gridCol w:w="858"/>
        <w:gridCol w:w="870"/>
        <w:gridCol w:w="886"/>
        <w:gridCol w:w="871"/>
        <w:gridCol w:w="1081"/>
        <w:gridCol w:w="1109"/>
      </w:tblGrid>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7" w:right="0"/>
              <w:jc w:val="left"/>
              <w:rPr>
                <w:rFonts w:ascii="宋体" w:hAnsi="宋体" w:cs="宋体" w:eastAsia="宋体" w:hint="default"/>
                <w:sz w:val="18"/>
                <w:szCs w:val="18"/>
              </w:rPr>
            </w:pPr>
            <w:r>
              <w:rPr>
                <w:rFonts w:ascii="宋体"/>
                <w:sz w:val="18"/>
              </w:rPr>
              <w:t>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7" w:right="0"/>
              <w:jc w:val="left"/>
              <w:rPr>
                <w:rFonts w:ascii="宋体" w:hAnsi="宋体" w:cs="宋体" w:eastAsia="宋体" w:hint="default"/>
                <w:sz w:val="18"/>
                <w:szCs w:val="18"/>
              </w:rPr>
            </w:pPr>
            <w:r>
              <w:rPr>
                <w:rFonts w:ascii="宋体"/>
                <w:sz w:val="18"/>
              </w:rPr>
              <w:t>904.34</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7" w:right="0"/>
              <w:jc w:val="left"/>
              <w:rPr>
                <w:rFonts w:ascii="宋体" w:hAnsi="宋体" w:cs="宋体" w:eastAsia="宋体" w:hint="default"/>
                <w:sz w:val="18"/>
                <w:szCs w:val="18"/>
              </w:rPr>
            </w:pPr>
            <w:r>
              <w:rPr>
                <w:rFonts w:ascii="宋体"/>
                <w:sz w:val="18"/>
              </w:rPr>
              <w:t>54.30</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8" w:right="0"/>
              <w:jc w:val="left"/>
              <w:rPr>
                <w:rFonts w:ascii="宋体" w:hAnsi="宋体" w:cs="宋体" w:eastAsia="宋体" w:hint="default"/>
                <w:sz w:val="18"/>
                <w:szCs w:val="18"/>
              </w:rPr>
            </w:pPr>
            <w:r>
              <w:rPr>
                <w:rFonts w:ascii="宋体"/>
                <w:sz w:val="18"/>
              </w:rPr>
              <w:t>502.29</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08" w:right="0"/>
              <w:jc w:val="left"/>
              <w:rPr>
                <w:rFonts w:ascii="宋体" w:hAnsi="宋体" w:cs="宋体" w:eastAsia="宋体" w:hint="default"/>
                <w:sz w:val="18"/>
                <w:szCs w:val="18"/>
              </w:rPr>
            </w:pPr>
            <w:r>
              <w:rPr>
                <w:rFonts w:ascii="宋体"/>
                <w:sz w:val="18"/>
              </w:rPr>
              <w:t>1.04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44" w:right="0"/>
              <w:jc w:val="left"/>
              <w:rPr>
                <w:rFonts w:ascii="宋体" w:hAnsi="宋体" w:cs="宋体" w:eastAsia="宋体" w:hint="default"/>
                <w:sz w:val="18"/>
                <w:szCs w:val="18"/>
              </w:rPr>
            </w:pPr>
            <w:r>
              <w:rPr>
                <w:rFonts w:ascii="宋体"/>
                <w:sz w:val="18"/>
              </w:rPr>
              <w:t>81.97</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sz w:val="18"/>
              </w:rPr>
              <w:t>109,207</w:t>
            </w:r>
          </w:p>
          <w:p>
            <w:pPr>
              <w:pStyle w:val="TableParagraph"/>
              <w:spacing w:line="234" w:lineRule="exact"/>
              <w:ind w:left="128" w:right="0"/>
              <w:jc w:val="left"/>
              <w:rPr>
                <w:rFonts w:ascii="宋体" w:hAnsi="宋体" w:cs="宋体" w:eastAsia="宋体" w:hint="default"/>
                <w:sz w:val="18"/>
                <w:szCs w:val="18"/>
              </w:rPr>
            </w:pPr>
            <w:r>
              <w:rPr>
                <w:rFonts w:ascii="宋体"/>
                <w:sz w:val="18"/>
              </w:rPr>
              <w:t>,964.59</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15,836,32</w:t>
            </w:r>
          </w:p>
          <w:p>
            <w:pPr>
              <w:pStyle w:val="TableParagraph"/>
              <w:spacing w:line="234" w:lineRule="exact"/>
              <w:ind w:left="608" w:right="0"/>
              <w:jc w:val="left"/>
              <w:rPr>
                <w:rFonts w:ascii="宋体" w:hAnsi="宋体" w:cs="宋体" w:eastAsia="宋体" w:hint="default"/>
                <w:sz w:val="18"/>
                <w:szCs w:val="18"/>
              </w:rPr>
            </w:pPr>
            <w:r>
              <w:rPr>
                <w:rFonts w:ascii="宋体"/>
                <w:sz w:val="18"/>
              </w:rPr>
              <w:t>1.04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125,044,2</w:t>
            </w:r>
          </w:p>
          <w:p>
            <w:pPr>
              <w:pStyle w:val="TableParagraph"/>
              <w:spacing w:line="234" w:lineRule="exact"/>
              <w:ind w:left="544" w:right="0"/>
              <w:jc w:val="left"/>
              <w:rPr>
                <w:rFonts w:ascii="宋体" w:hAnsi="宋体" w:cs="宋体" w:eastAsia="宋体" w:hint="default"/>
                <w:sz w:val="18"/>
                <w:szCs w:val="18"/>
              </w:rPr>
            </w:pPr>
            <w:r>
              <w:rPr>
                <w:rFonts w:ascii="宋体"/>
                <w:sz w:val="18"/>
              </w:rPr>
              <w:t>85.63</w:t>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center"/>
              <w:rPr>
                <w:rFonts w:ascii="宋体" w:hAnsi="宋体" w:cs="宋体" w:eastAsia="宋体" w:hint="default"/>
                <w:sz w:val="18"/>
                <w:szCs w:val="18"/>
              </w:rPr>
            </w:pPr>
            <w:r>
              <w:rPr>
                <w:rFonts w:ascii="宋体"/>
                <w:sz w:val="18"/>
              </w:rPr>
              <w:t>1,469,0</w:t>
            </w:r>
          </w:p>
          <w:p>
            <w:pPr>
              <w:pStyle w:val="TableParagraph"/>
              <w:spacing w:line="235" w:lineRule="exact"/>
              <w:ind w:left="203" w:right="0"/>
              <w:jc w:val="center"/>
              <w:rPr>
                <w:rFonts w:ascii="宋体" w:hAnsi="宋体" w:cs="宋体" w:eastAsia="宋体" w:hint="default"/>
                <w:sz w:val="18"/>
                <w:szCs w:val="18"/>
              </w:rPr>
            </w:pPr>
            <w:r>
              <w:rPr>
                <w:rFonts w:ascii="宋体"/>
                <w:sz w:val="18"/>
              </w:rPr>
              <w:t>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12,596,</w:t>
            </w:r>
          </w:p>
          <w:p>
            <w:pPr>
              <w:pStyle w:val="TableParagraph"/>
              <w:spacing w:line="235" w:lineRule="exact"/>
              <w:ind w:left="217" w:right="0"/>
              <w:jc w:val="left"/>
              <w:rPr>
                <w:rFonts w:ascii="宋体" w:hAnsi="宋体" w:cs="宋体" w:eastAsia="宋体" w:hint="default"/>
                <w:sz w:val="18"/>
                <w:szCs w:val="18"/>
              </w:rPr>
            </w:pPr>
            <w:r>
              <w:rPr>
                <w:rFonts w:ascii="宋体"/>
                <w:sz w:val="18"/>
              </w:rPr>
              <w:t>904.34</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10,500,00</w:t>
            </w:r>
          </w:p>
          <w:p>
            <w:pPr>
              <w:pStyle w:val="TableParagraph"/>
              <w:spacing w:line="235" w:lineRule="exact"/>
              <w:ind w:left="608" w:right="0"/>
              <w:jc w:val="left"/>
              <w:rPr>
                <w:rFonts w:ascii="宋体" w:hAnsi="宋体" w:cs="宋体" w:eastAsia="宋体" w:hint="default"/>
                <w:sz w:val="18"/>
                <w:szCs w:val="18"/>
              </w:rPr>
            </w:pPr>
            <w:r>
              <w:rPr>
                <w:rFonts w:ascii="宋体"/>
                <w:sz w:val="18"/>
              </w:rPr>
              <w:t>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24,565,90</w:t>
            </w:r>
          </w:p>
          <w:p>
            <w:pPr>
              <w:pStyle w:val="TableParagraph"/>
              <w:spacing w:line="235" w:lineRule="exact"/>
              <w:ind w:left="634" w:right="0"/>
              <w:jc w:val="left"/>
              <w:rPr>
                <w:rFonts w:ascii="宋体" w:hAnsi="宋体" w:cs="宋体" w:eastAsia="宋体" w:hint="default"/>
                <w:sz w:val="18"/>
                <w:szCs w:val="18"/>
              </w:rPr>
            </w:pPr>
            <w:r>
              <w:rPr>
                <w:rFonts w:ascii="宋体"/>
                <w:sz w:val="18"/>
              </w:rPr>
              <w:t>4.34</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1．股东投入的普通股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center"/>
              <w:rPr>
                <w:rFonts w:ascii="宋体" w:hAnsi="宋体" w:cs="宋体" w:eastAsia="宋体" w:hint="default"/>
                <w:sz w:val="18"/>
                <w:szCs w:val="18"/>
              </w:rPr>
            </w:pPr>
            <w:r>
              <w:rPr>
                <w:rFonts w:ascii="宋体"/>
                <w:sz w:val="18"/>
              </w:rPr>
              <w:t>1,469,0</w:t>
            </w:r>
          </w:p>
          <w:p>
            <w:pPr>
              <w:pStyle w:val="TableParagraph"/>
              <w:spacing w:line="235" w:lineRule="exact"/>
              <w:ind w:left="203" w:right="0"/>
              <w:jc w:val="center"/>
              <w:rPr>
                <w:rFonts w:ascii="宋体" w:hAnsi="宋体" w:cs="宋体" w:eastAsia="宋体" w:hint="default"/>
                <w:sz w:val="18"/>
                <w:szCs w:val="18"/>
              </w:rPr>
            </w:pPr>
            <w:r>
              <w:rPr>
                <w:rFonts w:ascii="宋体"/>
                <w:sz w:val="18"/>
              </w:rPr>
              <w:t>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11,455,</w:t>
            </w:r>
          </w:p>
          <w:p>
            <w:pPr>
              <w:pStyle w:val="TableParagraph"/>
              <w:spacing w:line="235" w:lineRule="exact"/>
              <w:ind w:left="217" w:right="0"/>
              <w:jc w:val="left"/>
              <w:rPr>
                <w:rFonts w:ascii="宋体" w:hAnsi="宋体" w:cs="宋体" w:eastAsia="宋体" w:hint="default"/>
                <w:sz w:val="18"/>
                <w:szCs w:val="18"/>
              </w:rPr>
            </w:pPr>
            <w:r>
              <w:rPr>
                <w:rFonts w:ascii="宋体"/>
                <w:sz w:val="18"/>
              </w:rPr>
              <w:t>490.00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10,500,00</w:t>
            </w:r>
          </w:p>
          <w:p>
            <w:pPr>
              <w:pStyle w:val="TableParagraph"/>
              <w:spacing w:line="235" w:lineRule="exact"/>
              <w:ind w:left="608" w:right="0"/>
              <w:jc w:val="left"/>
              <w:rPr>
                <w:rFonts w:ascii="宋体" w:hAnsi="宋体" w:cs="宋体" w:eastAsia="宋体" w:hint="default"/>
                <w:sz w:val="18"/>
                <w:szCs w:val="18"/>
              </w:rPr>
            </w:pPr>
            <w:r>
              <w:rPr>
                <w:rFonts w:ascii="宋体"/>
                <w:sz w:val="18"/>
              </w:rPr>
              <w:t>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23,424,49</w:t>
            </w:r>
          </w:p>
          <w:p>
            <w:pPr>
              <w:pStyle w:val="TableParagraph"/>
              <w:spacing w:line="235" w:lineRule="exact"/>
              <w:ind w:left="634" w:right="0"/>
              <w:jc w:val="left"/>
              <w:rPr>
                <w:rFonts w:ascii="宋体" w:hAnsi="宋体" w:cs="宋体" w:eastAsia="宋体" w:hint="default"/>
                <w:sz w:val="18"/>
                <w:szCs w:val="18"/>
              </w:rPr>
            </w:pPr>
            <w:r>
              <w:rPr>
                <w:rFonts w:ascii="宋体"/>
                <w:sz w:val="18"/>
              </w:rPr>
              <w:t>0.00</w:t>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3．股份支付计入所有者权</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center"/>
              <w:rPr>
                <w:rFonts w:ascii="宋体" w:hAnsi="宋体" w:cs="宋体" w:eastAsia="宋体" w:hint="default"/>
                <w:sz w:val="18"/>
                <w:szCs w:val="18"/>
              </w:rPr>
            </w:pPr>
            <w:r>
              <w:rPr>
                <w:rFonts w:ascii="宋体"/>
                <w:sz w:val="18"/>
              </w:rPr>
              <w:t>1,141,4</w:t>
            </w:r>
          </w:p>
          <w:p>
            <w:pPr>
              <w:pStyle w:val="TableParagraph"/>
              <w:spacing w:line="235" w:lineRule="exact"/>
              <w:ind w:left="203" w:right="0"/>
              <w:jc w:val="center"/>
              <w:rPr>
                <w:rFonts w:ascii="宋体" w:hAnsi="宋体" w:cs="宋体" w:eastAsia="宋体" w:hint="default"/>
                <w:sz w:val="18"/>
                <w:szCs w:val="18"/>
              </w:rPr>
            </w:pPr>
            <w:r>
              <w:rPr>
                <w:rFonts w:ascii="宋体"/>
                <w:sz w:val="18"/>
              </w:rPr>
              <w:t>14.34</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1,141,414</w:t>
            </w:r>
          </w:p>
          <w:p>
            <w:pPr>
              <w:pStyle w:val="TableParagraph"/>
              <w:spacing w:line="235" w:lineRule="exact"/>
              <w:ind w:left="724" w:right="0"/>
              <w:jc w:val="left"/>
              <w:rPr>
                <w:rFonts w:ascii="宋体" w:hAnsi="宋体" w:cs="宋体" w:eastAsia="宋体" w:hint="default"/>
                <w:sz w:val="18"/>
                <w:szCs w:val="18"/>
              </w:rPr>
            </w:pPr>
            <w:r>
              <w:rPr>
                <w:rFonts w:ascii="宋体"/>
                <w:sz w:val="18"/>
              </w:rPr>
              <w:t>.34</w:t>
            </w: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center"/>
              <w:rPr>
                <w:rFonts w:ascii="宋体" w:hAnsi="宋体" w:cs="宋体" w:eastAsia="宋体" w:hint="default"/>
                <w:sz w:val="18"/>
                <w:szCs w:val="18"/>
              </w:rPr>
            </w:pPr>
            <w:r>
              <w:rPr>
                <w:rFonts w:ascii="宋体"/>
                <w:sz w:val="18"/>
              </w:rPr>
              <w:t>9,940,6</w:t>
            </w:r>
          </w:p>
          <w:p>
            <w:pPr>
              <w:pStyle w:val="TableParagraph"/>
              <w:spacing w:line="234" w:lineRule="exact"/>
              <w:ind w:left="203" w:right="0"/>
              <w:jc w:val="center"/>
              <w:rPr>
                <w:rFonts w:ascii="宋体" w:hAnsi="宋体" w:cs="宋体" w:eastAsia="宋体" w:hint="default"/>
                <w:sz w:val="18"/>
                <w:szCs w:val="18"/>
              </w:rPr>
            </w:pPr>
            <w:r>
              <w:rPr>
                <w:rFonts w:ascii="宋体"/>
                <w:sz w:val="18"/>
              </w:rPr>
              <w:t>54.30</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sz w:val="18"/>
              </w:rPr>
              <w:t>-17,252</w:t>
            </w:r>
          </w:p>
          <w:p>
            <w:pPr>
              <w:pStyle w:val="TableParagraph"/>
              <w:spacing w:line="234" w:lineRule="exact"/>
              <w:ind w:left="128" w:right="0"/>
              <w:jc w:val="left"/>
              <w:rPr>
                <w:rFonts w:ascii="宋体" w:hAnsi="宋体" w:cs="宋体" w:eastAsia="宋体" w:hint="default"/>
                <w:sz w:val="18"/>
                <w:szCs w:val="18"/>
              </w:rPr>
            </w:pPr>
            <w:r>
              <w:rPr>
                <w:rFonts w:ascii="宋体"/>
                <w:sz w:val="18"/>
              </w:rPr>
              <w:t>,462.30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-3,760,00</w:t>
            </w:r>
          </w:p>
          <w:p>
            <w:pPr>
              <w:pStyle w:val="TableParagraph"/>
              <w:spacing w:line="234" w:lineRule="exact"/>
              <w:ind w:left="608" w:right="0"/>
              <w:jc w:val="left"/>
              <w:rPr>
                <w:rFonts w:ascii="宋体" w:hAnsi="宋体" w:cs="宋体" w:eastAsia="宋体" w:hint="default"/>
                <w:sz w:val="18"/>
                <w:szCs w:val="18"/>
              </w:rPr>
            </w:pPr>
            <w:r>
              <w:rPr>
                <w:rFonts w:ascii="宋体"/>
                <w:sz w:val="18"/>
              </w:rPr>
              <w:t>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-11,071,8</w:t>
            </w:r>
          </w:p>
          <w:p>
            <w:pPr>
              <w:pStyle w:val="TableParagraph"/>
              <w:spacing w:line="234" w:lineRule="exact"/>
              <w:ind w:left="544" w:right="0"/>
              <w:jc w:val="left"/>
              <w:rPr>
                <w:rFonts w:ascii="宋体" w:hAnsi="宋体" w:cs="宋体" w:eastAsia="宋体" w:hint="default"/>
                <w:sz w:val="18"/>
                <w:szCs w:val="18"/>
              </w:rPr>
            </w:pPr>
            <w:r>
              <w:rPr>
                <w:rFonts w:ascii="宋体"/>
                <w:sz w:val="18"/>
              </w:rPr>
              <w:t>08.00</w:t>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center"/>
              <w:rPr>
                <w:rFonts w:ascii="宋体" w:hAnsi="宋体" w:cs="宋体" w:eastAsia="宋体" w:hint="default"/>
                <w:sz w:val="18"/>
                <w:szCs w:val="18"/>
              </w:rPr>
            </w:pPr>
            <w:r>
              <w:rPr>
                <w:rFonts w:ascii="宋体"/>
                <w:sz w:val="18"/>
              </w:rPr>
              <w:t>9,940,6</w:t>
            </w:r>
          </w:p>
          <w:p>
            <w:pPr>
              <w:pStyle w:val="TableParagraph"/>
              <w:spacing w:line="234" w:lineRule="exact"/>
              <w:ind w:left="203" w:right="0"/>
              <w:jc w:val="center"/>
              <w:rPr>
                <w:rFonts w:ascii="宋体" w:hAnsi="宋体" w:cs="宋体" w:eastAsia="宋体" w:hint="default"/>
                <w:sz w:val="18"/>
                <w:szCs w:val="18"/>
              </w:rPr>
            </w:pPr>
            <w:r>
              <w:rPr>
                <w:rFonts w:ascii="宋体"/>
                <w:sz w:val="18"/>
              </w:rPr>
              <w:t>54.30</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8" w:right="0"/>
              <w:jc w:val="left"/>
              <w:rPr>
                <w:rFonts w:ascii="宋体" w:hAnsi="宋体" w:cs="宋体" w:eastAsia="宋体" w:hint="default"/>
                <w:sz w:val="18"/>
                <w:szCs w:val="18"/>
              </w:rPr>
            </w:pPr>
            <w:r>
              <w:rPr>
                <w:rFonts w:ascii="宋体"/>
                <w:sz w:val="18"/>
              </w:rPr>
              <w:t>-9,940,</w:t>
            </w:r>
          </w:p>
          <w:p>
            <w:pPr>
              <w:pStyle w:val="TableParagraph"/>
              <w:spacing w:line="234" w:lineRule="exact"/>
              <w:ind w:left="218" w:right="0"/>
              <w:jc w:val="left"/>
              <w:rPr>
                <w:rFonts w:ascii="宋体" w:hAnsi="宋体" w:cs="宋体" w:eastAsia="宋体" w:hint="default"/>
                <w:sz w:val="18"/>
                <w:szCs w:val="18"/>
              </w:rPr>
            </w:pPr>
            <w:r>
              <w:rPr>
                <w:rFonts w:ascii="宋体"/>
                <w:sz w:val="18"/>
              </w:rPr>
              <w:t>654.30</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3．对所有者（或股东）的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sz w:val="18"/>
              </w:rPr>
              <w:t>-7,311,</w:t>
            </w:r>
          </w:p>
          <w:p>
            <w:pPr>
              <w:pStyle w:val="TableParagraph"/>
              <w:spacing w:line="235" w:lineRule="exact"/>
              <w:ind w:left="218" w:right="0"/>
              <w:jc w:val="left"/>
              <w:rPr>
                <w:rFonts w:ascii="宋体" w:hAnsi="宋体" w:cs="宋体" w:eastAsia="宋体" w:hint="default"/>
                <w:sz w:val="18"/>
                <w:szCs w:val="18"/>
              </w:rPr>
            </w:pPr>
            <w:r>
              <w:rPr>
                <w:rFonts w:ascii="宋体"/>
                <w:sz w:val="18"/>
              </w:rPr>
              <w:t>808.00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-3,760,00</w:t>
            </w:r>
          </w:p>
          <w:p>
            <w:pPr>
              <w:pStyle w:val="TableParagraph"/>
              <w:spacing w:line="235" w:lineRule="exact"/>
              <w:ind w:left="608" w:right="0"/>
              <w:jc w:val="left"/>
              <w:rPr>
                <w:rFonts w:ascii="宋体" w:hAnsi="宋体" w:cs="宋体" w:eastAsia="宋体" w:hint="default"/>
                <w:sz w:val="18"/>
                <w:szCs w:val="18"/>
              </w:rPr>
            </w:pPr>
            <w:r>
              <w:rPr>
                <w:rFonts w:ascii="宋体"/>
                <w:sz w:val="18"/>
              </w:rPr>
              <w:t>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-11,071,8</w:t>
            </w:r>
          </w:p>
          <w:p>
            <w:pPr>
              <w:pStyle w:val="TableParagraph"/>
              <w:spacing w:line="235" w:lineRule="exact"/>
              <w:ind w:left="544" w:right="0"/>
              <w:jc w:val="left"/>
              <w:rPr>
                <w:rFonts w:ascii="宋体" w:hAnsi="宋体" w:cs="宋体" w:eastAsia="宋体" w:hint="default"/>
                <w:sz w:val="18"/>
                <w:szCs w:val="18"/>
              </w:rPr>
            </w:pPr>
            <w:r>
              <w:rPr>
                <w:rFonts w:ascii="宋体"/>
                <w:sz w:val="18"/>
              </w:rPr>
              <w:t>08.00</w:t>
            </w: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1．资本公积转增资本（或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2．盈余公积转增资本（或</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262,605</w:t>
            </w:r>
          </w:p>
          <w:p>
            <w:pPr>
              <w:pStyle w:val="TableParagraph"/>
              <w:spacing w:line="234" w:lineRule="exact"/>
              <w:ind w:left="127" w:right="0"/>
              <w:jc w:val="left"/>
              <w:rPr>
                <w:rFonts w:ascii="宋体" w:hAnsi="宋体" w:cs="宋体" w:eastAsia="宋体" w:hint="default"/>
                <w:sz w:val="18"/>
                <w:szCs w:val="18"/>
              </w:rPr>
            </w:pPr>
            <w:r>
              <w:rPr>
                <w:rFonts w:ascii="宋体"/>
                <w:sz w:val="18"/>
              </w:rPr>
              <w:t>,000.00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30,393,</w:t>
            </w:r>
          </w:p>
          <w:p>
            <w:pPr>
              <w:pStyle w:val="TableParagraph"/>
              <w:spacing w:line="234" w:lineRule="exact"/>
              <w:ind w:left="217" w:right="0"/>
              <w:jc w:val="left"/>
              <w:rPr>
                <w:rFonts w:ascii="宋体" w:hAnsi="宋体" w:cs="宋体" w:eastAsia="宋体" w:hint="default"/>
                <w:sz w:val="18"/>
                <w:szCs w:val="18"/>
              </w:rPr>
            </w:pPr>
            <w:r>
              <w:rPr>
                <w:rFonts w:ascii="宋体"/>
                <w:sz w:val="18"/>
              </w:rPr>
              <w:t>764.14</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57,777,</w:t>
            </w:r>
          </w:p>
          <w:p>
            <w:pPr>
              <w:pStyle w:val="TableParagraph"/>
              <w:spacing w:line="234" w:lineRule="exact"/>
              <w:ind w:left="217" w:right="0"/>
              <w:jc w:val="left"/>
              <w:rPr>
                <w:rFonts w:ascii="宋体" w:hAnsi="宋体" w:cs="宋体" w:eastAsia="宋体" w:hint="default"/>
                <w:sz w:val="18"/>
                <w:szCs w:val="18"/>
              </w:rPr>
            </w:pPr>
            <w:r>
              <w:rPr>
                <w:rFonts w:ascii="宋体"/>
                <w:sz w:val="18"/>
              </w:rPr>
              <w:t>943.59</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8" w:right="0"/>
              <w:jc w:val="left"/>
              <w:rPr>
                <w:rFonts w:ascii="宋体" w:hAnsi="宋体" w:cs="宋体" w:eastAsia="宋体" w:hint="default"/>
                <w:sz w:val="18"/>
                <w:szCs w:val="18"/>
              </w:rPr>
            </w:pPr>
            <w:r>
              <w:rPr>
                <w:rFonts w:ascii="宋体"/>
                <w:sz w:val="18"/>
              </w:rPr>
              <w:t>332,264</w:t>
            </w:r>
          </w:p>
          <w:p>
            <w:pPr>
              <w:pStyle w:val="TableParagraph"/>
              <w:spacing w:line="234" w:lineRule="exact"/>
              <w:ind w:left="128" w:right="0"/>
              <w:jc w:val="left"/>
              <w:rPr>
                <w:rFonts w:ascii="宋体" w:hAnsi="宋体" w:cs="宋体" w:eastAsia="宋体" w:hint="default"/>
                <w:sz w:val="18"/>
                <w:szCs w:val="18"/>
              </w:rPr>
            </w:pPr>
            <w:r>
              <w:rPr>
                <w:rFonts w:ascii="宋体"/>
                <w:sz w:val="18"/>
              </w:rPr>
              <w:t>,489.55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80,977,18</w:t>
            </w:r>
          </w:p>
          <w:p>
            <w:pPr>
              <w:pStyle w:val="TableParagraph"/>
              <w:spacing w:line="234" w:lineRule="exact"/>
              <w:ind w:left="608" w:right="0"/>
              <w:jc w:val="left"/>
              <w:rPr>
                <w:rFonts w:ascii="宋体" w:hAnsi="宋体" w:cs="宋体" w:eastAsia="宋体" w:hint="default"/>
                <w:sz w:val="18"/>
                <w:szCs w:val="18"/>
              </w:rPr>
            </w:pPr>
            <w:r>
              <w:rPr>
                <w:rFonts w:ascii="宋体"/>
                <w:sz w:val="18"/>
              </w:rPr>
              <w:t>6.60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764,018,3</w:t>
            </w:r>
          </w:p>
          <w:p>
            <w:pPr>
              <w:pStyle w:val="TableParagraph"/>
              <w:spacing w:line="234" w:lineRule="exact"/>
              <w:ind w:left="544" w:right="0"/>
              <w:jc w:val="left"/>
              <w:rPr>
                <w:rFonts w:ascii="宋体" w:hAnsi="宋体" w:cs="宋体" w:eastAsia="宋体" w:hint="default"/>
                <w:sz w:val="18"/>
                <w:szCs w:val="18"/>
              </w:rPr>
            </w:pPr>
            <w:r>
              <w:rPr>
                <w:rFonts w:ascii="宋体"/>
                <w:sz w:val="18"/>
              </w:rPr>
              <w:t>83.88</w:t>
            </w:r>
          </w:p>
        </w:tc>
      </w:tr>
    </w:tbl>
    <w:p>
      <w:pPr>
        <w:spacing w:after="0" w:line="234" w:lineRule="exact"/>
        <w:jc w:val="left"/>
        <w:rPr>
          <w:rFonts w:ascii="宋体" w:hAnsi="宋体" w:cs="宋体" w:eastAsia="宋体" w:hint="default"/>
          <w:sz w:val="18"/>
          <w:szCs w:val="18"/>
        </w:rPr>
        <w:sectPr>
          <w:pgSz w:w="16840" w:h="11910" w:orient="landscape"/>
          <w:pgMar w:header="877" w:footer="1193" w:top="1100" w:bottom="1380" w:left="1260" w:right="13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p>
      <w:pPr>
        <w:pStyle w:val="BodyText"/>
        <w:spacing w:line="240" w:lineRule="auto"/>
        <w:ind w:left="179" w:right="0"/>
        <w:jc w:val="left"/>
      </w:pPr>
      <w:r>
        <w:rPr/>
        <w:t>法定代表人：赵剑主管会计工作负责人：周永洪会计机构负责人：周永洪</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6840" w:h="11910" w:orient="landscape"/>
          <w:pgMar w:header="877" w:footer="1193" w:top="1100" w:bottom="1380" w:left="1260" w:right="1380"/>
        </w:sectPr>
      </w:pPr>
    </w:p>
    <w:p>
      <w:pPr>
        <w:spacing w:line="272" w:lineRule="exact" w:before="63"/>
        <w:ind w:left="6342" w:right="0" w:hanging="399"/>
        <w:jc w:val="left"/>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12"/>
          <w:w w:val="95"/>
          <w:sz w:val="21"/>
          <w:szCs w:val="21"/>
        </w:rPr>
        <w:t> </w:t>
      </w:r>
      <w:r>
        <w:rPr>
          <w:rFonts w:ascii="宋体" w:hAnsi="宋体" w:cs="宋体" w:eastAsia="宋体" w:hint="default"/>
          <w:b/>
          <w:bCs/>
          <w:spacing w:val="12"/>
          <w:w w:val="95"/>
          <w:sz w:val="21"/>
          <w:szCs w:val="21"/>
        </w:rPr>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4598" w:val="left" w:leader="none"/>
        </w:tabs>
        <w:spacing w:line="240" w:lineRule="auto"/>
        <w:ind w:left="3652" w:right="0"/>
        <w:jc w:val="left"/>
      </w:pPr>
      <w:r>
        <w:rPr/>
        <w:t>单位:元</w:t>
        <w:tab/>
        <w:t>币种:人民币</w:t>
      </w:r>
    </w:p>
    <w:p>
      <w:pPr>
        <w:spacing w:after="0" w:line="240" w:lineRule="auto"/>
        <w:jc w:val="left"/>
        <w:sectPr>
          <w:type w:val="continuous"/>
          <w:pgSz w:w="16840" w:h="11910" w:orient="landscape"/>
          <w:pgMar w:top="1080" w:bottom="1380" w:left="1260" w:right="1380"/>
          <w:cols w:num="2" w:equalWidth="0">
            <w:col w:w="8262" w:space="40"/>
            <w:col w:w="589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450"/>
        <w:gridCol w:w="1078"/>
        <w:gridCol w:w="1050"/>
        <w:gridCol w:w="1079"/>
        <w:gridCol w:w="1091"/>
        <w:gridCol w:w="1036"/>
        <w:gridCol w:w="1064"/>
        <w:gridCol w:w="1022"/>
        <w:gridCol w:w="1036"/>
        <w:gridCol w:w="1021"/>
        <w:gridCol w:w="1008"/>
        <w:gridCol w:w="1026"/>
      </w:tblGrid>
      <w:tr>
        <w:trPr>
          <w:trHeight w:val="248" w:hRule="exact"/>
        </w:trPr>
        <w:tc>
          <w:tcPr>
            <w:tcW w:w="245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8" w:hRule="exact"/>
        </w:trPr>
        <w:tc>
          <w:tcPr>
            <w:tcW w:w="2450"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20"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left="106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49"/>
              <w:ind w:left="323" w:right="142"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1"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40" w:lineRule="auto" w:before="49"/>
              <w:ind w:left="406" w:right="134"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6" w:type="dxa"/>
            <w:vMerge w:val="restart"/>
            <w:tcBorders>
              <w:top w:val="single" w:sz="6" w:space="0" w:color="000000"/>
              <w:left w:val="single" w:sz="6" w:space="0" w:color="000000"/>
              <w:right w:val="single" w:sz="6" w:space="0" w:color="000000"/>
            </w:tcBorders>
          </w:tcPr>
          <w:p>
            <w:pPr>
              <w:pStyle w:val="TableParagraph"/>
              <w:spacing w:line="240" w:lineRule="auto" w:before="49"/>
              <w:ind w:left="235" w:right="14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2" w:hRule="exact"/>
        </w:trPr>
        <w:tc>
          <w:tcPr>
            <w:tcW w:w="2450"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1"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6" w:type="dxa"/>
            <w:vMerge/>
            <w:tcBorders>
              <w:left w:val="single" w:sz="6" w:space="0" w:color="000000"/>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6" w:type="dxa"/>
            <w:vMerge/>
            <w:tcBorders>
              <w:left w:val="single" w:sz="6" w:space="0" w:color="000000"/>
              <w:bottom w:val="single" w:sz="6" w:space="0" w:color="000000"/>
              <w:right w:val="single" w:sz="6" w:space="0" w:color="000000"/>
            </w:tcBorders>
          </w:tcPr>
          <w:p>
            <w:pPr/>
          </w:p>
        </w:tc>
        <w:tc>
          <w:tcPr>
            <w:tcW w:w="1021"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6" w:type="dxa"/>
            <w:vMerge/>
            <w:tcBorders>
              <w:left w:val="single" w:sz="6" w:space="0" w:color="000000"/>
              <w:bottom w:val="single" w:sz="6" w:space="0" w:color="000000"/>
              <w:right w:val="single" w:sz="6" w:space="0" w:color="000000"/>
            </w:tcBorders>
          </w:tcPr>
          <w:p>
            <w:pPr/>
          </w:p>
        </w:tc>
      </w:tr>
      <w:tr>
        <w:trPr>
          <w:trHeight w:val="481"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262,605,0</w:t>
            </w:r>
          </w:p>
          <w:p>
            <w:pPr>
              <w:pStyle w:val="TableParagraph"/>
              <w:spacing w:line="235" w:lineRule="exact"/>
              <w:ind w:left="512" w:right="0"/>
              <w:jc w:val="left"/>
              <w:rPr>
                <w:rFonts w:ascii="宋体" w:hAnsi="宋体" w:cs="宋体" w:eastAsia="宋体" w:hint="default"/>
                <w:sz w:val="18"/>
                <w:szCs w:val="18"/>
              </w:rPr>
            </w:pPr>
            <w:r>
              <w:rPr>
                <w:rFonts w:ascii="宋体"/>
                <w:sz w:val="18"/>
              </w:rPr>
              <w:t>00.00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29,243,64</w:t>
            </w:r>
          </w:p>
          <w:p>
            <w:pPr>
              <w:pStyle w:val="TableParagraph"/>
              <w:spacing w:line="235" w:lineRule="exact"/>
              <w:ind w:left="562" w:right="0"/>
              <w:jc w:val="left"/>
              <w:rPr>
                <w:rFonts w:ascii="宋体" w:hAnsi="宋体" w:cs="宋体" w:eastAsia="宋体" w:hint="default"/>
                <w:sz w:val="18"/>
                <w:szCs w:val="18"/>
              </w:rPr>
            </w:pPr>
            <w:r>
              <w:rPr>
                <w:rFonts w:ascii="宋体"/>
                <w:sz w:val="18"/>
              </w:rPr>
              <w:t>3.56</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5" w:right="0"/>
              <w:jc w:val="left"/>
              <w:rPr>
                <w:rFonts w:ascii="宋体" w:hAnsi="宋体" w:cs="宋体" w:eastAsia="宋体" w:hint="default"/>
                <w:sz w:val="18"/>
                <w:szCs w:val="18"/>
              </w:rPr>
            </w:pPr>
            <w:r>
              <w:rPr>
                <w:rFonts w:ascii="宋体"/>
                <w:sz w:val="18"/>
              </w:rPr>
              <w:t>53,015,7</w:t>
            </w:r>
          </w:p>
          <w:p>
            <w:pPr>
              <w:pStyle w:val="TableParagraph"/>
              <w:spacing w:line="235" w:lineRule="exact"/>
              <w:ind w:left="455" w:right="0"/>
              <w:jc w:val="left"/>
              <w:rPr>
                <w:rFonts w:ascii="宋体" w:hAnsi="宋体" w:cs="宋体" w:eastAsia="宋体" w:hint="default"/>
                <w:sz w:val="18"/>
                <w:szCs w:val="18"/>
              </w:rPr>
            </w:pPr>
            <w:r>
              <w:rPr>
                <w:rFonts w:ascii="宋体"/>
                <w:sz w:val="18"/>
              </w:rPr>
              <w:t>92.35</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277,342,</w:t>
            </w:r>
          </w:p>
          <w:p>
            <w:pPr>
              <w:pStyle w:val="TableParagraph"/>
              <w:spacing w:line="235" w:lineRule="exact"/>
              <w:ind w:left="251" w:right="0"/>
              <w:jc w:val="center"/>
              <w:rPr>
                <w:rFonts w:ascii="宋体" w:hAnsi="宋体" w:cs="宋体" w:eastAsia="宋体" w:hint="default"/>
                <w:sz w:val="18"/>
                <w:szCs w:val="18"/>
              </w:rPr>
            </w:pPr>
            <w:r>
              <w:rPr>
                <w:rFonts w:ascii="宋体"/>
                <w:sz w:val="18"/>
              </w:rPr>
              <w:t>059.96</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622,206,4</w:t>
            </w:r>
          </w:p>
          <w:p>
            <w:pPr>
              <w:pStyle w:val="TableParagraph"/>
              <w:spacing w:line="235" w:lineRule="exact"/>
              <w:ind w:left="460" w:right="0"/>
              <w:jc w:val="left"/>
              <w:rPr>
                <w:rFonts w:ascii="宋体" w:hAnsi="宋体" w:cs="宋体" w:eastAsia="宋体" w:hint="default"/>
                <w:sz w:val="18"/>
                <w:szCs w:val="18"/>
              </w:rPr>
            </w:pPr>
            <w:r>
              <w:rPr>
                <w:rFonts w:ascii="宋体"/>
                <w:sz w:val="18"/>
              </w:rPr>
              <w:t>95.87</w:t>
            </w:r>
          </w:p>
        </w:tc>
      </w:tr>
      <w:tr>
        <w:trPr>
          <w:trHeight w:val="248"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262,605,0</w:t>
            </w:r>
          </w:p>
          <w:p>
            <w:pPr>
              <w:pStyle w:val="TableParagraph"/>
              <w:spacing w:line="234" w:lineRule="exact"/>
              <w:ind w:left="512" w:right="0"/>
              <w:jc w:val="left"/>
              <w:rPr>
                <w:rFonts w:ascii="宋体" w:hAnsi="宋体" w:cs="宋体" w:eastAsia="宋体" w:hint="default"/>
                <w:sz w:val="18"/>
                <w:szCs w:val="18"/>
              </w:rPr>
            </w:pPr>
            <w:r>
              <w:rPr>
                <w:rFonts w:ascii="宋体"/>
                <w:sz w:val="18"/>
              </w:rPr>
              <w:t>00.00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29,243,64</w:t>
            </w:r>
          </w:p>
          <w:p>
            <w:pPr>
              <w:pStyle w:val="TableParagraph"/>
              <w:spacing w:line="234" w:lineRule="exact"/>
              <w:ind w:left="562" w:right="0"/>
              <w:jc w:val="left"/>
              <w:rPr>
                <w:rFonts w:ascii="宋体" w:hAnsi="宋体" w:cs="宋体" w:eastAsia="宋体" w:hint="default"/>
                <w:sz w:val="18"/>
                <w:szCs w:val="18"/>
              </w:rPr>
            </w:pPr>
            <w:r>
              <w:rPr>
                <w:rFonts w:ascii="宋体"/>
                <w:sz w:val="18"/>
              </w:rPr>
              <w:t>3.56</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5" w:right="0"/>
              <w:jc w:val="left"/>
              <w:rPr>
                <w:rFonts w:ascii="宋体" w:hAnsi="宋体" w:cs="宋体" w:eastAsia="宋体" w:hint="default"/>
                <w:sz w:val="18"/>
                <w:szCs w:val="18"/>
              </w:rPr>
            </w:pPr>
            <w:r>
              <w:rPr>
                <w:rFonts w:ascii="宋体"/>
                <w:sz w:val="18"/>
              </w:rPr>
              <w:t>53,015,7</w:t>
            </w:r>
          </w:p>
          <w:p>
            <w:pPr>
              <w:pStyle w:val="TableParagraph"/>
              <w:spacing w:line="234" w:lineRule="exact"/>
              <w:ind w:left="455" w:right="0"/>
              <w:jc w:val="left"/>
              <w:rPr>
                <w:rFonts w:ascii="宋体" w:hAnsi="宋体" w:cs="宋体" w:eastAsia="宋体" w:hint="default"/>
                <w:sz w:val="18"/>
                <w:szCs w:val="18"/>
              </w:rPr>
            </w:pPr>
            <w:r>
              <w:rPr>
                <w:rFonts w:ascii="宋体"/>
                <w:sz w:val="18"/>
              </w:rPr>
              <w:t>92.35</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277,342,</w:t>
            </w:r>
          </w:p>
          <w:p>
            <w:pPr>
              <w:pStyle w:val="TableParagraph"/>
              <w:spacing w:line="234" w:lineRule="exact"/>
              <w:ind w:left="251" w:right="0"/>
              <w:jc w:val="center"/>
              <w:rPr>
                <w:rFonts w:ascii="宋体" w:hAnsi="宋体" w:cs="宋体" w:eastAsia="宋体" w:hint="default"/>
                <w:sz w:val="18"/>
                <w:szCs w:val="18"/>
              </w:rPr>
            </w:pPr>
            <w:r>
              <w:rPr>
                <w:rFonts w:ascii="宋体"/>
                <w:sz w:val="18"/>
              </w:rPr>
              <w:t>059.96</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622,206,4</w:t>
            </w:r>
          </w:p>
          <w:p>
            <w:pPr>
              <w:pStyle w:val="TableParagraph"/>
              <w:spacing w:line="234" w:lineRule="exact"/>
              <w:ind w:left="460" w:right="0"/>
              <w:jc w:val="left"/>
              <w:rPr>
                <w:rFonts w:ascii="宋体" w:hAnsi="宋体" w:cs="宋体" w:eastAsia="宋体" w:hint="default"/>
                <w:sz w:val="18"/>
                <w:szCs w:val="18"/>
              </w:rPr>
            </w:pPr>
            <w:r>
              <w:rPr>
                <w:rFonts w:ascii="宋体"/>
                <w:sz w:val="18"/>
              </w:rPr>
              <w:t>95.87</w:t>
            </w:r>
          </w:p>
        </w:tc>
      </w:tr>
      <w:tr>
        <w:trPr>
          <w:trHeight w:val="482"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3,030,500</w:t>
            </w:r>
          </w:p>
          <w:p>
            <w:pPr>
              <w:pStyle w:val="TableParagraph"/>
              <w:spacing w:line="235" w:lineRule="exact"/>
              <w:ind w:left="692" w:right="0"/>
              <w:jc w:val="left"/>
              <w:rPr>
                <w:rFonts w:ascii="宋体" w:hAnsi="宋体" w:cs="宋体" w:eastAsia="宋体" w:hint="default"/>
                <w:sz w:val="18"/>
                <w:szCs w:val="18"/>
              </w:rPr>
            </w:pPr>
            <w:r>
              <w:rPr>
                <w:rFonts w:ascii="宋体"/>
                <w:sz w:val="18"/>
              </w:rPr>
              <w:t>.00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20,591,14</w:t>
            </w:r>
          </w:p>
          <w:p>
            <w:pPr>
              <w:pStyle w:val="TableParagraph"/>
              <w:spacing w:line="235" w:lineRule="exact"/>
              <w:ind w:left="560" w:right="0"/>
              <w:jc w:val="left"/>
              <w:rPr>
                <w:rFonts w:ascii="宋体" w:hAnsi="宋体" w:cs="宋体" w:eastAsia="宋体" w:hint="default"/>
                <w:sz w:val="18"/>
                <w:szCs w:val="18"/>
              </w:rPr>
            </w:pPr>
            <w:r>
              <w:rPr>
                <w:rFonts w:ascii="宋体"/>
                <w:sz w:val="18"/>
              </w:rPr>
              <w:t>5.84</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5" w:right="0"/>
              <w:jc w:val="left"/>
              <w:rPr>
                <w:rFonts w:ascii="宋体" w:hAnsi="宋体" w:cs="宋体" w:eastAsia="宋体" w:hint="default"/>
                <w:sz w:val="18"/>
                <w:szCs w:val="18"/>
              </w:rPr>
            </w:pPr>
            <w:r>
              <w:rPr>
                <w:rFonts w:ascii="宋体"/>
                <w:sz w:val="18"/>
              </w:rPr>
              <w:t>13,903,6</w:t>
            </w:r>
          </w:p>
          <w:p>
            <w:pPr>
              <w:pStyle w:val="TableParagraph"/>
              <w:spacing w:line="235" w:lineRule="exact"/>
              <w:ind w:left="455" w:right="0"/>
              <w:jc w:val="left"/>
              <w:rPr>
                <w:rFonts w:ascii="宋体" w:hAnsi="宋体" w:cs="宋体" w:eastAsia="宋体" w:hint="default"/>
                <w:sz w:val="18"/>
                <w:szCs w:val="18"/>
              </w:rPr>
            </w:pPr>
            <w:r>
              <w:rPr>
                <w:rFonts w:ascii="宋体"/>
                <w:sz w:val="18"/>
              </w:rPr>
              <w:t>88.97</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103,074,</w:t>
            </w:r>
          </w:p>
          <w:p>
            <w:pPr>
              <w:pStyle w:val="TableParagraph"/>
              <w:spacing w:line="235" w:lineRule="exact"/>
              <w:ind w:left="251" w:right="0"/>
              <w:jc w:val="center"/>
              <w:rPr>
                <w:rFonts w:ascii="宋体" w:hAnsi="宋体" w:cs="宋体" w:eastAsia="宋体" w:hint="default"/>
                <w:sz w:val="18"/>
                <w:szCs w:val="18"/>
              </w:rPr>
            </w:pPr>
            <w:r>
              <w:rPr>
                <w:rFonts w:ascii="宋体"/>
                <w:sz w:val="18"/>
              </w:rPr>
              <w:t>380.69</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140,599,7</w:t>
            </w:r>
          </w:p>
          <w:p>
            <w:pPr>
              <w:pStyle w:val="TableParagraph"/>
              <w:spacing w:line="235" w:lineRule="exact"/>
              <w:ind w:left="460" w:right="0"/>
              <w:jc w:val="left"/>
              <w:rPr>
                <w:rFonts w:ascii="宋体" w:hAnsi="宋体" w:cs="宋体" w:eastAsia="宋体" w:hint="default"/>
                <w:sz w:val="18"/>
                <w:szCs w:val="18"/>
              </w:rPr>
            </w:pPr>
            <w:r>
              <w:rPr>
                <w:rFonts w:ascii="宋体"/>
                <w:sz w:val="18"/>
              </w:rPr>
              <w:t>15.50</w:t>
            </w:r>
          </w:p>
        </w:tc>
      </w:tr>
      <w:tr>
        <w:trPr>
          <w:trHeight w:val="481"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139,036,</w:t>
            </w:r>
          </w:p>
          <w:p>
            <w:pPr>
              <w:pStyle w:val="TableParagraph"/>
              <w:spacing w:line="235" w:lineRule="exact"/>
              <w:ind w:left="251" w:right="0"/>
              <w:jc w:val="center"/>
              <w:rPr>
                <w:rFonts w:ascii="宋体" w:hAnsi="宋体" w:cs="宋体" w:eastAsia="宋体" w:hint="default"/>
                <w:sz w:val="18"/>
                <w:szCs w:val="18"/>
              </w:rPr>
            </w:pPr>
            <w:r>
              <w:rPr>
                <w:rFonts w:ascii="宋体"/>
                <w:sz w:val="18"/>
              </w:rPr>
              <w:t>889.66</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139,036,8</w:t>
            </w:r>
          </w:p>
          <w:p>
            <w:pPr>
              <w:pStyle w:val="TableParagraph"/>
              <w:spacing w:line="235" w:lineRule="exact"/>
              <w:ind w:left="460" w:right="0"/>
              <w:jc w:val="left"/>
              <w:rPr>
                <w:rFonts w:ascii="宋体" w:hAnsi="宋体" w:cs="宋体" w:eastAsia="宋体" w:hint="default"/>
                <w:sz w:val="18"/>
                <w:szCs w:val="18"/>
              </w:rPr>
            </w:pPr>
            <w:r>
              <w:rPr>
                <w:rFonts w:ascii="宋体"/>
                <w:sz w:val="18"/>
              </w:rPr>
              <w:t>89.66</w:t>
            </w:r>
          </w:p>
        </w:tc>
      </w:tr>
      <w:tr>
        <w:trPr>
          <w:trHeight w:val="482"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3,030,500</w:t>
            </w:r>
          </w:p>
          <w:p>
            <w:pPr>
              <w:pStyle w:val="TableParagraph"/>
              <w:spacing w:line="234" w:lineRule="exact"/>
              <w:ind w:left="692" w:right="0"/>
              <w:jc w:val="left"/>
              <w:rPr>
                <w:rFonts w:ascii="宋体" w:hAnsi="宋体" w:cs="宋体" w:eastAsia="宋体" w:hint="default"/>
                <w:sz w:val="18"/>
                <w:szCs w:val="18"/>
              </w:rPr>
            </w:pPr>
            <w:r>
              <w:rPr>
                <w:rFonts w:ascii="宋体"/>
                <w:sz w:val="18"/>
              </w:rPr>
              <w:t>.00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20,591,14</w:t>
            </w:r>
          </w:p>
          <w:p>
            <w:pPr>
              <w:pStyle w:val="TableParagraph"/>
              <w:spacing w:line="234" w:lineRule="exact"/>
              <w:ind w:left="560" w:right="0"/>
              <w:jc w:val="left"/>
              <w:rPr>
                <w:rFonts w:ascii="宋体" w:hAnsi="宋体" w:cs="宋体" w:eastAsia="宋体" w:hint="default"/>
                <w:sz w:val="18"/>
                <w:szCs w:val="18"/>
              </w:rPr>
            </w:pPr>
            <w:r>
              <w:rPr>
                <w:rFonts w:ascii="宋体"/>
                <w:sz w:val="18"/>
              </w:rPr>
              <w:t>5.84</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23,621,64</w:t>
            </w:r>
          </w:p>
          <w:p>
            <w:pPr>
              <w:pStyle w:val="TableParagraph"/>
              <w:spacing w:line="234" w:lineRule="exact"/>
              <w:ind w:left="550" w:right="0"/>
              <w:jc w:val="left"/>
              <w:rPr>
                <w:rFonts w:ascii="宋体" w:hAnsi="宋体" w:cs="宋体" w:eastAsia="宋体" w:hint="default"/>
                <w:sz w:val="18"/>
                <w:szCs w:val="18"/>
              </w:rPr>
            </w:pPr>
            <w:r>
              <w:rPr>
                <w:rFonts w:ascii="宋体"/>
                <w:sz w:val="18"/>
              </w:rPr>
              <w:t>5.84</w:t>
            </w:r>
          </w:p>
        </w:tc>
      </w:tr>
      <w:tr>
        <w:trPr>
          <w:trHeight w:val="481"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3,030,500</w:t>
            </w:r>
          </w:p>
          <w:p>
            <w:pPr>
              <w:pStyle w:val="TableParagraph"/>
              <w:spacing w:line="235" w:lineRule="exact"/>
              <w:ind w:left="692" w:right="0"/>
              <w:jc w:val="left"/>
              <w:rPr>
                <w:rFonts w:ascii="宋体" w:hAnsi="宋体" w:cs="宋体" w:eastAsia="宋体" w:hint="default"/>
                <w:sz w:val="18"/>
                <w:szCs w:val="18"/>
              </w:rPr>
            </w:pPr>
            <w:r>
              <w:rPr>
                <w:rFonts w:ascii="宋体"/>
                <w:sz w:val="18"/>
              </w:rPr>
              <w:t>.00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19,243,67</w:t>
            </w:r>
          </w:p>
          <w:p>
            <w:pPr>
              <w:pStyle w:val="TableParagraph"/>
              <w:spacing w:line="235" w:lineRule="exact"/>
              <w:ind w:left="560" w:right="0"/>
              <w:jc w:val="left"/>
              <w:rPr>
                <w:rFonts w:ascii="宋体" w:hAnsi="宋体" w:cs="宋体" w:eastAsia="宋体" w:hint="default"/>
                <w:sz w:val="18"/>
                <w:szCs w:val="18"/>
              </w:rPr>
            </w:pPr>
            <w:r>
              <w:rPr>
                <w:rFonts w:ascii="宋体"/>
                <w:sz w:val="18"/>
              </w:rPr>
              <w:t>5.00</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22,274,17</w:t>
            </w:r>
          </w:p>
          <w:p>
            <w:pPr>
              <w:pStyle w:val="TableParagraph"/>
              <w:spacing w:line="235" w:lineRule="exact"/>
              <w:ind w:left="550" w:right="0"/>
              <w:jc w:val="left"/>
              <w:rPr>
                <w:rFonts w:ascii="宋体" w:hAnsi="宋体" w:cs="宋体" w:eastAsia="宋体" w:hint="default"/>
                <w:sz w:val="18"/>
                <w:szCs w:val="18"/>
              </w:rPr>
            </w:pPr>
            <w:r>
              <w:rPr>
                <w:rFonts w:ascii="宋体"/>
                <w:sz w:val="18"/>
              </w:rPr>
              <w:t>5.00</w:t>
            </w:r>
          </w:p>
        </w:tc>
      </w:tr>
      <w:tr>
        <w:trPr>
          <w:trHeight w:val="482"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2．其他权益工具持有者投入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3．股份支付计入所有者权益</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1,347,470</w:t>
            </w:r>
          </w:p>
          <w:p>
            <w:pPr>
              <w:pStyle w:val="TableParagraph"/>
              <w:spacing w:line="235" w:lineRule="exact"/>
              <w:ind w:left="650" w:right="0"/>
              <w:jc w:val="left"/>
              <w:rPr>
                <w:rFonts w:ascii="宋体" w:hAnsi="宋体" w:cs="宋体" w:eastAsia="宋体" w:hint="default"/>
                <w:sz w:val="18"/>
                <w:szCs w:val="18"/>
              </w:rPr>
            </w:pPr>
            <w:r>
              <w:rPr>
                <w:rFonts w:ascii="宋体"/>
                <w:sz w:val="18"/>
              </w:rPr>
              <w:t>.84</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1,347,470</w:t>
            </w:r>
          </w:p>
          <w:p>
            <w:pPr>
              <w:pStyle w:val="TableParagraph"/>
              <w:spacing w:line="235" w:lineRule="exact"/>
              <w:ind w:left="640" w:right="0"/>
              <w:jc w:val="left"/>
              <w:rPr>
                <w:rFonts w:ascii="宋体" w:hAnsi="宋体" w:cs="宋体" w:eastAsia="宋体" w:hint="default"/>
                <w:sz w:val="18"/>
                <w:szCs w:val="18"/>
              </w:rPr>
            </w:pPr>
            <w:r>
              <w:rPr>
                <w:rFonts w:ascii="宋体"/>
                <w:sz w:val="18"/>
              </w:rPr>
              <w:t>.84</w:t>
            </w:r>
          </w:p>
        </w:tc>
      </w:tr>
      <w:tr>
        <w:trPr>
          <w:trHeight w:val="248"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5" w:right="0"/>
              <w:jc w:val="left"/>
              <w:rPr>
                <w:rFonts w:ascii="宋体" w:hAnsi="宋体" w:cs="宋体" w:eastAsia="宋体" w:hint="default"/>
                <w:sz w:val="18"/>
                <w:szCs w:val="18"/>
              </w:rPr>
            </w:pPr>
            <w:r>
              <w:rPr>
                <w:rFonts w:ascii="宋体"/>
                <w:sz w:val="18"/>
              </w:rPr>
              <w:t>13,903,6</w:t>
            </w:r>
          </w:p>
          <w:p>
            <w:pPr>
              <w:pStyle w:val="TableParagraph"/>
              <w:spacing w:line="234" w:lineRule="exact"/>
              <w:ind w:left="455" w:right="0"/>
              <w:jc w:val="left"/>
              <w:rPr>
                <w:rFonts w:ascii="宋体" w:hAnsi="宋体" w:cs="宋体" w:eastAsia="宋体" w:hint="default"/>
                <w:sz w:val="18"/>
                <w:szCs w:val="18"/>
              </w:rPr>
            </w:pPr>
            <w:r>
              <w:rPr>
                <w:rFonts w:ascii="宋体"/>
                <w:sz w:val="18"/>
              </w:rPr>
              <w:t>88.97</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-35,962,</w:t>
            </w:r>
          </w:p>
          <w:p>
            <w:pPr>
              <w:pStyle w:val="TableParagraph"/>
              <w:spacing w:line="234" w:lineRule="exact"/>
              <w:ind w:left="251" w:right="0"/>
              <w:jc w:val="center"/>
              <w:rPr>
                <w:rFonts w:ascii="宋体" w:hAnsi="宋体" w:cs="宋体" w:eastAsia="宋体" w:hint="default"/>
                <w:sz w:val="18"/>
                <w:szCs w:val="18"/>
              </w:rPr>
            </w:pPr>
            <w:r>
              <w:rPr>
                <w:rFonts w:ascii="宋体"/>
                <w:sz w:val="18"/>
              </w:rPr>
              <w:t>508.97</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-22,058,8</w:t>
            </w:r>
          </w:p>
          <w:p>
            <w:pPr>
              <w:pStyle w:val="TableParagraph"/>
              <w:spacing w:line="234" w:lineRule="exact"/>
              <w:ind w:left="460" w:right="0"/>
              <w:jc w:val="left"/>
              <w:rPr>
                <w:rFonts w:ascii="宋体" w:hAnsi="宋体" w:cs="宋体" w:eastAsia="宋体" w:hint="default"/>
                <w:sz w:val="18"/>
                <w:szCs w:val="18"/>
              </w:rPr>
            </w:pPr>
            <w:r>
              <w:rPr>
                <w:rFonts w:ascii="宋体"/>
                <w:sz w:val="18"/>
              </w:rPr>
              <w:t>20.00</w:t>
            </w:r>
          </w:p>
        </w:tc>
      </w:tr>
      <w:tr>
        <w:trPr>
          <w:trHeight w:val="482"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5" w:right="0"/>
              <w:jc w:val="left"/>
              <w:rPr>
                <w:rFonts w:ascii="宋体" w:hAnsi="宋体" w:cs="宋体" w:eastAsia="宋体" w:hint="default"/>
                <w:sz w:val="18"/>
                <w:szCs w:val="18"/>
              </w:rPr>
            </w:pPr>
            <w:r>
              <w:rPr>
                <w:rFonts w:ascii="宋体"/>
                <w:sz w:val="18"/>
              </w:rPr>
              <w:t>13,903,6</w:t>
            </w:r>
          </w:p>
          <w:p>
            <w:pPr>
              <w:pStyle w:val="TableParagraph"/>
              <w:spacing w:line="235" w:lineRule="exact"/>
              <w:ind w:left="455" w:right="0"/>
              <w:jc w:val="left"/>
              <w:rPr>
                <w:rFonts w:ascii="宋体" w:hAnsi="宋体" w:cs="宋体" w:eastAsia="宋体" w:hint="default"/>
                <w:sz w:val="18"/>
                <w:szCs w:val="18"/>
              </w:rPr>
            </w:pPr>
            <w:r>
              <w:rPr>
                <w:rFonts w:ascii="宋体"/>
                <w:sz w:val="18"/>
              </w:rPr>
              <w:t>88.97</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-13,903,</w:t>
            </w:r>
          </w:p>
          <w:p>
            <w:pPr>
              <w:pStyle w:val="TableParagraph"/>
              <w:spacing w:line="235" w:lineRule="exact"/>
              <w:ind w:left="251" w:right="0"/>
              <w:jc w:val="center"/>
              <w:rPr>
                <w:rFonts w:ascii="宋体" w:hAnsi="宋体" w:cs="宋体" w:eastAsia="宋体" w:hint="default"/>
                <w:sz w:val="18"/>
                <w:szCs w:val="18"/>
              </w:rPr>
            </w:pPr>
            <w:r>
              <w:rPr>
                <w:rFonts w:ascii="宋体"/>
                <w:sz w:val="18"/>
              </w:rPr>
              <w:t>688.97</w:t>
            </w: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2．对所有者（或股东）的分</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-22,058,</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-22,058,8</w:t>
            </w:r>
          </w:p>
        </w:tc>
      </w:tr>
    </w:tbl>
    <w:p>
      <w:pPr>
        <w:spacing w:after="0" w:line="205" w:lineRule="exact"/>
        <w:jc w:val="left"/>
        <w:rPr>
          <w:rFonts w:ascii="宋体" w:hAnsi="宋体" w:cs="宋体" w:eastAsia="宋体" w:hint="default"/>
          <w:sz w:val="18"/>
          <w:szCs w:val="18"/>
        </w:rPr>
        <w:sectPr>
          <w:type w:val="continuous"/>
          <w:pgSz w:w="16840" w:h="11910" w:orient="landscape"/>
          <w:pgMar w:top="1080" w:bottom="1380" w:left="1260" w:right="13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2450"/>
        <w:gridCol w:w="1078"/>
        <w:gridCol w:w="1050"/>
        <w:gridCol w:w="1079"/>
        <w:gridCol w:w="1091"/>
        <w:gridCol w:w="1036"/>
        <w:gridCol w:w="1064"/>
        <w:gridCol w:w="1022"/>
        <w:gridCol w:w="1036"/>
        <w:gridCol w:w="1021"/>
        <w:gridCol w:w="1008"/>
        <w:gridCol w:w="1026"/>
      </w:tblGrid>
      <w:tr>
        <w:trPr>
          <w:trHeight w:val="248"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52" w:right="0"/>
              <w:jc w:val="left"/>
              <w:rPr>
                <w:rFonts w:ascii="宋体" w:hAnsi="宋体" w:cs="宋体" w:eastAsia="宋体" w:hint="default"/>
                <w:sz w:val="18"/>
                <w:szCs w:val="18"/>
              </w:rPr>
            </w:pPr>
            <w:r>
              <w:rPr>
                <w:rFonts w:ascii="宋体"/>
                <w:sz w:val="18"/>
              </w:rPr>
              <w:t>820.00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sz w:val="18"/>
              </w:rPr>
              <w:t>20.00</w:t>
            </w:r>
          </w:p>
        </w:tc>
      </w:tr>
      <w:tr>
        <w:trPr>
          <w:trHeight w:val="248"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1．资本公积转增资本（或股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2．盈余公积转增资本（或股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265,635,5</w:t>
            </w:r>
          </w:p>
          <w:p>
            <w:pPr>
              <w:pStyle w:val="TableParagraph"/>
              <w:spacing w:line="235" w:lineRule="exact"/>
              <w:ind w:left="512" w:right="0"/>
              <w:jc w:val="left"/>
              <w:rPr>
                <w:rFonts w:ascii="宋体" w:hAnsi="宋体" w:cs="宋体" w:eastAsia="宋体" w:hint="default"/>
                <w:sz w:val="18"/>
                <w:szCs w:val="18"/>
              </w:rPr>
            </w:pPr>
            <w:r>
              <w:rPr>
                <w:rFonts w:ascii="宋体"/>
                <w:sz w:val="18"/>
              </w:rPr>
              <w:t>00.00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49,834,78</w:t>
            </w:r>
          </w:p>
          <w:p>
            <w:pPr>
              <w:pStyle w:val="TableParagraph"/>
              <w:spacing w:line="235" w:lineRule="exact"/>
              <w:ind w:left="560" w:right="0"/>
              <w:jc w:val="left"/>
              <w:rPr>
                <w:rFonts w:ascii="宋体" w:hAnsi="宋体" w:cs="宋体" w:eastAsia="宋体" w:hint="default"/>
                <w:sz w:val="18"/>
                <w:szCs w:val="18"/>
              </w:rPr>
            </w:pPr>
            <w:r>
              <w:rPr>
                <w:rFonts w:ascii="宋体"/>
                <w:sz w:val="18"/>
              </w:rPr>
              <w:t>9.40</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5" w:right="0"/>
              <w:jc w:val="left"/>
              <w:rPr>
                <w:rFonts w:ascii="宋体" w:hAnsi="宋体" w:cs="宋体" w:eastAsia="宋体" w:hint="default"/>
                <w:sz w:val="18"/>
                <w:szCs w:val="18"/>
              </w:rPr>
            </w:pPr>
            <w:r>
              <w:rPr>
                <w:rFonts w:ascii="宋体"/>
                <w:sz w:val="18"/>
              </w:rPr>
              <w:t>66,919,4</w:t>
            </w:r>
          </w:p>
          <w:p>
            <w:pPr>
              <w:pStyle w:val="TableParagraph"/>
              <w:spacing w:line="235" w:lineRule="exact"/>
              <w:ind w:left="455" w:right="0"/>
              <w:jc w:val="left"/>
              <w:rPr>
                <w:rFonts w:ascii="宋体" w:hAnsi="宋体" w:cs="宋体" w:eastAsia="宋体" w:hint="default"/>
                <w:sz w:val="18"/>
                <w:szCs w:val="18"/>
              </w:rPr>
            </w:pPr>
            <w:r>
              <w:rPr>
                <w:rFonts w:ascii="宋体"/>
                <w:sz w:val="18"/>
              </w:rPr>
              <w:t>81.32</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380,416,</w:t>
            </w:r>
          </w:p>
          <w:p>
            <w:pPr>
              <w:pStyle w:val="TableParagraph"/>
              <w:spacing w:line="235" w:lineRule="exact"/>
              <w:ind w:left="251" w:right="0"/>
              <w:jc w:val="center"/>
              <w:rPr>
                <w:rFonts w:ascii="宋体" w:hAnsi="宋体" w:cs="宋体" w:eastAsia="宋体" w:hint="default"/>
                <w:sz w:val="18"/>
                <w:szCs w:val="18"/>
              </w:rPr>
            </w:pPr>
            <w:r>
              <w:rPr>
                <w:rFonts w:ascii="宋体"/>
                <w:sz w:val="18"/>
              </w:rPr>
              <w:t>440.65</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762,806,2</w:t>
            </w:r>
          </w:p>
          <w:p>
            <w:pPr>
              <w:pStyle w:val="TableParagraph"/>
              <w:spacing w:line="235" w:lineRule="exact"/>
              <w:ind w:left="460" w:right="0"/>
              <w:jc w:val="left"/>
              <w:rPr>
                <w:rFonts w:ascii="宋体" w:hAnsi="宋体" w:cs="宋体" w:eastAsia="宋体" w:hint="default"/>
                <w:sz w:val="18"/>
                <w:szCs w:val="18"/>
              </w:rPr>
            </w:pPr>
            <w:r>
              <w:rPr>
                <w:rFonts w:ascii="宋体"/>
                <w:sz w:val="18"/>
              </w:rPr>
              <w:t>11.37</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72" w:type="dxa"/>
        <w:tblLayout w:type="fixed"/>
        <w:tblCellMar>
          <w:top w:w="0" w:type="dxa"/>
          <w:left w:w="0" w:type="dxa"/>
          <w:bottom w:w="0" w:type="dxa"/>
          <w:right w:w="0" w:type="dxa"/>
        </w:tblCellMar>
        <w:tblLook w:val="01E0"/>
      </w:tblPr>
      <w:tblGrid>
        <w:gridCol w:w="2394"/>
        <w:gridCol w:w="1078"/>
        <w:gridCol w:w="1050"/>
        <w:gridCol w:w="1079"/>
        <w:gridCol w:w="1091"/>
        <w:gridCol w:w="1036"/>
        <w:gridCol w:w="1064"/>
        <w:gridCol w:w="1022"/>
        <w:gridCol w:w="1036"/>
        <w:gridCol w:w="1021"/>
        <w:gridCol w:w="1008"/>
        <w:gridCol w:w="1026"/>
      </w:tblGrid>
      <w:tr>
        <w:trPr>
          <w:trHeight w:val="248" w:hRule="exact"/>
        </w:trPr>
        <w:tc>
          <w:tcPr>
            <w:tcW w:w="2394"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8" w:hRule="exact"/>
        </w:trPr>
        <w:tc>
          <w:tcPr>
            <w:tcW w:w="2394"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20"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32" w:lineRule="exact" w:before="73"/>
              <w:ind w:left="323" w:right="142"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32" w:lineRule="exact" w:before="73"/>
              <w:ind w:left="406" w:right="134"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6" w:type="dxa"/>
            <w:vMerge w:val="restart"/>
            <w:tcBorders>
              <w:top w:val="single" w:sz="6" w:space="0" w:color="000000"/>
              <w:left w:val="single" w:sz="6" w:space="0" w:color="000000"/>
              <w:right w:val="single" w:sz="6" w:space="0" w:color="000000"/>
            </w:tcBorders>
          </w:tcPr>
          <w:p>
            <w:pPr>
              <w:pStyle w:val="TableParagraph"/>
              <w:spacing w:line="232" w:lineRule="exact" w:before="73"/>
              <w:ind w:left="235" w:right="14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1" w:hRule="exact"/>
        </w:trPr>
        <w:tc>
          <w:tcPr>
            <w:tcW w:w="2394"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1"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6" w:type="dxa"/>
            <w:vMerge/>
            <w:tcBorders>
              <w:left w:val="single" w:sz="6" w:space="0" w:color="000000"/>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6" w:type="dxa"/>
            <w:vMerge/>
            <w:tcBorders>
              <w:left w:val="single" w:sz="6" w:space="0" w:color="000000"/>
              <w:bottom w:val="single" w:sz="6" w:space="0" w:color="000000"/>
              <w:right w:val="single" w:sz="6" w:space="0" w:color="000000"/>
            </w:tcBorders>
          </w:tcPr>
          <w:p>
            <w:pPr/>
          </w:p>
        </w:tc>
        <w:tc>
          <w:tcPr>
            <w:tcW w:w="1021"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6" w:type="dxa"/>
            <w:vMerge/>
            <w:tcBorders>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261,136,0</w:t>
            </w:r>
          </w:p>
          <w:p>
            <w:pPr>
              <w:pStyle w:val="TableParagraph"/>
              <w:spacing w:line="234" w:lineRule="exact"/>
              <w:ind w:left="512" w:right="0"/>
              <w:jc w:val="left"/>
              <w:rPr>
                <w:rFonts w:ascii="宋体" w:hAnsi="宋体" w:cs="宋体" w:eastAsia="宋体" w:hint="default"/>
                <w:sz w:val="18"/>
                <w:szCs w:val="18"/>
              </w:rPr>
            </w:pPr>
            <w:r>
              <w:rPr>
                <w:rFonts w:ascii="宋体"/>
                <w:sz w:val="18"/>
              </w:rPr>
              <w:t>00.00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16,646,73</w:t>
            </w:r>
          </w:p>
          <w:p>
            <w:pPr>
              <w:pStyle w:val="TableParagraph"/>
              <w:spacing w:line="234" w:lineRule="exact"/>
              <w:ind w:left="562" w:right="0"/>
              <w:jc w:val="left"/>
              <w:rPr>
                <w:rFonts w:ascii="宋体" w:hAnsi="宋体" w:cs="宋体" w:eastAsia="宋体" w:hint="default"/>
                <w:sz w:val="18"/>
                <w:szCs w:val="18"/>
              </w:rPr>
            </w:pPr>
            <w:r>
              <w:rPr>
                <w:rFonts w:ascii="宋体"/>
                <w:sz w:val="18"/>
              </w:rPr>
              <w:t>9.22</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5" w:right="0"/>
              <w:jc w:val="left"/>
              <w:rPr>
                <w:rFonts w:ascii="宋体" w:hAnsi="宋体" w:cs="宋体" w:eastAsia="宋体" w:hint="default"/>
                <w:sz w:val="18"/>
                <w:szCs w:val="18"/>
              </w:rPr>
            </w:pPr>
            <w:r>
              <w:rPr>
                <w:rFonts w:ascii="宋体"/>
                <w:sz w:val="18"/>
              </w:rPr>
              <w:t>43,075,1</w:t>
            </w:r>
          </w:p>
          <w:p>
            <w:pPr>
              <w:pStyle w:val="TableParagraph"/>
              <w:spacing w:line="234" w:lineRule="exact"/>
              <w:ind w:left="455" w:right="0"/>
              <w:jc w:val="left"/>
              <w:rPr>
                <w:rFonts w:ascii="宋体" w:hAnsi="宋体" w:cs="宋体" w:eastAsia="宋体" w:hint="default"/>
                <w:sz w:val="18"/>
                <w:szCs w:val="18"/>
              </w:rPr>
            </w:pPr>
            <w:r>
              <w:rPr>
                <w:rFonts w:ascii="宋体"/>
                <w:sz w:val="18"/>
              </w:rPr>
              <w:t>38.05</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195,187,</w:t>
            </w:r>
          </w:p>
          <w:p>
            <w:pPr>
              <w:pStyle w:val="TableParagraph"/>
              <w:spacing w:line="234" w:lineRule="exact"/>
              <w:ind w:left="251" w:right="0"/>
              <w:jc w:val="center"/>
              <w:rPr>
                <w:rFonts w:ascii="宋体" w:hAnsi="宋体" w:cs="宋体" w:eastAsia="宋体" w:hint="default"/>
                <w:sz w:val="18"/>
                <w:szCs w:val="18"/>
              </w:rPr>
            </w:pPr>
            <w:r>
              <w:rPr>
                <w:rFonts w:ascii="宋体"/>
                <w:sz w:val="18"/>
              </w:rPr>
              <w:t>979.25</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516,045,8</w:t>
            </w:r>
          </w:p>
          <w:p>
            <w:pPr>
              <w:pStyle w:val="TableParagraph"/>
              <w:spacing w:line="234" w:lineRule="exact"/>
              <w:ind w:left="460" w:right="0"/>
              <w:jc w:val="left"/>
              <w:rPr>
                <w:rFonts w:ascii="宋体" w:hAnsi="宋体" w:cs="宋体" w:eastAsia="宋体" w:hint="default"/>
                <w:sz w:val="18"/>
                <w:szCs w:val="18"/>
              </w:rPr>
            </w:pPr>
            <w:r>
              <w:rPr>
                <w:rFonts w:ascii="宋体"/>
                <w:sz w:val="18"/>
              </w:rPr>
              <w:t>56.52</w:t>
            </w: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261,136,0</w:t>
            </w:r>
          </w:p>
          <w:p>
            <w:pPr>
              <w:pStyle w:val="TableParagraph"/>
              <w:spacing w:line="234" w:lineRule="exact"/>
              <w:ind w:left="512" w:right="0"/>
              <w:jc w:val="left"/>
              <w:rPr>
                <w:rFonts w:ascii="宋体" w:hAnsi="宋体" w:cs="宋体" w:eastAsia="宋体" w:hint="default"/>
                <w:sz w:val="18"/>
                <w:szCs w:val="18"/>
              </w:rPr>
            </w:pPr>
            <w:r>
              <w:rPr>
                <w:rFonts w:ascii="宋体"/>
                <w:sz w:val="18"/>
              </w:rPr>
              <w:t>00.00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16,646,73</w:t>
            </w:r>
          </w:p>
          <w:p>
            <w:pPr>
              <w:pStyle w:val="TableParagraph"/>
              <w:spacing w:line="234" w:lineRule="exact"/>
              <w:ind w:left="562" w:right="0"/>
              <w:jc w:val="left"/>
              <w:rPr>
                <w:rFonts w:ascii="宋体" w:hAnsi="宋体" w:cs="宋体" w:eastAsia="宋体" w:hint="default"/>
                <w:sz w:val="18"/>
                <w:szCs w:val="18"/>
              </w:rPr>
            </w:pPr>
            <w:r>
              <w:rPr>
                <w:rFonts w:ascii="宋体"/>
                <w:sz w:val="18"/>
              </w:rPr>
              <w:t>9.22</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5" w:right="0"/>
              <w:jc w:val="left"/>
              <w:rPr>
                <w:rFonts w:ascii="宋体" w:hAnsi="宋体" w:cs="宋体" w:eastAsia="宋体" w:hint="default"/>
                <w:sz w:val="18"/>
                <w:szCs w:val="18"/>
              </w:rPr>
            </w:pPr>
            <w:r>
              <w:rPr>
                <w:rFonts w:ascii="宋体"/>
                <w:sz w:val="18"/>
              </w:rPr>
              <w:t>43,075,1</w:t>
            </w:r>
          </w:p>
          <w:p>
            <w:pPr>
              <w:pStyle w:val="TableParagraph"/>
              <w:spacing w:line="234" w:lineRule="exact"/>
              <w:ind w:left="455" w:right="0"/>
              <w:jc w:val="left"/>
              <w:rPr>
                <w:rFonts w:ascii="宋体" w:hAnsi="宋体" w:cs="宋体" w:eastAsia="宋体" w:hint="default"/>
                <w:sz w:val="18"/>
                <w:szCs w:val="18"/>
              </w:rPr>
            </w:pPr>
            <w:r>
              <w:rPr>
                <w:rFonts w:ascii="宋体"/>
                <w:sz w:val="18"/>
              </w:rPr>
              <w:t>38.05</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195,187,</w:t>
            </w:r>
          </w:p>
          <w:p>
            <w:pPr>
              <w:pStyle w:val="TableParagraph"/>
              <w:spacing w:line="234" w:lineRule="exact"/>
              <w:ind w:left="251" w:right="0"/>
              <w:jc w:val="center"/>
              <w:rPr>
                <w:rFonts w:ascii="宋体" w:hAnsi="宋体" w:cs="宋体" w:eastAsia="宋体" w:hint="default"/>
                <w:sz w:val="18"/>
                <w:szCs w:val="18"/>
              </w:rPr>
            </w:pPr>
            <w:r>
              <w:rPr>
                <w:rFonts w:ascii="宋体"/>
                <w:sz w:val="18"/>
              </w:rPr>
              <w:t>979.25</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516,045,8</w:t>
            </w:r>
          </w:p>
          <w:p>
            <w:pPr>
              <w:pStyle w:val="TableParagraph"/>
              <w:spacing w:line="234" w:lineRule="exact"/>
              <w:ind w:left="460" w:right="0"/>
              <w:jc w:val="left"/>
              <w:rPr>
                <w:rFonts w:ascii="宋体" w:hAnsi="宋体" w:cs="宋体" w:eastAsia="宋体" w:hint="default"/>
                <w:sz w:val="18"/>
                <w:szCs w:val="18"/>
              </w:rPr>
            </w:pPr>
            <w:r>
              <w:rPr>
                <w:rFonts w:ascii="宋体"/>
                <w:sz w:val="18"/>
              </w:rPr>
              <w:t>56.52</w:t>
            </w: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1,469,000</w:t>
            </w:r>
          </w:p>
          <w:p>
            <w:pPr>
              <w:pStyle w:val="TableParagraph"/>
              <w:spacing w:line="235" w:lineRule="exact"/>
              <w:ind w:left="692" w:right="0"/>
              <w:jc w:val="left"/>
              <w:rPr>
                <w:rFonts w:ascii="宋体" w:hAnsi="宋体" w:cs="宋体" w:eastAsia="宋体" w:hint="default"/>
                <w:sz w:val="18"/>
                <w:szCs w:val="18"/>
              </w:rPr>
            </w:pPr>
            <w:r>
              <w:rPr>
                <w:rFonts w:ascii="宋体"/>
                <w:sz w:val="18"/>
              </w:rPr>
              <w:t>.00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12,596,90</w:t>
            </w:r>
          </w:p>
          <w:p>
            <w:pPr>
              <w:pStyle w:val="TableParagraph"/>
              <w:spacing w:line="235" w:lineRule="exact"/>
              <w:ind w:left="560" w:right="0"/>
              <w:jc w:val="left"/>
              <w:rPr>
                <w:rFonts w:ascii="宋体" w:hAnsi="宋体" w:cs="宋体" w:eastAsia="宋体" w:hint="default"/>
                <w:sz w:val="18"/>
                <w:szCs w:val="18"/>
              </w:rPr>
            </w:pPr>
            <w:r>
              <w:rPr>
                <w:rFonts w:ascii="宋体"/>
                <w:sz w:val="18"/>
              </w:rPr>
              <w:t>4.34</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5" w:right="0"/>
              <w:jc w:val="left"/>
              <w:rPr>
                <w:rFonts w:ascii="宋体" w:hAnsi="宋体" w:cs="宋体" w:eastAsia="宋体" w:hint="default"/>
                <w:sz w:val="18"/>
                <w:szCs w:val="18"/>
              </w:rPr>
            </w:pPr>
            <w:r>
              <w:rPr>
                <w:rFonts w:ascii="宋体"/>
                <w:sz w:val="18"/>
              </w:rPr>
              <w:t>9,940,65</w:t>
            </w:r>
          </w:p>
          <w:p>
            <w:pPr>
              <w:pStyle w:val="TableParagraph"/>
              <w:spacing w:line="235" w:lineRule="exact"/>
              <w:ind w:left="545" w:right="0"/>
              <w:jc w:val="left"/>
              <w:rPr>
                <w:rFonts w:ascii="宋体" w:hAnsi="宋体" w:cs="宋体" w:eastAsia="宋体" w:hint="default"/>
                <w:sz w:val="18"/>
                <w:szCs w:val="18"/>
              </w:rPr>
            </w:pPr>
            <w:r>
              <w:rPr>
                <w:rFonts w:ascii="宋体"/>
                <w:sz w:val="18"/>
              </w:rPr>
              <w:t>4.30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82,154,0</w:t>
            </w:r>
          </w:p>
          <w:p>
            <w:pPr>
              <w:pStyle w:val="TableParagraph"/>
              <w:spacing w:line="235" w:lineRule="exact"/>
              <w:ind w:left="442" w:right="0"/>
              <w:jc w:val="left"/>
              <w:rPr>
                <w:rFonts w:ascii="宋体" w:hAnsi="宋体" w:cs="宋体" w:eastAsia="宋体" w:hint="default"/>
                <w:sz w:val="18"/>
                <w:szCs w:val="18"/>
              </w:rPr>
            </w:pPr>
            <w:r>
              <w:rPr>
                <w:rFonts w:ascii="宋体"/>
                <w:sz w:val="18"/>
              </w:rPr>
              <w:t>80.71</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106,160,6</w:t>
            </w:r>
          </w:p>
          <w:p>
            <w:pPr>
              <w:pStyle w:val="TableParagraph"/>
              <w:spacing w:line="235" w:lineRule="exact"/>
              <w:ind w:left="460" w:right="0"/>
              <w:jc w:val="left"/>
              <w:rPr>
                <w:rFonts w:ascii="宋体" w:hAnsi="宋体" w:cs="宋体" w:eastAsia="宋体" w:hint="default"/>
                <w:sz w:val="18"/>
                <w:szCs w:val="18"/>
              </w:rPr>
            </w:pPr>
            <w:r>
              <w:rPr>
                <w:rFonts w:ascii="宋体"/>
                <w:sz w:val="18"/>
              </w:rPr>
              <w:t>39.35</w:t>
            </w: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99,406,5</w:t>
            </w:r>
          </w:p>
          <w:p>
            <w:pPr>
              <w:pStyle w:val="TableParagraph"/>
              <w:spacing w:line="234" w:lineRule="exact"/>
              <w:ind w:left="442" w:right="0"/>
              <w:jc w:val="left"/>
              <w:rPr>
                <w:rFonts w:ascii="宋体" w:hAnsi="宋体" w:cs="宋体" w:eastAsia="宋体" w:hint="default"/>
                <w:sz w:val="18"/>
                <w:szCs w:val="18"/>
              </w:rPr>
            </w:pPr>
            <w:r>
              <w:rPr>
                <w:rFonts w:ascii="宋体"/>
                <w:sz w:val="18"/>
              </w:rPr>
              <w:t>43.01</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99,406,54</w:t>
            </w:r>
          </w:p>
          <w:p>
            <w:pPr>
              <w:pStyle w:val="TableParagraph"/>
              <w:spacing w:line="234" w:lineRule="exact"/>
              <w:ind w:left="550" w:right="0"/>
              <w:jc w:val="left"/>
              <w:rPr>
                <w:rFonts w:ascii="宋体" w:hAnsi="宋体" w:cs="宋体" w:eastAsia="宋体" w:hint="default"/>
                <w:sz w:val="18"/>
                <w:szCs w:val="18"/>
              </w:rPr>
            </w:pPr>
            <w:r>
              <w:rPr>
                <w:rFonts w:ascii="宋体"/>
                <w:sz w:val="18"/>
              </w:rPr>
              <w:t>3.01</w:t>
            </w: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1,469,000</w:t>
            </w:r>
          </w:p>
          <w:p>
            <w:pPr>
              <w:pStyle w:val="TableParagraph"/>
              <w:spacing w:line="235" w:lineRule="exact"/>
              <w:ind w:left="692" w:right="0"/>
              <w:jc w:val="left"/>
              <w:rPr>
                <w:rFonts w:ascii="宋体" w:hAnsi="宋体" w:cs="宋体" w:eastAsia="宋体" w:hint="default"/>
                <w:sz w:val="18"/>
                <w:szCs w:val="18"/>
              </w:rPr>
            </w:pPr>
            <w:r>
              <w:rPr>
                <w:rFonts w:ascii="宋体"/>
                <w:sz w:val="18"/>
              </w:rPr>
              <w:t>.00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12,596,90</w:t>
            </w:r>
          </w:p>
          <w:p>
            <w:pPr>
              <w:pStyle w:val="TableParagraph"/>
              <w:spacing w:line="235" w:lineRule="exact"/>
              <w:ind w:left="560" w:right="0"/>
              <w:jc w:val="left"/>
              <w:rPr>
                <w:rFonts w:ascii="宋体" w:hAnsi="宋体" w:cs="宋体" w:eastAsia="宋体" w:hint="default"/>
                <w:sz w:val="18"/>
                <w:szCs w:val="18"/>
              </w:rPr>
            </w:pPr>
            <w:r>
              <w:rPr>
                <w:rFonts w:ascii="宋体"/>
                <w:sz w:val="18"/>
              </w:rPr>
              <w:t>4.34</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14,065,90</w:t>
            </w:r>
          </w:p>
          <w:p>
            <w:pPr>
              <w:pStyle w:val="TableParagraph"/>
              <w:spacing w:line="235" w:lineRule="exact"/>
              <w:ind w:left="550" w:right="0"/>
              <w:jc w:val="left"/>
              <w:rPr>
                <w:rFonts w:ascii="宋体" w:hAnsi="宋体" w:cs="宋体" w:eastAsia="宋体" w:hint="default"/>
                <w:sz w:val="18"/>
                <w:szCs w:val="18"/>
              </w:rPr>
            </w:pPr>
            <w:r>
              <w:rPr>
                <w:rFonts w:ascii="宋体"/>
                <w:sz w:val="18"/>
              </w:rPr>
              <w:t>4.34</w:t>
            </w:r>
          </w:p>
        </w:tc>
      </w:tr>
      <w:tr>
        <w:trPr>
          <w:trHeight w:val="250"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152" w:right="0"/>
              <w:jc w:val="left"/>
              <w:rPr>
                <w:rFonts w:ascii="宋体" w:hAnsi="宋体" w:cs="宋体" w:eastAsia="宋体" w:hint="default"/>
                <w:sz w:val="18"/>
                <w:szCs w:val="18"/>
              </w:rPr>
            </w:pPr>
            <w:r>
              <w:rPr>
                <w:rFonts w:ascii="宋体"/>
                <w:sz w:val="18"/>
              </w:rPr>
              <w:t>1,469,000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10" w:right="0"/>
              <w:jc w:val="left"/>
              <w:rPr>
                <w:rFonts w:ascii="宋体" w:hAnsi="宋体" w:cs="宋体" w:eastAsia="宋体" w:hint="default"/>
                <w:sz w:val="18"/>
                <w:szCs w:val="18"/>
              </w:rPr>
            </w:pPr>
            <w:r>
              <w:rPr>
                <w:rFonts w:ascii="宋体"/>
                <w:sz w:val="18"/>
              </w:rPr>
              <w:t>11,455,49</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12,924,49</w:t>
            </w:r>
          </w:p>
        </w:tc>
      </w:tr>
    </w:tbl>
    <w:p>
      <w:pPr>
        <w:spacing w:after="0" w:line="207" w:lineRule="exact"/>
        <w:jc w:val="left"/>
        <w:rPr>
          <w:rFonts w:ascii="宋体" w:hAnsi="宋体" w:cs="宋体" w:eastAsia="宋体" w:hint="default"/>
          <w:sz w:val="18"/>
          <w:szCs w:val="18"/>
        </w:rPr>
        <w:sectPr>
          <w:pgSz w:w="16840" w:h="11910" w:orient="landscape"/>
          <w:pgMar w:header="877" w:footer="1193" w:top="1100" w:bottom="1380" w:left="1260" w:right="13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32" w:type="dxa"/>
        <w:tblLayout w:type="fixed"/>
        <w:tblCellMar>
          <w:top w:w="0" w:type="dxa"/>
          <w:left w:w="0" w:type="dxa"/>
          <w:bottom w:w="0" w:type="dxa"/>
          <w:right w:w="0" w:type="dxa"/>
        </w:tblCellMar>
        <w:tblLook w:val="01E0"/>
      </w:tblPr>
      <w:tblGrid>
        <w:gridCol w:w="2394"/>
        <w:gridCol w:w="1078"/>
        <w:gridCol w:w="1050"/>
        <w:gridCol w:w="1079"/>
        <w:gridCol w:w="1091"/>
        <w:gridCol w:w="1036"/>
        <w:gridCol w:w="1064"/>
        <w:gridCol w:w="1022"/>
        <w:gridCol w:w="1036"/>
        <w:gridCol w:w="1021"/>
        <w:gridCol w:w="1008"/>
        <w:gridCol w:w="1026"/>
      </w:tblGrid>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692" w:right="0"/>
              <w:jc w:val="left"/>
              <w:rPr>
                <w:rFonts w:ascii="宋体" w:hAnsi="宋体" w:cs="宋体" w:eastAsia="宋体" w:hint="default"/>
                <w:sz w:val="18"/>
                <w:szCs w:val="18"/>
              </w:rPr>
            </w:pPr>
            <w:r>
              <w:rPr>
                <w:rFonts w:ascii="宋体"/>
                <w:sz w:val="18"/>
              </w:rPr>
              <w:t>.00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0" w:right="0"/>
              <w:jc w:val="left"/>
              <w:rPr>
                <w:rFonts w:ascii="宋体" w:hAnsi="宋体" w:cs="宋体" w:eastAsia="宋体" w:hint="default"/>
                <w:sz w:val="18"/>
                <w:szCs w:val="18"/>
              </w:rPr>
            </w:pPr>
            <w:r>
              <w:rPr>
                <w:rFonts w:ascii="宋体"/>
                <w:sz w:val="18"/>
              </w:rPr>
              <w:t>0.00</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0" w:right="0"/>
              <w:jc w:val="left"/>
              <w:rPr>
                <w:rFonts w:ascii="宋体" w:hAnsi="宋体" w:cs="宋体" w:eastAsia="宋体" w:hint="default"/>
                <w:sz w:val="18"/>
                <w:szCs w:val="18"/>
              </w:rPr>
            </w:pPr>
            <w:r>
              <w:rPr>
                <w:rFonts w:ascii="宋体"/>
                <w:sz w:val="18"/>
              </w:rPr>
              <w:t>0.00</w:t>
            </w: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2．其他权益工具持有者投入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3．股份支付计入所有者权益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1,141,414</w:t>
            </w:r>
          </w:p>
          <w:p>
            <w:pPr>
              <w:pStyle w:val="TableParagraph"/>
              <w:spacing w:line="234" w:lineRule="exact"/>
              <w:ind w:left="650" w:right="0"/>
              <w:jc w:val="left"/>
              <w:rPr>
                <w:rFonts w:ascii="宋体" w:hAnsi="宋体" w:cs="宋体" w:eastAsia="宋体" w:hint="default"/>
                <w:sz w:val="18"/>
                <w:szCs w:val="18"/>
              </w:rPr>
            </w:pPr>
            <w:r>
              <w:rPr>
                <w:rFonts w:ascii="宋体"/>
                <w:sz w:val="18"/>
              </w:rPr>
              <w:t>.34</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1,141,414</w:t>
            </w:r>
          </w:p>
          <w:p>
            <w:pPr>
              <w:pStyle w:val="TableParagraph"/>
              <w:spacing w:line="234" w:lineRule="exact"/>
              <w:ind w:left="640" w:right="0"/>
              <w:jc w:val="left"/>
              <w:rPr>
                <w:rFonts w:ascii="宋体" w:hAnsi="宋体" w:cs="宋体" w:eastAsia="宋体" w:hint="default"/>
                <w:sz w:val="18"/>
                <w:szCs w:val="18"/>
              </w:rPr>
            </w:pPr>
            <w:r>
              <w:rPr>
                <w:rFonts w:ascii="宋体"/>
                <w:sz w:val="18"/>
              </w:rPr>
              <w:t>.34</w:t>
            </w: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5" w:right="0"/>
              <w:jc w:val="left"/>
              <w:rPr>
                <w:rFonts w:ascii="宋体" w:hAnsi="宋体" w:cs="宋体" w:eastAsia="宋体" w:hint="default"/>
                <w:sz w:val="18"/>
                <w:szCs w:val="18"/>
              </w:rPr>
            </w:pPr>
            <w:r>
              <w:rPr>
                <w:rFonts w:ascii="宋体"/>
                <w:sz w:val="18"/>
              </w:rPr>
              <w:t>9,940,65</w:t>
            </w:r>
          </w:p>
          <w:p>
            <w:pPr>
              <w:pStyle w:val="TableParagraph"/>
              <w:spacing w:line="235" w:lineRule="exact"/>
              <w:ind w:left="545" w:right="0"/>
              <w:jc w:val="left"/>
              <w:rPr>
                <w:rFonts w:ascii="宋体" w:hAnsi="宋体" w:cs="宋体" w:eastAsia="宋体" w:hint="default"/>
                <w:sz w:val="18"/>
                <w:szCs w:val="18"/>
              </w:rPr>
            </w:pPr>
            <w:r>
              <w:rPr>
                <w:rFonts w:ascii="宋体"/>
                <w:sz w:val="18"/>
              </w:rPr>
              <w:t>4.30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-17,252,</w:t>
            </w:r>
          </w:p>
          <w:p>
            <w:pPr>
              <w:pStyle w:val="TableParagraph"/>
              <w:spacing w:line="235" w:lineRule="exact"/>
              <w:ind w:left="251" w:right="0"/>
              <w:jc w:val="center"/>
              <w:rPr>
                <w:rFonts w:ascii="宋体" w:hAnsi="宋体" w:cs="宋体" w:eastAsia="宋体" w:hint="default"/>
                <w:sz w:val="18"/>
                <w:szCs w:val="18"/>
              </w:rPr>
            </w:pPr>
            <w:r>
              <w:rPr>
                <w:rFonts w:ascii="宋体"/>
                <w:sz w:val="18"/>
              </w:rPr>
              <w:t>462.30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-7,311,80</w:t>
            </w:r>
          </w:p>
          <w:p>
            <w:pPr>
              <w:pStyle w:val="TableParagraph"/>
              <w:spacing w:line="235" w:lineRule="exact"/>
              <w:ind w:left="550" w:right="0"/>
              <w:jc w:val="left"/>
              <w:rPr>
                <w:rFonts w:ascii="宋体" w:hAnsi="宋体" w:cs="宋体" w:eastAsia="宋体" w:hint="default"/>
                <w:sz w:val="18"/>
                <w:szCs w:val="18"/>
              </w:rPr>
            </w:pPr>
            <w:r>
              <w:rPr>
                <w:rFonts w:ascii="宋体"/>
                <w:sz w:val="18"/>
              </w:rPr>
              <w:t>8.00</w:t>
            </w: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5" w:right="0"/>
              <w:jc w:val="left"/>
              <w:rPr>
                <w:rFonts w:ascii="宋体" w:hAnsi="宋体" w:cs="宋体" w:eastAsia="宋体" w:hint="default"/>
                <w:sz w:val="18"/>
                <w:szCs w:val="18"/>
              </w:rPr>
            </w:pPr>
            <w:r>
              <w:rPr>
                <w:rFonts w:ascii="宋体"/>
                <w:sz w:val="18"/>
              </w:rPr>
              <w:t>9,940,65</w:t>
            </w:r>
          </w:p>
          <w:p>
            <w:pPr>
              <w:pStyle w:val="TableParagraph"/>
              <w:spacing w:line="234" w:lineRule="exact"/>
              <w:ind w:left="545" w:right="0"/>
              <w:jc w:val="left"/>
              <w:rPr>
                <w:rFonts w:ascii="宋体" w:hAnsi="宋体" w:cs="宋体" w:eastAsia="宋体" w:hint="default"/>
                <w:sz w:val="18"/>
                <w:szCs w:val="18"/>
              </w:rPr>
            </w:pPr>
            <w:r>
              <w:rPr>
                <w:rFonts w:ascii="宋体"/>
                <w:sz w:val="18"/>
              </w:rPr>
              <w:t>4.30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-9,940,6</w:t>
            </w:r>
          </w:p>
          <w:p>
            <w:pPr>
              <w:pStyle w:val="TableParagraph"/>
              <w:spacing w:line="234" w:lineRule="exact"/>
              <w:ind w:left="442" w:right="0"/>
              <w:jc w:val="left"/>
              <w:rPr>
                <w:rFonts w:ascii="宋体" w:hAnsi="宋体" w:cs="宋体" w:eastAsia="宋体" w:hint="default"/>
                <w:sz w:val="18"/>
                <w:szCs w:val="18"/>
              </w:rPr>
            </w:pPr>
            <w:r>
              <w:rPr>
                <w:rFonts w:ascii="宋体"/>
                <w:sz w:val="18"/>
              </w:rPr>
              <w:t>54.30</w:t>
            </w: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2．对所有者（或股东）的分</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-7,311,8</w:t>
            </w:r>
          </w:p>
          <w:p>
            <w:pPr>
              <w:pStyle w:val="TableParagraph"/>
              <w:spacing w:line="235" w:lineRule="exact"/>
              <w:ind w:left="442" w:right="0"/>
              <w:jc w:val="left"/>
              <w:rPr>
                <w:rFonts w:ascii="宋体" w:hAnsi="宋体" w:cs="宋体" w:eastAsia="宋体" w:hint="default"/>
                <w:sz w:val="18"/>
                <w:szCs w:val="18"/>
              </w:rPr>
            </w:pPr>
            <w:r>
              <w:rPr>
                <w:rFonts w:ascii="宋体"/>
                <w:sz w:val="18"/>
              </w:rPr>
              <w:t>08.00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-7,311,80</w:t>
            </w:r>
          </w:p>
          <w:p>
            <w:pPr>
              <w:pStyle w:val="TableParagraph"/>
              <w:spacing w:line="235" w:lineRule="exact"/>
              <w:ind w:left="550" w:right="0"/>
              <w:jc w:val="left"/>
              <w:rPr>
                <w:rFonts w:ascii="宋体" w:hAnsi="宋体" w:cs="宋体" w:eastAsia="宋体" w:hint="default"/>
                <w:sz w:val="18"/>
                <w:szCs w:val="18"/>
              </w:rPr>
            </w:pPr>
            <w:r>
              <w:rPr>
                <w:rFonts w:ascii="宋体"/>
                <w:sz w:val="18"/>
              </w:rPr>
              <w:t>8.00</w:t>
            </w: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1．资本公积转增资本（或股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2．盈余公积转增资本（或股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262,605,0</w:t>
            </w:r>
          </w:p>
          <w:p>
            <w:pPr>
              <w:pStyle w:val="TableParagraph"/>
              <w:spacing w:line="235" w:lineRule="exact"/>
              <w:ind w:left="512" w:right="0"/>
              <w:jc w:val="left"/>
              <w:rPr>
                <w:rFonts w:ascii="宋体" w:hAnsi="宋体" w:cs="宋体" w:eastAsia="宋体" w:hint="default"/>
                <w:sz w:val="18"/>
                <w:szCs w:val="18"/>
              </w:rPr>
            </w:pPr>
            <w:r>
              <w:rPr>
                <w:rFonts w:ascii="宋体"/>
                <w:sz w:val="18"/>
              </w:rPr>
              <w:t>00.00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29,243,64</w:t>
            </w:r>
          </w:p>
          <w:p>
            <w:pPr>
              <w:pStyle w:val="TableParagraph"/>
              <w:spacing w:line="235" w:lineRule="exact"/>
              <w:ind w:left="560" w:right="0"/>
              <w:jc w:val="left"/>
              <w:rPr>
                <w:rFonts w:ascii="宋体" w:hAnsi="宋体" w:cs="宋体" w:eastAsia="宋体" w:hint="default"/>
                <w:sz w:val="18"/>
                <w:szCs w:val="18"/>
              </w:rPr>
            </w:pPr>
            <w:r>
              <w:rPr>
                <w:rFonts w:ascii="宋体"/>
                <w:sz w:val="18"/>
              </w:rPr>
              <w:t>3.56</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5" w:right="0"/>
              <w:jc w:val="left"/>
              <w:rPr>
                <w:rFonts w:ascii="宋体" w:hAnsi="宋体" w:cs="宋体" w:eastAsia="宋体" w:hint="default"/>
                <w:sz w:val="18"/>
                <w:szCs w:val="18"/>
              </w:rPr>
            </w:pPr>
            <w:r>
              <w:rPr>
                <w:rFonts w:ascii="宋体"/>
                <w:sz w:val="18"/>
              </w:rPr>
              <w:t>53,015,7</w:t>
            </w:r>
          </w:p>
          <w:p>
            <w:pPr>
              <w:pStyle w:val="TableParagraph"/>
              <w:spacing w:line="235" w:lineRule="exact"/>
              <w:ind w:left="455" w:right="0"/>
              <w:jc w:val="left"/>
              <w:rPr>
                <w:rFonts w:ascii="宋体" w:hAnsi="宋体" w:cs="宋体" w:eastAsia="宋体" w:hint="default"/>
                <w:sz w:val="18"/>
                <w:szCs w:val="18"/>
              </w:rPr>
            </w:pPr>
            <w:r>
              <w:rPr>
                <w:rFonts w:ascii="宋体"/>
                <w:sz w:val="18"/>
              </w:rPr>
              <w:t>92.35</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277,342,</w:t>
            </w:r>
          </w:p>
          <w:p>
            <w:pPr>
              <w:pStyle w:val="TableParagraph"/>
              <w:spacing w:line="235" w:lineRule="exact"/>
              <w:ind w:left="251" w:right="0"/>
              <w:jc w:val="center"/>
              <w:rPr>
                <w:rFonts w:ascii="宋体" w:hAnsi="宋体" w:cs="宋体" w:eastAsia="宋体" w:hint="default"/>
                <w:sz w:val="18"/>
                <w:szCs w:val="18"/>
              </w:rPr>
            </w:pPr>
            <w:r>
              <w:rPr>
                <w:rFonts w:ascii="宋体"/>
                <w:sz w:val="18"/>
              </w:rPr>
              <w:t>059.96</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622,206,4</w:t>
            </w:r>
          </w:p>
          <w:p>
            <w:pPr>
              <w:pStyle w:val="TableParagraph"/>
              <w:spacing w:line="235" w:lineRule="exact"/>
              <w:ind w:left="460" w:right="0"/>
              <w:jc w:val="left"/>
              <w:rPr>
                <w:rFonts w:ascii="宋体" w:hAnsi="宋体" w:cs="宋体" w:eastAsia="宋体" w:hint="default"/>
                <w:sz w:val="18"/>
                <w:szCs w:val="18"/>
              </w:rPr>
            </w:pPr>
            <w:r>
              <w:rPr>
                <w:rFonts w:ascii="宋体"/>
                <w:sz w:val="18"/>
              </w:rPr>
              <w:t>95.87</w:t>
            </w:r>
          </w:p>
        </w:tc>
      </w:tr>
    </w:tbl>
    <w:p>
      <w:pPr>
        <w:spacing w:line="240" w:lineRule="auto" w:before="6"/>
        <w:rPr>
          <w:rFonts w:ascii="Times New Roman" w:hAnsi="Times New Roman" w:cs="Times New Roman" w:eastAsia="Times New Roman" w:hint="default"/>
          <w:sz w:val="17"/>
          <w:szCs w:val="17"/>
        </w:rPr>
      </w:pPr>
    </w:p>
    <w:p>
      <w:pPr>
        <w:pStyle w:val="BodyText"/>
        <w:spacing w:line="240" w:lineRule="auto" w:before="35"/>
        <w:ind w:left="139" w:right="0"/>
        <w:jc w:val="left"/>
      </w:pPr>
      <w:r>
        <w:rPr/>
        <w:t>法定代表人：赵剑主管会计工作负责人：周永洪会计机构负责人：周永洪</w:t>
      </w:r>
    </w:p>
    <w:p>
      <w:pPr>
        <w:spacing w:after="0" w:line="240" w:lineRule="auto"/>
        <w:jc w:val="left"/>
        <w:sectPr>
          <w:pgSz w:w="16840" w:h="11910" w:orient="landscape"/>
          <w:pgMar w:header="877" w:footer="1193" w:top="1100" w:bottom="1380" w:left="1300" w:right="13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3"/>
        <w:spacing w:line="240" w:lineRule="auto" w:before="0"/>
        <w:ind w:left="237" w:right="0"/>
        <w:jc w:val="both"/>
        <w:rPr>
          <w:b w:val="0"/>
          <w:bCs w:val="0"/>
        </w:rPr>
      </w:pPr>
      <w:r>
        <w:rPr/>
        <w:t>一、公司基本情况</w:t>
      </w:r>
      <w:r>
        <w:rPr>
          <w:b w:val="0"/>
          <w:bCs w:val="0"/>
        </w:rPr>
      </w:r>
    </w:p>
    <w:p>
      <w:pPr>
        <w:pStyle w:val="Heading3"/>
        <w:spacing w:line="240" w:lineRule="auto" w:before="97"/>
        <w:ind w:left="237" w:right="0"/>
        <w:jc w:val="both"/>
        <w:rPr>
          <w:b w:val="0"/>
          <w:bCs w:val="0"/>
        </w:rPr>
      </w:pPr>
      <w:r>
        <w:rPr>
          <w:rFonts w:ascii="Calibri" w:hAnsi="Calibri" w:cs="Calibri" w:eastAsia="Calibri" w:hint="default"/>
        </w:rPr>
        <w:t>1.    </w:t>
      </w:r>
      <w:r>
        <w:rPr>
          <w:rFonts w:ascii="Calibri" w:hAnsi="Calibri" w:cs="Calibri" w:eastAsia="Calibri" w:hint="default"/>
          <w:spacing w:val="19"/>
        </w:rPr>
        <w:t> </w:t>
      </w:r>
      <w:r>
        <w:rPr/>
        <w:t>公司概况</w:t>
      </w:r>
      <w:r>
        <w:rPr>
          <w:b w:val="0"/>
          <w:bCs w:val="0"/>
        </w:rPr>
      </w:r>
    </w:p>
    <w:p>
      <w:pPr>
        <w:spacing w:line="240" w:lineRule="auto" w:before="2"/>
        <w:rPr>
          <w:rFonts w:ascii="宋体" w:hAnsi="宋体" w:cs="宋体" w:eastAsia="宋体" w:hint="default"/>
          <w:b/>
          <w:bCs/>
          <w:sz w:val="23"/>
          <w:szCs w:val="23"/>
        </w:rPr>
      </w:pPr>
    </w:p>
    <w:p>
      <w:pPr>
        <w:spacing w:line="355" w:lineRule="auto" w:before="0"/>
        <w:ind w:left="657" w:right="248" w:firstLine="2"/>
        <w:jc w:val="left"/>
        <w:rPr>
          <w:rFonts w:ascii="宋体" w:hAnsi="宋体" w:cs="宋体" w:eastAsia="宋体" w:hint="default"/>
          <w:sz w:val="21"/>
          <w:szCs w:val="21"/>
        </w:rPr>
      </w:pPr>
      <w:r>
        <w:rPr>
          <w:rFonts w:ascii="宋体" w:hAnsi="宋体" w:cs="宋体" w:eastAsia="宋体" w:hint="default"/>
          <w:b/>
          <w:bCs/>
          <w:sz w:val="21"/>
          <w:szCs w:val="21"/>
        </w:rPr>
        <w:t>（一）公司注册地、组织形式和总部地址</w:t>
      </w:r>
      <w:r>
        <w:rPr>
          <w:rFonts w:ascii="宋体" w:hAnsi="宋体" w:cs="宋体" w:eastAsia="宋体" w:hint="default"/>
          <w:b/>
          <w:bCs/>
          <w:spacing w:val="1"/>
          <w:w w:val="99"/>
          <w:sz w:val="21"/>
          <w:szCs w:val="21"/>
        </w:rPr>
        <w:t> </w:t>
      </w:r>
      <w:r>
        <w:rPr>
          <w:rFonts w:ascii="宋体" w:hAnsi="宋体" w:cs="宋体" w:eastAsia="宋体" w:hint="default"/>
          <w:sz w:val="21"/>
          <w:szCs w:val="21"/>
        </w:rPr>
        <w:t>深圳市金证科技股份有限公司（以下简称“公司”或“本公司”）系于2000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月经深圳</w:t>
      </w:r>
    </w:p>
    <w:p>
      <w:pPr>
        <w:pStyle w:val="BodyText"/>
        <w:spacing w:line="336" w:lineRule="auto" w:before="33"/>
        <w:ind w:left="237" w:right="269"/>
        <w:jc w:val="left"/>
      </w:pPr>
      <w:r>
        <w:rPr/>
        <w:t>市人民政府深府函</w:t>
      </w:r>
      <w:r>
        <w:rPr>
          <w:rFonts w:ascii="Times New Roman" w:hAnsi="Times New Roman" w:cs="Times New Roman" w:eastAsia="Times New Roman" w:hint="default"/>
        </w:rPr>
        <w:t>[2000]70</w:t>
      </w:r>
      <w:r>
        <w:rPr>
          <w:rFonts w:ascii="Times New Roman" w:hAnsi="Times New Roman" w:cs="Times New Roman" w:eastAsia="Times New Roman" w:hint="default"/>
          <w:spacing w:val="-4"/>
        </w:rPr>
        <w:t> </w:t>
      </w:r>
      <w:r>
        <w:rPr/>
        <w:t>号文批准，以发起方式设立股份有限公司。公司的企业法人营业执照 注册号：</w:t>
      </w:r>
      <w:r>
        <w:rPr>
          <w:rFonts w:ascii="Times New Roman" w:hAnsi="Times New Roman" w:cs="Times New Roman" w:eastAsia="Times New Roman" w:hint="default"/>
        </w:rPr>
        <w:t>440301103398823</w:t>
      </w:r>
      <w:r>
        <w:rPr/>
        <w:t>，并于</w:t>
      </w:r>
      <w:r>
        <w:rPr>
          <w:spacing w:val="-59"/>
        </w:rPr>
        <w:t> </w:t>
      </w:r>
      <w:r>
        <w:rPr/>
        <w:t>2003</w:t>
      </w:r>
      <w:r>
        <w:rPr>
          <w:spacing w:val="-58"/>
        </w:rPr>
        <w:t> </w:t>
      </w:r>
      <w:r>
        <w:rPr/>
        <w:t>年</w:t>
      </w:r>
      <w:r>
        <w:rPr>
          <w:spacing w:val="-60"/>
        </w:rPr>
        <w:t> </w:t>
      </w:r>
      <w:r>
        <w:rPr/>
        <w:t>12</w:t>
      </w:r>
      <w:r>
        <w:rPr>
          <w:spacing w:val="-59"/>
        </w:rPr>
        <w:t> </w:t>
      </w:r>
      <w:r>
        <w:rPr/>
        <w:t>月</w:t>
      </w:r>
      <w:r>
        <w:rPr>
          <w:spacing w:val="-59"/>
        </w:rPr>
        <w:t> </w:t>
      </w:r>
      <w:r>
        <w:rPr/>
        <w:t>24</w:t>
      </w:r>
      <w:r>
        <w:rPr>
          <w:spacing w:val="-59"/>
        </w:rPr>
        <w:t> </w:t>
      </w:r>
      <w:r>
        <w:rPr/>
        <w:t>日在上海证券交易所上市。</w:t>
      </w:r>
    </w:p>
    <w:p>
      <w:pPr>
        <w:pStyle w:val="BodyText"/>
        <w:spacing w:line="240" w:lineRule="auto" w:before="25"/>
        <w:ind w:left="657" w:right="0"/>
        <w:jc w:val="left"/>
      </w:pPr>
      <w:r>
        <w:rPr/>
        <w:t>经过历年的派送红股、转增股本及增发新股，截至</w:t>
      </w:r>
      <w:r>
        <w:rPr>
          <w:spacing w:val="-69"/>
        </w:rPr>
        <w:t> </w:t>
      </w:r>
      <w:r>
        <w:rPr/>
        <w:t>2014</w:t>
      </w:r>
      <w:r>
        <w:rPr>
          <w:spacing w:val="-69"/>
        </w:rPr>
        <w:t> </w:t>
      </w:r>
      <w:r>
        <w:rPr/>
        <w:t>年</w:t>
      </w:r>
      <w:r>
        <w:rPr>
          <w:spacing w:val="-70"/>
        </w:rPr>
        <w:t> </w:t>
      </w:r>
      <w:r>
        <w:rPr/>
        <w:t>12</w:t>
      </w:r>
      <w:r>
        <w:rPr>
          <w:spacing w:val="-69"/>
        </w:rPr>
        <w:t> </w:t>
      </w:r>
      <w:r>
        <w:rPr/>
        <w:t>月</w:t>
      </w:r>
      <w:r>
        <w:rPr>
          <w:spacing w:val="-70"/>
        </w:rPr>
        <w:t> </w:t>
      </w:r>
      <w:r>
        <w:rPr/>
        <w:t>31</w:t>
      </w:r>
      <w:r>
        <w:rPr>
          <w:spacing w:val="-69"/>
        </w:rPr>
        <w:t> </w:t>
      </w:r>
      <w:r>
        <w:rPr/>
        <w:t>日，本公司累计发行股本</w:t>
      </w:r>
    </w:p>
    <w:p>
      <w:pPr>
        <w:pStyle w:val="BodyText"/>
        <w:spacing w:line="240" w:lineRule="auto" w:before="133"/>
        <w:ind w:left="237" w:right="0"/>
        <w:jc w:val="both"/>
      </w:pPr>
      <w:r>
        <w:rPr/>
        <w:t>总数</w:t>
      </w:r>
      <w:r>
        <w:rPr>
          <w:spacing w:val="-66"/>
        </w:rPr>
        <w:t> </w:t>
      </w:r>
      <w:r>
        <w:rPr/>
        <w:t>265,635,500.00</w:t>
      </w:r>
      <w:r>
        <w:rPr>
          <w:spacing w:val="-66"/>
        </w:rPr>
        <w:t> </w:t>
      </w:r>
      <w:r>
        <w:rPr/>
        <w:t>股，注册资本为</w:t>
      </w:r>
      <w:r>
        <w:rPr>
          <w:spacing w:val="-66"/>
        </w:rPr>
        <w:t> </w:t>
      </w:r>
      <w:r>
        <w:rPr/>
        <w:t>265,635,500.00</w:t>
      </w:r>
      <w:r>
        <w:rPr>
          <w:spacing w:val="-66"/>
        </w:rPr>
        <w:t> </w:t>
      </w:r>
      <w:r>
        <w:rPr/>
        <w:t>元，注册地址：广东省深圳市南山区科技</w:t>
      </w:r>
    </w:p>
    <w:p>
      <w:pPr>
        <w:pStyle w:val="BodyText"/>
        <w:spacing w:line="240" w:lineRule="auto" w:before="133"/>
        <w:ind w:left="237" w:right="0"/>
        <w:jc w:val="both"/>
      </w:pPr>
      <w:r>
        <w:rPr/>
        <w:t>园高新区南区高新南五道金证科技大楼</w:t>
      </w:r>
      <w:r>
        <w:rPr>
          <w:spacing w:val="-54"/>
        </w:rPr>
        <w:t> </w:t>
      </w:r>
      <w:r>
        <w:rPr/>
        <w:t>8-9</w:t>
      </w:r>
      <w:r>
        <w:rPr>
          <w:spacing w:val="-53"/>
        </w:rPr>
        <w:t> </w:t>
      </w:r>
      <w:r>
        <w:rPr/>
        <w:t>层，总部地址：广东省深圳市南山区科技园高新区南</w:t>
      </w:r>
    </w:p>
    <w:p>
      <w:pPr>
        <w:pStyle w:val="BodyText"/>
        <w:spacing w:line="240" w:lineRule="auto" w:before="134"/>
        <w:ind w:left="237" w:right="0"/>
        <w:jc w:val="both"/>
      </w:pPr>
      <w:r>
        <w:rPr/>
        <w:t>区高新南五道金证科技大楼</w:t>
      </w:r>
      <w:r>
        <w:rPr>
          <w:spacing w:val="-54"/>
        </w:rPr>
        <w:t> </w:t>
      </w:r>
      <w:r>
        <w:rPr/>
        <w:t>8-9</w:t>
      </w:r>
      <w:r>
        <w:rPr>
          <w:spacing w:val="-53"/>
        </w:rPr>
        <w:t> </w:t>
      </w:r>
      <w:r>
        <w:rPr/>
        <w:t>层。</w:t>
      </w:r>
    </w:p>
    <w:p>
      <w:pPr>
        <w:spacing w:line="240" w:lineRule="auto" w:before="1"/>
        <w:rPr>
          <w:rFonts w:ascii="宋体" w:hAnsi="宋体" w:cs="宋体" w:eastAsia="宋体" w:hint="default"/>
          <w:sz w:val="22"/>
          <w:szCs w:val="22"/>
        </w:rPr>
      </w:pPr>
    </w:p>
    <w:p>
      <w:pPr>
        <w:pStyle w:val="BodyText"/>
        <w:spacing w:line="357" w:lineRule="auto"/>
        <w:ind w:left="657" w:right="247" w:firstLine="2"/>
        <w:jc w:val="left"/>
      </w:pPr>
      <w:r>
        <w:rPr>
          <w:rFonts w:ascii="宋体" w:hAnsi="宋体" w:cs="宋体" w:eastAsia="宋体" w:hint="default"/>
          <w:b/>
          <w:bCs/>
        </w:rPr>
        <w:t>（二）经营范围</w:t>
      </w:r>
      <w:r>
        <w:rPr>
          <w:rFonts w:ascii="宋体" w:hAnsi="宋体" w:cs="宋体" w:eastAsia="宋体" w:hint="default"/>
          <w:b/>
          <w:bCs/>
          <w:w w:val="99"/>
        </w:rPr>
        <w:t> </w:t>
      </w:r>
      <w:r>
        <w:rPr/>
        <w:t>许可经营项目：物资供销业（不含专营、专控、专卖商品及限制项目），进出口业务（具体</w:t>
      </w:r>
    </w:p>
    <w:p>
      <w:pPr>
        <w:pStyle w:val="BodyText"/>
        <w:spacing w:line="357" w:lineRule="auto" w:before="30"/>
        <w:ind w:left="237" w:right="264"/>
        <w:jc w:val="both"/>
      </w:pPr>
      <w:r>
        <w:rPr/>
        <w:t>按深贸管准证字第</w:t>
      </w:r>
      <w:r>
        <w:rPr>
          <w:spacing w:val="-54"/>
        </w:rPr>
        <w:t> </w:t>
      </w:r>
      <w:r>
        <w:rPr/>
        <w:t>2003-2435</w:t>
      </w:r>
      <w:r>
        <w:rPr>
          <w:spacing w:val="-53"/>
        </w:rPr>
        <w:t> </w:t>
      </w:r>
      <w:r>
        <w:rPr/>
        <w:t>号文执行）；建筑智能化工程专业（凭《建筑业企业资质证书》经</w:t>
      </w:r>
      <w:r>
        <w:rPr/>
        <w:t> 营）。一般经营项目：计算机应用系统及配套设备的技术开发、生产、销售；电子产品、通讯器 材、机械设备的购销及国内商业，物资供销业（不含专营、专控、专卖商品及限制项目）；专业 音响、灯光、多媒体显示、会议公共广播设备、闭路监控设备的购销与安装；房屋租赁；机动车 辆停放服务；室内外清洁等。</w:t>
      </w:r>
    </w:p>
    <w:p>
      <w:pPr>
        <w:spacing w:line="240" w:lineRule="auto" w:before="3"/>
        <w:rPr>
          <w:rFonts w:ascii="宋体" w:hAnsi="宋体" w:cs="宋体" w:eastAsia="宋体" w:hint="default"/>
          <w:sz w:val="14"/>
          <w:szCs w:val="14"/>
        </w:rPr>
      </w:pPr>
    </w:p>
    <w:p>
      <w:pPr>
        <w:pStyle w:val="Heading3"/>
        <w:spacing w:line="240" w:lineRule="auto" w:before="0"/>
        <w:ind w:left="657" w:right="240"/>
        <w:jc w:val="left"/>
        <w:rPr>
          <w:b w:val="0"/>
          <w:bCs w:val="0"/>
        </w:rPr>
      </w:pPr>
      <w:r>
        <w:rPr/>
        <w:t>（三）</w:t>
      </w:r>
      <w:r>
        <w:rPr>
          <w:spacing w:val="-23"/>
        </w:rPr>
        <w:t> </w:t>
      </w:r>
      <w:r>
        <w:rPr/>
        <w:t>营业期限有限的特殊企业信息：无</w:t>
      </w:r>
      <w:r>
        <w:rPr>
          <w:b w:val="0"/>
          <w:bCs w:val="0"/>
        </w:rPr>
      </w:r>
    </w:p>
    <w:p>
      <w:pPr>
        <w:spacing w:line="240" w:lineRule="auto" w:before="2"/>
        <w:rPr>
          <w:rFonts w:ascii="宋体" w:hAnsi="宋体" w:cs="宋体" w:eastAsia="宋体" w:hint="default"/>
          <w:b/>
          <w:bCs/>
          <w:sz w:val="22"/>
          <w:szCs w:val="22"/>
        </w:rPr>
      </w:pPr>
    </w:p>
    <w:p>
      <w:pPr>
        <w:pStyle w:val="Heading3"/>
        <w:tabs>
          <w:tab w:pos="1497" w:val="left" w:leader="none"/>
        </w:tabs>
        <w:spacing w:line="240" w:lineRule="auto" w:before="0"/>
        <w:ind w:left="659" w:right="240"/>
        <w:jc w:val="left"/>
        <w:rPr>
          <w:b w:val="0"/>
          <w:bCs w:val="0"/>
        </w:rPr>
      </w:pPr>
      <w:r>
        <w:rPr>
          <w:w w:val="95"/>
        </w:rPr>
        <w:t>（四）</w:t>
        <w:tab/>
      </w:r>
      <w:r>
        <w:rPr/>
        <w:t>公司业务性质和主要经营活动</w:t>
      </w:r>
      <w:r>
        <w:rPr>
          <w:b w:val="0"/>
          <w:bCs w:val="0"/>
        </w:rPr>
      </w:r>
    </w:p>
    <w:p>
      <w:pPr>
        <w:pStyle w:val="BodyText"/>
        <w:spacing w:line="240" w:lineRule="auto" w:before="133"/>
        <w:ind w:left="657" w:right="240"/>
        <w:jc w:val="left"/>
      </w:pPr>
      <w:r>
        <w:rPr/>
        <w:t>本公司属</w:t>
      </w:r>
      <w:r>
        <w:rPr>
          <w:spacing w:val="-68"/>
        </w:rPr>
        <w:t> </w:t>
      </w:r>
      <w:r>
        <w:rPr/>
        <w:t>IT</w:t>
      </w:r>
      <w:r>
        <w:rPr>
          <w:spacing w:val="-68"/>
        </w:rPr>
        <w:t> </w:t>
      </w:r>
      <w:r>
        <w:rPr/>
        <w:t>行业，主要产品或服务为金融证券软件、系统集成及服务。</w:t>
      </w:r>
    </w:p>
    <w:p>
      <w:pPr>
        <w:spacing w:line="240" w:lineRule="auto" w:before="2"/>
        <w:rPr>
          <w:rFonts w:ascii="宋体" w:hAnsi="宋体" w:cs="宋体" w:eastAsia="宋体" w:hint="default"/>
          <w:sz w:val="22"/>
          <w:szCs w:val="22"/>
        </w:rPr>
      </w:pPr>
    </w:p>
    <w:p>
      <w:pPr>
        <w:tabs>
          <w:tab w:pos="1497" w:val="left" w:leader="none"/>
        </w:tabs>
        <w:spacing w:line="355" w:lineRule="auto" w:before="0"/>
        <w:ind w:left="657" w:right="2995" w:firstLine="2"/>
        <w:jc w:val="left"/>
        <w:rPr>
          <w:rFonts w:ascii="宋体" w:hAnsi="宋体" w:cs="宋体" w:eastAsia="宋体" w:hint="default"/>
          <w:sz w:val="21"/>
          <w:szCs w:val="21"/>
        </w:rPr>
      </w:pPr>
      <w:r>
        <w:rPr>
          <w:rFonts w:ascii="宋体" w:hAnsi="宋体" w:cs="宋体" w:eastAsia="宋体" w:hint="default"/>
          <w:b/>
          <w:bCs/>
          <w:w w:val="95"/>
          <w:sz w:val="21"/>
          <w:szCs w:val="21"/>
        </w:rPr>
        <w:t>（五）</w:t>
        <w:tab/>
      </w:r>
      <w:r>
        <w:rPr>
          <w:rFonts w:ascii="宋体" w:hAnsi="宋体" w:cs="宋体" w:eastAsia="宋体" w:hint="default"/>
          <w:b/>
          <w:bCs/>
          <w:sz w:val="21"/>
          <w:szCs w:val="21"/>
        </w:rPr>
        <w:t>财务报表的批准报出</w:t>
      </w:r>
      <w:r>
        <w:rPr>
          <w:rFonts w:ascii="宋体" w:hAnsi="宋体" w:cs="宋体" w:eastAsia="宋体" w:hint="default"/>
          <w:b/>
          <w:bCs/>
          <w:spacing w:val="1"/>
          <w:w w:val="99"/>
          <w:sz w:val="21"/>
          <w:szCs w:val="21"/>
        </w:rPr>
        <w:t> </w:t>
      </w:r>
      <w:r>
        <w:rPr>
          <w:rFonts w:ascii="宋体" w:hAnsi="宋体" w:cs="宋体" w:eastAsia="宋体" w:hint="default"/>
          <w:sz w:val="21"/>
          <w:szCs w:val="21"/>
        </w:rPr>
        <w:t>本财务报表业经公司全体董事于</w:t>
      </w:r>
      <w:r>
        <w:rPr>
          <w:rFonts w:ascii="宋体" w:hAnsi="宋体" w:cs="宋体" w:eastAsia="宋体" w:hint="default"/>
          <w:spacing w:val="-57"/>
          <w:sz w:val="21"/>
          <w:szCs w:val="21"/>
        </w:rPr>
        <w:t> </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18</w:t>
      </w:r>
      <w:r>
        <w:rPr>
          <w:rFonts w:ascii="宋体" w:hAnsi="宋体" w:cs="宋体" w:eastAsia="宋体" w:hint="default"/>
          <w:spacing w:val="-57"/>
          <w:sz w:val="21"/>
          <w:szCs w:val="21"/>
        </w:rPr>
        <w:t> </w:t>
      </w:r>
      <w:r>
        <w:rPr>
          <w:rFonts w:ascii="宋体" w:hAnsi="宋体" w:cs="宋体" w:eastAsia="宋体" w:hint="default"/>
          <w:sz w:val="21"/>
          <w:szCs w:val="21"/>
        </w:rPr>
        <w:t>日批准报出。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3"/>
        <w:spacing w:line="240" w:lineRule="auto" w:before="0"/>
        <w:ind w:left="237" w:right="0"/>
        <w:jc w:val="both"/>
        <w:rPr>
          <w:b w:val="0"/>
          <w:bCs w:val="0"/>
        </w:rPr>
      </w:pPr>
      <w:r>
        <w:rPr>
          <w:rFonts w:ascii="Calibri" w:hAnsi="Calibri" w:cs="Calibri" w:eastAsia="Calibri" w:hint="default"/>
        </w:rPr>
        <w:t>2.    </w:t>
      </w:r>
      <w:r>
        <w:rPr>
          <w:rFonts w:ascii="Calibri" w:hAnsi="Calibri" w:cs="Calibri" w:eastAsia="Calibri" w:hint="default"/>
          <w:spacing w:val="18"/>
        </w:rPr>
        <w:t> </w:t>
      </w:r>
      <w:r>
        <w:rPr/>
        <w:t>合并财务报表范围</w:t>
      </w:r>
      <w:r>
        <w:rPr>
          <w:b w:val="0"/>
          <w:bCs w:val="0"/>
        </w:rPr>
      </w:r>
    </w:p>
    <w:p>
      <w:pPr>
        <w:pStyle w:val="BodyText"/>
        <w:spacing w:line="240" w:lineRule="auto" w:before="51"/>
        <w:ind w:left="657" w:right="240"/>
        <w:jc w:val="left"/>
      </w:pPr>
      <w:r>
        <w:rPr/>
        <w:pict>
          <v:group style="position:absolute;margin-left:83.040001pt;margin-top:25.219622pt;width:455.35pt;height:123pt;mso-position-horizontal-relative:page;mso-position-vertical-relative:paragraph;z-index:-1228408" coordorigin="1661,504" coordsize="9107,2460">
            <v:shape style="position:absolute;left:5389;top:504;width:3764;height:379" type="#_x0000_t75" stroked="false">
              <v:imagedata r:id="rId72" o:title=""/>
            </v:shape>
            <v:shape style="position:absolute;left:1661;top:842;width:9107;height:2122" type="#_x0000_t75" stroked="false">
              <v:imagedata r:id="rId73" o:title=""/>
            </v:shape>
            <w10:wrap type="none"/>
          </v:group>
        </w:pict>
      </w:r>
      <w:r>
        <w:rPr/>
        <w:t>本期纳入合并财务报表范围的主体共</w:t>
      </w:r>
      <w:r>
        <w:rPr>
          <w:spacing w:val="-65"/>
        </w:rPr>
        <w:t> </w:t>
      </w:r>
      <w:r>
        <w:rPr/>
        <w:t>12</w:t>
      </w:r>
      <w:r>
        <w:rPr>
          <w:spacing w:val="-65"/>
        </w:rPr>
        <w:t> </w:t>
      </w:r>
      <w:r>
        <w:rPr/>
        <w:t>户，具体包括：</w:t>
      </w:r>
    </w:p>
    <w:p>
      <w:pPr>
        <w:spacing w:line="240" w:lineRule="auto" w:before="0"/>
        <w:rPr>
          <w:rFonts w:ascii="宋体" w:hAnsi="宋体" w:cs="宋体" w:eastAsia="宋体" w:hint="default"/>
          <w:sz w:val="14"/>
          <w:szCs w:val="14"/>
        </w:rPr>
      </w:pPr>
    </w:p>
    <w:tbl>
      <w:tblPr>
        <w:tblW w:w="0" w:type="auto"/>
        <w:jc w:val="left"/>
        <w:tblInd w:w="202" w:type="dxa"/>
        <w:tblLayout w:type="fixed"/>
        <w:tblCellMar>
          <w:top w:w="0" w:type="dxa"/>
          <w:left w:w="0" w:type="dxa"/>
          <w:bottom w:w="0" w:type="dxa"/>
          <w:right w:w="0" w:type="dxa"/>
        </w:tblCellMar>
        <w:tblLook w:val="01E0"/>
      </w:tblPr>
      <w:tblGrid>
        <w:gridCol w:w="3054"/>
        <w:gridCol w:w="1927"/>
        <w:gridCol w:w="773"/>
        <w:gridCol w:w="1613"/>
        <w:gridCol w:w="1537"/>
      </w:tblGrid>
      <w:tr>
        <w:trPr>
          <w:trHeight w:val="714" w:hRule="exact"/>
        </w:trPr>
        <w:tc>
          <w:tcPr>
            <w:tcW w:w="3054" w:type="dxa"/>
            <w:tcBorders>
              <w:top w:val="single" w:sz="12" w:space="0" w:color="000000"/>
              <w:left w:val="nil" w:sz="6" w:space="0" w:color="auto"/>
              <w:bottom w:val="nil" w:sz="6" w:space="0" w:color="auto"/>
              <w:right w:val="nil" w:sz="6" w:space="0" w:color="auto"/>
            </w:tcBorders>
          </w:tcPr>
          <w:p>
            <w:pPr>
              <w:pStyle w:val="TableParagraph"/>
              <w:spacing w:line="240" w:lineRule="auto" w:before="22"/>
              <w:ind w:left="1338" w:right="0"/>
              <w:jc w:val="left"/>
              <w:rPr>
                <w:rFonts w:ascii="宋体" w:hAnsi="宋体" w:cs="宋体" w:eastAsia="宋体" w:hint="default"/>
                <w:sz w:val="18"/>
                <w:szCs w:val="18"/>
              </w:rPr>
            </w:pPr>
            <w:r>
              <w:rPr>
                <w:rFonts w:ascii="宋体" w:hAnsi="宋体" w:cs="宋体" w:eastAsia="宋体" w:hint="default"/>
                <w:sz w:val="18"/>
                <w:szCs w:val="18"/>
              </w:rPr>
              <w:t>子公司名称</w:t>
            </w:r>
          </w:p>
          <w:p>
            <w:pPr>
              <w:pStyle w:val="TableParagraph"/>
              <w:spacing w:line="240" w:lineRule="auto" w:before="139"/>
              <w:ind w:left="35" w:right="0"/>
              <w:jc w:val="left"/>
              <w:rPr>
                <w:rFonts w:ascii="宋体" w:hAnsi="宋体" w:cs="宋体" w:eastAsia="宋体" w:hint="default"/>
                <w:sz w:val="15"/>
                <w:szCs w:val="15"/>
              </w:rPr>
            </w:pPr>
            <w:r>
              <w:rPr>
                <w:rFonts w:ascii="宋体" w:hAnsi="宋体" w:cs="宋体" w:eastAsia="宋体" w:hint="default"/>
                <w:sz w:val="15"/>
                <w:szCs w:val="15"/>
              </w:rPr>
              <w:t>深圳市齐普生信息科技有限公司</w:t>
            </w:r>
          </w:p>
        </w:tc>
        <w:tc>
          <w:tcPr>
            <w:tcW w:w="1927" w:type="dxa"/>
            <w:tcBorders>
              <w:top w:val="single" w:sz="12" w:space="0" w:color="000000"/>
              <w:left w:val="nil" w:sz="6" w:space="0" w:color="auto"/>
              <w:bottom w:val="nil" w:sz="6" w:space="0" w:color="auto"/>
              <w:right w:val="nil" w:sz="6" w:space="0" w:color="auto"/>
            </w:tcBorders>
          </w:tcPr>
          <w:p>
            <w:pPr>
              <w:pStyle w:val="TableParagraph"/>
              <w:spacing w:line="240" w:lineRule="auto" w:before="22"/>
              <w:ind w:left="815" w:right="0"/>
              <w:jc w:val="left"/>
              <w:rPr>
                <w:rFonts w:ascii="宋体" w:hAnsi="宋体" w:cs="宋体" w:eastAsia="宋体" w:hint="default"/>
                <w:sz w:val="18"/>
                <w:szCs w:val="18"/>
              </w:rPr>
            </w:pPr>
            <w:r>
              <w:rPr>
                <w:rFonts w:ascii="宋体" w:hAnsi="宋体" w:cs="宋体" w:eastAsia="宋体" w:hint="default"/>
                <w:sz w:val="18"/>
                <w:szCs w:val="18"/>
              </w:rPr>
              <w:t>子公司类型</w:t>
            </w:r>
          </w:p>
          <w:p>
            <w:pPr>
              <w:pStyle w:val="TableParagraph"/>
              <w:spacing w:line="240" w:lineRule="auto" w:before="139"/>
              <w:ind w:left="889" w:right="0"/>
              <w:jc w:val="left"/>
              <w:rPr>
                <w:rFonts w:ascii="宋体" w:hAnsi="宋体" w:cs="宋体" w:eastAsia="宋体" w:hint="default"/>
                <w:sz w:val="15"/>
                <w:szCs w:val="15"/>
              </w:rPr>
            </w:pPr>
            <w:r>
              <w:rPr>
                <w:rFonts w:ascii="宋体" w:hAnsi="宋体" w:cs="宋体" w:eastAsia="宋体" w:hint="default"/>
                <w:sz w:val="15"/>
                <w:szCs w:val="15"/>
              </w:rPr>
              <w:t>控股子公司</w:t>
            </w:r>
          </w:p>
        </w:tc>
        <w:tc>
          <w:tcPr>
            <w:tcW w:w="773" w:type="dxa"/>
            <w:tcBorders>
              <w:top w:val="single" w:sz="12" w:space="0" w:color="000000"/>
              <w:left w:val="nil" w:sz="6" w:space="0" w:color="auto"/>
              <w:bottom w:val="nil" w:sz="6" w:space="0" w:color="auto"/>
              <w:right w:val="nil" w:sz="6" w:space="0" w:color="auto"/>
            </w:tcBorders>
          </w:tcPr>
          <w:p>
            <w:pPr>
              <w:pStyle w:val="TableParagraph"/>
              <w:spacing w:line="240" w:lineRule="auto" w:before="22"/>
              <w:ind w:left="211" w:right="0"/>
              <w:jc w:val="left"/>
              <w:rPr>
                <w:rFonts w:ascii="宋体" w:hAnsi="宋体" w:cs="宋体" w:eastAsia="宋体" w:hint="default"/>
                <w:sz w:val="18"/>
                <w:szCs w:val="18"/>
              </w:rPr>
            </w:pPr>
            <w:r>
              <w:rPr>
                <w:rFonts w:ascii="宋体" w:hAnsi="宋体" w:cs="宋体" w:eastAsia="宋体" w:hint="default"/>
                <w:sz w:val="18"/>
                <w:szCs w:val="18"/>
              </w:rPr>
              <w:t>级次</w:t>
            </w:r>
          </w:p>
          <w:p>
            <w:pPr>
              <w:pStyle w:val="TableParagraph"/>
              <w:spacing w:line="240" w:lineRule="auto" w:before="139"/>
              <w:ind w:left="241" w:right="0"/>
              <w:jc w:val="left"/>
              <w:rPr>
                <w:rFonts w:ascii="宋体" w:hAnsi="宋体" w:cs="宋体" w:eastAsia="宋体" w:hint="default"/>
                <w:sz w:val="15"/>
                <w:szCs w:val="15"/>
              </w:rPr>
            </w:pPr>
            <w:r>
              <w:rPr>
                <w:rFonts w:ascii="宋体" w:hAnsi="宋体" w:cs="宋体" w:eastAsia="宋体" w:hint="default"/>
                <w:sz w:val="15"/>
                <w:szCs w:val="15"/>
              </w:rPr>
              <w:t>一级</w:t>
            </w:r>
          </w:p>
        </w:tc>
        <w:tc>
          <w:tcPr>
            <w:tcW w:w="1613" w:type="dxa"/>
            <w:tcBorders>
              <w:top w:val="single" w:sz="12" w:space="0" w:color="000000"/>
              <w:left w:val="nil" w:sz="6" w:space="0" w:color="auto"/>
              <w:bottom w:val="nil" w:sz="6" w:space="0" w:color="auto"/>
              <w:right w:val="nil" w:sz="6" w:space="0" w:color="auto"/>
            </w:tcBorders>
          </w:tcPr>
          <w:p>
            <w:pPr>
              <w:pStyle w:val="TableParagraph"/>
              <w:spacing w:line="240" w:lineRule="auto" w:before="22"/>
              <w:ind w:right="198"/>
              <w:jc w:val="right"/>
              <w:rPr>
                <w:rFonts w:ascii="宋体" w:hAnsi="宋体" w:cs="宋体" w:eastAsia="宋体" w:hint="default"/>
                <w:sz w:val="18"/>
                <w:szCs w:val="18"/>
              </w:rPr>
            </w:pPr>
            <w:r>
              <w:rPr>
                <w:rFonts w:ascii="宋体" w:hAnsi="宋体" w:cs="宋体" w:eastAsia="宋体" w:hint="default"/>
                <w:w w:val="95"/>
                <w:sz w:val="18"/>
                <w:szCs w:val="18"/>
              </w:rPr>
              <w:t>持股比例（</w:t>
            </w:r>
            <w:r>
              <w:rPr>
                <w:rFonts w:ascii="Arial" w:hAnsi="Arial" w:cs="Arial" w:eastAsia="Arial" w:hint="default"/>
                <w:w w:val="95"/>
                <w:sz w:val="18"/>
                <w:szCs w:val="18"/>
              </w:rPr>
              <w:t>%</w:t>
            </w:r>
            <w:r>
              <w:rPr>
                <w:rFonts w:ascii="宋体" w:hAnsi="宋体" w:cs="宋体" w:eastAsia="宋体" w:hint="default"/>
                <w:w w:val="95"/>
                <w:sz w:val="18"/>
                <w:szCs w:val="18"/>
              </w:rPr>
              <w:t>）</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6"/>
              <w:jc w:val="right"/>
              <w:rPr>
                <w:rFonts w:ascii="Arial" w:hAnsi="Arial" w:cs="Arial" w:eastAsia="Arial" w:hint="default"/>
                <w:sz w:val="15"/>
                <w:szCs w:val="15"/>
              </w:rPr>
            </w:pPr>
            <w:r>
              <w:rPr>
                <w:rFonts w:ascii="Arial"/>
                <w:w w:val="80"/>
                <w:sz w:val="15"/>
              </w:rPr>
              <w:t>53</w:t>
            </w:r>
            <w:r>
              <w:rPr>
                <w:rFonts w:ascii="Arial"/>
                <w:sz w:val="15"/>
              </w:rPr>
            </w:r>
          </w:p>
        </w:tc>
        <w:tc>
          <w:tcPr>
            <w:tcW w:w="1537" w:type="dxa"/>
            <w:tcBorders>
              <w:top w:val="single" w:sz="12" w:space="0" w:color="000000"/>
              <w:left w:val="nil" w:sz="6" w:space="0" w:color="auto"/>
              <w:bottom w:val="nil" w:sz="6" w:space="0" w:color="auto"/>
              <w:right w:val="nil" w:sz="6" w:space="0" w:color="auto"/>
            </w:tcBorders>
          </w:tcPr>
          <w:p>
            <w:pPr>
              <w:pStyle w:val="TableParagraph"/>
              <w:spacing w:line="240" w:lineRule="auto" w:before="22"/>
              <w:ind w:right="35"/>
              <w:jc w:val="right"/>
              <w:rPr>
                <w:rFonts w:ascii="宋体" w:hAnsi="宋体" w:cs="宋体" w:eastAsia="宋体" w:hint="default"/>
                <w:sz w:val="18"/>
                <w:szCs w:val="18"/>
              </w:rPr>
            </w:pPr>
            <w:r>
              <w:rPr>
                <w:rFonts w:ascii="宋体" w:hAnsi="宋体" w:cs="宋体" w:eastAsia="宋体" w:hint="default"/>
                <w:w w:val="95"/>
                <w:sz w:val="18"/>
                <w:szCs w:val="18"/>
              </w:rPr>
              <w:t>表决权比例（</w:t>
            </w:r>
            <w:r>
              <w:rPr>
                <w:rFonts w:ascii="Arial" w:hAnsi="Arial" w:cs="Arial" w:eastAsia="Arial" w:hint="default"/>
                <w:w w:val="95"/>
                <w:sz w:val="18"/>
                <w:szCs w:val="18"/>
              </w:rPr>
              <w:t>%</w:t>
            </w:r>
            <w:r>
              <w:rPr>
                <w:rFonts w:ascii="宋体" w:hAnsi="宋体" w:cs="宋体" w:eastAsia="宋体" w:hint="default"/>
                <w:w w:val="95"/>
                <w:sz w:val="18"/>
                <w:szCs w:val="18"/>
              </w:rPr>
              <w:t>）</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3"/>
              <w:jc w:val="right"/>
              <w:rPr>
                <w:rFonts w:ascii="Arial" w:hAnsi="Arial" w:cs="Arial" w:eastAsia="Arial" w:hint="default"/>
                <w:sz w:val="15"/>
                <w:szCs w:val="15"/>
              </w:rPr>
            </w:pPr>
            <w:r>
              <w:rPr>
                <w:rFonts w:ascii="Arial"/>
                <w:w w:val="80"/>
                <w:sz w:val="15"/>
              </w:rPr>
              <w:t>53</w:t>
            </w:r>
            <w:r>
              <w:rPr>
                <w:rFonts w:ascii="Arial"/>
                <w:sz w:val="15"/>
              </w:rPr>
            </w:r>
          </w:p>
        </w:tc>
      </w:tr>
      <w:tr>
        <w:trPr>
          <w:trHeight w:val="350"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5"/>
                <w:szCs w:val="15"/>
              </w:rPr>
            </w:pPr>
            <w:r>
              <w:rPr>
                <w:rFonts w:ascii="宋体" w:hAnsi="宋体" w:cs="宋体" w:eastAsia="宋体" w:hint="default"/>
                <w:sz w:val="15"/>
                <w:szCs w:val="15"/>
              </w:rPr>
              <w:t>深圳市金证软银科技有限公司</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4"/>
              <w:jc w:val="right"/>
              <w:rPr>
                <w:rFonts w:ascii="宋体" w:hAnsi="宋体" w:cs="宋体" w:eastAsia="宋体" w:hint="default"/>
                <w:sz w:val="15"/>
                <w:szCs w:val="15"/>
              </w:rPr>
            </w:pPr>
            <w:r>
              <w:rPr>
                <w:rFonts w:ascii="宋体" w:hAnsi="宋体" w:cs="宋体" w:eastAsia="宋体" w:hint="default"/>
                <w:sz w:val="15"/>
                <w:szCs w:val="15"/>
              </w:rPr>
              <w:t>全资子公司</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 w:right="0"/>
              <w:jc w:val="center"/>
              <w:rPr>
                <w:rFonts w:ascii="宋体" w:hAnsi="宋体" w:cs="宋体" w:eastAsia="宋体" w:hint="default"/>
                <w:sz w:val="15"/>
                <w:szCs w:val="15"/>
              </w:rPr>
            </w:pPr>
            <w:r>
              <w:rPr>
                <w:rFonts w:ascii="宋体" w:hAnsi="宋体" w:cs="宋体" w:eastAsia="宋体" w:hint="default"/>
                <w:sz w:val="15"/>
                <w:szCs w:val="15"/>
              </w:rPr>
              <w:t>一级</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6"/>
              <w:jc w:val="right"/>
              <w:rPr>
                <w:rFonts w:ascii="Arial" w:hAnsi="Arial" w:cs="Arial" w:eastAsia="Arial" w:hint="default"/>
                <w:sz w:val="15"/>
                <w:szCs w:val="15"/>
              </w:rPr>
            </w:pPr>
            <w:r>
              <w:rPr>
                <w:rFonts w:ascii="Arial"/>
                <w:w w:val="80"/>
                <w:sz w:val="15"/>
              </w:rPr>
              <w:t>100</w:t>
            </w:r>
            <w:r>
              <w:rPr>
                <w:rFonts w:ascii="Arial"/>
                <w:sz w:val="15"/>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15"/>
                <w:szCs w:val="15"/>
              </w:rPr>
            </w:pPr>
            <w:r>
              <w:rPr>
                <w:rFonts w:ascii="Arial"/>
                <w:w w:val="80"/>
                <w:sz w:val="15"/>
              </w:rPr>
              <w:t>100</w:t>
            </w:r>
            <w:r>
              <w:rPr>
                <w:rFonts w:ascii="Arial"/>
                <w:sz w:val="15"/>
              </w:rPr>
            </w:r>
          </w:p>
        </w:tc>
      </w:tr>
      <w:tr>
        <w:trPr>
          <w:trHeight w:val="350"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5"/>
                <w:szCs w:val="15"/>
              </w:rPr>
            </w:pPr>
            <w:r>
              <w:rPr>
                <w:rFonts w:ascii="宋体" w:hAnsi="宋体" w:cs="宋体" w:eastAsia="宋体" w:hint="default"/>
                <w:sz w:val="15"/>
                <w:szCs w:val="15"/>
              </w:rPr>
              <w:t>上海金证高科技有限公司</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4"/>
              <w:jc w:val="right"/>
              <w:rPr>
                <w:rFonts w:ascii="宋体" w:hAnsi="宋体" w:cs="宋体" w:eastAsia="宋体" w:hint="default"/>
                <w:sz w:val="15"/>
                <w:szCs w:val="15"/>
              </w:rPr>
            </w:pPr>
            <w:r>
              <w:rPr>
                <w:rFonts w:ascii="宋体" w:hAnsi="宋体" w:cs="宋体" w:eastAsia="宋体" w:hint="default"/>
                <w:sz w:val="15"/>
                <w:szCs w:val="15"/>
              </w:rPr>
              <w:t>全资子公司</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 w:right="0"/>
              <w:jc w:val="center"/>
              <w:rPr>
                <w:rFonts w:ascii="宋体" w:hAnsi="宋体" w:cs="宋体" w:eastAsia="宋体" w:hint="default"/>
                <w:sz w:val="15"/>
                <w:szCs w:val="15"/>
              </w:rPr>
            </w:pPr>
            <w:r>
              <w:rPr>
                <w:rFonts w:ascii="宋体" w:hAnsi="宋体" w:cs="宋体" w:eastAsia="宋体" w:hint="default"/>
                <w:sz w:val="15"/>
                <w:szCs w:val="15"/>
              </w:rPr>
              <w:t>一级</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6"/>
              <w:jc w:val="right"/>
              <w:rPr>
                <w:rFonts w:ascii="Arial" w:hAnsi="Arial" w:cs="Arial" w:eastAsia="Arial" w:hint="default"/>
                <w:sz w:val="15"/>
                <w:szCs w:val="15"/>
              </w:rPr>
            </w:pPr>
            <w:r>
              <w:rPr>
                <w:rFonts w:ascii="Arial"/>
                <w:w w:val="80"/>
                <w:sz w:val="15"/>
              </w:rPr>
              <w:t>100</w:t>
            </w:r>
            <w:r>
              <w:rPr>
                <w:rFonts w:ascii="Arial"/>
                <w:sz w:val="15"/>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15"/>
                <w:szCs w:val="15"/>
              </w:rPr>
            </w:pPr>
            <w:r>
              <w:rPr>
                <w:rFonts w:ascii="Arial"/>
                <w:w w:val="80"/>
                <w:sz w:val="15"/>
              </w:rPr>
              <w:t>100</w:t>
            </w:r>
            <w:r>
              <w:rPr>
                <w:rFonts w:ascii="Arial"/>
                <w:sz w:val="15"/>
              </w:rPr>
            </w:r>
          </w:p>
        </w:tc>
      </w:tr>
      <w:tr>
        <w:trPr>
          <w:trHeight w:val="350"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5"/>
                <w:szCs w:val="15"/>
              </w:rPr>
            </w:pPr>
            <w:r>
              <w:rPr>
                <w:rFonts w:ascii="宋体" w:hAnsi="宋体" w:cs="宋体" w:eastAsia="宋体" w:hint="default"/>
                <w:sz w:val="15"/>
                <w:szCs w:val="15"/>
              </w:rPr>
              <w:t>北京北方金证科技有限公司</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84"/>
              <w:jc w:val="right"/>
              <w:rPr>
                <w:rFonts w:ascii="宋体" w:hAnsi="宋体" w:cs="宋体" w:eastAsia="宋体" w:hint="default"/>
                <w:sz w:val="15"/>
                <w:szCs w:val="15"/>
              </w:rPr>
            </w:pPr>
            <w:r>
              <w:rPr>
                <w:rFonts w:ascii="宋体" w:hAnsi="宋体" w:cs="宋体" w:eastAsia="宋体" w:hint="default"/>
                <w:sz w:val="15"/>
                <w:szCs w:val="15"/>
              </w:rPr>
              <w:t>全资子公司</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8" w:right="0"/>
              <w:jc w:val="center"/>
              <w:rPr>
                <w:rFonts w:ascii="宋体" w:hAnsi="宋体" w:cs="宋体" w:eastAsia="宋体" w:hint="default"/>
                <w:sz w:val="15"/>
                <w:szCs w:val="15"/>
              </w:rPr>
            </w:pPr>
            <w:r>
              <w:rPr>
                <w:rFonts w:ascii="宋体" w:hAnsi="宋体" w:cs="宋体" w:eastAsia="宋体" w:hint="default"/>
                <w:sz w:val="15"/>
                <w:szCs w:val="15"/>
              </w:rPr>
              <w:t>一级</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6"/>
              <w:jc w:val="right"/>
              <w:rPr>
                <w:rFonts w:ascii="Arial" w:hAnsi="Arial" w:cs="Arial" w:eastAsia="Arial" w:hint="default"/>
                <w:sz w:val="15"/>
                <w:szCs w:val="15"/>
              </w:rPr>
            </w:pPr>
            <w:r>
              <w:rPr>
                <w:rFonts w:ascii="Arial"/>
                <w:w w:val="80"/>
                <w:sz w:val="15"/>
              </w:rPr>
              <w:t>100</w:t>
            </w:r>
            <w:r>
              <w:rPr>
                <w:rFonts w:ascii="Arial"/>
                <w:sz w:val="15"/>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Arial" w:hAnsi="Arial" w:cs="Arial" w:eastAsia="Arial" w:hint="default"/>
                <w:sz w:val="15"/>
                <w:szCs w:val="15"/>
              </w:rPr>
            </w:pPr>
            <w:r>
              <w:rPr>
                <w:rFonts w:ascii="Arial"/>
                <w:w w:val="80"/>
                <w:sz w:val="15"/>
              </w:rPr>
              <w:t>100</w:t>
            </w:r>
            <w:r>
              <w:rPr>
                <w:rFonts w:ascii="Arial"/>
                <w:sz w:val="15"/>
              </w:rPr>
            </w:r>
          </w:p>
        </w:tc>
      </w:tr>
      <w:tr>
        <w:trPr>
          <w:trHeight w:val="350"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5"/>
                <w:szCs w:val="15"/>
              </w:rPr>
            </w:pPr>
            <w:r>
              <w:rPr>
                <w:rFonts w:ascii="宋体" w:hAnsi="宋体" w:cs="宋体" w:eastAsia="宋体" w:hint="default"/>
                <w:sz w:val="15"/>
                <w:szCs w:val="15"/>
              </w:rPr>
              <w:t>成都市金证科技有限责任公司</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4"/>
              <w:jc w:val="right"/>
              <w:rPr>
                <w:rFonts w:ascii="宋体" w:hAnsi="宋体" w:cs="宋体" w:eastAsia="宋体" w:hint="default"/>
                <w:sz w:val="15"/>
                <w:szCs w:val="15"/>
              </w:rPr>
            </w:pPr>
            <w:r>
              <w:rPr>
                <w:rFonts w:ascii="宋体" w:hAnsi="宋体" w:cs="宋体" w:eastAsia="宋体" w:hint="default"/>
                <w:sz w:val="15"/>
                <w:szCs w:val="15"/>
              </w:rPr>
              <w:t>全资子公司</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 w:right="0"/>
              <w:jc w:val="center"/>
              <w:rPr>
                <w:rFonts w:ascii="宋体" w:hAnsi="宋体" w:cs="宋体" w:eastAsia="宋体" w:hint="default"/>
                <w:sz w:val="15"/>
                <w:szCs w:val="15"/>
              </w:rPr>
            </w:pPr>
            <w:r>
              <w:rPr>
                <w:rFonts w:ascii="宋体" w:hAnsi="宋体" w:cs="宋体" w:eastAsia="宋体" w:hint="default"/>
                <w:sz w:val="15"/>
                <w:szCs w:val="15"/>
              </w:rPr>
              <w:t>一级</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6"/>
              <w:jc w:val="right"/>
              <w:rPr>
                <w:rFonts w:ascii="Arial" w:hAnsi="Arial" w:cs="Arial" w:eastAsia="Arial" w:hint="default"/>
                <w:sz w:val="15"/>
                <w:szCs w:val="15"/>
              </w:rPr>
            </w:pPr>
            <w:r>
              <w:rPr>
                <w:rFonts w:ascii="Arial"/>
                <w:w w:val="80"/>
                <w:sz w:val="15"/>
              </w:rPr>
              <w:t>100</w:t>
            </w:r>
            <w:r>
              <w:rPr>
                <w:rFonts w:ascii="Arial"/>
                <w:sz w:val="15"/>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15"/>
                <w:szCs w:val="15"/>
              </w:rPr>
            </w:pPr>
            <w:r>
              <w:rPr>
                <w:rFonts w:ascii="Arial"/>
                <w:w w:val="80"/>
                <w:sz w:val="15"/>
              </w:rPr>
              <w:t>100</w:t>
            </w:r>
            <w:r>
              <w:rPr>
                <w:rFonts w:ascii="Arial"/>
                <w:sz w:val="15"/>
              </w:rPr>
            </w:r>
          </w:p>
        </w:tc>
      </w:tr>
      <w:tr>
        <w:trPr>
          <w:trHeight w:val="356" w:hRule="exact"/>
        </w:trPr>
        <w:tc>
          <w:tcPr>
            <w:tcW w:w="3054"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left="35" w:right="0"/>
              <w:jc w:val="left"/>
              <w:rPr>
                <w:rFonts w:ascii="宋体" w:hAnsi="宋体" w:cs="宋体" w:eastAsia="宋体" w:hint="default"/>
                <w:sz w:val="15"/>
                <w:szCs w:val="15"/>
              </w:rPr>
            </w:pPr>
            <w:r>
              <w:rPr>
                <w:rFonts w:ascii="宋体" w:hAnsi="宋体" w:cs="宋体" w:eastAsia="宋体" w:hint="default"/>
                <w:sz w:val="15"/>
                <w:szCs w:val="15"/>
              </w:rPr>
              <w:t>成都金证信息技术有限公司</w:t>
            </w:r>
          </w:p>
        </w:tc>
        <w:tc>
          <w:tcPr>
            <w:tcW w:w="1927"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right="284"/>
              <w:jc w:val="right"/>
              <w:rPr>
                <w:rFonts w:ascii="宋体" w:hAnsi="宋体" w:cs="宋体" w:eastAsia="宋体" w:hint="default"/>
                <w:sz w:val="15"/>
                <w:szCs w:val="15"/>
              </w:rPr>
            </w:pPr>
            <w:r>
              <w:rPr>
                <w:rFonts w:ascii="宋体" w:hAnsi="宋体" w:cs="宋体" w:eastAsia="宋体" w:hint="default"/>
                <w:sz w:val="15"/>
                <w:szCs w:val="15"/>
              </w:rPr>
              <w:t>全资子公司</w:t>
            </w:r>
          </w:p>
        </w:tc>
        <w:tc>
          <w:tcPr>
            <w:tcW w:w="773"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left="8" w:right="0"/>
              <w:jc w:val="center"/>
              <w:rPr>
                <w:rFonts w:ascii="宋体" w:hAnsi="宋体" w:cs="宋体" w:eastAsia="宋体" w:hint="default"/>
                <w:sz w:val="15"/>
                <w:szCs w:val="15"/>
              </w:rPr>
            </w:pPr>
            <w:r>
              <w:rPr>
                <w:rFonts w:ascii="宋体" w:hAnsi="宋体" w:cs="宋体" w:eastAsia="宋体" w:hint="default"/>
                <w:sz w:val="15"/>
                <w:szCs w:val="15"/>
              </w:rPr>
              <w:t>一级</w:t>
            </w:r>
          </w:p>
        </w:tc>
        <w:tc>
          <w:tcPr>
            <w:tcW w:w="1613"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106"/>
              <w:jc w:val="right"/>
              <w:rPr>
                <w:rFonts w:ascii="Arial" w:hAnsi="Arial" w:cs="Arial" w:eastAsia="Arial" w:hint="default"/>
                <w:sz w:val="15"/>
                <w:szCs w:val="15"/>
              </w:rPr>
            </w:pPr>
            <w:r>
              <w:rPr>
                <w:rFonts w:ascii="Arial"/>
                <w:w w:val="80"/>
                <w:sz w:val="15"/>
              </w:rPr>
              <w:t>100</w:t>
            </w:r>
            <w:r>
              <w:rPr>
                <w:rFonts w:ascii="Arial"/>
                <w:sz w:val="15"/>
              </w:rPr>
            </w:r>
          </w:p>
        </w:tc>
        <w:tc>
          <w:tcPr>
            <w:tcW w:w="1537"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33"/>
              <w:jc w:val="right"/>
              <w:rPr>
                <w:rFonts w:ascii="Arial" w:hAnsi="Arial" w:cs="Arial" w:eastAsia="Arial" w:hint="default"/>
                <w:sz w:val="15"/>
                <w:szCs w:val="15"/>
              </w:rPr>
            </w:pPr>
            <w:r>
              <w:rPr>
                <w:rFonts w:ascii="Arial"/>
                <w:w w:val="80"/>
                <w:sz w:val="15"/>
              </w:rPr>
              <w:t>100</w:t>
            </w:r>
            <w:r>
              <w:rPr>
                <w:rFonts w:ascii="Arial"/>
                <w:sz w:val="15"/>
              </w:rPr>
            </w:r>
          </w:p>
        </w:tc>
      </w:tr>
    </w:tbl>
    <w:p>
      <w:pPr>
        <w:spacing w:after="0" w:line="240" w:lineRule="auto"/>
        <w:jc w:val="right"/>
        <w:rPr>
          <w:rFonts w:ascii="Arial" w:hAnsi="Arial" w:cs="Arial" w:eastAsia="Arial" w:hint="default"/>
          <w:sz w:val="15"/>
          <w:szCs w:val="15"/>
        </w:rPr>
        <w:sectPr>
          <w:headerReference w:type="default" r:id="rId70"/>
          <w:footerReference w:type="default" r:id="rId71"/>
          <w:pgSz w:w="11910" w:h="16840"/>
          <w:pgMar w:header="882" w:footer="1197" w:top="1120" w:bottom="1380" w:left="1560" w:right="1020"/>
          <w:pgNumType w:start="68"/>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202" w:type="dxa"/>
        <w:tblLayout w:type="fixed"/>
        <w:tblCellMar>
          <w:top w:w="0" w:type="dxa"/>
          <w:left w:w="0" w:type="dxa"/>
          <w:bottom w:w="0" w:type="dxa"/>
          <w:right w:w="0" w:type="dxa"/>
        </w:tblCellMar>
        <w:tblLook w:val="01E0"/>
      </w:tblPr>
      <w:tblGrid>
        <w:gridCol w:w="3054"/>
        <w:gridCol w:w="1927"/>
        <w:gridCol w:w="773"/>
        <w:gridCol w:w="1613"/>
        <w:gridCol w:w="1537"/>
      </w:tblGrid>
      <w:tr>
        <w:trPr>
          <w:trHeight w:val="714" w:hRule="exact"/>
        </w:trPr>
        <w:tc>
          <w:tcPr>
            <w:tcW w:w="3054" w:type="dxa"/>
            <w:tcBorders>
              <w:top w:val="single" w:sz="12" w:space="0" w:color="000000"/>
              <w:left w:val="nil" w:sz="6" w:space="0" w:color="auto"/>
              <w:bottom w:val="nil" w:sz="6" w:space="0" w:color="auto"/>
              <w:right w:val="nil" w:sz="6" w:space="0" w:color="auto"/>
            </w:tcBorders>
          </w:tcPr>
          <w:p>
            <w:pPr>
              <w:pStyle w:val="TableParagraph"/>
              <w:spacing w:line="240" w:lineRule="auto" w:before="22"/>
              <w:ind w:left="1338" w:right="0"/>
              <w:jc w:val="left"/>
              <w:rPr>
                <w:rFonts w:ascii="宋体" w:hAnsi="宋体" w:cs="宋体" w:eastAsia="宋体" w:hint="default"/>
                <w:sz w:val="18"/>
                <w:szCs w:val="18"/>
              </w:rPr>
            </w:pPr>
            <w:r>
              <w:rPr>
                <w:rFonts w:ascii="宋体" w:hAnsi="宋体" w:cs="宋体" w:eastAsia="宋体" w:hint="default"/>
                <w:sz w:val="18"/>
                <w:szCs w:val="18"/>
              </w:rPr>
              <w:t>子公司名称</w:t>
            </w:r>
          </w:p>
          <w:p>
            <w:pPr>
              <w:pStyle w:val="TableParagraph"/>
              <w:spacing w:line="240" w:lineRule="auto" w:before="139"/>
              <w:ind w:left="35" w:right="0"/>
              <w:jc w:val="left"/>
              <w:rPr>
                <w:rFonts w:ascii="宋体" w:hAnsi="宋体" w:cs="宋体" w:eastAsia="宋体" w:hint="default"/>
                <w:sz w:val="15"/>
                <w:szCs w:val="15"/>
              </w:rPr>
            </w:pPr>
            <w:r>
              <w:rPr>
                <w:rFonts w:ascii="宋体" w:hAnsi="宋体" w:cs="宋体" w:eastAsia="宋体" w:hint="default"/>
                <w:sz w:val="15"/>
                <w:szCs w:val="15"/>
              </w:rPr>
              <w:t>深圳市金证博泽科技有限公司</w:t>
            </w:r>
          </w:p>
        </w:tc>
        <w:tc>
          <w:tcPr>
            <w:tcW w:w="1927" w:type="dxa"/>
            <w:tcBorders>
              <w:top w:val="single" w:sz="12" w:space="0" w:color="000000"/>
              <w:left w:val="nil" w:sz="6" w:space="0" w:color="auto"/>
              <w:bottom w:val="nil" w:sz="6" w:space="0" w:color="auto"/>
              <w:right w:val="nil" w:sz="6" w:space="0" w:color="auto"/>
            </w:tcBorders>
          </w:tcPr>
          <w:p>
            <w:pPr>
              <w:pStyle w:val="TableParagraph"/>
              <w:spacing w:line="240" w:lineRule="auto" w:before="22"/>
              <w:ind w:left="815" w:right="0"/>
              <w:jc w:val="left"/>
              <w:rPr>
                <w:rFonts w:ascii="宋体" w:hAnsi="宋体" w:cs="宋体" w:eastAsia="宋体" w:hint="default"/>
                <w:sz w:val="18"/>
                <w:szCs w:val="18"/>
              </w:rPr>
            </w:pPr>
            <w:r>
              <w:rPr>
                <w:rFonts w:ascii="宋体" w:hAnsi="宋体" w:cs="宋体" w:eastAsia="宋体" w:hint="default"/>
                <w:sz w:val="18"/>
                <w:szCs w:val="18"/>
              </w:rPr>
              <w:t>子公司类型</w:t>
            </w:r>
          </w:p>
          <w:p>
            <w:pPr>
              <w:pStyle w:val="TableParagraph"/>
              <w:spacing w:line="240" w:lineRule="auto" w:before="139"/>
              <w:ind w:left="889" w:right="0"/>
              <w:jc w:val="left"/>
              <w:rPr>
                <w:rFonts w:ascii="宋体" w:hAnsi="宋体" w:cs="宋体" w:eastAsia="宋体" w:hint="default"/>
                <w:sz w:val="15"/>
                <w:szCs w:val="15"/>
              </w:rPr>
            </w:pPr>
            <w:r>
              <w:rPr>
                <w:rFonts w:ascii="宋体" w:hAnsi="宋体" w:cs="宋体" w:eastAsia="宋体" w:hint="default"/>
                <w:sz w:val="15"/>
                <w:szCs w:val="15"/>
              </w:rPr>
              <w:t>全资子公司</w:t>
            </w:r>
          </w:p>
        </w:tc>
        <w:tc>
          <w:tcPr>
            <w:tcW w:w="773" w:type="dxa"/>
            <w:tcBorders>
              <w:top w:val="single" w:sz="12" w:space="0" w:color="000000"/>
              <w:left w:val="nil" w:sz="6" w:space="0" w:color="auto"/>
              <w:bottom w:val="nil" w:sz="6" w:space="0" w:color="auto"/>
              <w:right w:val="nil" w:sz="6" w:space="0" w:color="auto"/>
            </w:tcBorders>
          </w:tcPr>
          <w:p>
            <w:pPr>
              <w:pStyle w:val="TableParagraph"/>
              <w:spacing w:line="240" w:lineRule="auto" w:before="22"/>
              <w:ind w:left="211" w:right="0"/>
              <w:jc w:val="left"/>
              <w:rPr>
                <w:rFonts w:ascii="宋体" w:hAnsi="宋体" w:cs="宋体" w:eastAsia="宋体" w:hint="default"/>
                <w:sz w:val="18"/>
                <w:szCs w:val="18"/>
              </w:rPr>
            </w:pPr>
            <w:r>
              <w:rPr>
                <w:rFonts w:ascii="宋体" w:hAnsi="宋体" w:cs="宋体" w:eastAsia="宋体" w:hint="default"/>
                <w:sz w:val="18"/>
                <w:szCs w:val="18"/>
              </w:rPr>
              <w:t>级次</w:t>
            </w:r>
          </w:p>
          <w:p>
            <w:pPr>
              <w:pStyle w:val="TableParagraph"/>
              <w:spacing w:line="240" w:lineRule="auto" w:before="139"/>
              <w:ind w:left="241" w:right="0"/>
              <w:jc w:val="left"/>
              <w:rPr>
                <w:rFonts w:ascii="宋体" w:hAnsi="宋体" w:cs="宋体" w:eastAsia="宋体" w:hint="default"/>
                <w:sz w:val="15"/>
                <w:szCs w:val="15"/>
              </w:rPr>
            </w:pPr>
            <w:r>
              <w:rPr>
                <w:rFonts w:ascii="宋体" w:hAnsi="宋体" w:cs="宋体" w:eastAsia="宋体" w:hint="default"/>
                <w:sz w:val="15"/>
                <w:szCs w:val="15"/>
              </w:rPr>
              <w:t>一级</w:t>
            </w:r>
          </w:p>
        </w:tc>
        <w:tc>
          <w:tcPr>
            <w:tcW w:w="1613" w:type="dxa"/>
            <w:tcBorders>
              <w:top w:val="single" w:sz="12" w:space="0" w:color="000000"/>
              <w:left w:val="nil" w:sz="6" w:space="0" w:color="auto"/>
              <w:bottom w:val="nil" w:sz="6" w:space="0" w:color="auto"/>
              <w:right w:val="nil" w:sz="6" w:space="0" w:color="auto"/>
            </w:tcBorders>
          </w:tcPr>
          <w:p>
            <w:pPr>
              <w:pStyle w:val="TableParagraph"/>
              <w:spacing w:line="240" w:lineRule="auto" w:before="22"/>
              <w:ind w:right="198"/>
              <w:jc w:val="right"/>
              <w:rPr>
                <w:rFonts w:ascii="宋体" w:hAnsi="宋体" w:cs="宋体" w:eastAsia="宋体" w:hint="default"/>
                <w:sz w:val="18"/>
                <w:szCs w:val="18"/>
              </w:rPr>
            </w:pPr>
            <w:r>
              <w:rPr>
                <w:rFonts w:ascii="宋体" w:hAnsi="宋体" w:cs="宋体" w:eastAsia="宋体" w:hint="default"/>
                <w:w w:val="95"/>
                <w:sz w:val="18"/>
                <w:szCs w:val="18"/>
              </w:rPr>
              <w:t>持股比例（</w:t>
            </w:r>
            <w:r>
              <w:rPr>
                <w:rFonts w:ascii="Arial" w:hAnsi="Arial" w:cs="Arial" w:eastAsia="Arial" w:hint="default"/>
                <w:w w:val="95"/>
                <w:sz w:val="18"/>
                <w:szCs w:val="18"/>
              </w:rPr>
              <w:t>%</w:t>
            </w:r>
            <w:r>
              <w:rPr>
                <w:rFonts w:ascii="宋体" w:hAnsi="宋体" w:cs="宋体" w:eastAsia="宋体" w:hint="default"/>
                <w:w w:val="95"/>
                <w:sz w:val="18"/>
                <w:szCs w:val="18"/>
              </w:rPr>
              <w:t>）</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6"/>
              <w:jc w:val="right"/>
              <w:rPr>
                <w:rFonts w:ascii="Arial" w:hAnsi="Arial" w:cs="Arial" w:eastAsia="Arial" w:hint="default"/>
                <w:sz w:val="15"/>
                <w:szCs w:val="15"/>
              </w:rPr>
            </w:pPr>
            <w:r>
              <w:rPr>
                <w:rFonts w:ascii="Arial"/>
                <w:w w:val="80"/>
                <w:sz w:val="15"/>
              </w:rPr>
              <w:t>100</w:t>
            </w:r>
            <w:r>
              <w:rPr>
                <w:rFonts w:ascii="Arial"/>
                <w:sz w:val="15"/>
              </w:rPr>
            </w:r>
          </w:p>
        </w:tc>
        <w:tc>
          <w:tcPr>
            <w:tcW w:w="1537" w:type="dxa"/>
            <w:tcBorders>
              <w:top w:val="single" w:sz="12" w:space="0" w:color="000000"/>
              <w:left w:val="nil" w:sz="6" w:space="0" w:color="auto"/>
              <w:bottom w:val="nil" w:sz="6" w:space="0" w:color="auto"/>
              <w:right w:val="nil" w:sz="6" w:space="0" w:color="auto"/>
            </w:tcBorders>
          </w:tcPr>
          <w:p>
            <w:pPr>
              <w:pStyle w:val="TableParagraph"/>
              <w:spacing w:line="240" w:lineRule="auto" w:before="22"/>
              <w:ind w:right="35"/>
              <w:jc w:val="right"/>
              <w:rPr>
                <w:rFonts w:ascii="宋体" w:hAnsi="宋体" w:cs="宋体" w:eastAsia="宋体" w:hint="default"/>
                <w:sz w:val="18"/>
                <w:szCs w:val="18"/>
              </w:rPr>
            </w:pPr>
            <w:r>
              <w:rPr>
                <w:rFonts w:ascii="宋体" w:hAnsi="宋体" w:cs="宋体" w:eastAsia="宋体" w:hint="default"/>
                <w:w w:val="95"/>
                <w:sz w:val="18"/>
                <w:szCs w:val="18"/>
              </w:rPr>
              <w:t>表决权比例（</w:t>
            </w:r>
            <w:r>
              <w:rPr>
                <w:rFonts w:ascii="Arial" w:hAnsi="Arial" w:cs="Arial" w:eastAsia="Arial" w:hint="default"/>
                <w:w w:val="95"/>
                <w:sz w:val="18"/>
                <w:szCs w:val="18"/>
              </w:rPr>
              <w:t>%</w:t>
            </w:r>
            <w:r>
              <w:rPr>
                <w:rFonts w:ascii="宋体" w:hAnsi="宋体" w:cs="宋体" w:eastAsia="宋体" w:hint="default"/>
                <w:w w:val="95"/>
                <w:sz w:val="18"/>
                <w:szCs w:val="18"/>
              </w:rPr>
              <w:t>）</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3"/>
              <w:jc w:val="right"/>
              <w:rPr>
                <w:rFonts w:ascii="Arial" w:hAnsi="Arial" w:cs="Arial" w:eastAsia="Arial" w:hint="default"/>
                <w:sz w:val="15"/>
                <w:szCs w:val="15"/>
              </w:rPr>
            </w:pPr>
            <w:r>
              <w:rPr>
                <w:rFonts w:ascii="Arial"/>
                <w:w w:val="80"/>
                <w:sz w:val="15"/>
              </w:rPr>
              <w:t>100</w:t>
            </w:r>
            <w:r>
              <w:rPr>
                <w:rFonts w:ascii="Arial"/>
                <w:sz w:val="15"/>
              </w:rPr>
            </w:r>
          </w:p>
        </w:tc>
      </w:tr>
      <w:tr>
        <w:trPr>
          <w:trHeight w:val="350"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5"/>
                <w:szCs w:val="15"/>
              </w:rPr>
            </w:pPr>
            <w:r>
              <w:rPr>
                <w:rFonts w:ascii="宋体" w:hAnsi="宋体" w:cs="宋体" w:eastAsia="宋体" w:hint="default"/>
                <w:sz w:val="15"/>
                <w:szCs w:val="15"/>
              </w:rPr>
              <w:t>南京金证信息技术有限公司</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4"/>
              <w:jc w:val="right"/>
              <w:rPr>
                <w:rFonts w:ascii="宋体" w:hAnsi="宋体" w:cs="宋体" w:eastAsia="宋体" w:hint="default"/>
                <w:sz w:val="15"/>
                <w:szCs w:val="15"/>
              </w:rPr>
            </w:pPr>
            <w:r>
              <w:rPr>
                <w:rFonts w:ascii="宋体" w:hAnsi="宋体" w:cs="宋体" w:eastAsia="宋体" w:hint="default"/>
                <w:sz w:val="15"/>
                <w:szCs w:val="15"/>
              </w:rPr>
              <w:t>全资子公司</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 w:right="0"/>
              <w:jc w:val="center"/>
              <w:rPr>
                <w:rFonts w:ascii="宋体" w:hAnsi="宋体" w:cs="宋体" w:eastAsia="宋体" w:hint="default"/>
                <w:sz w:val="15"/>
                <w:szCs w:val="15"/>
              </w:rPr>
            </w:pPr>
            <w:r>
              <w:rPr>
                <w:rFonts w:ascii="宋体" w:hAnsi="宋体" w:cs="宋体" w:eastAsia="宋体" w:hint="default"/>
                <w:sz w:val="15"/>
                <w:szCs w:val="15"/>
              </w:rPr>
              <w:t>一级</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6"/>
              <w:jc w:val="right"/>
              <w:rPr>
                <w:rFonts w:ascii="Arial" w:hAnsi="Arial" w:cs="Arial" w:eastAsia="Arial" w:hint="default"/>
                <w:sz w:val="15"/>
                <w:szCs w:val="15"/>
              </w:rPr>
            </w:pPr>
            <w:r>
              <w:rPr>
                <w:rFonts w:ascii="Arial"/>
                <w:w w:val="80"/>
                <w:sz w:val="15"/>
              </w:rPr>
              <w:t>100.</w:t>
            </w:r>
            <w:r>
              <w:rPr>
                <w:rFonts w:ascii="Arial"/>
                <w:sz w:val="15"/>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15"/>
                <w:szCs w:val="15"/>
              </w:rPr>
            </w:pPr>
            <w:r>
              <w:rPr>
                <w:rFonts w:ascii="Arial"/>
                <w:w w:val="80"/>
                <w:sz w:val="15"/>
              </w:rPr>
              <w:t>100</w:t>
            </w:r>
            <w:r>
              <w:rPr>
                <w:rFonts w:ascii="Arial"/>
                <w:sz w:val="15"/>
              </w:rPr>
            </w:r>
          </w:p>
        </w:tc>
      </w:tr>
      <w:tr>
        <w:trPr>
          <w:trHeight w:val="350"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5"/>
                <w:szCs w:val="15"/>
              </w:rPr>
            </w:pPr>
            <w:r>
              <w:rPr>
                <w:rFonts w:ascii="宋体" w:hAnsi="宋体" w:cs="宋体" w:eastAsia="宋体" w:hint="default"/>
                <w:sz w:val="15"/>
                <w:szCs w:val="15"/>
              </w:rPr>
              <w:t>金证财富南京科技有限公司</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84"/>
              <w:jc w:val="right"/>
              <w:rPr>
                <w:rFonts w:ascii="宋体" w:hAnsi="宋体" w:cs="宋体" w:eastAsia="宋体" w:hint="default"/>
                <w:sz w:val="15"/>
                <w:szCs w:val="15"/>
              </w:rPr>
            </w:pPr>
            <w:r>
              <w:rPr>
                <w:rFonts w:ascii="宋体" w:hAnsi="宋体" w:cs="宋体" w:eastAsia="宋体" w:hint="default"/>
                <w:sz w:val="15"/>
                <w:szCs w:val="15"/>
              </w:rPr>
              <w:t>控股子公司</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8" w:right="0"/>
              <w:jc w:val="center"/>
              <w:rPr>
                <w:rFonts w:ascii="宋体" w:hAnsi="宋体" w:cs="宋体" w:eastAsia="宋体" w:hint="default"/>
                <w:sz w:val="15"/>
                <w:szCs w:val="15"/>
              </w:rPr>
            </w:pPr>
            <w:r>
              <w:rPr>
                <w:rFonts w:ascii="宋体" w:hAnsi="宋体" w:cs="宋体" w:eastAsia="宋体" w:hint="default"/>
                <w:sz w:val="15"/>
                <w:szCs w:val="15"/>
              </w:rPr>
              <w:t>一级</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6"/>
              <w:jc w:val="right"/>
              <w:rPr>
                <w:rFonts w:ascii="Arial" w:hAnsi="Arial" w:cs="Arial" w:eastAsia="Arial" w:hint="default"/>
                <w:sz w:val="15"/>
                <w:szCs w:val="15"/>
              </w:rPr>
            </w:pPr>
            <w:r>
              <w:rPr>
                <w:rFonts w:ascii="Arial"/>
                <w:w w:val="80"/>
                <w:sz w:val="15"/>
              </w:rPr>
              <w:t>65</w:t>
            </w:r>
            <w:r>
              <w:rPr>
                <w:rFonts w:ascii="Arial"/>
                <w:sz w:val="15"/>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Arial" w:hAnsi="Arial" w:cs="Arial" w:eastAsia="Arial" w:hint="default"/>
                <w:sz w:val="15"/>
                <w:szCs w:val="15"/>
              </w:rPr>
            </w:pPr>
            <w:r>
              <w:rPr>
                <w:rFonts w:ascii="Arial"/>
                <w:w w:val="80"/>
                <w:sz w:val="15"/>
              </w:rPr>
              <w:t>65</w:t>
            </w:r>
            <w:r>
              <w:rPr>
                <w:rFonts w:ascii="Arial"/>
                <w:sz w:val="15"/>
              </w:rPr>
            </w:r>
          </w:p>
        </w:tc>
      </w:tr>
      <w:tr>
        <w:trPr>
          <w:trHeight w:val="350"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5"/>
                <w:szCs w:val="15"/>
              </w:rPr>
            </w:pPr>
            <w:r>
              <w:rPr>
                <w:rFonts w:ascii="宋体" w:hAnsi="宋体" w:cs="宋体" w:eastAsia="宋体" w:hint="default"/>
                <w:sz w:val="15"/>
                <w:szCs w:val="15"/>
              </w:rPr>
              <w:t>成都金证博泽科技有限公司</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4"/>
              <w:jc w:val="right"/>
              <w:rPr>
                <w:rFonts w:ascii="宋体" w:hAnsi="宋体" w:cs="宋体" w:eastAsia="宋体" w:hint="default"/>
                <w:sz w:val="15"/>
                <w:szCs w:val="15"/>
              </w:rPr>
            </w:pPr>
            <w:r>
              <w:rPr>
                <w:rFonts w:ascii="宋体" w:hAnsi="宋体" w:cs="宋体" w:eastAsia="宋体" w:hint="default"/>
                <w:sz w:val="15"/>
                <w:szCs w:val="15"/>
              </w:rPr>
              <w:t>全资子公司</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 w:right="0"/>
              <w:jc w:val="center"/>
              <w:rPr>
                <w:rFonts w:ascii="宋体" w:hAnsi="宋体" w:cs="宋体" w:eastAsia="宋体" w:hint="default"/>
                <w:sz w:val="15"/>
                <w:szCs w:val="15"/>
              </w:rPr>
            </w:pPr>
            <w:r>
              <w:rPr>
                <w:rFonts w:ascii="宋体" w:hAnsi="宋体" w:cs="宋体" w:eastAsia="宋体" w:hint="default"/>
                <w:sz w:val="15"/>
                <w:szCs w:val="15"/>
              </w:rPr>
              <w:t>二级</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6"/>
              <w:jc w:val="right"/>
              <w:rPr>
                <w:rFonts w:ascii="Arial" w:hAnsi="Arial" w:cs="Arial" w:eastAsia="Arial" w:hint="default"/>
                <w:sz w:val="15"/>
                <w:szCs w:val="15"/>
              </w:rPr>
            </w:pPr>
            <w:r>
              <w:rPr>
                <w:rFonts w:ascii="Arial"/>
                <w:w w:val="80"/>
                <w:sz w:val="15"/>
              </w:rPr>
              <w:t>100</w:t>
            </w:r>
            <w:r>
              <w:rPr>
                <w:rFonts w:ascii="Arial"/>
                <w:sz w:val="15"/>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15"/>
                <w:szCs w:val="15"/>
              </w:rPr>
            </w:pPr>
            <w:r>
              <w:rPr>
                <w:rFonts w:ascii="Arial"/>
                <w:w w:val="80"/>
                <w:sz w:val="15"/>
              </w:rPr>
              <w:t>100</w:t>
            </w:r>
            <w:r>
              <w:rPr>
                <w:rFonts w:ascii="Arial"/>
                <w:sz w:val="15"/>
              </w:rPr>
            </w:r>
          </w:p>
        </w:tc>
      </w:tr>
      <w:tr>
        <w:trPr>
          <w:trHeight w:val="350"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5"/>
                <w:szCs w:val="15"/>
              </w:rPr>
            </w:pPr>
            <w:r>
              <w:rPr>
                <w:rFonts w:ascii="宋体" w:hAnsi="宋体" w:cs="宋体" w:eastAsia="宋体" w:hint="default"/>
                <w:sz w:val="15"/>
                <w:szCs w:val="15"/>
              </w:rPr>
              <w:t>成都金证同洲科技有限公司</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4"/>
              <w:jc w:val="right"/>
              <w:rPr>
                <w:rFonts w:ascii="宋体" w:hAnsi="宋体" w:cs="宋体" w:eastAsia="宋体" w:hint="default"/>
                <w:sz w:val="15"/>
                <w:szCs w:val="15"/>
              </w:rPr>
            </w:pPr>
            <w:r>
              <w:rPr>
                <w:rFonts w:ascii="宋体" w:hAnsi="宋体" w:cs="宋体" w:eastAsia="宋体" w:hint="default"/>
                <w:sz w:val="15"/>
                <w:szCs w:val="15"/>
              </w:rPr>
              <w:t>控股子公司</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 w:right="0"/>
              <w:jc w:val="center"/>
              <w:rPr>
                <w:rFonts w:ascii="宋体" w:hAnsi="宋体" w:cs="宋体" w:eastAsia="宋体" w:hint="default"/>
                <w:sz w:val="15"/>
                <w:szCs w:val="15"/>
              </w:rPr>
            </w:pPr>
            <w:r>
              <w:rPr>
                <w:rFonts w:ascii="宋体" w:hAnsi="宋体" w:cs="宋体" w:eastAsia="宋体" w:hint="default"/>
                <w:sz w:val="15"/>
                <w:szCs w:val="15"/>
              </w:rPr>
              <w:t>二级</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6"/>
              <w:jc w:val="right"/>
              <w:rPr>
                <w:rFonts w:ascii="Arial" w:hAnsi="Arial" w:cs="Arial" w:eastAsia="Arial" w:hint="default"/>
                <w:sz w:val="15"/>
                <w:szCs w:val="15"/>
              </w:rPr>
            </w:pPr>
            <w:r>
              <w:rPr>
                <w:rFonts w:ascii="Arial"/>
                <w:w w:val="80"/>
                <w:sz w:val="15"/>
              </w:rPr>
              <w:t>51</w:t>
            </w:r>
            <w:r>
              <w:rPr>
                <w:rFonts w:ascii="Arial"/>
                <w:sz w:val="15"/>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15"/>
                <w:szCs w:val="15"/>
              </w:rPr>
            </w:pPr>
            <w:r>
              <w:rPr>
                <w:rFonts w:ascii="Arial"/>
                <w:w w:val="80"/>
                <w:sz w:val="15"/>
              </w:rPr>
              <w:t>51</w:t>
            </w:r>
            <w:r>
              <w:rPr>
                <w:rFonts w:ascii="Arial"/>
                <w:sz w:val="15"/>
              </w:rPr>
            </w:r>
          </w:p>
        </w:tc>
      </w:tr>
      <w:tr>
        <w:trPr>
          <w:trHeight w:val="356" w:hRule="exact"/>
        </w:trPr>
        <w:tc>
          <w:tcPr>
            <w:tcW w:w="3054" w:type="dxa"/>
            <w:tcBorders>
              <w:top w:val="nil" w:sz="6" w:space="0" w:color="auto"/>
              <w:left w:val="nil" w:sz="6" w:space="0" w:color="auto"/>
              <w:bottom w:val="single" w:sz="12" w:space="0" w:color="000000"/>
              <w:right w:val="nil" w:sz="6" w:space="0" w:color="auto"/>
            </w:tcBorders>
          </w:tcPr>
          <w:p>
            <w:pPr>
              <w:pStyle w:val="TableParagraph"/>
              <w:spacing w:line="240" w:lineRule="auto" w:before="48"/>
              <w:ind w:left="35" w:right="0"/>
              <w:jc w:val="left"/>
              <w:rPr>
                <w:rFonts w:ascii="宋体" w:hAnsi="宋体" w:cs="宋体" w:eastAsia="宋体" w:hint="default"/>
                <w:sz w:val="15"/>
                <w:szCs w:val="15"/>
              </w:rPr>
            </w:pPr>
            <w:r>
              <w:rPr>
                <w:rFonts w:ascii="宋体" w:hAnsi="宋体" w:cs="宋体" w:eastAsia="宋体" w:hint="default"/>
                <w:sz w:val="15"/>
                <w:szCs w:val="15"/>
              </w:rPr>
              <w:t>齐普生信息科技南京有限公司</w:t>
            </w:r>
          </w:p>
        </w:tc>
        <w:tc>
          <w:tcPr>
            <w:tcW w:w="1927" w:type="dxa"/>
            <w:tcBorders>
              <w:top w:val="nil" w:sz="6" w:space="0" w:color="auto"/>
              <w:left w:val="nil" w:sz="6" w:space="0" w:color="auto"/>
              <w:bottom w:val="single" w:sz="12" w:space="0" w:color="000000"/>
              <w:right w:val="nil" w:sz="6" w:space="0" w:color="auto"/>
            </w:tcBorders>
          </w:tcPr>
          <w:p>
            <w:pPr>
              <w:pStyle w:val="TableParagraph"/>
              <w:spacing w:line="240" w:lineRule="auto" w:before="48"/>
              <w:ind w:right="284"/>
              <w:jc w:val="right"/>
              <w:rPr>
                <w:rFonts w:ascii="宋体" w:hAnsi="宋体" w:cs="宋体" w:eastAsia="宋体" w:hint="default"/>
                <w:sz w:val="15"/>
                <w:szCs w:val="15"/>
              </w:rPr>
            </w:pPr>
            <w:r>
              <w:rPr>
                <w:rFonts w:ascii="宋体" w:hAnsi="宋体" w:cs="宋体" w:eastAsia="宋体" w:hint="default"/>
                <w:sz w:val="15"/>
                <w:szCs w:val="15"/>
              </w:rPr>
              <w:t>控股子公司</w:t>
            </w:r>
          </w:p>
        </w:tc>
        <w:tc>
          <w:tcPr>
            <w:tcW w:w="773" w:type="dxa"/>
            <w:tcBorders>
              <w:top w:val="nil" w:sz="6" w:space="0" w:color="auto"/>
              <w:left w:val="nil" w:sz="6" w:space="0" w:color="auto"/>
              <w:bottom w:val="single" w:sz="12" w:space="0" w:color="000000"/>
              <w:right w:val="nil" w:sz="6" w:space="0" w:color="auto"/>
            </w:tcBorders>
          </w:tcPr>
          <w:p>
            <w:pPr>
              <w:pStyle w:val="TableParagraph"/>
              <w:spacing w:line="240" w:lineRule="auto" w:before="48"/>
              <w:ind w:left="8" w:right="0"/>
              <w:jc w:val="center"/>
              <w:rPr>
                <w:rFonts w:ascii="宋体" w:hAnsi="宋体" w:cs="宋体" w:eastAsia="宋体" w:hint="default"/>
                <w:sz w:val="15"/>
                <w:szCs w:val="15"/>
              </w:rPr>
            </w:pPr>
            <w:r>
              <w:rPr>
                <w:rFonts w:ascii="宋体" w:hAnsi="宋体" w:cs="宋体" w:eastAsia="宋体" w:hint="default"/>
                <w:sz w:val="15"/>
                <w:szCs w:val="15"/>
              </w:rPr>
              <w:t>二级</w:t>
            </w:r>
          </w:p>
        </w:tc>
        <w:tc>
          <w:tcPr>
            <w:tcW w:w="1613" w:type="dxa"/>
            <w:tcBorders>
              <w:top w:val="nil" w:sz="6" w:space="0" w:color="auto"/>
              <w:left w:val="nil" w:sz="6" w:space="0" w:color="auto"/>
              <w:bottom w:val="single" w:sz="12" w:space="0" w:color="000000"/>
              <w:right w:val="nil" w:sz="6" w:space="0" w:color="auto"/>
            </w:tcBorders>
          </w:tcPr>
          <w:p>
            <w:pPr>
              <w:pStyle w:val="TableParagraph"/>
              <w:spacing w:line="240" w:lineRule="auto" w:before="85"/>
              <w:ind w:right="106"/>
              <w:jc w:val="right"/>
              <w:rPr>
                <w:rFonts w:ascii="Arial" w:hAnsi="Arial" w:cs="Arial" w:eastAsia="Arial" w:hint="default"/>
                <w:sz w:val="15"/>
                <w:szCs w:val="15"/>
              </w:rPr>
            </w:pPr>
            <w:r>
              <w:rPr>
                <w:rFonts w:ascii="Arial"/>
                <w:w w:val="80"/>
                <w:sz w:val="15"/>
              </w:rPr>
              <w:t>53</w:t>
            </w:r>
            <w:r>
              <w:rPr>
                <w:rFonts w:ascii="Arial"/>
                <w:sz w:val="15"/>
              </w:rPr>
            </w:r>
          </w:p>
        </w:tc>
        <w:tc>
          <w:tcPr>
            <w:tcW w:w="1537" w:type="dxa"/>
            <w:tcBorders>
              <w:top w:val="nil" w:sz="6" w:space="0" w:color="auto"/>
              <w:left w:val="nil" w:sz="6" w:space="0" w:color="auto"/>
              <w:bottom w:val="single" w:sz="12" w:space="0" w:color="000000"/>
              <w:right w:val="nil" w:sz="6" w:space="0" w:color="auto"/>
            </w:tcBorders>
          </w:tcPr>
          <w:p>
            <w:pPr>
              <w:pStyle w:val="TableParagraph"/>
              <w:spacing w:line="240" w:lineRule="auto" w:before="85"/>
              <w:ind w:right="33"/>
              <w:jc w:val="right"/>
              <w:rPr>
                <w:rFonts w:ascii="Arial" w:hAnsi="Arial" w:cs="Arial" w:eastAsia="Arial" w:hint="default"/>
                <w:sz w:val="15"/>
                <w:szCs w:val="15"/>
              </w:rPr>
            </w:pPr>
            <w:r>
              <w:rPr>
                <w:rFonts w:ascii="Arial"/>
                <w:w w:val="80"/>
                <w:sz w:val="15"/>
              </w:rPr>
              <w:t>100</w:t>
            </w:r>
            <w:r>
              <w:rPr>
                <w:rFonts w:ascii="Arial"/>
                <w:sz w:val="15"/>
              </w:rPr>
            </w:r>
          </w:p>
        </w:tc>
      </w:tr>
    </w:tbl>
    <w:p>
      <w:pPr>
        <w:spacing w:line="240" w:lineRule="auto" w:before="6"/>
        <w:rPr>
          <w:rFonts w:ascii="宋体" w:hAnsi="宋体" w:cs="宋体" w:eastAsia="宋体" w:hint="default"/>
          <w:sz w:val="5"/>
          <w:szCs w:val="5"/>
        </w:rPr>
      </w:pPr>
    </w:p>
    <w:p>
      <w:pPr>
        <w:pStyle w:val="BodyText"/>
        <w:spacing w:line="357" w:lineRule="auto" w:before="35"/>
        <w:ind w:left="237" w:right="247" w:firstLine="420"/>
        <w:jc w:val="left"/>
      </w:pPr>
      <w:r>
        <w:rPr/>
        <w:pict>
          <v:group style="position:absolute;margin-left:83.040001pt;margin-top:-128.815994pt;width:455.35pt;height:123pt;mso-position-horizontal-relative:page;mso-position-vertical-relative:paragraph;z-index:-1228384" coordorigin="1661,-2576" coordsize="9107,2460">
            <v:shape style="position:absolute;left:5389;top:-2576;width:3764;height:379" type="#_x0000_t75" stroked="false">
              <v:imagedata r:id="rId74" o:title=""/>
            </v:shape>
            <v:shape style="position:absolute;left:1661;top:-2239;width:9107;height:2122" type="#_x0000_t75" stroked="false">
              <v:imagedata r:id="rId75" o:title=""/>
            </v:shape>
            <w10:wrap type="none"/>
          </v:group>
        </w:pict>
      </w:r>
      <w:r>
        <w:rPr/>
        <w:t>子公司的持股比例不同于表决权比例的原因、以及持有半数或以下表决权但仍控制被投资单 位的依据说明详见“附注七、在其他主体中的权益（一）在子公司中权益”。</w:t>
      </w:r>
    </w:p>
    <w:p>
      <w:pPr>
        <w:pStyle w:val="BodyText"/>
        <w:spacing w:line="240" w:lineRule="auto" w:before="30"/>
        <w:ind w:left="657" w:right="240"/>
        <w:jc w:val="left"/>
      </w:pPr>
      <w:r>
        <w:rPr/>
        <w:t>本期纳入合并财务报表范围的主体与上期相比未发生变化。</w:t>
      </w:r>
    </w:p>
    <w:p>
      <w:pPr>
        <w:pStyle w:val="BodyText"/>
        <w:spacing w:line="338" w:lineRule="auto" w:before="133"/>
        <w:ind w:left="237" w:right="246" w:firstLine="420"/>
        <w:jc w:val="left"/>
      </w:pPr>
      <w:r>
        <w:rPr>
          <w:rFonts w:ascii="Arial" w:hAnsi="Arial" w:cs="Arial" w:eastAsia="Arial" w:hint="default"/>
        </w:rPr>
        <w:t>1</w:t>
      </w:r>
      <w:r>
        <w:rPr/>
        <w:t>．</w:t>
      </w:r>
      <w:r>
        <w:rPr>
          <w:spacing w:val="-11"/>
        </w:rPr>
        <w:t> </w:t>
      </w:r>
      <w:r>
        <w:rPr/>
        <w:t>本期新纳入合并范围的子公司、特殊目的主体、通过受托经营或承租等方式形成控制权</w:t>
      </w:r>
      <w:r>
        <w:rPr/>
        <w:t> 的经营实体：无。</w:t>
      </w:r>
    </w:p>
    <w:p>
      <w:pPr>
        <w:spacing w:line="240" w:lineRule="auto" w:before="7"/>
        <w:rPr>
          <w:rFonts w:ascii="宋体" w:hAnsi="宋体" w:cs="宋体" w:eastAsia="宋体" w:hint="default"/>
          <w:sz w:val="15"/>
          <w:szCs w:val="15"/>
        </w:rPr>
      </w:pPr>
    </w:p>
    <w:p>
      <w:pPr>
        <w:pStyle w:val="BodyText"/>
        <w:spacing w:line="338" w:lineRule="auto"/>
        <w:ind w:left="237" w:right="246" w:firstLine="420"/>
        <w:jc w:val="left"/>
      </w:pPr>
      <w:r>
        <w:rPr>
          <w:rFonts w:ascii="Arial" w:hAnsi="Arial" w:cs="Arial" w:eastAsia="Arial" w:hint="default"/>
        </w:rPr>
        <w:t>2</w:t>
      </w:r>
      <w:r>
        <w:rPr/>
        <w:t>．</w:t>
      </w:r>
      <w:r>
        <w:rPr>
          <w:spacing w:val="-11"/>
        </w:rPr>
        <w:t> </w:t>
      </w:r>
      <w:r>
        <w:rPr/>
        <w:t>本期不再纳入合并范围的子公司、特殊目的主体、通过委托经营或出租等方式丧失控制</w:t>
      </w:r>
      <w:r>
        <w:rPr/>
        <w:t> 权的经营实体：无。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3"/>
        <w:spacing w:line="240" w:lineRule="auto" w:before="0"/>
        <w:ind w:left="237" w:right="240"/>
        <w:jc w:val="left"/>
        <w:rPr>
          <w:b w:val="0"/>
          <w:bCs w:val="0"/>
        </w:rPr>
      </w:pPr>
      <w:r>
        <w:rPr/>
        <w:t>二、财务报表的编制基础</w:t>
      </w:r>
      <w:r>
        <w:rPr>
          <w:b w:val="0"/>
          <w:bCs w:val="0"/>
        </w:rPr>
      </w:r>
    </w:p>
    <w:p>
      <w:pPr>
        <w:pStyle w:val="BodyText"/>
        <w:tabs>
          <w:tab w:pos="657" w:val="left" w:leader="none"/>
        </w:tabs>
        <w:spacing w:line="276" w:lineRule="auto" w:before="97"/>
        <w:ind w:left="237" w:right="252"/>
        <w:jc w:val="left"/>
      </w:pPr>
      <w:r>
        <w:rPr>
          <w:rFonts w:ascii="Calibri" w:hAnsi="Calibri" w:cs="Calibri" w:eastAsia="Calibri" w:hint="default"/>
          <w:b/>
          <w:bCs/>
        </w:rPr>
        <w:t>1.</w:t>
        <w:tab/>
      </w:r>
      <w:r>
        <w:rPr>
          <w:rFonts w:ascii="宋体" w:hAnsi="宋体" w:cs="宋体" w:eastAsia="宋体" w:hint="default"/>
          <w:b/>
          <w:bCs/>
        </w:rPr>
        <w:t>编制基础</w:t>
      </w:r>
      <w:r>
        <w:rPr>
          <w:rFonts w:ascii="宋体" w:hAnsi="宋体" w:cs="宋体" w:eastAsia="宋体" w:hint="default"/>
          <w:b/>
          <w:bCs/>
          <w:spacing w:val="1"/>
          <w:w w:val="99"/>
        </w:rPr>
        <w:t> </w:t>
      </w:r>
      <w:r>
        <w:rPr/>
        <w:t>本公司以持续经营为基础，根据实际发生的交易和事项，按照财政部颁布的《企业会计准则—— </w:t>
      </w:r>
      <w:r>
        <w:rPr>
          <w:spacing w:val="-2"/>
        </w:rPr>
        <w:t>基本准则》和具体企业会计准则、企业会计准则应用指南、企业会计准则解释及其他相关规定</w:t>
      </w:r>
      <w:r>
        <w:rPr>
          <w:rFonts w:ascii="Times New Roman" w:hAnsi="Times New Roman" w:cs="Times New Roman" w:eastAsia="Times New Roman" w:hint="default"/>
          <w:spacing w:val="-2"/>
        </w:rPr>
        <w:t>(</w:t>
      </w:r>
      <w:r>
        <w:rPr>
          <w:spacing w:val="-2"/>
        </w:rPr>
        <w:t>以</w:t>
      </w:r>
      <w:r>
        <w:rPr>
          <w:spacing w:val="-81"/>
        </w:rPr>
        <w:t> </w:t>
      </w:r>
      <w:r>
        <w:rPr>
          <w:spacing w:val="-2"/>
        </w:rPr>
        <w:t>下合称“企业会计准则”</w:t>
      </w:r>
      <w:r>
        <w:rPr>
          <w:rFonts w:ascii="Times New Roman" w:hAnsi="Times New Roman" w:cs="Times New Roman" w:eastAsia="Times New Roman" w:hint="default"/>
          <w:spacing w:val="-2"/>
        </w:rPr>
        <w:t>)</w:t>
      </w:r>
      <w:r>
        <w:rPr>
          <w:spacing w:val="-2"/>
        </w:rPr>
        <w:t>进行确认和计量，在此基础上，结合中国证券监督管理委员会《公开发</w:t>
      </w:r>
    </w:p>
    <w:p>
      <w:pPr>
        <w:pStyle w:val="BodyText"/>
        <w:spacing w:line="277" w:lineRule="exact"/>
        <w:ind w:left="237" w:right="0"/>
        <w:jc w:val="left"/>
      </w:pPr>
      <w:r>
        <w:rPr/>
        <w:t>行证券的公司信息披露编报规则第</w:t>
      </w:r>
      <w:r>
        <w:rPr>
          <w:spacing w:val="-48"/>
        </w:rPr>
        <w:t> </w:t>
      </w: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spacing w:val="-3"/>
        </w:rPr>
        <w:t>号——财务报告的一般规定》</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4"/>
        </w:rPr>
        <w:t> </w:t>
      </w:r>
      <w:r>
        <w:rPr>
          <w:spacing w:val="-4"/>
        </w:rPr>
        <w:t>年修订</w:t>
      </w:r>
      <w:r>
        <w:rPr>
          <w:rFonts w:ascii="Times New Roman" w:hAnsi="Times New Roman" w:cs="Times New Roman" w:eastAsia="Times New Roman" w:hint="default"/>
          <w:spacing w:val="-4"/>
        </w:rPr>
        <w:t>)</w:t>
      </w:r>
      <w:r>
        <w:rPr>
          <w:spacing w:val="-4"/>
        </w:rPr>
        <w:t>的规定，编制财</w:t>
      </w:r>
    </w:p>
    <w:p>
      <w:pPr>
        <w:pStyle w:val="BodyText"/>
        <w:spacing w:line="240" w:lineRule="auto" w:before="21"/>
        <w:ind w:left="237" w:right="240"/>
        <w:jc w:val="left"/>
      </w:pPr>
      <w:r>
        <w:rPr/>
        <w:t>务报表。</w:t>
      </w:r>
    </w:p>
    <w:p>
      <w:pPr>
        <w:spacing w:line="240" w:lineRule="auto" w:before="0"/>
        <w:rPr>
          <w:rFonts w:ascii="宋体" w:hAnsi="宋体" w:cs="宋体" w:eastAsia="宋体" w:hint="default"/>
          <w:sz w:val="20"/>
          <w:szCs w:val="20"/>
        </w:rPr>
      </w:pPr>
    </w:p>
    <w:p>
      <w:pPr>
        <w:pStyle w:val="Heading3"/>
        <w:tabs>
          <w:tab w:pos="657" w:val="left" w:leader="none"/>
        </w:tabs>
        <w:spacing w:line="240" w:lineRule="auto" w:before="147"/>
        <w:ind w:left="237" w:right="240"/>
        <w:jc w:val="left"/>
        <w:rPr>
          <w:b w:val="0"/>
          <w:bCs w:val="0"/>
        </w:rPr>
      </w:pPr>
      <w:r>
        <w:rPr>
          <w:rFonts w:ascii="Calibri" w:hAnsi="Calibri" w:cs="Calibri" w:eastAsia="Calibri" w:hint="default"/>
        </w:rPr>
        <w:t>2.</w:t>
        <w:tab/>
      </w:r>
      <w:r>
        <w:rPr/>
        <w:t>持续经营</w:t>
      </w:r>
      <w:r>
        <w:rPr>
          <w:b w:val="0"/>
          <w:bCs w:val="0"/>
        </w:rPr>
      </w:r>
    </w:p>
    <w:p>
      <w:pPr>
        <w:pStyle w:val="BodyText"/>
        <w:spacing w:line="240" w:lineRule="auto" w:before="70"/>
        <w:ind w:left="237" w:right="240"/>
        <w:jc w:val="left"/>
      </w:pPr>
      <w:r>
        <w:rPr/>
        <w:t>本公司自报告期末起</w:t>
      </w:r>
      <w:r>
        <w:rPr>
          <w:spacing w:val="-72"/>
        </w:rPr>
        <w:t> </w:t>
      </w:r>
      <w:r>
        <w:rPr/>
        <w:t>12</w:t>
      </w:r>
      <w:r>
        <w:rPr>
          <w:spacing w:val="-72"/>
        </w:rPr>
        <w:t> </w:t>
      </w:r>
      <w:r>
        <w:rPr/>
        <w:t>个月不存在对本公司持续经营能力产生重大疑虑的事项或情况。</w:t>
      </w:r>
    </w:p>
    <w:p>
      <w:pPr>
        <w:spacing w:line="240" w:lineRule="auto" w:before="0"/>
        <w:rPr>
          <w:rFonts w:ascii="宋体" w:hAnsi="宋体" w:cs="宋体" w:eastAsia="宋体" w:hint="default"/>
          <w:sz w:val="20"/>
          <w:szCs w:val="20"/>
        </w:rPr>
      </w:pPr>
    </w:p>
    <w:p>
      <w:pPr>
        <w:spacing w:line="324" w:lineRule="auto" w:before="147"/>
        <w:ind w:left="237" w:right="6127" w:firstLine="0"/>
        <w:jc w:val="left"/>
        <w:rPr>
          <w:rFonts w:ascii="宋体" w:hAnsi="宋体" w:cs="宋体" w:eastAsia="宋体" w:hint="default"/>
          <w:sz w:val="21"/>
          <w:szCs w:val="21"/>
        </w:rPr>
      </w:pPr>
      <w:r>
        <w:rPr>
          <w:rFonts w:ascii="宋体" w:hAnsi="宋体" w:cs="宋体" w:eastAsia="宋体" w:hint="default"/>
          <w:b/>
          <w:bCs/>
          <w:sz w:val="21"/>
          <w:szCs w:val="21"/>
        </w:rPr>
        <w:t>三、重要会计政策及会计估计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p>
    <w:p>
      <w:pPr>
        <w:spacing w:line="240" w:lineRule="auto" w:before="9"/>
        <w:rPr>
          <w:rFonts w:ascii="宋体" w:hAnsi="宋体" w:cs="宋体" w:eastAsia="宋体" w:hint="default"/>
          <w:sz w:val="25"/>
          <w:szCs w:val="25"/>
        </w:rPr>
      </w:pPr>
    </w:p>
    <w:p>
      <w:pPr>
        <w:tabs>
          <w:tab w:pos="657" w:val="left" w:leader="none"/>
        </w:tabs>
        <w:spacing w:line="283" w:lineRule="auto" w:before="0"/>
        <w:ind w:left="237" w:right="147" w:firstLine="0"/>
        <w:jc w:val="left"/>
        <w:rPr>
          <w:rFonts w:ascii="宋体" w:hAnsi="宋体" w:cs="宋体" w:eastAsia="宋体" w:hint="default"/>
          <w:sz w:val="21"/>
          <w:szCs w:val="21"/>
        </w:rPr>
      </w:pPr>
      <w:r>
        <w:rPr>
          <w:rFonts w:ascii="Calibri" w:hAnsi="Calibri" w:cs="Calibri" w:eastAsia="Calibri" w:hint="default"/>
          <w:b/>
          <w:bCs/>
          <w:sz w:val="21"/>
          <w:szCs w:val="21"/>
        </w:rPr>
        <w:t>1.</w:t>
        <w:tab/>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3"/>
          <w:sz w:val="21"/>
          <w:szCs w:val="21"/>
        </w:rPr>
        <w:t>本公司所编制的财务报表符合企业会计准则的要求，真实、完整地反映了报告期公司的财务状况、</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经营成果、现金流量等有关信息。</w:t>
      </w:r>
    </w:p>
    <w:p>
      <w:pPr>
        <w:spacing w:line="240" w:lineRule="auto" w:before="5"/>
        <w:rPr>
          <w:rFonts w:ascii="宋体" w:hAnsi="宋体" w:cs="宋体" w:eastAsia="宋体" w:hint="default"/>
          <w:sz w:val="28"/>
          <w:szCs w:val="28"/>
        </w:rPr>
      </w:pPr>
    </w:p>
    <w:p>
      <w:pPr>
        <w:pStyle w:val="Heading3"/>
        <w:tabs>
          <w:tab w:pos="657" w:val="left" w:leader="none"/>
        </w:tabs>
        <w:spacing w:line="240" w:lineRule="auto" w:before="0"/>
        <w:ind w:left="237" w:right="240"/>
        <w:jc w:val="left"/>
        <w:rPr>
          <w:b w:val="0"/>
          <w:bCs w:val="0"/>
        </w:rPr>
      </w:pPr>
      <w:r>
        <w:rPr>
          <w:rFonts w:ascii="Calibri" w:hAnsi="Calibri" w:cs="Calibri" w:eastAsia="Calibri" w:hint="default"/>
        </w:rPr>
        <w:t>2.</w:t>
        <w:tab/>
      </w:r>
      <w:r>
        <w:rPr/>
        <w:t>会计期间</w:t>
      </w:r>
      <w:r>
        <w:rPr>
          <w:b w:val="0"/>
          <w:bCs w:val="0"/>
        </w:rPr>
      </w:r>
    </w:p>
    <w:p>
      <w:pPr>
        <w:pStyle w:val="BodyText"/>
        <w:spacing w:line="240" w:lineRule="auto" w:before="70"/>
        <w:ind w:left="237" w:right="240"/>
        <w:jc w:val="left"/>
      </w:pPr>
      <w:r>
        <w:rPr/>
        <w:t>自公历</w:t>
      </w:r>
      <w:r>
        <w:rPr>
          <w:spacing w:val="-54"/>
        </w:rPr>
        <w:t> </w:t>
      </w:r>
      <w:r>
        <w:rPr/>
        <w:t>1</w:t>
      </w:r>
      <w:r>
        <w:rPr>
          <w:spacing w:val="-53"/>
        </w:rPr>
        <w:t> </w:t>
      </w:r>
      <w:r>
        <w:rPr/>
        <w:t>月</w:t>
      </w:r>
      <w:r>
        <w:rPr>
          <w:spacing w:val="-55"/>
        </w:rPr>
        <w:t> </w:t>
      </w:r>
      <w:r>
        <w:rPr/>
        <w:t>1</w:t>
      </w:r>
      <w:r>
        <w:rPr>
          <w:spacing w:val="-53"/>
        </w:rPr>
        <w:t> </w:t>
      </w:r>
      <w:r>
        <w:rPr/>
        <w:t>日至</w:t>
      </w:r>
      <w:r>
        <w:rPr>
          <w:spacing w:val="-55"/>
        </w:rPr>
        <w:t> </w:t>
      </w:r>
      <w:r>
        <w:rPr/>
        <w:t>12</w:t>
      </w:r>
      <w:r>
        <w:rPr>
          <w:spacing w:val="-54"/>
        </w:rPr>
        <w:t> </w:t>
      </w:r>
      <w:r>
        <w:rPr/>
        <w:t>月</w:t>
      </w:r>
      <w:r>
        <w:rPr>
          <w:spacing w:val="-55"/>
        </w:rPr>
        <w:t> </w:t>
      </w:r>
      <w:r>
        <w:rPr/>
        <w:t>31</w:t>
      </w:r>
      <w:r>
        <w:rPr>
          <w:spacing w:val="-53"/>
        </w:rPr>
        <w:t> </w:t>
      </w:r>
      <w:r>
        <w:rPr/>
        <w:t>日止为一个会计年度。</w:t>
      </w:r>
    </w:p>
    <w:p>
      <w:pPr>
        <w:spacing w:after="0" w:line="240" w:lineRule="auto"/>
        <w:jc w:val="left"/>
        <w:sectPr>
          <w:pgSz w:w="11910" w:h="16840"/>
          <w:pgMar w:header="882" w:footer="1197" w:top="1120" w:bottom="1380" w:left="1560" w:right="1020"/>
        </w:sectPr>
      </w:pPr>
    </w:p>
    <w:p>
      <w:pPr>
        <w:spacing w:line="240" w:lineRule="auto" w:before="10"/>
        <w:rPr>
          <w:rFonts w:ascii="宋体" w:hAnsi="宋体" w:cs="宋体" w:eastAsia="宋体" w:hint="default"/>
          <w:sz w:val="26"/>
          <w:szCs w:val="26"/>
        </w:rPr>
      </w:pPr>
    </w:p>
    <w:p>
      <w:pPr>
        <w:pStyle w:val="Heading3"/>
        <w:spacing w:line="240" w:lineRule="auto"/>
        <w:ind w:left="137" w:right="0"/>
        <w:jc w:val="both"/>
        <w:rPr>
          <w:b w:val="0"/>
          <w:bCs w:val="0"/>
        </w:rPr>
      </w:pPr>
      <w:r>
        <w:rPr>
          <w:rFonts w:ascii="Calibri" w:hAnsi="Calibri" w:cs="Calibri" w:eastAsia="Calibri" w:hint="default"/>
        </w:rPr>
        <w:t>3.    </w:t>
      </w:r>
      <w:r>
        <w:rPr>
          <w:rFonts w:ascii="Calibri" w:hAnsi="Calibri" w:cs="Calibri" w:eastAsia="Calibri" w:hint="default"/>
          <w:spacing w:val="19"/>
        </w:rPr>
        <w:t> </w:t>
      </w:r>
      <w:r>
        <w:rPr/>
        <w:t>营业周期</w:t>
      </w:r>
      <w:r>
        <w:rPr>
          <w:b w:val="0"/>
          <w:bCs w:val="0"/>
        </w:rPr>
      </w:r>
    </w:p>
    <w:p>
      <w:pPr>
        <w:pStyle w:val="Heading3"/>
        <w:spacing w:line="240" w:lineRule="auto" w:before="70"/>
        <w:ind w:left="137" w:right="0"/>
        <w:jc w:val="both"/>
        <w:rPr>
          <w:b w:val="0"/>
          <w:bCs w:val="0"/>
        </w:rPr>
      </w:pPr>
      <w:r>
        <w:rPr/>
        <w:t>本公司营业周期为</w:t>
      </w:r>
      <w:r>
        <w:rPr>
          <w:spacing w:val="-56"/>
        </w:rPr>
        <w:t> </w:t>
      </w:r>
      <w:r>
        <w:rPr/>
        <w:t>12</w:t>
      </w:r>
      <w:r>
        <w:rPr>
          <w:spacing w:val="-54"/>
        </w:rPr>
        <w:t> </w:t>
      </w:r>
      <w:r>
        <w:rPr/>
        <w:t>个月。</w:t>
      </w:r>
      <w:r>
        <w:rPr>
          <w:b w:val="0"/>
          <w:bCs w:val="0"/>
        </w:rPr>
      </w:r>
    </w:p>
    <w:p>
      <w:pPr>
        <w:spacing w:line="240" w:lineRule="auto" w:before="0"/>
        <w:rPr>
          <w:rFonts w:ascii="宋体" w:hAnsi="宋体" w:cs="宋体" w:eastAsia="宋体" w:hint="default"/>
          <w:b/>
          <w:bCs/>
          <w:sz w:val="20"/>
          <w:szCs w:val="20"/>
        </w:rPr>
      </w:pPr>
    </w:p>
    <w:p>
      <w:pPr>
        <w:tabs>
          <w:tab w:pos="557" w:val="left" w:leader="none"/>
        </w:tabs>
        <w:spacing w:line="295" w:lineRule="auto" w:before="147"/>
        <w:ind w:left="137" w:right="6444" w:firstLine="0"/>
        <w:jc w:val="left"/>
        <w:rPr>
          <w:rFonts w:ascii="宋体" w:hAnsi="宋体" w:cs="宋体" w:eastAsia="宋体" w:hint="default"/>
          <w:sz w:val="21"/>
          <w:szCs w:val="21"/>
        </w:rPr>
      </w:pPr>
      <w:r>
        <w:rPr>
          <w:rFonts w:ascii="Calibri" w:hAnsi="Calibri" w:cs="Calibri" w:eastAsia="Calibri" w:hint="default"/>
          <w:b/>
          <w:bCs/>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采用人民币为记账本位币。</w:t>
      </w:r>
    </w:p>
    <w:p>
      <w:pPr>
        <w:spacing w:line="240" w:lineRule="auto" w:before="8"/>
        <w:rPr>
          <w:rFonts w:ascii="宋体" w:hAnsi="宋体" w:cs="宋体" w:eastAsia="宋体" w:hint="default"/>
          <w:sz w:val="27"/>
          <w:szCs w:val="27"/>
        </w:rPr>
      </w:pPr>
    </w:p>
    <w:p>
      <w:pPr>
        <w:pStyle w:val="Heading3"/>
        <w:spacing w:line="240" w:lineRule="auto" w:before="0"/>
        <w:ind w:left="137" w:right="0"/>
        <w:jc w:val="both"/>
        <w:rPr>
          <w:b w:val="0"/>
          <w:bCs w:val="0"/>
        </w:rPr>
      </w:pPr>
      <w:r>
        <w:rPr>
          <w:rFonts w:ascii="Calibri" w:hAnsi="Calibri" w:cs="Calibri" w:eastAsia="Calibri" w:hint="default"/>
        </w:rPr>
        <w:t>5.    </w:t>
      </w:r>
      <w:r>
        <w:rPr>
          <w:rFonts w:ascii="Calibri" w:hAnsi="Calibri" w:cs="Calibri" w:eastAsia="Calibri" w:hint="default"/>
          <w:spacing w:val="15"/>
        </w:rPr>
        <w:t> </w:t>
      </w:r>
      <w:r>
        <w:rPr/>
        <w:t>同一控制下和非同一控制下企业合并的会计处理方法</w:t>
      </w:r>
      <w:r>
        <w:rPr>
          <w:b w:val="0"/>
          <w:bCs w:val="0"/>
        </w:rPr>
      </w:r>
    </w:p>
    <w:p>
      <w:pPr>
        <w:pStyle w:val="Heading3"/>
        <w:spacing w:line="338" w:lineRule="auto" w:before="51"/>
        <w:ind w:left="137" w:right="132" w:firstLine="422"/>
        <w:jc w:val="both"/>
        <w:rPr>
          <w:b w:val="0"/>
          <w:bCs w:val="0"/>
        </w:rPr>
      </w:pPr>
      <w:r>
        <w:rPr>
          <w:rFonts w:ascii="Arial" w:hAnsi="Arial" w:cs="Arial" w:eastAsia="Arial" w:hint="default"/>
        </w:rPr>
        <w:t>1</w:t>
      </w:r>
      <w:r>
        <w:rPr/>
        <w:t>．</w:t>
      </w:r>
      <w:r>
        <w:rPr>
          <w:spacing w:val="-36"/>
        </w:rPr>
        <w:t> </w:t>
      </w:r>
      <w:r>
        <w:rPr/>
        <w:t>分步实现企业合并过程中的各项交易的条款、条件以及经济影响符合以下一种或多种情</w:t>
      </w:r>
      <w:r>
        <w:rPr>
          <w:w w:val="99"/>
        </w:rPr>
        <w:t> </w:t>
      </w:r>
      <w:r>
        <w:rPr/>
        <w:t>况，将多次交易事项作为一揽子交易进行会计处理：</w:t>
      </w:r>
      <w:r>
        <w:rPr>
          <w:b w:val="0"/>
          <w:bCs w:val="0"/>
        </w:rPr>
      </w:r>
    </w:p>
    <w:p>
      <w:pPr>
        <w:pStyle w:val="BodyText"/>
        <w:spacing w:line="240" w:lineRule="auto" w:before="48"/>
        <w:ind w:left="557" w:right="127"/>
        <w:jc w:val="left"/>
      </w:pPr>
      <w:r>
        <w:rPr>
          <w:rFonts w:ascii="Times New Roman" w:hAnsi="Times New Roman" w:cs="Times New Roman" w:eastAsia="Times New Roman" w:hint="default"/>
        </w:rPr>
        <w:t>1</w:t>
      </w:r>
      <w:r>
        <w:rPr/>
        <w:t>）</w:t>
      </w:r>
      <w:r>
        <w:rPr>
          <w:spacing w:val="-1"/>
        </w:rPr>
        <w:t> </w:t>
      </w:r>
      <w:r>
        <w:rPr/>
        <w:t>这些交易是同时或者在考虑了彼此影响的情况下订立的；</w:t>
      </w:r>
    </w:p>
    <w:p>
      <w:pPr>
        <w:pStyle w:val="BodyText"/>
        <w:spacing w:line="240" w:lineRule="auto" w:before="117"/>
        <w:ind w:left="557" w:right="127"/>
        <w:jc w:val="left"/>
      </w:pPr>
      <w:r>
        <w:rPr>
          <w:rFonts w:ascii="Times New Roman" w:hAnsi="Times New Roman" w:cs="Times New Roman" w:eastAsia="Times New Roman" w:hint="default"/>
        </w:rPr>
        <w:t>2</w:t>
      </w:r>
      <w:r>
        <w:rPr/>
        <w:t>）</w:t>
      </w:r>
      <w:r>
        <w:rPr>
          <w:spacing w:val="-1"/>
        </w:rPr>
        <w:t> </w:t>
      </w:r>
      <w:r>
        <w:rPr/>
        <w:t>这些交易整体才能达成一项完整的商业结果；</w:t>
      </w:r>
    </w:p>
    <w:p>
      <w:pPr>
        <w:pStyle w:val="BodyText"/>
        <w:spacing w:line="240" w:lineRule="auto" w:before="118"/>
        <w:ind w:left="557" w:right="127"/>
        <w:jc w:val="left"/>
      </w:pPr>
      <w:r>
        <w:rPr>
          <w:rFonts w:ascii="Times New Roman" w:hAnsi="Times New Roman" w:cs="Times New Roman" w:eastAsia="Times New Roman" w:hint="default"/>
        </w:rPr>
        <w:t>3</w:t>
      </w:r>
      <w:r>
        <w:rPr/>
        <w:t>）</w:t>
      </w:r>
      <w:r>
        <w:rPr>
          <w:spacing w:val="-1"/>
        </w:rPr>
        <w:t> </w:t>
      </w:r>
      <w:r>
        <w:rPr/>
        <w:t>一项交易的发生取决于其他至少一项交易的发生；</w:t>
      </w:r>
    </w:p>
    <w:p>
      <w:pPr>
        <w:pStyle w:val="BodyText"/>
        <w:spacing w:line="240" w:lineRule="auto" w:before="117"/>
        <w:ind w:left="557" w:right="127"/>
        <w:jc w:val="left"/>
      </w:pPr>
      <w:r>
        <w:rPr>
          <w:rFonts w:ascii="Times New Roman" w:hAnsi="Times New Roman" w:cs="Times New Roman" w:eastAsia="Times New Roman" w:hint="default"/>
        </w:rPr>
        <w:t>4</w:t>
      </w:r>
      <w:r>
        <w:rPr/>
        <w:t>）</w:t>
      </w:r>
      <w:r>
        <w:rPr>
          <w:spacing w:val="-1"/>
        </w:rPr>
        <w:t> </w:t>
      </w:r>
      <w:r>
        <w:rPr/>
        <w:t>一项交易单独看是不经济的，但是和其他交易一并考虑时是经济的。</w:t>
      </w:r>
    </w:p>
    <w:p>
      <w:pPr>
        <w:pStyle w:val="Heading3"/>
        <w:spacing w:line="240" w:lineRule="auto" w:before="117"/>
        <w:ind w:left="557" w:right="127"/>
        <w:jc w:val="left"/>
        <w:rPr>
          <w:b w:val="0"/>
          <w:bCs w:val="0"/>
        </w:rPr>
      </w:pPr>
      <w:r>
        <w:rPr>
          <w:rFonts w:ascii="Arial" w:hAnsi="Arial" w:cs="Arial" w:eastAsia="Arial" w:hint="default"/>
        </w:rPr>
        <w:t>2</w:t>
      </w:r>
      <w:r>
        <w:rPr/>
        <w:t>．</w:t>
      </w:r>
      <w:r>
        <w:rPr>
          <w:spacing w:val="-17"/>
        </w:rPr>
        <w:t> </w:t>
      </w:r>
      <w:r>
        <w:rPr/>
        <w:t>同一控制下的企业合并</w:t>
      </w:r>
      <w:r>
        <w:rPr>
          <w:b w:val="0"/>
          <w:bCs w:val="0"/>
        </w:rPr>
      </w:r>
    </w:p>
    <w:p>
      <w:pPr>
        <w:pStyle w:val="BodyText"/>
        <w:spacing w:line="336" w:lineRule="auto" w:before="119"/>
        <w:ind w:left="557" w:right="127" w:hanging="1"/>
        <w:jc w:val="left"/>
      </w:pPr>
      <w:r>
        <w:rPr>
          <w:rFonts w:ascii="Times New Roman" w:hAnsi="Times New Roman" w:cs="Times New Roman" w:eastAsia="Times New Roman" w:hint="default"/>
        </w:rPr>
        <w:t>1</w:t>
      </w:r>
      <w:r>
        <w:rPr/>
        <w:t>）个别财务报表 公司以支付现金、转让非现金资产、承担债务方式或以发行权益性证券作为合并对价的，在</w:t>
      </w:r>
    </w:p>
    <w:p>
      <w:pPr>
        <w:pStyle w:val="BodyText"/>
        <w:spacing w:line="357" w:lineRule="auto" w:before="50"/>
        <w:ind w:left="137" w:right="132"/>
        <w:jc w:val="both"/>
      </w:pPr>
      <w:r>
        <w:rPr/>
        <w:t>合并日按照被合并方所有者权益在最终控制方合并财务报表中的账面价值的份额作为长期股权投</w:t>
      </w:r>
      <w:r>
        <w:rPr>
          <w:spacing w:val="-96"/>
        </w:rPr>
        <w:t> </w:t>
      </w:r>
      <w:r>
        <w:rPr>
          <w:spacing w:val="-96"/>
        </w:rPr>
      </w:r>
      <w:r>
        <w:rPr/>
        <w:t>资的初始投资成本。长期股权投资初始投资成本与支付合并对价之间的差额，调整资本公积；资</w:t>
      </w:r>
      <w:r>
        <w:rPr>
          <w:spacing w:val="-96"/>
        </w:rPr>
        <w:t> </w:t>
      </w:r>
      <w:r>
        <w:rPr>
          <w:spacing w:val="-96"/>
        </w:rPr>
      </w:r>
      <w:r>
        <w:rPr/>
        <w:t>本公积不足冲减的，调整留存收益。如果存在或有对价并需要确认预计负债或资产，该预计负债</w:t>
      </w:r>
      <w:r>
        <w:rPr>
          <w:spacing w:val="-96"/>
        </w:rPr>
        <w:t> </w:t>
      </w:r>
      <w:r>
        <w:rPr>
          <w:spacing w:val="-96"/>
        </w:rPr>
      </w:r>
      <w:r>
        <w:rPr>
          <w:spacing w:val="-5"/>
        </w:rPr>
        <w:t>或资产金额与后续或有对价结算金额的差额，调整资本公积（资本溢价或股本溢价），资本公积不</w:t>
      </w:r>
      <w:r>
        <w:rPr>
          <w:spacing w:val="-91"/>
        </w:rPr>
        <w:t> </w:t>
      </w:r>
      <w:r>
        <w:rPr>
          <w:spacing w:val="-91"/>
        </w:rPr>
      </w:r>
      <w:r>
        <w:rPr/>
        <w:t>足的，调整留存收益。</w:t>
      </w:r>
    </w:p>
    <w:p>
      <w:pPr>
        <w:pStyle w:val="BodyText"/>
        <w:spacing w:line="357" w:lineRule="auto" w:before="31"/>
        <w:ind w:left="137" w:right="132" w:firstLine="420"/>
        <w:jc w:val="both"/>
      </w:pPr>
      <w:r>
        <w:rPr/>
        <w:t>对于通过多次交易最终实现企业合并的，属于一揽子交易的，将各项交易作为一项取得控制 权的交易进行会计处理；不属于一揽子交易的，在取得控制权日，长期股权投资初始投资成本，</w:t>
      </w:r>
      <w:r>
        <w:rPr>
          <w:spacing w:val="-96"/>
        </w:rPr>
        <w:t> </w:t>
      </w:r>
      <w:r>
        <w:rPr>
          <w:spacing w:val="-96"/>
        </w:rPr>
      </w:r>
      <w:r>
        <w:rPr/>
        <w:t>与达到合并前的长期股权投资账面价值加上合并日进一步取得股份新支付对价的账面价值之和的</w:t>
      </w:r>
      <w:r>
        <w:rPr>
          <w:spacing w:val="-96"/>
        </w:rPr>
        <w:t> </w:t>
      </w:r>
      <w:r>
        <w:rPr>
          <w:spacing w:val="-96"/>
        </w:rPr>
      </w:r>
      <w:r>
        <w:rPr/>
        <w:t>差额，调整资本公积；资本公积不足冲减的，调整留存收益。对于合并日之前持有的股权投资，</w:t>
      </w:r>
      <w:r>
        <w:rPr>
          <w:spacing w:val="-96"/>
        </w:rPr>
        <w:t> </w:t>
      </w:r>
      <w:r>
        <w:rPr>
          <w:spacing w:val="-96"/>
        </w:rPr>
      </w:r>
      <w:r>
        <w:rPr/>
        <w:t>因采用权益法核算或金融工具确认和计量准则核算而确认的其他综合收益，暂不进行会计处理，</w:t>
      </w:r>
      <w:r>
        <w:rPr>
          <w:spacing w:val="-96"/>
        </w:rPr>
        <w:t> </w:t>
      </w:r>
      <w:r>
        <w:rPr>
          <w:spacing w:val="-96"/>
        </w:rPr>
      </w:r>
      <w:r>
        <w:rPr/>
        <w:t>直至处置该项投资时采用与被投资单位直接处置相关资产或负债相同的基础进行会计处理；因采</w:t>
      </w:r>
      <w:r>
        <w:rPr>
          <w:spacing w:val="-96"/>
        </w:rPr>
        <w:t> </w:t>
      </w:r>
      <w:r>
        <w:rPr>
          <w:spacing w:val="-96"/>
        </w:rPr>
      </w:r>
      <w:r>
        <w:rPr/>
        <w:t>用权益法核算而确认的被投资单位净资产中除净损益、其他综合收益和利润分配以外的所有者权</w:t>
      </w:r>
      <w:r>
        <w:rPr>
          <w:spacing w:val="-96"/>
        </w:rPr>
        <w:t> </w:t>
      </w:r>
      <w:r>
        <w:rPr>
          <w:spacing w:val="-96"/>
        </w:rPr>
      </w:r>
      <w:r>
        <w:rPr/>
        <w:t>益其他变动，暂不进行会计处理，直至处置该项投资时转入当期损益。</w:t>
      </w:r>
    </w:p>
    <w:p>
      <w:pPr>
        <w:pStyle w:val="BodyText"/>
        <w:spacing w:line="357" w:lineRule="auto" w:before="30"/>
        <w:ind w:left="137" w:right="132" w:firstLine="420"/>
        <w:jc w:val="both"/>
      </w:pPr>
      <w:r>
        <w:rPr/>
        <w:t>合并发生的各项直接相关费用，包括为进行合并而支付的审计费用、评估费用、法律服务费 用等，于发生时计入当期损益；与发行权益性工具作为合并对价直接相关的交易费用，冲减资本</w:t>
      </w:r>
      <w:r>
        <w:rPr>
          <w:spacing w:val="-96"/>
        </w:rPr>
        <w:t> </w:t>
      </w:r>
      <w:r>
        <w:rPr>
          <w:spacing w:val="-96"/>
        </w:rPr>
      </w:r>
      <w:r>
        <w:rPr/>
        <w:t>公积，资本公积不足冲减的，依次冲减盈余公积和未分配利润；与发行债务性工具作为合并对价</w:t>
      </w:r>
      <w:r>
        <w:rPr>
          <w:spacing w:val="-96"/>
        </w:rPr>
        <w:t> </w:t>
      </w:r>
      <w:r>
        <w:rPr>
          <w:spacing w:val="-96"/>
        </w:rPr>
      </w:r>
      <w:r>
        <w:rPr/>
        <w:t>直接相关的交易费用，作为计入债务性工具的初始确认金额。</w:t>
      </w:r>
    </w:p>
    <w:p>
      <w:pPr>
        <w:pStyle w:val="BodyText"/>
        <w:spacing w:line="355" w:lineRule="auto" w:before="30"/>
        <w:ind w:left="137" w:right="134" w:firstLine="420"/>
        <w:jc w:val="both"/>
      </w:pPr>
      <w:r>
        <w:rPr/>
        <w:t>被合并方存在合并财务报表，则以合并日被合并方合并财务报表中归属于母公司的所有者权 益为基础确定长期股权投资的初始投资成本。</w:t>
      </w:r>
    </w:p>
    <w:p>
      <w:pPr>
        <w:spacing w:after="0" w:line="355" w:lineRule="auto"/>
        <w:jc w:val="both"/>
        <w:sectPr>
          <w:footerReference w:type="default" r:id="rId76"/>
          <w:pgSz w:w="11910" w:h="16840"/>
          <w:pgMar w:footer="1197" w:header="882" w:top="1120" w:bottom="1380" w:left="1660" w:right="1140"/>
        </w:sectPr>
      </w:pPr>
    </w:p>
    <w:p>
      <w:pPr>
        <w:spacing w:line="240" w:lineRule="auto" w:before="4"/>
        <w:rPr>
          <w:rFonts w:ascii="宋体" w:hAnsi="宋体" w:cs="宋体" w:eastAsia="宋体" w:hint="default"/>
          <w:sz w:val="25"/>
          <w:szCs w:val="25"/>
        </w:rPr>
      </w:pPr>
    </w:p>
    <w:p>
      <w:pPr>
        <w:pStyle w:val="BodyText"/>
        <w:spacing w:line="336" w:lineRule="auto" w:before="35"/>
        <w:ind w:left="557" w:right="207" w:hanging="1"/>
        <w:jc w:val="left"/>
      </w:pPr>
      <w:r>
        <w:rPr>
          <w:rFonts w:ascii="Times New Roman" w:hAnsi="Times New Roman" w:cs="Times New Roman" w:eastAsia="Times New Roman" w:hint="default"/>
        </w:rPr>
        <w:t>2</w:t>
      </w:r>
      <w:r>
        <w:rPr/>
        <w:t>）合并财务报表 合并方在企业合并中取得的资产和负债，按照合并日在被合并方所有者权益在最终控制方合</w:t>
      </w:r>
    </w:p>
    <w:p>
      <w:pPr>
        <w:pStyle w:val="BodyText"/>
        <w:spacing w:line="355" w:lineRule="auto" w:before="50"/>
        <w:ind w:left="557" w:right="207" w:hanging="420"/>
        <w:jc w:val="left"/>
      </w:pPr>
      <w:r>
        <w:rPr/>
        <w:t>并财务报表中的账面价值计量。 对于通过多次交易最终实现企业合并的，属于一揽子交易的，将各项交易作为一项取得控制</w:t>
      </w:r>
    </w:p>
    <w:p>
      <w:pPr>
        <w:pStyle w:val="BodyText"/>
        <w:spacing w:line="355" w:lineRule="auto" w:before="33"/>
        <w:ind w:left="137" w:right="212"/>
        <w:jc w:val="both"/>
      </w:pPr>
      <w:r>
        <w:rPr/>
        <w:t>权的交易进行会计处理；不属于一揽子交易的，合并方在达到合并之前持有的长期股权投资，在</w:t>
      </w:r>
      <w:r>
        <w:rPr>
          <w:spacing w:val="-96"/>
        </w:rPr>
        <w:t> </w:t>
      </w:r>
      <w:r>
        <w:rPr>
          <w:spacing w:val="-96"/>
        </w:rPr>
      </w:r>
      <w:r>
        <w:rPr/>
        <w:t>取得日与合并方与被合并方同处于同一方最终控制之日孰晚日与合并日之间已确认有关损益、其</w:t>
      </w:r>
      <w:r>
        <w:rPr>
          <w:spacing w:val="-96"/>
        </w:rPr>
        <w:t> </w:t>
      </w:r>
      <w:r>
        <w:rPr>
          <w:spacing w:val="-96"/>
        </w:rPr>
      </w:r>
      <w:r>
        <w:rPr/>
        <w:t>他综合收益和其他所有者权益变动，分别冲减比较报表期间的期初留存收益或当期损益。</w:t>
      </w:r>
    </w:p>
    <w:p>
      <w:pPr>
        <w:pStyle w:val="BodyText"/>
        <w:spacing w:line="355" w:lineRule="auto" w:before="33"/>
        <w:ind w:left="137" w:right="214" w:firstLine="420"/>
        <w:jc w:val="both"/>
      </w:pPr>
      <w:r>
        <w:rPr/>
        <w:t>被合并各方采用的会计政策与本公司不一致的，本公司在合并日按照本公司会计政策进行调 整，在此基础上按照企业会计准则规定确认。</w:t>
      </w:r>
    </w:p>
    <w:p>
      <w:pPr>
        <w:spacing w:line="338" w:lineRule="auto" w:before="33"/>
        <w:ind w:left="557" w:right="207" w:firstLine="0"/>
        <w:jc w:val="left"/>
        <w:rPr>
          <w:rFonts w:ascii="宋体" w:hAnsi="宋体" w:cs="宋体" w:eastAsia="宋体" w:hint="default"/>
          <w:sz w:val="21"/>
          <w:szCs w:val="21"/>
        </w:rPr>
      </w:pPr>
      <w:r>
        <w:rPr>
          <w:rFonts w:ascii="Arial" w:hAnsi="Arial" w:cs="Arial" w:eastAsia="Arial"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非同一控制下的企业合并</w:t>
      </w:r>
      <w:r>
        <w:rPr>
          <w:rFonts w:ascii="宋体" w:hAnsi="宋体" w:cs="宋体" w:eastAsia="宋体" w:hint="default"/>
          <w:b/>
          <w:bCs/>
          <w:w w:val="99"/>
          <w:sz w:val="21"/>
          <w:szCs w:val="21"/>
        </w:rPr>
        <w:t> </w:t>
      </w:r>
      <w:r>
        <w:rPr>
          <w:rFonts w:ascii="宋体" w:hAnsi="宋体" w:cs="宋体" w:eastAsia="宋体" w:hint="default"/>
          <w:sz w:val="21"/>
          <w:szCs w:val="21"/>
        </w:rPr>
        <w:t>对于非同一控制下的企业合并，合并成本为本公司在购买日为取得对被购买方的控制权而付</w:t>
      </w:r>
    </w:p>
    <w:p>
      <w:pPr>
        <w:pStyle w:val="BodyText"/>
        <w:spacing w:line="355" w:lineRule="auto" w:before="48"/>
        <w:ind w:left="137" w:right="212"/>
        <w:jc w:val="both"/>
      </w:pPr>
      <w:r>
        <w:rPr/>
        <w:t>出的资产、发生或承担的负债以及发行的权益性工具或债务性工具的公允价值。在合并合同中对</w:t>
      </w:r>
      <w:r>
        <w:rPr>
          <w:spacing w:val="-96"/>
        </w:rPr>
        <w:t> </w:t>
      </w:r>
      <w:r>
        <w:rPr>
          <w:spacing w:val="-96"/>
        </w:rPr>
      </w:r>
      <w:r>
        <w:rPr/>
        <w:t>可能影响合并成本的未来事项作出约定的，购买日如果估计未来事项很可能发生并且对合并成本</w:t>
      </w:r>
      <w:r>
        <w:rPr>
          <w:spacing w:val="-96"/>
        </w:rPr>
        <w:t> </w:t>
      </w:r>
      <w:r>
        <w:rPr>
          <w:spacing w:val="-96"/>
        </w:rPr>
      </w:r>
      <w:r>
        <w:rPr/>
        <w:t>的影响金额能够可靠计量的，也计入合并成本。</w:t>
      </w:r>
    </w:p>
    <w:p>
      <w:pPr>
        <w:pStyle w:val="BodyText"/>
        <w:spacing w:line="357" w:lineRule="auto" w:before="33"/>
        <w:ind w:left="137" w:right="98" w:firstLine="420"/>
        <w:jc w:val="left"/>
      </w:pPr>
      <w:r>
        <w:rPr>
          <w:spacing w:val="-3"/>
        </w:rPr>
        <w:t>本公司为进行企业合并发生的审计、法律服务、评估咨询等中介费用以及其他相关管理费用，</w:t>
      </w:r>
      <w:r>
        <w:rPr/>
        <w:t> 于发生时计入当期损益；本公司作为合并对价发行的权益性工具或债务性工具的交易费用，计入</w:t>
      </w:r>
      <w:r>
        <w:rPr>
          <w:spacing w:val="-96"/>
        </w:rPr>
        <w:t> </w:t>
      </w:r>
      <w:r>
        <w:rPr>
          <w:spacing w:val="-96"/>
        </w:rPr>
      </w:r>
      <w:r>
        <w:rPr/>
        <w:t>权益性工具或债务性工具的初始确认金额。</w:t>
      </w:r>
    </w:p>
    <w:p>
      <w:pPr>
        <w:pStyle w:val="BodyText"/>
        <w:spacing w:line="357" w:lineRule="auto" w:before="30"/>
        <w:ind w:left="137" w:right="212" w:firstLine="420"/>
        <w:jc w:val="both"/>
      </w:pPr>
      <w:r>
        <w:rPr/>
        <w:t>本公司对合并成本大于合并中取得的被购买方可辨认净资产公允价值份额的差额，确认为商 誉。本公司对合并成本小于合并中取得的被购买方可辨认净资产公允价值份额的，经复核后合并</w:t>
      </w:r>
      <w:r>
        <w:rPr>
          <w:spacing w:val="-96"/>
        </w:rPr>
        <w:t> </w:t>
      </w:r>
      <w:r>
        <w:rPr>
          <w:spacing w:val="-96"/>
        </w:rPr>
      </w:r>
      <w:r>
        <w:rPr/>
        <w:t>成本仍小于合并中取得的被购买方可辨认净资产公允价值份额的差额，计入当期损益。</w:t>
      </w:r>
    </w:p>
    <w:p>
      <w:pPr>
        <w:pStyle w:val="BodyText"/>
        <w:spacing w:line="357" w:lineRule="auto" w:before="30"/>
        <w:ind w:left="137" w:right="212" w:firstLine="420"/>
        <w:jc w:val="both"/>
      </w:pPr>
      <w:r>
        <w:rPr/>
        <w:t>通过多次交换交易分步实现的非同一控制下企业合并，属于一揽子交易的，将各项交易作为 一项取得控制权的交易进行会计处理；不属于一揽子交易的，区分个别财务报表和合并财务报表</w:t>
      </w:r>
      <w:r>
        <w:rPr>
          <w:spacing w:val="-96"/>
        </w:rPr>
        <w:t> </w:t>
      </w:r>
      <w:r>
        <w:rPr>
          <w:spacing w:val="-96"/>
        </w:rPr>
      </w:r>
      <w:r>
        <w:rPr/>
        <w:t>进行相关会计处理：</w:t>
      </w:r>
    </w:p>
    <w:p>
      <w:pPr>
        <w:pStyle w:val="BodyText"/>
        <w:spacing w:line="338" w:lineRule="auto" w:before="31"/>
        <w:ind w:left="137" w:right="211" w:firstLine="420"/>
        <w:jc w:val="both"/>
      </w:pPr>
      <w:r>
        <w:rPr>
          <w:spacing w:val="-3"/>
        </w:rPr>
        <w:t>（</w:t>
      </w:r>
      <w:r>
        <w:rPr>
          <w:rFonts w:ascii="Arial" w:hAnsi="Arial" w:cs="Arial" w:eastAsia="Arial" w:hint="default"/>
          <w:spacing w:val="-3"/>
        </w:rPr>
        <w:t>1</w:t>
      </w:r>
      <w:r>
        <w:rPr>
          <w:spacing w:val="-3"/>
        </w:rPr>
        <w:t>）在个别财务报表中，合并日之前持有的股权投资采用权益法核算的，以购买日之前所持</w:t>
      </w:r>
      <w:r>
        <w:rPr/>
        <w:t> 被购买方的股权投资的账面价值与购买日新增投资成本之和，作为该项投资的初始投资成本；</w:t>
      </w:r>
    </w:p>
    <w:p>
      <w:pPr>
        <w:pStyle w:val="BodyText"/>
        <w:spacing w:line="355" w:lineRule="auto" w:before="48"/>
        <w:ind w:left="137" w:right="212" w:firstLine="420"/>
        <w:jc w:val="both"/>
      </w:pPr>
      <w:r>
        <w:rPr/>
        <w:t>合并日之前持有的股权投资采用金融工具确认和计量准则核算的，以该股权投资在合并日的 公允价值加上新增投资成本之和，作为合并日的初始投资成本。原持有股权的公允价值与账面价</w:t>
      </w:r>
      <w:r>
        <w:rPr>
          <w:spacing w:val="-96"/>
        </w:rPr>
        <w:t> </w:t>
      </w:r>
      <w:r>
        <w:rPr>
          <w:spacing w:val="-96"/>
        </w:rPr>
      </w:r>
      <w:r>
        <w:rPr/>
        <w:t>值之间的差额以及原计入其他综合收益的累计公允价值变动应全部转入合并日当期的投资收益。</w:t>
      </w:r>
    </w:p>
    <w:p>
      <w:pPr>
        <w:pStyle w:val="BodyText"/>
        <w:spacing w:line="350" w:lineRule="auto" w:before="33"/>
        <w:ind w:left="137" w:right="211" w:firstLine="420"/>
        <w:jc w:val="both"/>
      </w:pPr>
      <w:r>
        <w:rPr>
          <w:spacing w:val="-3"/>
        </w:rPr>
        <w:t>（</w:t>
      </w:r>
      <w:r>
        <w:rPr>
          <w:rFonts w:ascii="Arial" w:hAnsi="Arial" w:cs="Arial" w:eastAsia="Arial" w:hint="default"/>
          <w:spacing w:val="-3"/>
        </w:rPr>
        <w:t>2</w:t>
      </w:r>
      <w:r>
        <w:rPr>
          <w:spacing w:val="-3"/>
        </w:rPr>
        <w:t>）在合并财务报表中，对于购买日之前持有的被购买方的股权，按照该股权在购买日的公</w:t>
      </w:r>
      <w:r>
        <w:rPr/>
        <w:t> 允价值进行重新计量，公允价值与其账面价值的差额计入当期投资收益；购买日之前持有的被购</w:t>
      </w:r>
      <w:r>
        <w:rPr>
          <w:spacing w:val="-96"/>
        </w:rPr>
        <w:t> </w:t>
      </w:r>
      <w:r>
        <w:rPr>
          <w:spacing w:val="-96"/>
        </w:rPr>
      </w:r>
      <w:r>
        <w:rPr/>
        <w:t>买方的股权涉及权益法核算下的其他综合收益等的，与其相关的其他综合收益等转为购买日所属</w:t>
      </w:r>
      <w:r>
        <w:rPr>
          <w:spacing w:val="-96"/>
        </w:rPr>
        <w:t> </w:t>
      </w:r>
      <w:r>
        <w:rPr>
          <w:spacing w:val="-96"/>
        </w:rPr>
      </w:r>
      <w:r>
        <w:rPr/>
        <w:t>当期投资收益。</w:t>
      </w:r>
    </w:p>
    <w:p>
      <w:pPr>
        <w:spacing w:after="0" w:line="350" w:lineRule="auto"/>
        <w:jc w:val="both"/>
        <w:sectPr>
          <w:footerReference w:type="default" r:id="rId77"/>
          <w:pgSz w:w="11910" w:h="16840"/>
          <w:pgMar w:footer="1197" w:header="882" w:top="1120" w:bottom="1380" w:left="1660" w:right="1060"/>
          <w:pgNumType w:start="71"/>
        </w:sectPr>
      </w:pPr>
    </w:p>
    <w:p>
      <w:pPr>
        <w:spacing w:line="240" w:lineRule="auto" w:before="10"/>
        <w:rPr>
          <w:rFonts w:ascii="宋体" w:hAnsi="宋体" w:cs="宋体" w:eastAsia="宋体" w:hint="default"/>
          <w:sz w:val="26"/>
          <w:szCs w:val="26"/>
        </w:rPr>
      </w:pPr>
    </w:p>
    <w:p>
      <w:pPr>
        <w:tabs>
          <w:tab w:pos="557" w:val="left" w:leader="none"/>
        </w:tabs>
        <w:spacing w:line="280" w:lineRule="auto" w:before="35"/>
        <w:ind w:left="557" w:right="144" w:hanging="420"/>
        <w:jc w:val="left"/>
        <w:rPr>
          <w:rFonts w:ascii="宋体" w:hAnsi="宋体" w:cs="宋体" w:eastAsia="宋体" w:hint="default"/>
          <w:sz w:val="21"/>
          <w:szCs w:val="21"/>
        </w:rPr>
      </w:pPr>
      <w:r>
        <w:rPr>
          <w:rFonts w:ascii="Calibri" w:hAnsi="Calibri" w:cs="Calibri" w:eastAsia="Calibri" w:hint="default"/>
          <w:b/>
          <w:bCs/>
          <w:sz w:val="21"/>
          <w:szCs w:val="21"/>
        </w:rPr>
        <w:t>6.</w:t>
        <w:tab/>
      </w:r>
      <w:r>
        <w:rPr>
          <w:rFonts w:ascii="宋体" w:hAnsi="宋体" w:cs="宋体" w:eastAsia="宋体" w:hint="default"/>
          <w:b/>
          <w:bCs/>
          <w:sz w:val="21"/>
          <w:szCs w:val="21"/>
        </w:rPr>
        <w:t>合并财务报表的编制方法</w:t>
      </w:r>
      <w:r>
        <w:rPr>
          <w:rFonts w:ascii="宋体" w:hAnsi="宋体" w:cs="宋体" w:eastAsia="宋体" w:hint="default"/>
          <w:b/>
          <w:bCs/>
          <w:w w:val="99"/>
          <w:sz w:val="21"/>
          <w:szCs w:val="21"/>
        </w:rPr>
        <w:t> </w:t>
      </w:r>
      <w:r>
        <w:rPr>
          <w:rFonts w:ascii="宋体" w:hAnsi="宋体" w:cs="宋体" w:eastAsia="宋体" w:hint="default"/>
          <w:sz w:val="21"/>
          <w:szCs w:val="21"/>
        </w:rPr>
        <w:t>本公司合并财务报表的合并范围以控制为基础确定，所有子公司（包括母公司所控制的单独</w:t>
      </w:r>
    </w:p>
    <w:p>
      <w:pPr>
        <w:pStyle w:val="BodyText"/>
        <w:spacing w:line="357" w:lineRule="auto" w:before="97"/>
        <w:ind w:left="557" w:right="127" w:hanging="420"/>
        <w:jc w:val="left"/>
      </w:pPr>
      <w:r>
        <w:rPr/>
        <w:t>主体）均纳入合并财务报表。 所有纳入合并财务报表合并范围的子公司所采用的会计政策、会计期间与本公司一致，如子</w:t>
      </w:r>
    </w:p>
    <w:p>
      <w:pPr>
        <w:pStyle w:val="BodyText"/>
        <w:spacing w:line="357" w:lineRule="auto" w:before="30"/>
        <w:ind w:left="137" w:right="127"/>
        <w:jc w:val="left"/>
      </w:pPr>
      <w:r>
        <w:rPr/>
        <w:t>公司采用的会计政策、会计期间与本公司不一致的，在编制合并财务报表时，按本公司的会计政 策、会计期间进行必要的调整。</w:t>
      </w:r>
    </w:p>
    <w:p>
      <w:pPr>
        <w:pStyle w:val="BodyText"/>
        <w:spacing w:line="355" w:lineRule="auto" w:before="30"/>
        <w:ind w:left="557" w:right="127"/>
        <w:jc w:val="left"/>
      </w:pPr>
      <w:r>
        <w:rPr/>
        <w:t>合并财务报表以本公司及子公司的财务报表为基础，根据其他有关资料由本公司编制。 合并财务报表时抵销本公司与各子公司、各子公司相互之间发生的内部交易对合并资产负债</w:t>
      </w:r>
    </w:p>
    <w:p>
      <w:pPr>
        <w:pStyle w:val="BodyText"/>
        <w:spacing w:line="355" w:lineRule="auto" w:before="33"/>
        <w:ind w:left="557" w:right="127" w:hanging="420"/>
        <w:jc w:val="left"/>
      </w:pPr>
      <w:r>
        <w:rPr/>
        <w:t>表、合并利润表、合并现金流量表、合并股东权益变动表的影响。 子公司少数股东分担的当期亏损超过了少数股东在该子公司期初所有者权益中所享有的份额</w:t>
      </w:r>
    </w:p>
    <w:p>
      <w:pPr>
        <w:pStyle w:val="BodyText"/>
        <w:spacing w:line="355" w:lineRule="auto" w:before="33"/>
        <w:ind w:left="557" w:right="127" w:hanging="420"/>
        <w:jc w:val="left"/>
      </w:pPr>
      <w:r>
        <w:rPr/>
        <w:t>的，其余额仍应当冲减少数股东权益。 在报告期内，若因同一控制下企业合并增加子公司以及业务的，则调整合并资产负债表的期</w:t>
      </w:r>
    </w:p>
    <w:p>
      <w:pPr>
        <w:pStyle w:val="BodyText"/>
        <w:spacing w:line="355" w:lineRule="auto" w:before="33"/>
        <w:ind w:left="137" w:right="127"/>
        <w:jc w:val="left"/>
      </w:pPr>
      <w:r>
        <w:rPr/>
        <w:t>初数；将子公司以及业务合并当期期初至报告期末的收入、费用、利润纳入合并利润表；将子公 司以及业务合并当期期初至报告期末的现金流量纳入合并现金流量表。</w:t>
      </w:r>
    </w:p>
    <w:p>
      <w:pPr>
        <w:pStyle w:val="BodyText"/>
        <w:spacing w:line="357" w:lineRule="auto" w:before="32"/>
        <w:ind w:left="137" w:right="144" w:firstLine="420"/>
        <w:jc w:val="both"/>
      </w:pPr>
      <w:r>
        <w:rPr/>
        <w:t>在报告期内，若因非同一控制下企业合并增加子公司以及业务的，则不调整合并资产负债表 期初数；将子公司以及业务自购买日至报告期末的收入、费用、利润纳入合并利润表；该子公司 以及业务自购买日至报告期末的现金流量纳入合并现金流量表。</w:t>
      </w:r>
    </w:p>
    <w:p>
      <w:pPr>
        <w:pStyle w:val="BodyText"/>
        <w:spacing w:line="355" w:lineRule="auto" w:before="31"/>
        <w:ind w:left="137" w:right="337" w:firstLine="420"/>
        <w:jc w:val="left"/>
      </w:pPr>
      <w:r>
        <w:rPr/>
        <w:t>在报告期内，本公司处置子公司以及业务，则该子公司以及业务期初至处置日的收入、费 用、利润纳入合并利润表；该子公司以及业务期初至处置日的现金流量纳入合并现金流量表。</w:t>
      </w:r>
    </w:p>
    <w:p>
      <w:pPr>
        <w:pStyle w:val="BodyText"/>
        <w:spacing w:line="357" w:lineRule="auto" w:before="33"/>
        <w:ind w:left="137" w:right="144" w:firstLine="420"/>
        <w:jc w:val="both"/>
      </w:pPr>
      <w:r>
        <w:rPr/>
        <w:t>本公司因处置部分股权投资或其他原因丧失了对原有子公司控制权的，在合并财务报表中， 对于剩余股权，按照其在丧失控制权日的公允价值进行重新计量。处置股权取得的对价与剩余股 权公允价值之和，减去按原持股比例计算应享有原有子公司自购买日开始持续计算的净资产的份 额之间的差额，计入丧失控制权当期的投资收益。与原有子公司股权投资相关的其他综合收益， 应当在丧失控制权时转为当期投资收益。</w:t>
      </w:r>
    </w:p>
    <w:p>
      <w:pPr>
        <w:spacing w:line="240" w:lineRule="auto" w:before="0"/>
        <w:rPr>
          <w:rFonts w:ascii="宋体" w:hAnsi="宋体" w:cs="宋体" w:eastAsia="宋体" w:hint="default"/>
          <w:sz w:val="20"/>
          <w:szCs w:val="20"/>
        </w:rPr>
      </w:pPr>
    </w:p>
    <w:p>
      <w:pPr>
        <w:pStyle w:val="Heading3"/>
        <w:tabs>
          <w:tab w:pos="557" w:val="left" w:leader="none"/>
        </w:tabs>
        <w:spacing w:line="240" w:lineRule="auto" w:before="161"/>
        <w:ind w:left="137" w:right="127"/>
        <w:jc w:val="left"/>
        <w:rPr>
          <w:b w:val="0"/>
          <w:bCs w:val="0"/>
        </w:rPr>
      </w:pPr>
      <w:r>
        <w:rPr>
          <w:rFonts w:ascii="Calibri" w:hAnsi="Calibri" w:cs="Calibri" w:eastAsia="Calibri" w:hint="default"/>
        </w:rPr>
        <w:t>7.</w:t>
        <w:tab/>
      </w:r>
      <w:r>
        <w:rPr/>
        <w:t>合营安排分类及共同经营会计处理方法</w:t>
      </w:r>
      <w:r>
        <w:rPr>
          <w:b w:val="0"/>
          <w:bCs w:val="0"/>
        </w:rPr>
      </w:r>
    </w:p>
    <w:p>
      <w:pPr>
        <w:spacing w:line="336" w:lineRule="auto" w:before="51"/>
        <w:ind w:left="557" w:right="1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合营安排的分类</w:t>
      </w:r>
      <w:r>
        <w:rPr>
          <w:rFonts w:ascii="宋体" w:hAnsi="宋体" w:cs="宋体" w:eastAsia="宋体" w:hint="default"/>
          <w:b/>
          <w:bCs/>
          <w:w w:val="99"/>
          <w:sz w:val="21"/>
          <w:szCs w:val="21"/>
        </w:rPr>
        <w:t> </w:t>
      </w:r>
      <w:r>
        <w:rPr>
          <w:rFonts w:ascii="宋体" w:hAnsi="宋体" w:cs="宋体" w:eastAsia="宋体" w:hint="default"/>
          <w:sz w:val="21"/>
          <w:szCs w:val="21"/>
        </w:rPr>
        <w:t>本公司根据合营安排的结构、法律形式以及合营安排中约定的条款、其他相关事实和情况等</w:t>
      </w:r>
    </w:p>
    <w:p>
      <w:pPr>
        <w:pStyle w:val="BodyText"/>
        <w:spacing w:line="355" w:lineRule="auto" w:before="50"/>
        <w:ind w:left="557" w:right="127" w:hanging="420"/>
        <w:jc w:val="left"/>
      </w:pPr>
      <w:r>
        <w:rPr/>
        <w:t>因素，将合营安排分为共同经营和合营企业。 未通过单独主体达成的合营安排，划分为共同经营；通过单独主体达成的合营安排，通常划</w:t>
      </w:r>
    </w:p>
    <w:p>
      <w:pPr>
        <w:pStyle w:val="BodyText"/>
        <w:spacing w:line="357" w:lineRule="auto" w:before="32"/>
        <w:ind w:left="137" w:right="127"/>
        <w:jc w:val="left"/>
      </w:pPr>
      <w:r>
        <w:rPr/>
        <w:t>分为合营企业；但有确凿证据表明满足下列任一条件并且符合相关法律法规规定的合营安排划分 为共同经营：</w:t>
      </w:r>
    </w:p>
    <w:p>
      <w:pPr>
        <w:pStyle w:val="BodyText"/>
        <w:spacing w:line="338" w:lineRule="auto" w:before="30"/>
        <w:ind w:left="137" w:right="144" w:firstLine="420"/>
        <w:jc w:val="both"/>
      </w:pPr>
      <w:r>
        <w:rPr/>
        <w:t>（</w:t>
      </w:r>
      <w:r>
        <w:rPr>
          <w:rFonts w:ascii="Times New Roman" w:hAnsi="Times New Roman" w:cs="Times New Roman" w:eastAsia="Times New Roman" w:hint="default"/>
        </w:rPr>
        <w:t>1</w:t>
      </w:r>
      <w:r>
        <w:rPr/>
        <w:t>）</w:t>
      </w:r>
      <w:r>
        <w:rPr>
          <w:spacing w:val="104"/>
        </w:rPr>
        <w:t> </w:t>
      </w:r>
      <w:r>
        <w:rPr/>
        <w:t>合营安排的法律形式表明，合营方对该安排中的相关资产和负债分别享有权利和承</w:t>
      </w:r>
      <w:r>
        <w:rPr/>
        <w:t> 担义务。</w:t>
      </w:r>
    </w:p>
    <w:p>
      <w:pPr>
        <w:spacing w:after="0" w:line="338" w:lineRule="auto"/>
        <w:jc w:val="both"/>
        <w:sectPr>
          <w:pgSz w:w="11910" w:h="16840"/>
          <w:pgMar w:header="882" w:footer="1197" w:top="1120" w:bottom="1380" w:left="1660" w:right="1140"/>
        </w:sectPr>
      </w:pPr>
    </w:p>
    <w:p>
      <w:pPr>
        <w:spacing w:line="240" w:lineRule="auto" w:before="4"/>
        <w:rPr>
          <w:rFonts w:ascii="宋体" w:hAnsi="宋体" w:cs="宋体" w:eastAsia="宋体" w:hint="default"/>
          <w:sz w:val="25"/>
          <w:szCs w:val="25"/>
        </w:rPr>
      </w:pPr>
    </w:p>
    <w:p>
      <w:pPr>
        <w:pStyle w:val="BodyText"/>
        <w:tabs>
          <w:tab w:pos="1397" w:val="left" w:leader="none"/>
        </w:tabs>
        <w:spacing w:line="336" w:lineRule="auto" w:before="35"/>
        <w:ind w:left="137" w:right="144" w:firstLine="420"/>
        <w:jc w:val="left"/>
      </w:pPr>
      <w:r>
        <w:rPr/>
        <w:t>（</w:t>
      </w:r>
      <w:r>
        <w:rPr>
          <w:rFonts w:ascii="Times New Roman" w:hAnsi="Times New Roman" w:cs="Times New Roman" w:eastAsia="Times New Roman" w:hint="default"/>
        </w:rPr>
        <w:t>2</w:t>
      </w:r>
      <w:r>
        <w:rPr/>
        <w:t>）</w:t>
        <w:tab/>
        <w:t>合营安排的合同条款约定，合营方对该安排中的相关资产和负债分别享有权利和承 担义务。</w:t>
      </w:r>
    </w:p>
    <w:p>
      <w:pPr>
        <w:pStyle w:val="BodyText"/>
        <w:spacing w:line="348" w:lineRule="auto" w:before="50"/>
        <w:ind w:left="137" w:right="144" w:firstLine="420"/>
        <w:jc w:val="both"/>
      </w:pPr>
      <w:r>
        <w:rPr/>
        <w:t>（</w:t>
      </w:r>
      <w:r>
        <w:rPr>
          <w:rFonts w:ascii="Times New Roman" w:hAnsi="Times New Roman" w:cs="Times New Roman" w:eastAsia="Times New Roman" w:hint="default"/>
        </w:rPr>
        <w:t>3</w:t>
      </w:r>
      <w:r>
        <w:rPr/>
        <w:t>）</w:t>
      </w:r>
      <w:r>
        <w:rPr>
          <w:spacing w:val="104"/>
        </w:rPr>
        <w:t> </w:t>
      </w:r>
      <w:r>
        <w:rPr/>
        <w:t>其他相关事实和情况表明，合营方对该安排中的相关资产和负债分别享有权利和承</w:t>
      </w:r>
      <w:r>
        <w:rPr/>
        <w:t> 担义务，如合营方享有与合营安排相关的几乎所有产出，并且该安排中负债的清偿持续依赖于合 营方的支持。</w:t>
      </w:r>
    </w:p>
    <w:p>
      <w:pPr>
        <w:spacing w:line="336" w:lineRule="auto" w:before="38"/>
        <w:ind w:left="557" w:right="12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共同经营会计处理方法</w:t>
      </w:r>
      <w:r>
        <w:rPr>
          <w:rFonts w:ascii="宋体" w:hAnsi="宋体" w:cs="宋体" w:eastAsia="宋体" w:hint="default"/>
          <w:b/>
          <w:bCs/>
          <w:w w:val="99"/>
          <w:sz w:val="21"/>
          <w:szCs w:val="21"/>
        </w:rPr>
        <w:t> </w:t>
      </w:r>
      <w:r>
        <w:rPr>
          <w:rFonts w:ascii="宋体" w:hAnsi="宋体" w:cs="宋体" w:eastAsia="宋体" w:hint="default"/>
          <w:sz w:val="21"/>
          <w:szCs w:val="21"/>
        </w:rPr>
        <w:t>本公司确认共同经营中利益份额中与本公司相关的下列项目，并按照相关企业会计准则的规</w:t>
      </w:r>
    </w:p>
    <w:p>
      <w:pPr>
        <w:pStyle w:val="BodyText"/>
        <w:spacing w:line="240" w:lineRule="auto" w:before="50"/>
        <w:ind w:left="137" w:right="0"/>
        <w:jc w:val="both"/>
      </w:pPr>
      <w:r>
        <w:rPr/>
        <w:t>定进行会计处理：</w:t>
      </w:r>
    </w:p>
    <w:p>
      <w:pPr>
        <w:pStyle w:val="BodyText"/>
        <w:tabs>
          <w:tab w:pos="1397" w:val="left" w:leader="none"/>
        </w:tabs>
        <w:spacing w:line="240" w:lineRule="auto" w:before="133"/>
        <w:ind w:left="557" w:right="127"/>
        <w:jc w:val="left"/>
      </w:pPr>
      <w:r>
        <w:rPr/>
        <w:t>（</w:t>
      </w:r>
      <w:r>
        <w:rPr>
          <w:rFonts w:ascii="Times New Roman" w:hAnsi="Times New Roman" w:cs="Times New Roman" w:eastAsia="Times New Roman" w:hint="default"/>
        </w:rPr>
        <w:t>1</w:t>
      </w:r>
      <w:r>
        <w:rPr/>
        <w:t>）</w:t>
        <w:tab/>
        <w:t>确认单独所持有的资产，以及按其份额确认共同持有的资产；</w:t>
      </w:r>
    </w:p>
    <w:p>
      <w:pPr>
        <w:pStyle w:val="BodyText"/>
        <w:tabs>
          <w:tab w:pos="1397" w:val="left" w:leader="none"/>
        </w:tabs>
        <w:spacing w:line="240" w:lineRule="auto" w:before="118"/>
        <w:ind w:left="557" w:right="127"/>
        <w:jc w:val="left"/>
      </w:pPr>
      <w:r>
        <w:rPr/>
        <w:t>（</w:t>
      </w:r>
      <w:r>
        <w:rPr>
          <w:rFonts w:ascii="Times New Roman" w:hAnsi="Times New Roman" w:cs="Times New Roman" w:eastAsia="Times New Roman" w:hint="default"/>
        </w:rPr>
        <w:t>2</w:t>
      </w:r>
      <w:r>
        <w:rPr/>
        <w:t>）</w:t>
        <w:tab/>
        <w:t>确认单独所承担的负债，以及按其份额确认共同承担的负债；</w:t>
      </w:r>
    </w:p>
    <w:p>
      <w:pPr>
        <w:pStyle w:val="BodyText"/>
        <w:tabs>
          <w:tab w:pos="1397" w:val="left" w:leader="none"/>
        </w:tabs>
        <w:spacing w:line="240" w:lineRule="auto" w:before="117"/>
        <w:ind w:left="557" w:right="127"/>
        <w:jc w:val="left"/>
      </w:pPr>
      <w:r>
        <w:rPr/>
        <w:t>（</w:t>
      </w:r>
      <w:r>
        <w:rPr>
          <w:rFonts w:ascii="Times New Roman" w:hAnsi="Times New Roman" w:cs="Times New Roman" w:eastAsia="Times New Roman" w:hint="default"/>
        </w:rPr>
        <w:t>3</w:t>
      </w:r>
      <w:r>
        <w:rPr/>
        <w:t>）</w:t>
        <w:tab/>
        <w:t>确认出售其享有的共同经营产出份额所产生的收入；</w:t>
      </w:r>
    </w:p>
    <w:p>
      <w:pPr>
        <w:pStyle w:val="BodyText"/>
        <w:tabs>
          <w:tab w:pos="1397" w:val="left" w:leader="none"/>
        </w:tabs>
        <w:spacing w:line="240" w:lineRule="auto" w:before="118"/>
        <w:ind w:left="557" w:right="127"/>
        <w:jc w:val="left"/>
      </w:pPr>
      <w:r>
        <w:rPr/>
        <w:t>（</w:t>
      </w:r>
      <w:r>
        <w:rPr>
          <w:rFonts w:ascii="Times New Roman" w:hAnsi="Times New Roman" w:cs="Times New Roman" w:eastAsia="Times New Roman" w:hint="default"/>
        </w:rPr>
        <w:t>4</w:t>
      </w:r>
      <w:r>
        <w:rPr/>
        <w:t>）</w:t>
        <w:tab/>
        <w:t>按其份额确认共同经营因出售产出所产生的收入；</w:t>
      </w:r>
    </w:p>
    <w:p>
      <w:pPr>
        <w:pStyle w:val="BodyText"/>
        <w:tabs>
          <w:tab w:pos="1397" w:val="left" w:leader="none"/>
        </w:tabs>
        <w:spacing w:line="336" w:lineRule="auto" w:before="117"/>
        <w:ind w:left="557" w:right="144"/>
        <w:jc w:val="left"/>
      </w:pPr>
      <w:r>
        <w:rPr/>
        <w:t>（</w:t>
      </w:r>
      <w:r>
        <w:rPr>
          <w:rFonts w:ascii="Times New Roman" w:hAnsi="Times New Roman" w:cs="Times New Roman" w:eastAsia="Times New Roman" w:hint="default"/>
        </w:rPr>
        <w:t>5</w:t>
      </w:r>
      <w:r>
        <w:rPr/>
        <w:t>）</w:t>
        <w:tab/>
        <w:t>确认单独所发生的费用，以及按其份额确认共同经营发生的费用。 本公司向共同经营投出或出售资产等（该资产构成业务的除外），在该资产等由共同经营出</w:t>
      </w:r>
    </w:p>
    <w:p>
      <w:pPr>
        <w:pStyle w:val="BodyText"/>
        <w:spacing w:line="348" w:lineRule="auto" w:before="50"/>
        <w:ind w:left="137" w:right="144"/>
        <w:jc w:val="both"/>
      </w:pPr>
      <w:r>
        <w:rPr/>
        <w:t>售给第三方之前，仅确认因该交易产生的损益中归属于共同经营其他参与方的部分。投出或出售 的资产发生符合《企业会计准则第</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号——资产减值》等规定的资产减值损失的，本公司全额确 认该损失。</w:t>
      </w:r>
    </w:p>
    <w:p>
      <w:pPr>
        <w:pStyle w:val="BodyText"/>
        <w:spacing w:line="352" w:lineRule="auto" w:before="38"/>
        <w:ind w:left="137" w:right="131" w:firstLine="420"/>
        <w:jc w:val="right"/>
      </w:pPr>
      <w:r>
        <w:rPr>
          <w:spacing w:val="-5"/>
        </w:rPr>
        <w:t>本公司自共同经营购买资产等（该资产构成业务的除外），在将该资产等出售给第三方之前，</w:t>
      </w:r>
      <w:r>
        <w:rPr/>
        <w:t> 仅确认因该交易产生的损益中归属于共同经营其他参与方的部分。购入的资产发生符合《企业会 计准则第</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号——资产减值》等规定的资产减值损失的，本公司按承担的份额确认该部分损失。 本公司对共同经营不享有共同控制，如果本公司享有该共同经营相关资产且承担该共同经营 相关负债的，仍按上述原则进行会计处理，否则，应当按照相关企业会计准则的规定进行会计处</w:t>
      </w:r>
    </w:p>
    <w:p>
      <w:pPr>
        <w:pStyle w:val="BodyText"/>
        <w:spacing w:line="240" w:lineRule="auto" w:before="34"/>
        <w:ind w:left="137" w:right="0"/>
        <w:jc w:val="both"/>
      </w:pPr>
      <w:r>
        <w:rPr/>
        <w:t>理。</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tabs>
          <w:tab w:pos="557" w:val="left" w:leader="none"/>
        </w:tabs>
        <w:spacing w:line="280" w:lineRule="auto" w:before="0"/>
        <w:ind w:left="557" w:right="144" w:hanging="420"/>
        <w:jc w:val="left"/>
        <w:rPr>
          <w:rFonts w:ascii="宋体" w:hAnsi="宋体" w:cs="宋体" w:eastAsia="宋体" w:hint="default"/>
          <w:sz w:val="21"/>
          <w:szCs w:val="21"/>
        </w:rPr>
      </w:pPr>
      <w:r>
        <w:rPr>
          <w:rFonts w:ascii="Calibri" w:hAnsi="Calibri" w:cs="Calibri" w:eastAsia="Calibri" w:hint="default"/>
          <w:b/>
          <w:bCs/>
          <w:sz w:val="21"/>
          <w:szCs w:val="21"/>
        </w:rPr>
        <w:t>8.</w:t>
        <w:tab/>
      </w:r>
      <w:r>
        <w:rPr>
          <w:rFonts w:ascii="宋体" w:hAnsi="宋体" w:cs="宋体" w:eastAsia="宋体" w:hint="default"/>
          <w:b/>
          <w:bCs/>
          <w:sz w:val="21"/>
          <w:szCs w:val="21"/>
        </w:rPr>
        <w:t>现金及现金等价物的确定标准</w:t>
      </w:r>
      <w:r>
        <w:rPr>
          <w:rFonts w:ascii="宋体" w:hAnsi="宋体" w:cs="宋体" w:eastAsia="宋体" w:hint="default"/>
          <w:b/>
          <w:bCs/>
          <w:spacing w:val="1"/>
          <w:w w:val="99"/>
          <w:sz w:val="21"/>
          <w:szCs w:val="21"/>
        </w:rPr>
        <w:t> </w:t>
      </w:r>
      <w:r>
        <w:rPr>
          <w:rFonts w:ascii="宋体" w:hAnsi="宋体" w:cs="宋体" w:eastAsia="宋体" w:hint="default"/>
          <w:sz w:val="21"/>
          <w:szCs w:val="21"/>
        </w:rPr>
        <w:t>在编制现金流量表时，将本公司库存现金以及可以随时用于支付的存款确认为现金。将同时</w:t>
      </w:r>
    </w:p>
    <w:p>
      <w:pPr>
        <w:pStyle w:val="BodyText"/>
        <w:spacing w:line="357" w:lineRule="auto" w:before="97"/>
        <w:ind w:left="137" w:right="144"/>
        <w:jc w:val="both"/>
      </w:pPr>
      <w:r>
        <w:rPr/>
        <w:t>具备期限短（一般从购买日起，三个月内到期）、流动性强、易于转换为已知金额的现金、价值 变动风险很小四个条件的投资，确定为现金等价物。</w:t>
      </w:r>
    </w:p>
    <w:p>
      <w:pPr>
        <w:spacing w:line="240" w:lineRule="auto" w:before="0"/>
        <w:rPr>
          <w:rFonts w:ascii="宋体" w:hAnsi="宋体" w:cs="宋体" w:eastAsia="宋体" w:hint="default"/>
          <w:sz w:val="20"/>
          <w:szCs w:val="20"/>
        </w:rPr>
      </w:pPr>
    </w:p>
    <w:p>
      <w:pPr>
        <w:pStyle w:val="Heading3"/>
        <w:spacing w:line="240" w:lineRule="auto" w:before="159"/>
        <w:ind w:left="137" w:right="0"/>
        <w:jc w:val="both"/>
        <w:rPr>
          <w:b w:val="0"/>
          <w:bCs w:val="0"/>
        </w:rPr>
      </w:pPr>
      <w:r>
        <w:rPr>
          <w:rFonts w:ascii="Calibri" w:hAnsi="Calibri" w:cs="Calibri" w:eastAsia="Calibri" w:hint="default"/>
        </w:rPr>
        <w:t>9.    </w:t>
      </w:r>
      <w:r>
        <w:rPr>
          <w:rFonts w:ascii="Calibri" w:hAnsi="Calibri" w:cs="Calibri" w:eastAsia="Calibri" w:hint="default"/>
          <w:spacing w:val="15"/>
        </w:rPr>
        <w:t> </w:t>
      </w:r>
      <w:r>
        <w:rPr/>
        <w:t>外币业务和外币报表折算</w:t>
      </w:r>
      <w:r>
        <w:rPr>
          <w:b w:val="0"/>
          <w:bCs w:val="0"/>
        </w:rPr>
      </w:r>
    </w:p>
    <w:p>
      <w:pPr>
        <w:pStyle w:val="BodyText"/>
        <w:spacing w:line="348" w:lineRule="auto" w:before="51"/>
        <w:ind w:left="557" w:right="127"/>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外币业务</w:t>
      </w:r>
      <w:r>
        <w:rPr>
          <w:rFonts w:ascii="宋体" w:hAnsi="宋体" w:cs="宋体" w:eastAsia="宋体" w:hint="default"/>
          <w:b/>
          <w:bCs/>
          <w:spacing w:val="1"/>
          <w:w w:val="99"/>
        </w:rPr>
        <w:t> </w:t>
      </w:r>
      <w:r>
        <w:rPr/>
        <w:t>外币业务交易在初始确认时，采用交易发生日的即期汇率作为折算汇率折合成人民币记账。 资产负债表日，外币货币性项目按资产负债表日即期汇率折算，由此产生的汇兑差额，除属</w:t>
      </w:r>
    </w:p>
    <w:p>
      <w:pPr>
        <w:pStyle w:val="BodyText"/>
        <w:spacing w:line="240" w:lineRule="auto" w:before="38"/>
        <w:ind w:left="137" w:right="0"/>
        <w:jc w:val="both"/>
      </w:pPr>
      <w:r>
        <w:rPr/>
        <w:t>于与购建符合资本化条件的资产相关的外币专门借款产生的汇兑差额按照借款费用资本化的原则</w:t>
      </w:r>
    </w:p>
    <w:p>
      <w:pPr>
        <w:spacing w:after="0" w:line="240" w:lineRule="auto"/>
        <w:jc w:val="both"/>
        <w:sectPr>
          <w:footerReference w:type="default" r:id="rId78"/>
          <w:pgSz w:w="11910" w:h="16840"/>
          <w:pgMar w:footer="1197" w:header="882" w:top="1120" w:bottom="1380" w:left="1660" w:right="1140"/>
          <w:pgNumType w:start="73"/>
        </w:sectPr>
      </w:pPr>
    </w:p>
    <w:p>
      <w:pPr>
        <w:spacing w:line="240" w:lineRule="auto" w:before="4"/>
        <w:rPr>
          <w:rFonts w:ascii="宋体" w:hAnsi="宋体" w:cs="宋体" w:eastAsia="宋体" w:hint="default"/>
          <w:sz w:val="25"/>
          <w:szCs w:val="25"/>
        </w:rPr>
      </w:pPr>
    </w:p>
    <w:p>
      <w:pPr>
        <w:pStyle w:val="BodyText"/>
        <w:spacing w:line="355" w:lineRule="auto" w:before="35"/>
        <w:ind w:left="137" w:right="144"/>
        <w:jc w:val="both"/>
      </w:pPr>
      <w:r>
        <w:rPr/>
        <w:t>处理外，均计入当期损益。以历史成本计量的外币非货币性项目，仍采用交易发生日的即期汇率 折算，不改变其记账本位币金额。</w:t>
      </w:r>
    </w:p>
    <w:p>
      <w:pPr>
        <w:pStyle w:val="BodyText"/>
        <w:spacing w:line="357" w:lineRule="auto" w:before="33"/>
        <w:ind w:left="137" w:right="144" w:firstLine="420"/>
        <w:jc w:val="both"/>
      </w:pPr>
      <w:r>
        <w:rPr/>
        <w:t>以公允价值计量的外币非货币性项目，采用公允价值确定日的即期汇率折算，由此产生的汇 兑差额作为公允价值变动损益计入当期损益。如属于可供出售外币非货币性项目的，形成的汇兑 差额计入其他综合收益。</w:t>
      </w:r>
    </w:p>
    <w:p>
      <w:pPr>
        <w:spacing w:line="336" w:lineRule="auto" w:before="30"/>
        <w:ind w:left="557" w:right="33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外币财务报表的折算</w:t>
      </w:r>
      <w:r>
        <w:rPr>
          <w:rFonts w:ascii="宋体" w:hAnsi="宋体" w:cs="宋体" w:eastAsia="宋体" w:hint="default"/>
          <w:b/>
          <w:bCs/>
          <w:spacing w:val="1"/>
          <w:w w:val="99"/>
          <w:sz w:val="21"/>
          <w:szCs w:val="21"/>
        </w:rPr>
        <w:t> </w:t>
      </w:r>
      <w:r>
        <w:rPr>
          <w:rFonts w:ascii="宋体" w:hAnsi="宋体" w:cs="宋体" w:eastAsia="宋体" w:hint="default"/>
          <w:sz w:val="21"/>
          <w:szCs w:val="21"/>
        </w:rPr>
        <w:t>资产负债表中的资产和负债项目，采用资产负债表日的即期汇率折算；所有者权益项目除</w:t>
      </w:r>
    </w:p>
    <w:p>
      <w:pPr>
        <w:pStyle w:val="BodyText"/>
        <w:spacing w:line="336" w:lineRule="auto" w:before="50"/>
        <w:ind w:left="137" w:right="167"/>
        <w:jc w:val="both"/>
      </w:pP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项目外，其他项目采用发生时的即期汇率折算。利润表中的收入和费用项目，采用 交易发生日的即期汇率折算。按照上述折算产生的外币财务报表折算差额计入其他综合收益。</w:t>
      </w:r>
    </w:p>
    <w:p>
      <w:pPr>
        <w:pStyle w:val="BodyText"/>
        <w:spacing w:line="357" w:lineRule="auto" w:before="50"/>
        <w:ind w:left="137" w:right="144" w:firstLine="420"/>
        <w:jc w:val="both"/>
      </w:pPr>
      <w:r>
        <w:rPr/>
        <w:t>处置境外经营时，将资产负债表中其他综合收益项目中列示的、与该境外经营相关的外币财 务报表折算差额，自其他综合收益项目转入处置当期损益；部分处置境外经营的，按处置的比例 计算处置部分的外币财务报表折算差额，转入处置当期损益。</w:t>
      </w:r>
    </w:p>
    <w:p>
      <w:pPr>
        <w:spacing w:line="240" w:lineRule="auto" w:before="0"/>
        <w:rPr>
          <w:rFonts w:ascii="宋体" w:hAnsi="宋体" w:cs="宋体" w:eastAsia="宋体" w:hint="default"/>
          <w:sz w:val="20"/>
          <w:szCs w:val="20"/>
        </w:rPr>
      </w:pPr>
    </w:p>
    <w:p>
      <w:pPr>
        <w:pStyle w:val="Heading3"/>
        <w:spacing w:line="240" w:lineRule="auto" w:before="159"/>
        <w:ind w:left="137" w:right="127"/>
        <w:jc w:val="left"/>
        <w:rPr>
          <w:b w:val="0"/>
          <w:bCs w:val="0"/>
        </w:rPr>
      </w:pPr>
      <w:r>
        <w:rPr>
          <w:rFonts w:ascii="Calibri" w:hAnsi="Calibri" w:cs="Calibri" w:eastAsia="Calibri" w:hint="default"/>
        </w:rPr>
        <w:t>10.  </w:t>
      </w:r>
      <w:r>
        <w:rPr>
          <w:rFonts w:ascii="Calibri" w:hAnsi="Calibri" w:cs="Calibri" w:eastAsia="Calibri" w:hint="default"/>
          <w:spacing w:val="7"/>
        </w:rPr>
        <w:t> </w:t>
      </w:r>
      <w:r>
        <w:rPr/>
        <w:t>金融工具</w:t>
      </w:r>
      <w:r>
        <w:rPr>
          <w:b w:val="0"/>
          <w:bCs w:val="0"/>
        </w:rPr>
      </w:r>
    </w:p>
    <w:p>
      <w:pPr>
        <w:pStyle w:val="BodyText"/>
        <w:spacing w:line="240" w:lineRule="auto" w:before="51"/>
        <w:ind w:left="557" w:right="127"/>
        <w:jc w:val="left"/>
      </w:pPr>
      <w:r>
        <w:rPr/>
        <w:t>金融工具包括金融资产、金融负债和权益工具。</w:t>
      </w:r>
    </w:p>
    <w:p>
      <w:pPr>
        <w:spacing w:line="338" w:lineRule="auto" w:before="133"/>
        <w:ind w:left="557" w:right="12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金融工具的分类</w:t>
      </w:r>
      <w:r>
        <w:rPr>
          <w:rFonts w:ascii="宋体" w:hAnsi="宋体" w:cs="宋体" w:eastAsia="宋体" w:hint="default"/>
          <w:b/>
          <w:bCs/>
          <w:w w:val="99"/>
          <w:sz w:val="21"/>
          <w:szCs w:val="21"/>
        </w:rPr>
        <w:t> </w:t>
      </w:r>
      <w:r>
        <w:rPr>
          <w:rFonts w:ascii="宋体" w:hAnsi="宋体" w:cs="宋体" w:eastAsia="宋体" w:hint="default"/>
          <w:sz w:val="21"/>
          <w:szCs w:val="21"/>
        </w:rPr>
        <w:t>管理层根据所发行金融工具的合同条款及其所反映的经济实质而非仅以法律形式，结合取得</w:t>
      </w:r>
    </w:p>
    <w:p>
      <w:pPr>
        <w:pStyle w:val="BodyText"/>
        <w:spacing w:line="357" w:lineRule="auto" w:before="47"/>
        <w:ind w:left="137" w:right="144"/>
        <w:jc w:val="both"/>
      </w:pPr>
      <w:r>
        <w:rPr/>
        <w:t>持有金融资产和承担金融负债的目的，将金融资产和金融负债分为不同类别：以公允价值计量且 其变动计入当期损益的金融资产（或金融负债）；持有至到期投资；应收款项；可供出售金融资 产；其他金融负债等。</w:t>
      </w:r>
    </w:p>
    <w:p>
      <w:pPr>
        <w:pStyle w:val="Heading3"/>
        <w:spacing w:line="240" w:lineRule="auto" w:before="31"/>
        <w:ind w:left="559" w:right="127"/>
        <w:jc w:val="left"/>
        <w:rPr>
          <w:b w:val="0"/>
          <w:bCs w:val="0"/>
        </w:rPr>
      </w:pPr>
      <w:r>
        <w:rPr>
          <w:rFonts w:ascii="Times New Roman" w:hAnsi="Times New Roman" w:cs="Times New Roman" w:eastAsia="Times New Roman" w:hint="default"/>
        </w:rPr>
        <w:t>2</w:t>
      </w:r>
      <w:r>
        <w:rPr/>
        <w:t>．</w:t>
      </w:r>
      <w:r>
        <w:rPr>
          <w:spacing w:val="-7"/>
        </w:rPr>
        <w:t> </w:t>
      </w:r>
      <w:r>
        <w:rPr/>
        <w:t>金融工具的确认依据和计量方法</w:t>
      </w:r>
      <w:r>
        <w:rPr>
          <w:b w:val="0"/>
          <w:bCs w:val="0"/>
        </w:rPr>
      </w:r>
    </w:p>
    <w:p>
      <w:pPr>
        <w:pStyle w:val="BodyText"/>
        <w:tabs>
          <w:tab w:pos="1397" w:val="left" w:leader="none"/>
        </w:tabs>
        <w:spacing w:line="336" w:lineRule="auto" w:before="117"/>
        <w:ind w:left="557" w:right="144"/>
        <w:jc w:val="left"/>
      </w:pPr>
      <w:r>
        <w:rPr/>
        <w:t>（</w:t>
      </w:r>
      <w:r>
        <w:rPr>
          <w:rFonts w:ascii="Times New Roman" w:hAnsi="Times New Roman" w:cs="Times New Roman" w:eastAsia="Times New Roman" w:hint="default"/>
        </w:rPr>
        <w:t>1</w:t>
      </w:r>
      <w:r>
        <w:rPr/>
        <w:t>）</w:t>
        <w:tab/>
        <w:t>以公允价值计量且其变动计入当期损益的金融资产（金融负债） 以公允价值计量且其变动计入当期损益的金融资产或金融负债，包括交易性金融资产或金融</w:t>
      </w:r>
    </w:p>
    <w:p>
      <w:pPr>
        <w:pStyle w:val="BodyText"/>
        <w:spacing w:line="357" w:lineRule="auto" w:before="50"/>
        <w:ind w:left="557" w:right="1387" w:hanging="420"/>
        <w:jc w:val="left"/>
      </w:pPr>
      <w:r>
        <w:rPr/>
        <w:t>负债和直接指定为以公允价值计量且其变动计入当期损益的金融资产或金融负债。 交易性金融资产或金融负债是指满足下列条件之一的金融资产或金融负债： </w:t>
      </w:r>
      <w:r>
        <w:rPr>
          <w:rFonts w:ascii="Times New Roman" w:hAnsi="Times New Roman" w:cs="Times New Roman" w:eastAsia="Times New Roman" w:hint="default"/>
        </w:rPr>
        <w:t>1</w:t>
      </w:r>
      <w:r>
        <w:rPr/>
        <w:t>）取得该金融资产或金融负债的目的是为了在短期内出售、回购或赎回；</w:t>
      </w:r>
    </w:p>
    <w:p>
      <w:pPr>
        <w:pStyle w:val="BodyText"/>
        <w:spacing w:line="338" w:lineRule="auto" w:before="3"/>
        <w:ind w:left="137" w:right="131" w:firstLine="420"/>
        <w:jc w:val="both"/>
      </w:pPr>
      <w:r>
        <w:rPr>
          <w:rFonts w:ascii="Times New Roman" w:hAnsi="Times New Roman" w:cs="Times New Roman" w:eastAsia="Times New Roman" w:hint="default"/>
          <w:spacing w:val="-3"/>
        </w:rPr>
        <w:t>2</w:t>
      </w:r>
      <w:r>
        <w:rPr>
          <w:spacing w:val="-3"/>
        </w:rPr>
        <w:t>）属于进行集中管理的可辨认金融工具组合的一部分，且有客观证据表明本公司近期采用短</w:t>
      </w:r>
      <w:r>
        <w:rPr/>
        <w:t> 期获利方式对该组合进行管理；</w:t>
      </w:r>
    </w:p>
    <w:p>
      <w:pPr>
        <w:pStyle w:val="BodyText"/>
        <w:spacing w:line="348" w:lineRule="auto" w:before="47"/>
        <w:ind w:left="137" w:right="131" w:firstLine="420"/>
        <w:jc w:val="both"/>
      </w:pPr>
      <w:r>
        <w:rPr>
          <w:rFonts w:ascii="Times New Roman" w:hAnsi="Times New Roman" w:cs="Times New Roman" w:eastAsia="Times New Roman" w:hint="default"/>
          <w:spacing w:val="-3"/>
        </w:rPr>
        <w:t>3</w:t>
      </w:r>
      <w:r>
        <w:rPr>
          <w:spacing w:val="-3"/>
        </w:rPr>
        <w:t>）属于衍生金融工具，但是被指定为有效套期工具的衍生工具、属于财务担保合同的衍生工</w:t>
      </w:r>
      <w:r>
        <w:rPr/>
        <w:t> 具、与在活跃市场中没有报价且其公允价值不能可靠计量的权益工具投资挂钩并须通过交付该权 益工具结算的衍生工具除外。</w:t>
      </w:r>
    </w:p>
    <w:p>
      <w:pPr>
        <w:pStyle w:val="BodyText"/>
        <w:spacing w:line="357" w:lineRule="auto" w:before="38"/>
        <w:ind w:left="137" w:right="144" w:firstLine="420"/>
        <w:jc w:val="both"/>
      </w:pPr>
      <w:r>
        <w:rPr/>
        <w:t>只有符合以下条件之一，金融资产或金融负债才可在初始计量时指定为以公允价值计量且其 变动计入损益的金融资产或金融负债：</w:t>
      </w:r>
    </w:p>
    <w:p>
      <w:pPr>
        <w:pStyle w:val="BodyText"/>
        <w:spacing w:line="240" w:lineRule="auto" w:before="30"/>
        <w:ind w:left="557" w:right="0"/>
        <w:jc w:val="left"/>
      </w:pPr>
      <w:r>
        <w:rPr>
          <w:rFonts w:ascii="Times New Roman" w:hAnsi="Times New Roman" w:cs="Times New Roman" w:eastAsia="Times New Roman" w:hint="default"/>
        </w:rPr>
        <w:t>1</w:t>
      </w:r>
      <w:r>
        <w:rPr>
          <w:spacing w:val="-93"/>
        </w:rPr>
        <w:t>）</w:t>
      </w:r>
      <w:r>
        <w:rPr/>
        <w:t>该项指定可以消除或明显减少由于金融资产或金融负债的计量基础不同所导致的相关利得</w:t>
      </w:r>
    </w:p>
    <w:p>
      <w:pPr>
        <w:spacing w:after="0" w:line="240" w:lineRule="auto"/>
        <w:jc w:val="left"/>
        <w:sectPr>
          <w:footerReference w:type="default" r:id="rId79"/>
          <w:pgSz w:w="11910" w:h="16840"/>
          <w:pgMar w:footer="1197" w:header="882" w:top="1120" w:bottom="1380" w:left="1660" w:right="1140"/>
          <w:pgNumType w:start="74"/>
        </w:sectPr>
      </w:pPr>
    </w:p>
    <w:p>
      <w:pPr>
        <w:spacing w:line="240" w:lineRule="auto" w:before="4"/>
        <w:rPr>
          <w:rFonts w:ascii="宋体" w:hAnsi="宋体" w:cs="宋体" w:eastAsia="宋体" w:hint="default"/>
          <w:sz w:val="25"/>
          <w:szCs w:val="25"/>
        </w:rPr>
      </w:pPr>
    </w:p>
    <w:p>
      <w:pPr>
        <w:pStyle w:val="BodyText"/>
        <w:spacing w:line="240" w:lineRule="auto" w:before="35"/>
        <w:ind w:left="137" w:right="0"/>
        <w:jc w:val="both"/>
      </w:pPr>
      <w:r>
        <w:rPr/>
        <w:t>或损失在确认或计量方面不一致的情况；</w:t>
      </w:r>
    </w:p>
    <w:p>
      <w:pPr>
        <w:pStyle w:val="BodyText"/>
        <w:spacing w:line="338" w:lineRule="auto" w:before="133"/>
        <w:ind w:left="137" w:right="127" w:firstLine="420"/>
        <w:jc w:val="left"/>
      </w:pPr>
      <w:r>
        <w:rPr>
          <w:rFonts w:ascii="Times New Roman" w:hAnsi="Times New Roman" w:cs="Times New Roman" w:eastAsia="Times New Roman" w:hint="default"/>
          <w:spacing w:val="-3"/>
        </w:rPr>
        <w:t>2</w:t>
      </w:r>
      <w:r>
        <w:rPr>
          <w:spacing w:val="-3"/>
        </w:rPr>
        <w:t>）风险管理或投资策略的正式书面文件已载明，该金融资产组合、该金融负债组合、或该金</w:t>
      </w:r>
      <w:r>
        <w:rPr/>
        <w:t> 融资产和金融负债组合，以公允价值为基础进行管理、评价并向关键管理人员报告；</w:t>
      </w:r>
    </w:p>
    <w:p>
      <w:pPr>
        <w:pStyle w:val="BodyText"/>
        <w:spacing w:line="338" w:lineRule="auto" w:before="47"/>
        <w:ind w:left="137" w:right="127" w:firstLine="420"/>
        <w:jc w:val="left"/>
      </w:pPr>
      <w:r>
        <w:rPr>
          <w:rFonts w:ascii="Times New Roman" w:hAnsi="Times New Roman" w:cs="Times New Roman" w:eastAsia="Times New Roman" w:hint="default"/>
          <w:spacing w:val="-3"/>
        </w:rPr>
        <w:t>3</w:t>
      </w:r>
      <w:r>
        <w:rPr>
          <w:spacing w:val="-3"/>
        </w:rPr>
        <w:t>）包含一项或多项嵌入衍生工具的混合工具，除非嵌入衍生工具对混合工具的现金流量没有</w:t>
      </w:r>
      <w:r>
        <w:rPr/>
        <w:t> 重大改变，或所嵌入的衍生工具明显不应当从相关混合工具中分拆；</w:t>
      </w:r>
    </w:p>
    <w:p>
      <w:pPr>
        <w:pStyle w:val="BodyText"/>
        <w:spacing w:line="336" w:lineRule="auto" w:before="47"/>
        <w:ind w:left="137" w:right="127" w:firstLine="420"/>
        <w:jc w:val="left"/>
      </w:pPr>
      <w:r>
        <w:rPr>
          <w:rFonts w:ascii="Times New Roman" w:hAnsi="Times New Roman" w:cs="Times New Roman" w:eastAsia="Times New Roman" w:hint="default"/>
          <w:spacing w:val="-3"/>
        </w:rPr>
        <w:t>4</w:t>
      </w:r>
      <w:r>
        <w:rPr>
          <w:spacing w:val="-3"/>
        </w:rPr>
        <w:t>）包含需要分拆但无法在取得时或后续的资产负债表日对其进行单独计量的嵌入衍生工具的</w:t>
      </w:r>
      <w:r>
        <w:rPr/>
        <w:t> 混合工具。</w:t>
      </w:r>
    </w:p>
    <w:p>
      <w:pPr>
        <w:pStyle w:val="BodyText"/>
        <w:spacing w:line="357" w:lineRule="auto" w:before="50"/>
        <w:ind w:left="137" w:right="131" w:firstLine="420"/>
        <w:jc w:val="both"/>
      </w:pPr>
      <w:r>
        <w:rPr/>
        <w:t>本公司对以公允价值计量且其变动计入当期损益的金融资产或金融负债，在取得时以公允价 </w:t>
      </w:r>
      <w:r>
        <w:rPr>
          <w:spacing w:val="-5"/>
        </w:rPr>
        <w:t>值（扣除已宣告但尚未发放的现金股利或已到付息期但尚未领取的债券利息）作为初始确认金额，</w:t>
      </w:r>
      <w:r>
        <w:rPr>
          <w:spacing w:val="-88"/>
        </w:rPr>
        <w:t> </w:t>
      </w:r>
      <w:r>
        <w:rPr>
          <w:spacing w:val="-88"/>
        </w:rPr>
      </w:r>
      <w:r>
        <w:rPr/>
        <w:t>相关的交易费用计入当期损益。持有期间将取得的利息或现金股利确认为投资收益，期末将公允 价值变动计入当期损益。处置时，其公允价值与初始入账金额之间的差额确认为投资收益，同时 调整公允价值变动损益。</w:t>
      </w:r>
    </w:p>
    <w:p>
      <w:pPr>
        <w:pStyle w:val="BodyText"/>
        <w:tabs>
          <w:tab w:pos="1397" w:val="left" w:leader="none"/>
        </w:tabs>
        <w:spacing w:line="336" w:lineRule="auto" w:before="30"/>
        <w:ind w:left="557" w:right="144"/>
        <w:jc w:val="left"/>
      </w:pPr>
      <w:r>
        <w:rPr/>
        <w:t>（</w:t>
      </w:r>
      <w:r>
        <w:rPr>
          <w:rFonts w:ascii="Times New Roman" w:hAnsi="Times New Roman" w:cs="Times New Roman" w:eastAsia="Times New Roman" w:hint="default"/>
        </w:rPr>
        <w:t>2</w:t>
      </w:r>
      <w:r>
        <w:rPr/>
        <w:t>）</w:t>
        <w:tab/>
        <w:t>应收款项 本公司对外销售商品或提供劳务形成的应收债权，以及公司持有的其他企业的不包括在活跃</w:t>
      </w:r>
    </w:p>
    <w:p>
      <w:pPr>
        <w:pStyle w:val="BodyText"/>
        <w:spacing w:line="357" w:lineRule="auto" w:before="50"/>
        <w:ind w:left="137" w:right="144"/>
        <w:jc w:val="both"/>
      </w:pPr>
      <w:r>
        <w:rPr/>
        <w:t>市场上有报价的债务工具的债权，包括应收账款、其他应收款、应收票据、预付款项、长期应收 款等，以向购货方应收的合同或协议价款作为初始确认金额；具有融资性质的，按其现值进行初 始确认。</w:t>
      </w:r>
    </w:p>
    <w:p>
      <w:pPr>
        <w:pStyle w:val="BodyText"/>
        <w:spacing w:line="240" w:lineRule="auto" w:before="30"/>
        <w:ind w:left="557" w:right="127"/>
        <w:jc w:val="left"/>
      </w:pPr>
      <w:r>
        <w:rPr/>
        <w:t>收回或处置时，将取得的价款与该应收款项账面价值之间的差额计入当期损益。</w:t>
      </w:r>
    </w:p>
    <w:p>
      <w:pPr>
        <w:pStyle w:val="BodyText"/>
        <w:tabs>
          <w:tab w:pos="1397" w:val="left" w:leader="none"/>
        </w:tabs>
        <w:spacing w:line="336" w:lineRule="auto" w:before="134"/>
        <w:ind w:left="557" w:right="144"/>
        <w:jc w:val="left"/>
      </w:pPr>
      <w:r>
        <w:rPr/>
        <w:t>（</w:t>
      </w:r>
      <w:r>
        <w:rPr>
          <w:rFonts w:ascii="Times New Roman" w:hAnsi="Times New Roman" w:cs="Times New Roman" w:eastAsia="Times New Roman" w:hint="default"/>
        </w:rPr>
        <w:t>3</w:t>
      </w:r>
      <w:r>
        <w:rPr/>
        <w:t>）</w:t>
        <w:tab/>
        <w:t>持有至到期投资 持有至到期投资是指到期日固定、回收金额固定或可确定，且本公司有明确意图和能力持有</w:t>
      </w:r>
    </w:p>
    <w:p>
      <w:pPr>
        <w:pStyle w:val="BodyText"/>
        <w:spacing w:line="357" w:lineRule="auto" w:before="49"/>
        <w:ind w:left="557" w:right="127" w:hanging="420"/>
        <w:jc w:val="left"/>
      </w:pPr>
      <w:r>
        <w:rPr/>
        <w:t>至到期的非衍生性金融资产。 本公司对持有至到期投资，在取得时按公允价值（扣除已到付息期但尚未领取的债券利息）</w:t>
      </w:r>
    </w:p>
    <w:p>
      <w:pPr>
        <w:pStyle w:val="BodyText"/>
        <w:spacing w:line="357" w:lineRule="auto" w:before="30"/>
        <w:ind w:left="137" w:right="144"/>
        <w:jc w:val="both"/>
      </w:pPr>
      <w:r>
        <w:rPr/>
        <w:t>和相关交易费用之和作为初始确认金额。持有期间按照摊余成本和实际利率计算确认利息收入， 计入投资收益。实际利率在取得时确定，在该预期存续期间或适用的更短期间内保持不变。处置 时，将所取得价款与该投资账面价值之间的差额计入投资收益。</w:t>
      </w:r>
    </w:p>
    <w:p>
      <w:pPr>
        <w:pStyle w:val="BodyText"/>
        <w:spacing w:line="357" w:lineRule="auto" w:before="31"/>
        <w:ind w:left="137" w:right="127" w:firstLine="420"/>
        <w:jc w:val="left"/>
      </w:pPr>
      <w:r>
        <w:rPr/>
        <w:t>如果持有至到期投资处置或重分类为其他类金融资产的金额，相对于本公司全部持有至到期 投资在出售或重分类前的总额较大，在处置或重分类后应立即将其剩余的持有至到期投资重分类 为可供出售金融资产；重分类日，该投资的账面价值与其公允价值之间的差额计入其他综合收 益，在该可供出售金融资产发生减值或终止确认时转出，计入当期损益。但是，遇到下列情况可 以除外：</w:t>
      </w:r>
    </w:p>
    <w:p>
      <w:pPr>
        <w:pStyle w:val="BodyText"/>
        <w:spacing w:line="336" w:lineRule="auto" w:before="31"/>
        <w:ind w:left="137" w:right="127" w:firstLine="420"/>
        <w:jc w:val="left"/>
      </w:pPr>
      <w:r>
        <w:rPr>
          <w:rFonts w:ascii="Times New Roman" w:hAnsi="Times New Roman" w:cs="Times New Roman" w:eastAsia="Times New Roman" w:hint="default"/>
          <w:spacing w:val="-1"/>
        </w:rPr>
        <w:t>1</w:t>
      </w:r>
      <w:r>
        <w:rPr>
          <w:spacing w:val="-1"/>
        </w:rPr>
        <w:t>）出售日或重分类日距离该项投资到期日或赎回日较近</w:t>
      </w:r>
      <w:r>
        <w:rPr>
          <w:rFonts w:ascii="Times New Roman" w:hAnsi="Times New Roman" w:cs="Times New Roman" w:eastAsia="Times New Roman" w:hint="default"/>
          <w:spacing w:val="-1"/>
        </w:rPr>
        <w:t>(</w:t>
      </w:r>
      <w:r>
        <w:rPr>
          <w:spacing w:val="-1"/>
        </w:rPr>
        <w:t>如到期前三个月内</w:t>
      </w:r>
      <w:r>
        <w:rPr>
          <w:rFonts w:ascii="Times New Roman" w:hAnsi="Times New Roman" w:cs="Times New Roman" w:eastAsia="Times New Roman" w:hint="default"/>
          <w:spacing w:val="-1"/>
        </w:rPr>
        <w:t>)</w:t>
      </w:r>
      <w:r>
        <w:rPr>
          <w:spacing w:val="-1"/>
        </w:rPr>
        <w:t>，且市场利率变</w:t>
      </w:r>
      <w:r>
        <w:rPr/>
        <w:t> 化对该项投资的公允价值没有显著影响。</w:t>
      </w:r>
    </w:p>
    <w:p>
      <w:pPr>
        <w:pStyle w:val="BodyText"/>
        <w:spacing w:line="240" w:lineRule="auto" w:before="50"/>
        <w:ind w:left="557" w:right="127"/>
        <w:jc w:val="left"/>
      </w:pPr>
      <w:r>
        <w:rPr>
          <w:rFonts w:ascii="Times New Roman" w:hAnsi="Times New Roman" w:cs="Times New Roman" w:eastAsia="Times New Roman" w:hint="default"/>
        </w:rPr>
        <w:t>2</w:t>
      </w:r>
      <w:r>
        <w:rPr/>
        <w:t>）根据合同约定的偿付方式，企业已收回几乎所有初始本金。</w:t>
      </w:r>
    </w:p>
    <w:p>
      <w:pPr>
        <w:pStyle w:val="BodyText"/>
        <w:spacing w:line="240" w:lineRule="auto" w:before="117"/>
        <w:ind w:left="557" w:right="127"/>
        <w:jc w:val="left"/>
      </w:pPr>
      <w:r>
        <w:rPr>
          <w:rFonts w:ascii="Times New Roman" w:hAnsi="Times New Roman" w:cs="Times New Roman" w:eastAsia="Times New Roman" w:hint="default"/>
        </w:rPr>
        <w:t>3</w:t>
      </w:r>
      <w:r>
        <w:rPr/>
        <w:t>）出售或重分类是由于企业无法控制、预期不会重复发生且难以合理预计的独立事件所引</w:t>
      </w:r>
    </w:p>
    <w:p>
      <w:pPr>
        <w:spacing w:after="0" w:line="240" w:lineRule="auto"/>
        <w:jc w:val="left"/>
        <w:sectPr>
          <w:footerReference w:type="default" r:id="rId80"/>
          <w:pgSz w:w="11910" w:h="16840"/>
          <w:pgMar w:footer="1197" w:header="882" w:top="1120" w:bottom="1380" w:left="1660" w:right="1140"/>
          <w:pgNumType w:start="75"/>
        </w:sectPr>
      </w:pPr>
    </w:p>
    <w:p>
      <w:pPr>
        <w:spacing w:line="240" w:lineRule="auto" w:before="4"/>
        <w:rPr>
          <w:rFonts w:ascii="宋体" w:hAnsi="宋体" w:cs="宋体" w:eastAsia="宋体" w:hint="default"/>
          <w:sz w:val="25"/>
          <w:szCs w:val="25"/>
        </w:rPr>
      </w:pPr>
    </w:p>
    <w:p>
      <w:pPr>
        <w:pStyle w:val="BodyText"/>
        <w:spacing w:line="240" w:lineRule="auto" w:before="35"/>
        <w:ind w:left="137" w:right="127"/>
        <w:jc w:val="left"/>
      </w:pPr>
      <w:r>
        <w:rPr/>
        <w:t>起。</w:t>
      </w:r>
    </w:p>
    <w:p>
      <w:pPr>
        <w:pStyle w:val="BodyText"/>
        <w:tabs>
          <w:tab w:pos="1397" w:val="left" w:leader="none"/>
        </w:tabs>
        <w:spacing w:line="338" w:lineRule="auto" w:before="133"/>
        <w:ind w:left="557" w:right="144"/>
        <w:jc w:val="left"/>
      </w:pPr>
      <w:r>
        <w:rPr/>
        <w:t>（</w:t>
      </w:r>
      <w:r>
        <w:rPr>
          <w:rFonts w:ascii="Times New Roman" w:hAnsi="Times New Roman" w:cs="Times New Roman" w:eastAsia="Times New Roman" w:hint="default"/>
        </w:rPr>
        <w:t>4</w:t>
      </w:r>
      <w:r>
        <w:rPr/>
        <w:t>）</w:t>
        <w:tab/>
        <w:t>可供出售金融资产 可供出售金融资产，是指初始确认时即指定为可供出售的非衍生金融资产，以及除其他金融</w:t>
      </w:r>
    </w:p>
    <w:p>
      <w:pPr>
        <w:pStyle w:val="BodyText"/>
        <w:spacing w:line="357" w:lineRule="auto" w:before="47"/>
        <w:ind w:left="557" w:right="127" w:hanging="420"/>
        <w:jc w:val="left"/>
      </w:pPr>
      <w:r>
        <w:rPr/>
        <w:t>资产类别以外的金融资产。 本公司对可供出售金融资产，在取得时按公允价值（扣除已宣告但尚未发放的现金股利或已</w:t>
      </w:r>
    </w:p>
    <w:p>
      <w:pPr>
        <w:pStyle w:val="BodyText"/>
        <w:spacing w:line="357" w:lineRule="auto" w:before="30"/>
        <w:ind w:left="137" w:right="127"/>
        <w:jc w:val="left"/>
      </w:pPr>
      <w:r>
        <w:rPr/>
        <w:t>到付息期但尚未领取的债券利息）和相关交易费用之和作为初始确认金额。持有期间将取得的利 息或现金股利确认为投资收益。可供出售金融资产的公允价值变动形成的利得或损失，除减值损 失和外币货币性金融资产形成的汇兑差额外，直接计入其他综合收益。处置可供出售金融资产 时，将取得的价款与该金融资产账面价值之间的差额，计入投资损益；同时，将原直接计入其他 综合收益的公允价值变动累计额对应处置部分的金额转出，计入投资损益。</w:t>
      </w:r>
    </w:p>
    <w:p>
      <w:pPr>
        <w:pStyle w:val="BodyText"/>
        <w:spacing w:line="357" w:lineRule="auto" w:before="30"/>
        <w:ind w:left="137" w:right="144" w:firstLine="420"/>
        <w:jc w:val="both"/>
      </w:pPr>
      <w:r>
        <w:rPr/>
        <w:t>本公司对在活跃市场中没有报价且其公允价值不能可靠计量的权益工具投资，以及与该权益 工具挂钩并须通过交付该权益工具结算的衍生金融资产，按照成本计量。</w:t>
      </w:r>
    </w:p>
    <w:p>
      <w:pPr>
        <w:pStyle w:val="BodyText"/>
        <w:tabs>
          <w:tab w:pos="1397" w:val="left" w:leader="none"/>
        </w:tabs>
        <w:spacing w:line="336" w:lineRule="auto" w:before="30"/>
        <w:ind w:left="557" w:right="774"/>
        <w:jc w:val="left"/>
      </w:pPr>
      <w:r>
        <w:rPr/>
        <w:t>（</w:t>
      </w:r>
      <w:r>
        <w:rPr>
          <w:rFonts w:ascii="Times New Roman" w:hAnsi="Times New Roman" w:cs="Times New Roman" w:eastAsia="Times New Roman" w:hint="default"/>
        </w:rPr>
        <w:t>5</w:t>
      </w:r>
      <w:r>
        <w:rPr/>
        <w:t>）</w:t>
        <w:tab/>
        <w:t>其他金融负债 按其公允价值和相关交易费用之和作为初始确认金额。采用摊余成本进行后续计量。</w:t>
      </w:r>
    </w:p>
    <w:p>
      <w:pPr>
        <w:pStyle w:val="BodyText"/>
        <w:spacing w:line="240" w:lineRule="auto" w:before="50"/>
        <w:ind w:left="557" w:right="127"/>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BT</w:t>
      </w:r>
      <w:r>
        <w:rPr>
          <w:rFonts w:ascii="Times New Roman" w:hAnsi="Times New Roman" w:cs="Times New Roman" w:eastAsia="Times New Roman" w:hint="default"/>
          <w:spacing w:val="-2"/>
        </w:rPr>
        <w:t> </w:t>
      </w:r>
      <w:r>
        <w:rPr/>
        <w:t>项目会计核算方法</w:t>
      </w:r>
    </w:p>
    <w:p>
      <w:pPr>
        <w:pStyle w:val="BodyText"/>
        <w:spacing w:line="350" w:lineRule="auto" w:before="117"/>
        <w:ind w:left="137" w:right="144" w:firstLine="420"/>
        <w:jc w:val="both"/>
      </w:pPr>
      <w:r>
        <w:rPr/>
        <w:t>本公司</w:t>
      </w:r>
      <w:r>
        <w:rPr>
          <w:spacing w:val="-60"/>
        </w:rPr>
        <w:t> </w:t>
      </w:r>
      <w:r>
        <w:rPr>
          <w:rFonts w:ascii="Times New Roman" w:hAnsi="Times New Roman" w:cs="Times New Roman" w:eastAsia="Times New Roman" w:hint="default"/>
        </w:rPr>
        <w:t>BT</w:t>
      </w:r>
      <w:r>
        <w:rPr>
          <w:rFonts w:ascii="Times New Roman" w:hAnsi="Times New Roman" w:cs="Times New Roman" w:eastAsia="Times New Roman" w:hint="default"/>
          <w:spacing w:val="-7"/>
        </w:rPr>
        <w:t> </w:t>
      </w:r>
      <w:r>
        <w:rPr/>
        <w:t>项目的经营方式为</w:t>
      </w:r>
      <w:r>
        <w:rPr>
          <w:rFonts w:ascii="Times New Roman" w:hAnsi="Times New Roman" w:cs="Times New Roman" w:eastAsia="Times New Roman" w:hint="default"/>
        </w:rPr>
        <w:t>“</w:t>
      </w:r>
      <w:r>
        <w:rPr/>
        <w:t>建造</w:t>
      </w:r>
      <w:r>
        <w:rPr>
          <w:rFonts w:ascii="Times New Roman" w:hAnsi="Times New Roman" w:cs="Times New Roman" w:eastAsia="Times New Roman" w:hint="default"/>
        </w:rPr>
        <w:t>-</w:t>
      </w:r>
      <w:r>
        <w:rPr/>
        <w:t>转移（</w:t>
      </w:r>
      <w:r>
        <w:rPr>
          <w:rFonts w:ascii="Times New Roman" w:hAnsi="Times New Roman" w:cs="Times New Roman" w:eastAsia="Times New Roman" w:hint="default"/>
        </w:rPr>
        <w:t>Build-Transfer</w:t>
      </w:r>
      <w:r>
        <w:rPr/>
        <w:t>）</w:t>
      </w:r>
      <w:r>
        <w:rPr>
          <w:rFonts w:ascii="Times New Roman" w:hAnsi="Times New Roman" w:cs="Times New Roman" w:eastAsia="Times New Roman" w:hint="default"/>
        </w:rPr>
        <w:t>”</w:t>
      </w:r>
      <w:r>
        <w:rPr/>
        <w:t>，即政府或其代理公司与本公司 签订政府工程的投资建设回购协议，并授权本公司代理其实施投融资职能进行政府工程建设，工 程完工后移交政府或其代理公司，政府或其代理公司根据回购协议在规定的期限内支付本公司回 购资金（含投资回报及资金占用费）。</w:t>
      </w:r>
    </w:p>
    <w:p>
      <w:pPr>
        <w:pStyle w:val="BodyText"/>
        <w:spacing w:line="336" w:lineRule="auto" w:before="36"/>
        <w:ind w:left="137" w:right="191" w:firstLine="420"/>
        <w:jc w:val="both"/>
      </w:pPr>
      <w:r>
        <w:rPr/>
        <w:t>本公司</w:t>
      </w:r>
      <w:r>
        <w:rPr>
          <w:spacing w:val="-54"/>
        </w:rPr>
        <w:t> </w:t>
      </w:r>
      <w:r>
        <w:rPr>
          <w:rFonts w:ascii="Times New Roman" w:hAnsi="Times New Roman" w:cs="Times New Roman" w:eastAsia="Times New Roman" w:hint="default"/>
        </w:rPr>
        <w:t>BT</w:t>
      </w:r>
      <w:r>
        <w:rPr>
          <w:rFonts w:ascii="Times New Roman" w:hAnsi="Times New Roman" w:cs="Times New Roman" w:eastAsia="Times New Roman" w:hint="default"/>
          <w:spacing w:val="-1"/>
        </w:rPr>
        <w:t> </w:t>
      </w:r>
      <w:r>
        <w:rPr/>
        <w:t>项目未提供建造服务，按照建造过程中支付的工程价款等考虑合同规定，确认长 期应收款。</w:t>
      </w:r>
    </w:p>
    <w:p>
      <w:pPr>
        <w:pStyle w:val="BodyText"/>
        <w:spacing w:line="338" w:lineRule="auto" w:before="50"/>
        <w:ind w:left="135" w:right="194" w:firstLine="420"/>
        <w:jc w:val="both"/>
      </w:pPr>
      <w:r>
        <w:rPr>
          <w:rFonts w:ascii="Times New Roman" w:hAnsi="Times New Roman" w:cs="Times New Roman" w:eastAsia="Times New Roman" w:hint="default"/>
        </w:rPr>
        <w:t>BT</w:t>
      </w:r>
      <w:r>
        <w:rPr>
          <w:rFonts w:ascii="Times New Roman" w:hAnsi="Times New Roman" w:cs="Times New Roman" w:eastAsia="Times New Roman" w:hint="default"/>
          <w:spacing w:val="-1"/>
        </w:rPr>
        <w:t> </w:t>
      </w:r>
      <w:r>
        <w:rPr/>
        <w:t>项目建设期本公司按照与政府或其代理公司签订的回购协议约定的利率，按期确认资金 占用费计入利息收入；进入</w:t>
      </w:r>
      <w:r>
        <w:rPr>
          <w:spacing w:val="-54"/>
        </w:rPr>
        <w:t> </w:t>
      </w:r>
      <w:r>
        <w:rPr>
          <w:rFonts w:ascii="Times New Roman" w:hAnsi="Times New Roman" w:cs="Times New Roman" w:eastAsia="Times New Roman" w:hint="default"/>
        </w:rPr>
        <w:t>BT</w:t>
      </w:r>
      <w:r>
        <w:rPr>
          <w:rFonts w:ascii="Times New Roman" w:hAnsi="Times New Roman" w:cs="Times New Roman" w:eastAsia="Times New Roman" w:hint="default"/>
          <w:spacing w:val="-1"/>
        </w:rPr>
        <w:t> </w:t>
      </w:r>
      <w:r>
        <w:rPr/>
        <w:t>项目回购期后，回购期内长期应收款采用摊余成本计量并按期确 认利息收入，实际利率在预期的长期应收款存续期间内一般保持不变。</w:t>
      </w:r>
    </w:p>
    <w:p>
      <w:pPr>
        <w:spacing w:line="338" w:lineRule="auto" w:before="47"/>
        <w:ind w:left="557" w:right="12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金融资产转移的确认依据和计量方法</w:t>
      </w:r>
      <w:r>
        <w:rPr>
          <w:rFonts w:ascii="宋体" w:hAnsi="宋体" w:cs="宋体" w:eastAsia="宋体" w:hint="default"/>
          <w:b/>
          <w:bCs/>
          <w:w w:val="99"/>
          <w:sz w:val="21"/>
          <w:szCs w:val="21"/>
        </w:rPr>
        <w:t> </w:t>
      </w:r>
      <w:r>
        <w:rPr>
          <w:rFonts w:ascii="宋体" w:hAnsi="宋体" w:cs="宋体" w:eastAsia="宋体" w:hint="default"/>
          <w:sz w:val="21"/>
          <w:szCs w:val="21"/>
        </w:rPr>
        <w:t>公司发生金融资产转移时，如已将金融资产所有权上几乎所有的风险和报酬转移给转入方，</w:t>
      </w:r>
    </w:p>
    <w:p>
      <w:pPr>
        <w:pStyle w:val="BodyText"/>
        <w:spacing w:line="355" w:lineRule="auto" w:before="47"/>
        <w:ind w:left="137" w:right="127"/>
        <w:jc w:val="left"/>
      </w:pPr>
      <w:r>
        <w:rPr/>
        <w:t>则终止确认该金融资产；如保留了金融资产所有权上几乎所有的风险和报酬的，则不终止确认该 金融资产。</w:t>
      </w:r>
    </w:p>
    <w:p>
      <w:pPr>
        <w:pStyle w:val="BodyText"/>
        <w:spacing w:line="357" w:lineRule="auto" w:before="33"/>
        <w:ind w:left="137" w:right="127" w:firstLine="420"/>
        <w:jc w:val="left"/>
      </w:pPr>
      <w:r>
        <w:rPr/>
        <w:t>在判断金融资产转移是否满足上述金融资产终止确认条件时，采用实质重于形式的原则。公 司将金融资产转移区分为金融资产整体转移和部分转移。金融资产整体转移满足终止确认条件 的，将下列两项金额的差额计入当期损益：</w:t>
      </w:r>
    </w:p>
    <w:p>
      <w:pPr>
        <w:pStyle w:val="BodyText"/>
        <w:spacing w:line="240" w:lineRule="auto" w:before="30"/>
        <w:ind w:left="557" w:right="127"/>
        <w:jc w:val="left"/>
      </w:pPr>
      <w:r>
        <w:rPr/>
        <w:t>（</w:t>
      </w:r>
      <w:r>
        <w:rPr>
          <w:rFonts w:ascii="Times New Roman" w:hAnsi="Times New Roman" w:cs="Times New Roman" w:eastAsia="Times New Roman" w:hint="default"/>
        </w:rPr>
        <w:t>1</w:t>
      </w:r>
      <w:r>
        <w:rPr/>
        <w:t>）所转移金融资产的账面价值；</w:t>
      </w:r>
    </w:p>
    <w:p>
      <w:pPr>
        <w:pStyle w:val="BodyText"/>
        <w:spacing w:line="336" w:lineRule="auto" w:before="118"/>
        <w:ind w:left="137" w:right="131" w:firstLine="420"/>
        <w:jc w:val="both"/>
      </w:pPr>
      <w:r>
        <w:rPr>
          <w:spacing w:val="-3"/>
        </w:rPr>
        <w:t>（</w:t>
      </w:r>
      <w:r>
        <w:rPr>
          <w:rFonts w:ascii="Times New Roman" w:hAnsi="Times New Roman" w:cs="Times New Roman" w:eastAsia="Times New Roman" w:hint="default"/>
          <w:spacing w:val="-3"/>
        </w:rPr>
        <w:t>2</w:t>
      </w:r>
      <w:r>
        <w:rPr>
          <w:spacing w:val="-3"/>
        </w:rPr>
        <w:t>）因转移而收到的对价，与原直接计入所有者权益的公允价值变动累计额（涉及转移的金</w:t>
      </w:r>
      <w:r>
        <w:rPr/>
        <w:t> 融资产为可供出售金融资产的情形）之和。</w:t>
      </w:r>
    </w:p>
    <w:p>
      <w:pPr>
        <w:spacing w:after="0" w:line="336" w:lineRule="auto"/>
        <w:jc w:val="both"/>
        <w:sectPr>
          <w:pgSz w:w="11910" w:h="16840"/>
          <w:pgMar w:header="882" w:footer="1197"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5"/>
        <w:ind w:left="137" w:right="144" w:firstLine="420"/>
        <w:jc w:val="both"/>
      </w:pPr>
      <w:r>
        <w:rPr/>
        <w:t>金融资产部分转移满足终止确认条件的，将所转移金融资产整体的账面价值，在终止确认部 分和未终止确认部分之间，按照各自的相对公允价值进行分摊，并将下列两项金额的差额计入当 期损益：</w:t>
      </w:r>
    </w:p>
    <w:p>
      <w:pPr>
        <w:pStyle w:val="BodyText"/>
        <w:spacing w:line="240" w:lineRule="auto" w:before="30"/>
        <w:ind w:left="557" w:right="127"/>
        <w:jc w:val="left"/>
      </w:pPr>
      <w:r>
        <w:rPr/>
        <w:t>（</w:t>
      </w:r>
      <w:r>
        <w:rPr>
          <w:rFonts w:ascii="Times New Roman" w:hAnsi="Times New Roman" w:cs="Times New Roman" w:eastAsia="Times New Roman" w:hint="default"/>
        </w:rPr>
        <w:t>1</w:t>
      </w:r>
      <w:r>
        <w:rPr/>
        <w:t>）终止确认部分的账面价值；</w:t>
      </w:r>
    </w:p>
    <w:p>
      <w:pPr>
        <w:pStyle w:val="BodyText"/>
        <w:spacing w:line="336" w:lineRule="auto" w:before="118"/>
        <w:ind w:left="137" w:right="127" w:firstLine="420"/>
        <w:jc w:val="left"/>
      </w:pPr>
      <w:r>
        <w:rPr>
          <w:spacing w:val="-3"/>
        </w:rPr>
        <w:t>（</w:t>
      </w:r>
      <w:r>
        <w:rPr>
          <w:rFonts w:ascii="Times New Roman" w:hAnsi="Times New Roman" w:cs="Times New Roman" w:eastAsia="Times New Roman" w:hint="default"/>
          <w:spacing w:val="-3"/>
        </w:rPr>
        <w:t>2</w:t>
      </w:r>
      <w:r>
        <w:rPr>
          <w:spacing w:val="-3"/>
        </w:rPr>
        <w:t>）终止确认部分的对价，与原直接计入所有者权益的公允价值变动累计额中对应终止确认</w:t>
      </w:r>
      <w:r>
        <w:rPr/>
        <w:t> 部分的金额（涉及转移的金融资产为可供出售金融资产的情形）之和。</w:t>
      </w:r>
    </w:p>
    <w:p>
      <w:pPr>
        <w:pStyle w:val="BodyText"/>
        <w:spacing w:line="357" w:lineRule="auto" w:before="49"/>
        <w:ind w:left="137" w:right="127" w:firstLine="420"/>
        <w:jc w:val="left"/>
      </w:pPr>
      <w:r>
        <w:rPr/>
        <w:t>金融资产转移不满足终止确认条件的，继续确认该金融资产，所收到的对价确认为一项金融 负债。</w:t>
      </w:r>
    </w:p>
    <w:p>
      <w:pPr>
        <w:spacing w:line="338" w:lineRule="auto" w:before="30"/>
        <w:ind w:left="557" w:right="12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金融负债终止确认条件</w:t>
      </w:r>
      <w:r>
        <w:rPr>
          <w:rFonts w:ascii="宋体" w:hAnsi="宋体" w:cs="宋体" w:eastAsia="宋体" w:hint="default"/>
          <w:b/>
          <w:bCs/>
          <w:w w:val="99"/>
          <w:sz w:val="21"/>
          <w:szCs w:val="21"/>
        </w:rPr>
        <w:t> </w:t>
      </w:r>
      <w:r>
        <w:rPr>
          <w:rFonts w:ascii="宋体" w:hAnsi="宋体" w:cs="宋体" w:eastAsia="宋体" w:hint="default"/>
          <w:sz w:val="21"/>
          <w:szCs w:val="21"/>
        </w:rPr>
        <w:t>金融负债的的现时义务全部或部分已经解除的，则终止确认该金融负债或其一部分；本公司</w:t>
      </w:r>
    </w:p>
    <w:p>
      <w:pPr>
        <w:pStyle w:val="BodyText"/>
        <w:spacing w:line="357" w:lineRule="auto" w:before="47"/>
        <w:ind w:left="137" w:right="144"/>
        <w:jc w:val="both"/>
      </w:pPr>
      <w:r>
        <w:rPr/>
        <w:t>若与债权人签定协议，以承担新金融负债方式替换现存金融负债，且新金融负债与现存金融负债 的合同条款实质上不同的，则终止确认现存金融负债，并同时确认新金融负债。</w:t>
      </w:r>
    </w:p>
    <w:p>
      <w:pPr>
        <w:pStyle w:val="BodyText"/>
        <w:spacing w:line="355" w:lineRule="auto" w:before="30"/>
        <w:ind w:left="137" w:right="127" w:firstLine="420"/>
        <w:jc w:val="left"/>
      </w:pPr>
      <w:r>
        <w:rPr/>
        <w:t>对现存金融负债全部或部分合同条款作出实质性修改的，则终止确认现存金融负债或其一部 分，同时将修改条款后的金融负债确认为一项新金融负债。</w:t>
      </w:r>
    </w:p>
    <w:p>
      <w:pPr>
        <w:pStyle w:val="BodyText"/>
        <w:spacing w:line="355" w:lineRule="auto" w:before="33"/>
        <w:ind w:left="137" w:right="127" w:firstLine="420"/>
        <w:jc w:val="left"/>
      </w:pPr>
      <w:r>
        <w:rPr/>
        <w:t>金融负债全部或部分终止确认时，终止确认的金融负债账面价值与支付对价（包括转出的非 现金资产或承担的新金融负债）之间的差额，计入当期损益。</w:t>
      </w:r>
    </w:p>
    <w:p>
      <w:pPr>
        <w:pStyle w:val="BodyText"/>
        <w:spacing w:line="357" w:lineRule="auto" w:before="33"/>
        <w:ind w:left="137" w:right="127" w:firstLine="420"/>
        <w:jc w:val="left"/>
      </w:pPr>
      <w:r>
        <w:rPr/>
        <w:t>本公司若回购部分金融负债的，在回购日按照继续确认部分与终止确认部分的相对公允价 值，将该金融负债整体的账面价值进行分配。分配给终止确认部分的账面价值与支付的对价（包 括转出的非现金资产或承担的新金融负债）之间的差额，计入当期损益。</w:t>
      </w:r>
    </w:p>
    <w:p>
      <w:pPr>
        <w:spacing w:line="336" w:lineRule="auto" w:before="30"/>
        <w:ind w:left="557" w:right="12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金融资产和金融负债公允价值的确定方法</w:t>
      </w:r>
      <w:r>
        <w:rPr>
          <w:rFonts w:ascii="宋体" w:hAnsi="宋体" w:cs="宋体" w:eastAsia="宋体" w:hint="default"/>
          <w:b/>
          <w:bCs/>
          <w:spacing w:val="1"/>
          <w:w w:val="99"/>
          <w:sz w:val="21"/>
          <w:szCs w:val="21"/>
        </w:rPr>
        <w:t> </w:t>
      </w:r>
      <w:r>
        <w:rPr>
          <w:rFonts w:ascii="宋体" w:hAnsi="宋体" w:cs="宋体" w:eastAsia="宋体" w:hint="default"/>
          <w:sz w:val="21"/>
          <w:szCs w:val="21"/>
        </w:rPr>
        <w:t>本公司采用公允价值计量的金融资产和金融负债存在活跃市场的金融资产或金融负债，以活</w:t>
      </w:r>
    </w:p>
    <w:p>
      <w:pPr>
        <w:pStyle w:val="BodyText"/>
        <w:spacing w:line="357" w:lineRule="auto" w:before="50"/>
        <w:ind w:left="137" w:right="144"/>
        <w:jc w:val="both"/>
      </w:pPr>
      <w:r>
        <w:rPr/>
        <w:t>跃市场的报价确定其公允价值；不存在活跃市场的金融资产或金融负债，采用估值技术（包括参 考熟悉情况并自愿交易的各方最近进行的市场交易中使用的价格、参照实质上相同的其他金融工 具的当前公允价值、现金流量折现法和期权定价模型等）确定其公允价值；初始取得或衍生的金 融资产或承担的金融负债，以市场交易价格作为确定其公允价值的基础。</w:t>
      </w:r>
    </w:p>
    <w:p>
      <w:pPr>
        <w:spacing w:line="336" w:lineRule="auto" w:before="31"/>
        <w:ind w:left="557" w:right="12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金融资产（不含应收款项）减值准备计提</w:t>
      </w:r>
      <w:r>
        <w:rPr>
          <w:rFonts w:ascii="宋体" w:hAnsi="宋体" w:cs="宋体" w:eastAsia="宋体" w:hint="default"/>
          <w:b/>
          <w:bCs/>
          <w:spacing w:val="1"/>
          <w:w w:val="99"/>
          <w:sz w:val="21"/>
          <w:szCs w:val="21"/>
        </w:rPr>
        <w:t> </w:t>
      </w:r>
      <w:r>
        <w:rPr>
          <w:rFonts w:ascii="宋体" w:hAnsi="宋体" w:cs="宋体" w:eastAsia="宋体" w:hint="default"/>
          <w:sz w:val="21"/>
          <w:szCs w:val="21"/>
        </w:rPr>
        <w:t>资产负债表日对以公允价值计量且其变动计入当期损益的金融资产以外的金融资产的账面价</w:t>
      </w:r>
    </w:p>
    <w:p>
      <w:pPr>
        <w:pStyle w:val="BodyText"/>
        <w:spacing w:line="357" w:lineRule="auto" w:before="49"/>
        <w:ind w:left="557" w:right="2227" w:hanging="420"/>
        <w:jc w:val="left"/>
      </w:pPr>
      <w:r>
        <w:rPr/>
        <w:t>值进行检查，如有客观证据表明该金融资产发生减值的，计提减值准备。 金融资产发生减值的客观证据，包括但不限于：</w:t>
      </w:r>
    </w:p>
    <w:p>
      <w:pPr>
        <w:pStyle w:val="BodyText"/>
        <w:tabs>
          <w:tab w:pos="1397" w:val="left" w:leader="none"/>
        </w:tabs>
        <w:spacing w:line="240" w:lineRule="auto" w:before="30"/>
        <w:ind w:left="557" w:right="127"/>
        <w:jc w:val="left"/>
      </w:pPr>
      <w:r>
        <w:rPr/>
        <w:t>（</w:t>
      </w:r>
      <w:r>
        <w:rPr>
          <w:rFonts w:ascii="Times New Roman" w:hAnsi="Times New Roman" w:cs="Times New Roman" w:eastAsia="Times New Roman" w:hint="default"/>
        </w:rPr>
        <w:t>1</w:t>
      </w:r>
      <w:r>
        <w:rPr/>
        <w:t>）</w:t>
        <w:tab/>
        <w:t>发行方或债务人发生严重财务困难；</w:t>
      </w:r>
    </w:p>
    <w:p>
      <w:pPr>
        <w:pStyle w:val="BodyText"/>
        <w:tabs>
          <w:tab w:pos="1397" w:val="left" w:leader="none"/>
        </w:tabs>
        <w:spacing w:line="240" w:lineRule="auto" w:before="118"/>
        <w:ind w:left="557" w:right="127"/>
        <w:jc w:val="left"/>
      </w:pPr>
      <w:r>
        <w:rPr/>
        <w:t>（</w:t>
      </w:r>
      <w:r>
        <w:rPr>
          <w:rFonts w:ascii="Times New Roman" w:hAnsi="Times New Roman" w:cs="Times New Roman" w:eastAsia="Times New Roman" w:hint="default"/>
        </w:rPr>
        <w:t>2</w:t>
      </w:r>
      <w:r>
        <w:rPr/>
        <w:t>）</w:t>
        <w:tab/>
        <w:t>债务人违反了合同条款，如偿付利息或本金发生违约或逾期等；</w:t>
      </w:r>
    </w:p>
    <w:p>
      <w:pPr>
        <w:pStyle w:val="BodyText"/>
        <w:tabs>
          <w:tab w:pos="1397" w:val="left" w:leader="none"/>
        </w:tabs>
        <w:spacing w:line="240" w:lineRule="auto" w:before="117"/>
        <w:ind w:left="557" w:right="127"/>
        <w:jc w:val="left"/>
      </w:pPr>
      <w:r>
        <w:rPr/>
        <w:t>（</w:t>
      </w:r>
      <w:r>
        <w:rPr>
          <w:rFonts w:ascii="Times New Roman" w:hAnsi="Times New Roman" w:cs="Times New Roman" w:eastAsia="Times New Roman" w:hint="default"/>
        </w:rPr>
        <w:t>3</w:t>
      </w:r>
      <w:r>
        <w:rPr/>
        <w:t>）</w:t>
        <w:tab/>
        <w:t>债权人出于经济或法律等方面因素的考虑，对发生财务困难的债务人作出让步；</w:t>
      </w:r>
    </w:p>
    <w:p>
      <w:pPr>
        <w:pStyle w:val="BodyText"/>
        <w:tabs>
          <w:tab w:pos="1397" w:val="left" w:leader="none"/>
        </w:tabs>
        <w:spacing w:line="240" w:lineRule="auto" w:before="118"/>
        <w:ind w:left="557" w:right="127"/>
        <w:jc w:val="left"/>
      </w:pPr>
      <w:r>
        <w:rPr/>
        <w:t>（</w:t>
      </w:r>
      <w:r>
        <w:rPr>
          <w:rFonts w:ascii="Times New Roman" w:hAnsi="Times New Roman" w:cs="Times New Roman" w:eastAsia="Times New Roman" w:hint="default"/>
        </w:rPr>
        <w:t>4</w:t>
      </w:r>
      <w:r>
        <w:rPr/>
        <w:t>）</w:t>
        <w:tab/>
        <w:t>债务人很可能倒闭或进行其他财务重组；</w:t>
      </w:r>
    </w:p>
    <w:p>
      <w:pPr>
        <w:pStyle w:val="BodyText"/>
        <w:tabs>
          <w:tab w:pos="1397" w:val="left" w:leader="none"/>
        </w:tabs>
        <w:spacing w:line="240" w:lineRule="auto" w:before="117"/>
        <w:ind w:left="557" w:right="127"/>
        <w:jc w:val="left"/>
      </w:pPr>
      <w:r>
        <w:rPr/>
        <w:t>（</w:t>
      </w:r>
      <w:r>
        <w:rPr>
          <w:rFonts w:ascii="Times New Roman" w:hAnsi="Times New Roman" w:cs="Times New Roman" w:eastAsia="Times New Roman" w:hint="default"/>
        </w:rPr>
        <w:t>5</w:t>
      </w:r>
      <w:r>
        <w:rPr/>
        <w:t>）</w:t>
        <w:tab/>
        <w:t>因发行方发生重大财务困难，该金融资产无法在活跃市场继续交易；</w:t>
      </w:r>
    </w:p>
    <w:p>
      <w:pPr>
        <w:spacing w:after="0" w:line="240" w:lineRule="auto"/>
        <w:jc w:val="left"/>
        <w:sectPr>
          <w:pgSz w:w="11910" w:h="16840"/>
          <w:pgMar w:header="882" w:footer="1197" w:top="1120" w:bottom="1380" w:left="1660" w:right="1140"/>
        </w:sectPr>
      </w:pPr>
    </w:p>
    <w:p>
      <w:pPr>
        <w:spacing w:line="240" w:lineRule="auto" w:before="4"/>
        <w:rPr>
          <w:rFonts w:ascii="宋体" w:hAnsi="宋体" w:cs="宋体" w:eastAsia="宋体" w:hint="default"/>
          <w:sz w:val="25"/>
          <w:szCs w:val="25"/>
        </w:rPr>
      </w:pPr>
    </w:p>
    <w:p>
      <w:pPr>
        <w:pStyle w:val="BodyText"/>
        <w:tabs>
          <w:tab w:pos="1397" w:val="left" w:leader="none"/>
        </w:tabs>
        <w:spacing w:line="350" w:lineRule="auto" w:before="35"/>
        <w:ind w:left="137" w:right="144" w:firstLine="420"/>
        <w:jc w:val="left"/>
      </w:pPr>
      <w:r>
        <w:rPr/>
        <w:t>（</w:t>
      </w:r>
      <w:r>
        <w:rPr>
          <w:rFonts w:ascii="Times New Roman" w:hAnsi="Times New Roman" w:cs="Times New Roman" w:eastAsia="Times New Roman" w:hint="default"/>
        </w:rPr>
        <w:t>6</w:t>
      </w:r>
      <w:r>
        <w:rPr/>
        <w:t>）</w:t>
        <w:tab/>
        <w:t>无法辨认一组金融资产中的某项资产的现金流量是否已经减少，但根据公开的数据 对其进行总体评价后发现，该组金融资产自初始确认以来的预计未来现金流量确已减少且可计 量，如该组金融资产的债务人支付能力逐步恶化，或债务人所在国家或地区失业率提高、担保物 在其所在地区的价格明显下降、所处行业不景气等；</w:t>
      </w:r>
    </w:p>
    <w:p>
      <w:pPr>
        <w:pStyle w:val="BodyText"/>
        <w:tabs>
          <w:tab w:pos="1397" w:val="left" w:leader="none"/>
        </w:tabs>
        <w:spacing w:line="336" w:lineRule="auto" w:before="38"/>
        <w:ind w:left="137" w:right="144" w:firstLine="420"/>
        <w:jc w:val="left"/>
      </w:pPr>
      <w:r>
        <w:rPr/>
        <w:t>（</w:t>
      </w:r>
      <w:r>
        <w:rPr>
          <w:rFonts w:ascii="Times New Roman" w:hAnsi="Times New Roman" w:cs="Times New Roman" w:eastAsia="Times New Roman" w:hint="default"/>
        </w:rPr>
        <w:t>7</w:t>
      </w:r>
      <w:r>
        <w:rPr/>
        <w:t>）</w:t>
        <w:tab/>
        <w:t>权益工具发行方经营所处的技术、市场、经济或法律环境等发生重大不利变化，使 权益工具投资人可能无法收回投资成本；</w:t>
      </w:r>
    </w:p>
    <w:p>
      <w:pPr>
        <w:pStyle w:val="BodyText"/>
        <w:tabs>
          <w:tab w:pos="1397" w:val="left" w:leader="none"/>
        </w:tabs>
        <w:spacing w:line="338" w:lineRule="auto" w:before="49"/>
        <w:ind w:left="557" w:right="2874"/>
        <w:jc w:val="left"/>
      </w:pPr>
      <w:r>
        <w:rPr/>
        <w:t>（</w:t>
      </w:r>
      <w:r>
        <w:rPr>
          <w:rFonts w:ascii="Times New Roman" w:hAnsi="Times New Roman" w:cs="Times New Roman" w:eastAsia="Times New Roman" w:hint="default"/>
        </w:rPr>
        <w:t>8</w:t>
      </w:r>
      <w:r>
        <w:rPr/>
        <w:t>）</w:t>
        <w:tab/>
        <w:t>权益工具投资的公允价值发生严重或非暂时性下跌； 金融资产的具体减值方法如下：</w:t>
      </w:r>
    </w:p>
    <w:p>
      <w:pPr>
        <w:pStyle w:val="BodyText"/>
        <w:spacing w:line="338" w:lineRule="auto" w:before="47"/>
        <w:ind w:left="557" w:right="127" w:hanging="1"/>
        <w:jc w:val="left"/>
      </w:pPr>
      <w:r>
        <w:rPr/>
        <w:t>（</w:t>
      </w:r>
      <w:r>
        <w:rPr>
          <w:rFonts w:ascii="Times New Roman" w:hAnsi="Times New Roman" w:cs="Times New Roman" w:eastAsia="Times New Roman" w:hint="default"/>
        </w:rPr>
        <w:t>1</w:t>
      </w:r>
      <w:r>
        <w:rPr/>
        <w:t>）可供出售金融资产的减值准备 本公司于资产负债表日对各项可供出售金融资产采用个别认定的方式评估减值损失，其中：</w:t>
      </w:r>
    </w:p>
    <w:p>
      <w:pPr>
        <w:pStyle w:val="BodyText"/>
        <w:spacing w:line="348" w:lineRule="auto" w:before="47"/>
        <w:ind w:left="137" w:right="131"/>
        <w:jc w:val="both"/>
      </w:pPr>
      <w:r>
        <w:rPr/>
        <w:t>表明可供出售权益工具投资发生减值的客观证据包括权益工具投资的公允价值发生严重或非暂时 性下跌。其中“严重下跌”是指公允价值下跌幅度累计超过</w:t>
      </w:r>
      <w:r>
        <w:rPr>
          <w:spacing w:val="-59"/>
        </w:rPr>
        <w:t> </w:t>
      </w:r>
      <w:r>
        <w:rPr>
          <w:rFonts w:ascii="Times New Roman" w:hAnsi="Times New Roman" w:cs="Times New Roman" w:eastAsia="Times New Roman" w:hint="default"/>
        </w:rPr>
        <w:t>20%</w:t>
      </w:r>
      <w:r>
        <w:rPr/>
        <w:t>，；“非暂时性下跌”是指公允 价值连续下跌时间超过</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w:t>
      </w:r>
    </w:p>
    <w:p>
      <w:pPr>
        <w:pStyle w:val="BodyText"/>
        <w:spacing w:line="357" w:lineRule="auto" w:before="12"/>
        <w:ind w:left="137" w:right="127" w:firstLine="420"/>
        <w:jc w:val="left"/>
      </w:pPr>
      <w:r>
        <w:rPr/>
        <w:t>上段所述“成本”按照可供出售权益工具投资的初始取得成本扣除已收回本金和已摊销金 额、原已计入损益的减值损失确定；“公允价值”根据证券交易所期末收盘价确定，除非该项可 供出售权益工具投资存在限售期。对于存在限售期的可供出售权益工具投资，按照证券交易所期 末收盘价扣除市场参与者因承担指定期间内无法在公开市场上出售该权益工具的风险而要求获得 的补偿金额后确定。</w:t>
      </w:r>
    </w:p>
    <w:p>
      <w:pPr>
        <w:pStyle w:val="BodyText"/>
        <w:spacing w:line="357" w:lineRule="auto" w:before="31"/>
        <w:ind w:left="137" w:right="132" w:firstLine="420"/>
        <w:jc w:val="both"/>
      </w:pPr>
      <w:r>
        <w:rPr/>
        <w:t>可供出售金融资产发生减值时，即使该金融资产没有终止确认，本公司将原直接计入其他综 合收益的因公允价值下降形成的累计损失从其他综合收益转出，计入当期损益。该转出的累计损</w:t>
      </w:r>
      <w:r>
        <w:rPr>
          <w:spacing w:val="-96"/>
        </w:rPr>
        <w:t> </w:t>
      </w:r>
      <w:r>
        <w:rPr>
          <w:spacing w:val="-96"/>
        </w:rPr>
      </w:r>
      <w:r>
        <w:rPr/>
        <w:t>失，等于可供出售金融资产的初始取得成本扣除已收回本金和已摊余金额、当前公允价值和原已</w:t>
      </w:r>
      <w:r>
        <w:rPr>
          <w:spacing w:val="-96"/>
        </w:rPr>
        <w:t> </w:t>
      </w:r>
      <w:r>
        <w:rPr>
          <w:spacing w:val="-96"/>
        </w:rPr>
      </w:r>
      <w:r>
        <w:rPr/>
        <w:t>计入损益的减值损失后的余额。</w:t>
      </w:r>
    </w:p>
    <w:p>
      <w:pPr>
        <w:pStyle w:val="BodyText"/>
        <w:spacing w:line="357" w:lineRule="auto" w:before="30"/>
        <w:ind w:left="137" w:right="132" w:firstLine="420"/>
        <w:jc w:val="both"/>
      </w:pPr>
      <w:r>
        <w:rPr/>
        <w:t>对于已确认减值损失的可供出售债务工具，在随后的会计期间公允价值已上升且客观上与确 认原减值损失后发生的事项有关的，原确认的减值损失予以转回计入当期损益；对于可供出售权</w:t>
      </w:r>
      <w:r>
        <w:rPr>
          <w:spacing w:val="-96"/>
        </w:rPr>
        <w:t> </w:t>
      </w:r>
      <w:r>
        <w:rPr>
          <w:spacing w:val="-96"/>
        </w:rPr>
      </w:r>
      <w:r>
        <w:rPr/>
        <w:t>益工具投资发生的减值损失，在该权益工具价值回升时通过权益转回；但在活跃市场中没有报价</w:t>
      </w:r>
      <w:r>
        <w:rPr>
          <w:spacing w:val="-96"/>
        </w:rPr>
        <w:t> </w:t>
      </w:r>
      <w:r>
        <w:rPr>
          <w:spacing w:val="-96"/>
        </w:rPr>
      </w:r>
      <w:r>
        <w:rPr/>
        <w:t>且其公允价值不能可靠计量的权益工具投资，或与该权益工具挂钩并须通过交付该权益工具结算</w:t>
      </w:r>
      <w:r>
        <w:rPr>
          <w:spacing w:val="-96"/>
        </w:rPr>
        <w:t> </w:t>
      </w:r>
      <w:r>
        <w:rPr>
          <w:spacing w:val="-96"/>
        </w:rPr>
      </w:r>
      <w:r>
        <w:rPr/>
        <w:t>的衍生金融资产发生的减值损失，不得转回。</w:t>
      </w:r>
    </w:p>
    <w:p>
      <w:pPr>
        <w:pStyle w:val="BodyText"/>
        <w:spacing w:line="338" w:lineRule="auto" w:before="30"/>
        <w:ind w:left="557" w:right="127" w:hanging="1"/>
        <w:jc w:val="left"/>
      </w:pPr>
      <w:r>
        <w:rPr/>
        <w:t>（</w:t>
      </w:r>
      <w:r>
        <w:rPr>
          <w:rFonts w:ascii="Times New Roman" w:hAnsi="Times New Roman" w:cs="Times New Roman" w:eastAsia="Times New Roman" w:hint="default"/>
        </w:rPr>
        <w:t>2</w:t>
      </w:r>
      <w:r>
        <w:rPr/>
        <w:t>）持有至到期投资的减值准备 对于持有至到期投资，有客观证据表明其发生了减值的，根据其账面价值与预计未来现金流</w:t>
      </w:r>
    </w:p>
    <w:p>
      <w:pPr>
        <w:pStyle w:val="BodyText"/>
        <w:spacing w:line="357" w:lineRule="auto" w:before="47"/>
        <w:ind w:left="137" w:right="144"/>
        <w:jc w:val="both"/>
      </w:pPr>
      <w:r>
        <w:rPr/>
        <w:t>量现值之间差额计算确认减值损失；计提后如有证据表明其价值已恢复，原确认的减值损失可予 以转回，记入当期损益，但该转回的账面价值不超过假定不计提减值准备情况下该金融资产在转 回日的摊余成本。</w:t>
      </w:r>
    </w:p>
    <w:p>
      <w:pPr>
        <w:spacing w:line="336" w:lineRule="auto" w:before="31"/>
        <w:ind w:left="557" w:right="33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金融资产及金融负债的抵销</w:t>
      </w:r>
      <w:r>
        <w:rPr>
          <w:rFonts w:ascii="宋体" w:hAnsi="宋体" w:cs="宋体" w:eastAsia="宋体" w:hint="default"/>
          <w:b/>
          <w:bCs/>
          <w:w w:val="99"/>
          <w:sz w:val="21"/>
          <w:szCs w:val="21"/>
        </w:rPr>
        <w:t> </w:t>
      </w:r>
      <w:r>
        <w:rPr>
          <w:rFonts w:ascii="宋体" w:hAnsi="宋体" w:cs="宋体" w:eastAsia="宋体" w:hint="default"/>
          <w:sz w:val="21"/>
          <w:szCs w:val="21"/>
        </w:rPr>
        <w:t>金融资产和金融负债在资产负债表内分别列示，没有相互抵销。但是，同时满足下列条件</w:t>
      </w:r>
    </w:p>
    <w:p>
      <w:pPr>
        <w:spacing w:after="0" w:line="336" w:lineRule="auto"/>
        <w:jc w:val="left"/>
        <w:rPr>
          <w:rFonts w:ascii="宋体" w:hAnsi="宋体" w:cs="宋体" w:eastAsia="宋体" w:hint="default"/>
          <w:sz w:val="21"/>
          <w:szCs w:val="21"/>
        </w:rPr>
        <w:sectPr>
          <w:footerReference w:type="default" r:id="rId81"/>
          <w:pgSz w:w="11910" w:h="16840"/>
          <w:pgMar w:footer="1197" w:header="882" w:top="1120" w:bottom="1380" w:left="1660" w:right="1140"/>
          <w:pgNumType w:start="78"/>
        </w:sectPr>
      </w:pPr>
    </w:p>
    <w:p>
      <w:pPr>
        <w:spacing w:line="240" w:lineRule="auto" w:before="4"/>
        <w:rPr>
          <w:rFonts w:ascii="宋体" w:hAnsi="宋体" w:cs="宋体" w:eastAsia="宋体" w:hint="default"/>
          <w:sz w:val="25"/>
          <w:szCs w:val="25"/>
        </w:rPr>
      </w:pPr>
    </w:p>
    <w:p>
      <w:pPr>
        <w:pStyle w:val="BodyText"/>
        <w:spacing w:line="240" w:lineRule="auto" w:before="35"/>
        <w:ind w:right="114"/>
        <w:jc w:val="left"/>
      </w:pPr>
      <w:r>
        <w:rPr/>
        <w:t>的，以相互抵销后的净额在资产负债表内列示：</w:t>
      </w:r>
    </w:p>
    <w:p>
      <w:pPr>
        <w:pStyle w:val="BodyText"/>
        <w:spacing w:line="240" w:lineRule="auto" w:before="133"/>
        <w:ind w:left="637" w:right="114"/>
        <w:jc w:val="left"/>
      </w:pPr>
      <w:r>
        <w:rPr/>
        <w:t>（</w:t>
      </w:r>
      <w:r>
        <w:rPr>
          <w:rFonts w:ascii="Times New Roman" w:hAnsi="Times New Roman" w:cs="Times New Roman" w:eastAsia="Times New Roman" w:hint="default"/>
        </w:rPr>
        <w:t>1</w:t>
      </w:r>
      <w:r>
        <w:rPr/>
        <w:t>）本公司具有抵销已确认金额的法定权利，且该种法定权利是当前可执行的；</w:t>
      </w:r>
    </w:p>
    <w:p>
      <w:pPr>
        <w:pStyle w:val="BodyText"/>
        <w:spacing w:line="240" w:lineRule="auto" w:before="118"/>
        <w:ind w:left="637" w:right="114"/>
        <w:jc w:val="left"/>
      </w:pPr>
      <w:r>
        <w:rPr/>
        <w:t>（</w:t>
      </w:r>
      <w:r>
        <w:rPr>
          <w:rFonts w:ascii="Times New Roman" w:hAnsi="Times New Roman" w:cs="Times New Roman" w:eastAsia="Times New Roman" w:hint="default"/>
        </w:rPr>
        <w:t>2</w:t>
      </w:r>
      <w:r>
        <w:rPr/>
        <w:t>）本公司计划以净额结算，或同时变现该金融资产和清偿该金融负债。</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Heading3"/>
        <w:spacing w:line="295" w:lineRule="auto" w:before="0"/>
        <w:ind w:right="4407"/>
        <w:jc w:val="left"/>
        <w:rPr>
          <w:b w:val="0"/>
          <w:bCs w:val="0"/>
        </w:rPr>
      </w:pPr>
      <w:r>
        <w:rPr>
          <w:rFonts w:ascii="Calibri" w:hAnsi="Calibri" w:cs="Calibri" w:eastAsia="Calibri" w:hint="default"/>
        </w:rPr>
        <w:t>11.</w:t>
      </w:r>
      <w:r>
        <w:rPr>
          <w:rFonts w:ascii="Calibri" w:hAnsi="Calibri" w:cs="Calibri" w:eastAsia="Calibri" w:hint="default"/>
          <w:spacing w:val="7"/>
        </w:rPr>
        <w:t> </w:t>
      </w:r>
      <w:r>
        <w:rPr/>
        <w:t>应收款项</w:t>
      </w:r>
      <w:r>
        <w:rPr>
          <w:spacing w:val="1"/>
          <w:w w:val="99"/>
        </w:rPr>
        <w:t> </w:t>
      </w:r>
      <w:r>
        <w:rPr/>
        <w:t>(1).单项金额重大并单独计提坏账准备的应收款项</w:t>
      </w:r>
      <w:r>
        <w:rPr>
          <w:b w:val="0"/>
          <w:bCs w:val="0"/>
        </w:rPr>
      </w:r>
    </w:p>
    <w:p>
      <w:pPr>
        <w:spacing w:line="240" w:lineRule="auto" w:before="11"/>
        <w:rPr>
          <w:rFonts w:ascii="宋体" w:hAnsi="宋体" w:cs="宋体" w:eastAsia="宋体" w:hint="default"/>
          <w:b/>
          <w:bCs/>
          <w:sz w:val="4"/>
          <w:szCs w:val="4"/>
        </w:rPr>
      </w:pPr>
    </w:p>
    <w:tbl>
      <w:tblPr>
        <w:tblW w:w="0" w:type="auto"/>
        <w:jc w:val="left"/>
        <w:tblInd w:w="104" w:type="dxa"/>
        <w:tblLayout w:type="fixed"/>
        <w:tblCellMar>
          <w:top w:w="0" w:type="dxa"/>
          <w:left w:w="0" w:type="dxa"/>
          <w:bottom w:w="0" w:type="dxa"/>
          <w:right w:w="0" w:type="dxa"/>
        </w:tblCellMar>
        <w:tblLook w:val="01E0"/>
      </w:tblPr>
      <w:tblGrid>
        <w:gridCol w:w="4582"/>
        <w:gridCol w:w="4468"/>
      </w:tblGrid>
      <w:tr>
        <w:trPr>
          <w:trHeight w:val="63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left"/>
              <w:rPr>
                <w:rFonts w:ascii="宋体" w:hAnsi="宋体" w:cs="宋体" w:eastAsia="宋体" w:hint="default"/>
                <w:sz w:val="21"/>
                <w:szCs w:val="21"/>
              </w:rPr>
            </w:pPr>
            <w:r>
              <w:rPr>
                <w:rFonts w:ascii="宋体" w:hAnsi="宋体" w:cs="宋体" w:eastAsia="宋体" w:hint="default"/>
                <w:sz w:val="21"/>
                <w:szCs w:val="21"/>
              </w:rPr>
              <w:t>占应收款项余额</w:t>
            </w:r>
            <w:r>
              <w:rPr>
                <w:rFonts w:ascii="宋体" w:hAnsi="宋体" w:cs="宋体" w:eastAsia="宋体" w:hint="default"/>
                <w:spacing w:val="-55"/>
                <w:sz w:val="21"/>
                <w:szCs w:val="21"/>
              </w:rPr>
              <w:t> </w:t>
            </w:r>
            <w:r>
              <w:rPr>
                <w:rFonts w:ascii="宋体" w:hAnsi="宋体" w:cs="宋体" w:eastAsia="宋体" w:hint="default"/>
                <w:sz w:val="21"/>
                <w:szCs w:val="21"/>
              </w:rPr>
              <w:t>10％以上且金额在</w:t>
            </w:r>
            <w:r>
              <w:rPr>
                <w:rFonts w:ascii="宋体" w:hAnsi="宋体" w:cs="宋体" w:eastAsia="宋体" w:hint="default"/>
                <w:spacing w:val="-55"/>
                <w:sz w:val="21"/>
                <w:szCs w:val="21"/>
              </w:rPr>
              <w:t> </w:t>
            </w:r>
            <w:r>
              <w:rPr>
                <w:rFonts w:ascii="宋体" w:hAnsi="宋体" w:cs="宋体" w:eastAsia="宋体" w:hint="default"/>
                <w:sz w:val="21"/>
                <w:szCs w:val="21"/>
              </w:rPr>
              <w:t>500</w:t>
            </w:r>
            <w:r>
              <w:rPr>
                <w:rFonts w:ascii="宋体" w:hAnsi="宋体" w:cs="宋体" w:eastAsia="宋体" w:hint="default"/>
                <w:spacing w:val="-54"/>
                <w:sz w:val="21"/>
                <w:szCs w:val="21"/>
              </w:rPr>
              <w:t> </w:t>
            </w:r>
            <w:r>
              <w:rPr>
                <w:rFonts w:ascii="宋体" w:hAnsi="宋体" w:cs="宋体" w:eastAsia="宋体" w:hint="default"/>
                <w:sz w:val="21"/>
                <w:szCs w:val="21"/>
              </w:rPr>
              <w:t>万元以</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上的应收款项。</w:t>
            </w:r>
          </w:p>
        </w:tc>
      </w:tr>
      <w:tr>
        <w:trPr>
          <w:trHeight w:val="317" w:hRule="exact"/>
        </w:trPr>
        <w:tc>
          <w:tcPr>
            <w:tcW w:w="4582"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8"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单独进行减值测试，按预计未来现金流量现值</w:t>
            </w:r>
          </w:p>
        </w:tc>
      </w:tr>
      <w:tr>
        <w:trPr>
          <w:trHeight w:val="312" w:hRule="exact"/>
        </w:trPr>
        <w:tc>
          <w:tcPr>
            <w:tcW w:w="4582" w:type="dxa"/>
            <w:tcBorders>
              <w:top w:val="nil" w:sz="6" w:space="0" w:color="auto"/>
              <w:left w:val="single" w:sz="4" w:space="0" w:color="000000"/>
              <w:bottom w:val="nil" w:sz="6" w:space="0" w:color="auto"/>
              <w:right w:val="single" w:sz="4" w:space="0" w:color="000000"/>
            </w:tcBorders>
          </w:tcPr>
          <w:p>
            <w:pPr/>
          </w:p>
        </w:tc>
        <w:tc>
          <w:tcPr>
            <w:tcW w:w="446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低于其账面价值的差额计提坏账准备，计入当</w:t>
            </w:r>
          </w:p>
        </w:tc>
      </w:tr>
      <w:tr>
        <w:trPr>
          <w:trHeight w:val="312" w:hRule="exact"/>
        </w:trPr>
        <w:tc>
          <w:tcPr>
            <w:tcW w:w="4582" w:type="dxa"/>
            <w:tcBorders>
              <w:top w:val="nil" w:sz="6" w:space="0" w:color="auto"/>
              <w:left w:val="single" w:sz="4" w:space="0" w:color="000000"/>
              <w:bottom w:val="nil" w:sz="6" w:space="0" w:color="auto"/>
              <w:right w:val="single" w:sz="4" w:space="0" w:color="000000"/>
            </w:tcBorders>
          </w:tcPr>
          <w:p>
            <w:pPr/>
          </w:p>
        </w:tc>
        <w:tc>
          <w:tcPr>
            <w:tcW w:w="446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期损益。单独测试未发生减值的应收款项，将</w:t>
            </w:r>
          </w:p>
        </w:tc>
      </w:tr>
      <w:tr>
        <w:trPr>
          <w:trHeight w:val="318" w:hRule="exact"/>
        </w:trPr>
        <w:tc>
          <w:tcPr>
            <w:tcW w:w="4582" w:type="dxa"/>
            <w:tcBorders>
              <w:top w:val="nil" w:sz="6" w:space="0" w:color="auto"/>
              <w:left w:val="single" w:sz="4" w:space="0" w:color="000000"/>
              <w:bottom w:val="single" w:sz="4" w:space="0" w:color="000000"/>
              <w:right w:val="single" w:sz="4" w:space="0" w:color="000000"/>
            </w:tcBorders>
          </w:tcPr>
          <w:p>
            <w:pPr/>
          </w:p>
        </w:tc>
        <w:tc>
          <w:tcPr>
            <w:tcW w:w="446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其归入相应组合计提坏账准备。</w:t>
            </w:r>
          </w:p>
        </w:tc>
      </w:tr>
    </w:tbl>
    <w:p>
      <w:pPr>
        <w:spacing w:line="240" w:lineRule="auto" w:before="8"/>
        <w:rPr>
          <w:rFonts w:ascii="宋体" w:hAnsi="宋体" w:cs="宋体" w:eastAsia="宋体" w:hint="default"/>
          <w:b/>
          <w:bCs/>
          <w:sz w:val="24"/>
          <w:szCs w:val="24"/>
        </w:rPr>
      </w:pPr>
    </w:p>
    <w:p>
      <w:pPr>
        <w:pStyle w:val="Heading3"/>
        <w:spacing w:line="240" w:lineRule="auto"/>
        <w:ind w:right="114"/>
        <w:jc w:val="left"/>
        <w:rPr>
          <w:b w:val="0"/>
          <w:bCs w:val="0"/>
        </w:rPr>
      </w:pPr>
      <w:r>
        <w:rPr/>
        <w:t>(2).按信用风险特征组合计提坏账准备的应收款项：</w:t>
      </w:r>
      <w:r>
        <w:rPr>
          <w:b w:val="0"/>
          <w:bCs w:val="0"/>
        </w:rPr>
      </w:r>
    </w:p>
    <w:p>
      <w:pPr>
        <w:spacing w:line="240" w:lineRule="auto" w:before="7"/>
        <w:rPr>
          <w:rFonts w:ascii="宋体" w:hAnsi="宋体" w:cs="宋体" w:eastAsia="宋体" w:hint="default"/>
          <w:b/>
          <w:bCs/>
          <w:sz w:val="8"/>
          <w:szCs w:val="8"/>
        </w:rPr>
      </w:pPr>
    </w:p>
    <w:tbl>
      <w:tblPr>
        <w:tblW w:w="0" w:type="auto"/>
        <w:jc w:val="left"/>
        <w:tblInd w:w="104" w:type="dxa"/>
        <w:tblLayout w:type="fixed"/>
        <w:tblCellMar>
          <w:top w:w="0" w:type="dxa"/>
          <w:left w:w="0" w:type="dxa"/>
          <w:bottom w:w="0" w:type="dxa"/>
          <w:right w:w="0" w:type="dxa"/>
        </w:tblCellMar>
        <w:tblLook w:val="01E0"/>
      </w:tblPr>
      <w:tblGrid>
        <w:gridCol w:w="4582"/>
        <w:gridCol w:w="4468"/>
      </w:tblGrid>
      <w:tr>
        <w:trPr>
          <w:trHeight w:val="322" w:hRule="exact"/>
        </w:trPr>
        <w:tc>
          <w:tcPr>
            <w:tcW w:w="90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635"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根据历史经验，相同账龄段的应收款项具有类</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似信用风险特征。</w:t>
            </w:r>
          </w:p>
        </w:tc>
      </w:tr>
      <w:tr>
        <w:trPr>
          <w:trHeight w:val="322" w:hRule="exact"/>
        </w:trPr>
        <w:tc>
          <w:tcPr>
            <w:tcW w:w="4582" w:type="dxa"/>
            <w:tcBorders>
              <w:top w:val="single" w:sz="4" w:space="0" w:color="000000"/>
              <w:left w:val="single" w:sz="4" w:space="0" w:color="000000"/>
              <w:bottom w:val="single" w:sz="4" w:space="0" w:color="000000"/>
              <w:right w:val="single" w:sz="4" w:space="0" w:color="000000"/>
            </w:tcBorders>
          </w:tcPr>
          <w:p>
            <w:pPr/>
          </w:p>
        </w:tc>
        <w:tc>
          <w:tcPr>
            <w:tcW w:w="44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pStyle w:val="BodyText"/>
        <w:spacing w:line="240" w:lineRule="auto" w:before="35"/>
        <w:ind w:right="114"/>
        <w:jc w:val="left"/>
      </w:pPr>
      <w:r>
        <w:rPr/>
        <w:t>组合中，采用账龄分析法计提坏账准备的</w:t>
      </w:r>
    </w:p>
    <w:p>
      <w:pPr>
        <w:pStyle w:val="BodyText"/>
        <w:spacing w:line="240" w:lineRule="auto" w:before="37"/>
        <w:ind w:right="114"/>
        <w:jc w:val="left"/>
      </w:pPr>
      <w:r>
        <w:rPr/>
        <w:t>√适用□不适用</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3122"/>
        <w:gridCol w:w="2963"/>
        <w:gridCol w:w="2964"/>
      </w:tblGrid>
      <w:tr>
        <w:trPr>
          <w:trHeight w:val="32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sz w:val="21"/>
                <w:szCs w:val="21"/>
              </w:rPr>
              <w:t>应收账款计提比例(%)</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4"/>
              <w:jc w:val="center"/>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32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5</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5</w:t>
            </w:r>
          </w:p>
        </w:tc>
      </w:tr>
      <w:tr>
        <w:trPr>
          <w:trHeight w:val="322" w:hRule="exact"/>
        </w:trPr>
        <w:tc>
          <w:tcPr>
            <w:tcW w:w="90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其中：1</w:t>
            </w:r>
            <w:r>
              <w:rPr>
                <w:rFonts w:ascii="宋体" w:hAnsi="宋体" w:cs="宋体" w:eastAsia="宋体" w:hint="default"/>
                <w:spacing w:val="-54"/>
                <w:sz w:val="21"/>
                <w:szCs w:val="21"/>
              </w:rPr>
              <w:t> </w:t>
            </w:r>
            <w:r>
              <w:rPr>
                <w:rFonts w:ascii="宋体" w:hAnsi="宋体" w:cs="宋体" w:eastAsia="宋体" w:hint="default"/>
                <w:sz w:val="21"/>
                <w:szCs w:val="21"/>
              </w:rPr>
              <w:t>年以内分项，可添加行</w:t>
            </w:r>
          </w:p>
        </w:tc>
      </w:tr>
      <w:tr>
        <w:trPr>
          <w:trHeight w:val="323" w:hRule="exact"/>
        </w:trPr>
        <w:tc>
          <w:tcPr>
            <w:tcW w:w="3122" w:type="dxa"/>
            <w:tcBorders>
              <w:top w:val="single" w:sz="4" w:space="0" w:color="000000"/>
              <w:left w:val="single" w:sz="4" w:space="0" w:color="000000"/>
              <w:bottom w:val="single" w:sz="4" w:space="0" w:color="000000"/>
              <w:right w:val="single" w:sz="4" w:space="0" w:color="000000"/>
            </w:tcBorders>
          </w:tcPr>
          <w:p>
            <w:pPr/>
          </w:p>
        </w:tc>
        <w:tc>
          <w:tcPr>
            <w:tcW w:w="2963"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2" w:type="dxa"/>
            <w:tcBorders>
              <w:top w:val="single" w:sz="4" w:space="0" w:color="000000"/>
              <w:left w:val="single" w:sz="4" w:space="0" w:color="000000"/>
              <w:bottom w:val="single" w:sz="4" w:space="0" w:color="000000"/>
              <w:right w:val="single" w:sz="4" w:space="0" w:color="000000"/>
            </w:tcBorders>
          </w:tcPr>
          <w:p>
            <w:pPr/>
          </w:p>
        </w:tc>
        <w:tc>
          <w:tcPr>
            <w:tcW w:w="2963"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8</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8</w:t>
            </w:r>
          </w:p>
        </w:tc>
      </w:tr>
      <w:tr>
        <w:trPr>
          <w:trHeight w:val="32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20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20</w:t>
            </w:r>
          </w:p>
        </w:tc>
      </w:tr>
      <w:tr>
        <w:trPr>
          <w:trHeight w:val="32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50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50</w:t>
            </w:r>
          </w:p>
        </w:tc>
      </w:tr>
      <w:tr>
        <w:trPr>
          <w:trHeight w:val="401"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3"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2" w:type="dxa"/>
            <w:tcBorders>
              <w:top w:val="single" w:sz="4" w:space="0" w:color="000000"/>
              <w:left w:val="single" w:sz="4" w:space="0" w:color="000000"/>
              <w:bottom w:val="single" w:sz="4" w:space="0" w:color="000000"/>
              <w:right w:val="single" w:sz="4" w:space="0" w:color="000000"/>
            </w:tcBorders>
          </w:tcPr>
          <w:p>
            <w:pPr/>
          </w:p>
        </w:tc>
        <w:tc>
          <w:tcPr>
            <w:tcW w:w="2963"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22" w:type="dxa"/>
            <w:tcBorders>
              <w:top w:val="single" w:sz="4" w:space="0" w:color="000000"/>
              <w:left w:val="single" w:sz="4" w:space="0" w:color="000000"/>
              <w:bottom w:val="single" w:sz="4" w:space="0" w:color="000000"/>
              <w:right w:val="single" w:sz="4" w:space="0" w:color="000000"/>
            </w:tcBorders>
          </w:tcPr>
          <w:p>
            <w:pPr/>
          </w:p>
        </w:tc>
        <w:tc>
          <w:tcPr>
            <w:tcW w:w="2963"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right="114"/>
        <w:jc w:val="left"/>
      </w:pPr>
      <w:r>
        <w:rPr/>
        <w:t>组合中，采用余额百分比法计提坏账准备的</w:t>
      </w:r>
    </w:p>
    <w:p>
      <w:pPr>
        <w:pStyle w:val="BodyText"/>
        <w:spacing w:line="240" w:lineRule="auto" w:before="37"/>
        <w:ind w:right="114"/>
        <w:jc w:val="left"/>
      </w:pPr>
      <w:r>
        <w:rPr/>
        <w:t>□适用</w:t>
      </w:r>
      <w:r>
        <w:rPr>
          <w:spacing w:val="-2"/>
        </w:rPr>
        <w:t> </w:t>
      </w:r>
      <w:r>
        <w:rPr/>
        <w:t>□不适用</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3094"/>
        <w:gridCol w:w="2976"/>
        <w:gridCol w:w="2980"/>
      </w:tblGrid>
      <w:tr>
        <w:trPr>
          <w:trHeight w:val="322"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84" w:right="0"/>
              <w:jc w:val="left"/>
              <w:rPr>
                <w:rFonts w:ascii="宋体" w:hAnsi="宋体" w:cs="宋体" w:eastAsia="宋体" w:hint="default"/>
                <w:sz w:val="21"/>
                <w:szCs w:val="21"/>
              </w:rPr>
            </w:pPr>
            <w:r>
              <w:rPr>
                <w:rFonts w:ascii="宋体" w:hAnsi="宋体" w:cs="宋体" w:eastAsia="宋体" w:hint="default"/>
                <w:sz w:val="21"/>
                <w:szCs w:val="21"/>
              </w:rPr>
              <w:t>应收账款计提比例(%)</w:t>
            </w:r>
          </w:p>
        </w:tc>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0"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323" w:hRule="exact"/>
        </w:trPr>
        <w:tc>
          <w:tcPr>
            <w:tcW w:w="3094"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
        </w:tc>
        <w:tc>
          <w:tcPr>
            <w:tcW w:w="29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94"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
        </w:tc>
        <w:tc>
          <w:tcPr>
            <w:tcW w:w="29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7" w:top="1120" w:bottom="1380" w:left="1580" w:right="1040"/>
        </w:sectPr>
      </w:pPr>
    </w:p>
    <w:p>
      <w:pPr>
        <w:spacing w:line="240" w:lineRule="auto" w:before="10"/>
        <w:rPr>
          <w:rFonts w:ascii="宋体" w:hAnsi="宋体" w:cs="宋体" w:eastAsia="宋体" w:hint="default"/>
          <w:sz w:val="26"/>
          <w:szCs w:val="26"/>
        </w:rPr>
      </w:pPr>
    </w:p>
    <w:p>
      <w:pPr>
        <w:pStyle w:val="BodyText"/>
        <w:spacing w:line="240" w:lineRule="auto" w:before="35"/>
        <w:ind w:left="257" w:right="240"/>
        <w:jc w:val="left"/>
      </w:pPr>
      <w:r>
        <w:rPr/>
        <w:t>组合中，采用其他方法计提坏账准备的</w:t>
      </w:r>
    </w:p>
    <w:p>
      <w:pPr>
        <w:pStyle w:val="BodyText"/>
        <w:spacing w:line="240" w:lineRule="auto" w:before="37"/>
        <w:ind w:left="257" w:right="240"/>
        <w:jc w:val="left"/>
      </w:pPr>
      <w:r>
        <w:rPr/>
        <w:t>□适用</w:t>
      </w:r>
      <w:r>
        <w:rPr>
          <w:spacing w:val="-2"/>
        </w:rPr>
        <w:t> </w:t>
      </w:r>
      <w:r>
        <w:rPr/>
        <w:t>□不适用</w:t>
      </w:r>
    </w:p>
    <w:p>
      <w:pPr>
        <w:spacing w:line="240" w:lineRule="auto" w:before="13"/>
        <w:rPr>
          <w:rFonts w:ascii="宋体" w:hAnsi="宋体" w:cs="宋体" w:eastAsia="宋体" w:hint="default"/>
          <w:sz w:val="3"/>
          <w:szCs w:val="3"/>
        </w:rPr>
      </w:pPr>
    </w:p>
    <w:tbl>
      <w:tblPr>
        <w:tblW w:w="0" w:type="auto"/>
        <w:jc w:val="left"/>
        <w:tblInd w:w="144" w:type="dxa"/>
        <w:tblLayout w:type="fixed"/>
        <w:tblCellMar>
          <w:top w:w="0" w:type="dxa"/>
          <w:left w:w="0" w:type="dxa"/>
          <w:bottom w:w="0" w:type="dxa"/>
          <w:right w:w="0" w:type="dxa"/>
        </w:tblCellMar>
        <w:tblLook w:val="01E0"/>
      </w:tblPr>
      <w:tblGrid>
        <w:gridCol w:w="3094"/>
        <w:gridCol w:w="3006"/>
        <w:gridCol w:w="2950"/>
      </w:tblGrid>
      <w:tr>
        <w:trPr>
          <w:trHeight w:val="322"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98" w:right="0"/>
              <w:jc w:val="left"/>
              <w:rPr>
                <w:rFonts w:ascii="宋体" w:hAnsi="宋体" w:cs="宋体" w:eastAsia="宋体" w:hint="default"/>
                <w:sz w:val="21"/>
                <w:szCs w:val="21"/>
              </w:rPr>
            </w:pPr>
            <w:r>
              <w:rPr>
                <w:rFonts w:ascii="宋体" w:hAnsi="宋体" w:cs="宋体" w:eastAsia="宋体" w:hint="default"/>
                <w:sz w:val="21"/>
                <w:szCs w:val="21"/>
              </w:rPr>
              <w:t>应收账款计提比例(%)</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65"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322" w:hRule="exact"/>
        </w:trPr>
        <w:tc>
          <w:tcPr>
            <w:tcW w:w="3094" w:type="dxa"/>
            <w:tcBorders>
              <w:top w:val="single" w:sz="4" w:space="0" w:color="000000"/>
              <w:left w:val="single" w:sz="4" w:space="0" w:color="000000"/>
              <w:bottom w:val="single" w:sz="4" w:space="0" w:color="000000"/>
              <w:right w:val="single" w:sz="4" w:space="0" w:color="000000"/>
            </w:tcBorders>
          </w:tcPr>
          <w:p>
            <w:pPr/>
          </w:p>
        </w:tc>
        <w:tc>
          <w:tcPr>
            <w:tcW w:w="3006" w:type="dxa"/>
            <w:tcBorders>
              <w:top w:val="single" w:sz="4" w:space="0" w:color="000000"/>
              <w:left w:val="single" w:sz="4" w:space="0" w:color="000000"/>
              <w:bottom w:val="single" w:sz="4" w:space="0" w:color="000000"/>
              <w:right w:val="single" w:sz="4" w:space="0" w:color="000000"/>
            </w:tcBorders>
          </w:tcPr>
          <w:p>
            <w:pPr/>
          </w:p>
        </w:tc>
        <w:tc>
          <w:tcPr>
            <w:tcW w:w="295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94" w:type="dxa"/>
            <w:tcBorders>
              <w:top w:val="single" w:sz="4" w:space="0" w:color="000000"/>
              <w:left w:val="single" w:sz="4" w:space="0" w:color="000000"/>
              <w:bottom w:val="single" w:sz="4" w:space="0" w:color="000000"/>
              <w:right w:val="single" w:sz="4" w:space="0" w:color="000000"/>
            </w:tcBorders>
          </w:tcPr>
          <w:p>
            <w:pPr/>
          </w:p>
        </w:tc>
        <w:tc>
          <w:tcPr>
            <w:tcW w:w="3006" w:type="dxa"/>
            <w:tcBorders>
              <w:top w:val="single" w:sz="4" w:space="0" w:color="000000"/>
              <w:left w:val="single" w:sz="4" w:space="0" w:color="000000"/>
              <w:bottom w:val="single" w:sz="4" w:space="0" w:color="000000"/>
              <w:right w:val="single" w:sz="4" w:space="0" w:color="000000"/>
            </w:tcBorders>
          </w:tcPr>
          <w:p>
            <w:pPr/>
          </w:p>
        </w:tc>
        <w:tc>
          <w:tcPr>
            <w:tcW w:w="295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24"/>
          <w:szCs w:val="24"/>
        </w:rPr>
      </w:pPr>
    </w:p>
    <w:p>
      <w:pPr>
        <w:pStyle w:val="Heading3"/>
        <w:spacing w:line="240" w:lineRule="auto"/>
        <w:ind w:left="257" w:right="240"/>
        <w:jc w:val="left"/>
        <w:rPr>
          <w:b w:val="0"/>
          <w:bCs w:val="0"/>
        </w:rPr>
      </w:pPr>
      <w:r>
        <w:rPr/>
        <w:t>(3).单项金额不重大但单独计提坏账准备的应收款项：</w:t>
      </w:r>
      <w:r>
        <w:rPr>
          <w:b w:val="0"/>
          <w:bCs w:val="0"/>
        </w:rPr>
      </w:r>
    </w:p>
    <w:p>
      <w:pPr>
        <w:spacing w:line="240" w:lineRule="auto" w:before="7"/>
        <w:rPr>
          <w:rFonts w:ascii="宋体" w:hAnsi="宋体" w:cs="宋体" w:eastAsia="宋体" w:hint="default"/>
          <w:b/>
          <w:bCs/>
          <w:sz w:val="8"/>
          <w:szCs w:val="8"/>
        </w:rPr>
      </w:pPr>
    </w:p>
    <w:tbl>
      <w:tblPr>
        <w:tblW w:w="0" w:type="auto"/>
        <w:jc w:val="left"/>
        <w:tblInd w:w="144" w:type="dxa"/>
        <w:tblLayout w:type="fixed"/>
        <w:tblCellMar>
          <w:top w:w="0" w:type="dxa"/>
          <w:left w:w="0" w:type="dxa"/>
          <w:bottom w:w="0" w:type="dxa"/>
          <w:right w:w="0" w:type="dxa"/>
        </w:tblCellMar>
        <w:tblLook w:val="01E0"/>
      </w:tblPr>
      <w:tblGrid>
        <w:gridCol w:w="4338"/>
        <w:gridCol w:w="4711"/>
      </w:tblGrid>
      <w:tr>
        <w:trPr>
          <w:trHeight w:val="634"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存在客观证据表明本公司将无法按应收款项的原</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有条款收回款项。</w:t>
            </w:r>
          </w:p>
        </w:tc>
      </w:tr>
      <w:tr>
        <w:trPr>
          <w:trHeight w:val="635"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根据应收款项的预计未来现金流量现值低于其账</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面价值的差额进行计提。</w:t>
            </w:r>
          </w:p>
        </w:tc>
      </w:tr>
    </w:tbl>
    <w:p>
      <w:pPr>
        <w:spacing w:line="240" w:lineRule="auto" w:before="6"/>
        <w:rPr>
          <w:rFonts w:ascii="宋体" w:hAnsi="宋体" w:cs="宋体" w:eastAsia="宋体" w:hint="default"/>
          <w:b/>
          <w:bCs/>
          <w:sz w:val="9"/>
          <w:szCs w:val="9"/>
        </w:rPr>
      </w:pPr>
    </w:p>
    <w:p>
      <w:pPr>
        <w:spacing w:line="1191" w:lineRule="exact"/>
        <w:ind w:left="114" w:right="0" w:firstLine="0"/>
        <w:rPr>
          <w:rFonts w:ascii="宋体" w:hAnsi="宋体" w:cs="宋体" w:eastAsia="宋体" w:hint="default"/>
          <w:sz w:val="20"/>
          <w:szCs w:val="20"/>
        </w:rPr>
      </w:pPr>
      <w:r>
        <w:rPr>
          <w:rFonts w:ascii="宋体" w:hAnsi="宋体" w:cs="宋体" w:eastAsia="宋体" w:hint="default"/>
          <w:position w:val="-23"/>
          <w:sz w:val="20"/>
          <w:szCs w:val="20"/>
        </w:rPr>
        <w:pict>
          <v:shape style="width:451.05pt;height:59.6pt;mso-position-horizontal-relative:char;mso-position-vertical-relative:line" type="#_x0000_t202" filled="false" stroked="true" strokeweight=".75pt" strokecolor="#000000">
            <w10:anchorlock/>
            <v:textbox inset="0,0,0,0">
              <w:txbxContent>
                <w:p>
                  <w:pPr>
                    <w:spacing w:before="37"/>
                    <w:ind w:left="144" w:right="0" w:firstLine="0"/>
                    <w:jc w:val="left"/>
                    <w:rPr>
                      <w:rFonts w:ascii="宋体" w:hAnsi="宋体" w:cs="宋体" w:eastAsia="宋体" w:hint="default"/>
                      <w:sz w:val="21"/>
                      <w:szCs w:val="21"/>
                    </w:rPr>
                  </w:pPr>
                  <w:r>
                    <w:rPr>
                      <w:rFonts w:ascii="宋体" w:hAnsi="宋体" w:cs="宋体" w:eastAsia="宋体" w:hint="default"/>
                      <w:b/>
                      <w:bCs/>
                      <w:sz w:val="21"/>
                      <w:szCs w:val="21"/>
                    </w:rPr>
                    <w:t>(4)其他计提方法说明</w:t>
                  </w:r>
                  <w:r>
                    <w:rPr>
                      <w:rFonts w:ascii="宋体" w:hAnsi="宋体" w:cs="宋体" w:eastAsia="宋体" w:hint="default"/>
                      <w:sz w:val="21"/>
                      <w:szCs w:val="21"/>
                    </w:rPr>
                  </w:r>
                </w:p>
                <w:p>
                  <w:pPr>
                    <w:pStyle w:val="BodyText"/>
                    <w:spacing w:line="273" w:lineRule="auto" w:before="153"/>
                    <w:ind w:left="144" w:right="140"/>
                    <w:jc w:val="left"/>
                  </w:pPr>
                  <w:r>
                    <w:rPr>
                      <w:spacing w:val="-3"/>
                    </w:rPr>
                    <w:t>对应收票据、预付款项、应收利息、长期应收款等其他应收款项，根据其未来现金流量现值低于</w:t>
                  </w:r>
                  <w:r>
                    <w:rPr>
                      <w:spacing w:val="-84"/>
                    </w:rPr>
                    <w:t> </w:t>
                  </w:r>
                  <w:r>
                    <w:rPr>
                      <w:spacing w:val="-84"/>
                    </w:rPr>
                  </w:r>
                  <w:r>
                    <w:rPr/>
                    <w:t>其账面价值的差额计提坏账准备。</w:t>
                  </w:r>
                </w:p>
              </w:txbxContent>
            </v:textbox>
          </v:shape>
        </w:pict>
      </w:r>
      <w:r>
        <w:rPr>
          <w:rFonts w:ascii="宋体" w:hAnsi="宋体" w:cs="宋体" w:eastAsia="宋体" w:hint="default"/>
          <w:position w:val="-23"/>
          <w:sz w:val="20"/>
          <w:szCs w:val="20"/>
        </w:rPr>
      </w:r>
    </w:p>
    <w:p>
      <w:pPr>
        <w:spacing w:line="240" w:lineRule="auto" w:before="7"/>
        <w:rPr>
          <w:rFonts w:ascii="宋体" w:hAnsi="宋体" w:cs="宋体" w:eastAsia="宋体" w:hint="default"/>
          <w:b/>
          <w:bCs/>
          <w:sz w:val="19"/>
          <w:szCs w:val="19"/>
        </w:rPr>
      </w:pPr>
    </w:p>
    <w:p>
      <w:pPr>
        <w:pStyle w:val="Heading3"/>
        <w:spacing w:line="240" w:lineRule="auto"/>
        <w:ind w:left="257" w:right="240"/>
        <w:jc w:val="left"/>
        <w:rPr>
          <w:b w:val="0"/>
          <w:bCs w:val="0"/>
        </w:rPr>
      </w:pPr>
      <w:r>
        <w:rPr>
          <w:rFonts w:ascii="Calibri" w:hAnsi="Calibri" w:cs="Calibri" w:eastAsia="Calibri" w:hint="default"/>
        </w:rPr>
        <w:t>12.  </w:t>
      </w:r>
      <w:r>
        <w:rPr>
          <w:rFonts w:ascii="Calibri" w:hAnsi="Calibri" w:cs="Calibri" w:eastAsia="Calibri" w:hint="default"/>
          <w:spacing w:val="7"/>
        </w:rPr>
        <w:t> </w:t>
      </w:r>
      <w:r>
        <w:rPr/>
        <w:t>存货</w:t>
      </w:r>
      <w:r>
        <w:rPr>
          <w:b w:val="0"/>
          <w:bCs w:val="0"/>
        </w:rPr>
      </w:r>
    </w:p>
    <w:p>
      <w:pPr>
        <w:pStyle w:val="BodyText"/>
        <w:spacing w:line="338" w:lineRule="auto" w:before="51"/>
        <w:ind w:left="677" w:right="227" w:firstLine="2"/>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4"/>
        </w:rPr>
        <w:t> </w:t>
      </w:r>
      <w:r>
        <w:rPr>
          <w:rFonts w:ascii="宋体" w:hAnsi="宋体" w:cs="宋体" w:eastAsia="宋体" w:hint="default"/>
          <w:b/>
          <w:bCs/>
        </w:rPr>
        <w:t>存货的分类</w:t>
      </w:r>
      <w:r>
        <w:rPr>
          <w:rFonts w:ascii="宋体" w:hAnsi="宋体" w:cs="宋体" w:eastAsia="宋体" w:hint="default"/>
          <w:b/>
          <w:bCs/>
          <w:w w:val="99"/>
        </w:rPr>
        <w:t> </w:t>
      </w:r>
      <w:r>
        <w:rPr/>
        <w:t>存货是指本公司在日常活动中持有以备出售的产成品或商品、处在生产过程中的在产品、在</w:t>
      </w:r>
    </w:p>
    <w:p>
      <w:pPr>
        <w:pStyle w:val="BodyText"/>
        <w:spacing w:line="348" w:lineRule="auto" w:before="47"/>
        <w:ind w:left="677" w:right="227" w:hanging="420"/>
        <w:jc w:val="left"/>
      </w:pPr>
      <w:r>
        <w:rPr/>
        <w:t>生产过程或提供劳务过程中耗用的材料和物料等。主要包括库存商品、发出商品、工程成本等。 </w:t>
      </w: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5"/>
        </w:rPr>
        <w:t> </w:t>
      </w:r>
      <w:r>
        <w:rPr>
          <w:rFonts w:ascii="宋体" w:hAnsi="宋体" w:cs="宋体" w:eastAsia="宋体" w:hint="default"/>
          <w:b/>
          <w:bCs/>
        </w:rPr>
        <w:t>存货的计价方法</w:t>
      </w:r>
      <w:r>
        <w:rPr>
          <w:rFonts w:ascii="宋体" w:hAnsi="宋体" w:cs="宋体" w:eastAsia="宋体" w:hint="default"/>
          <w:b/>
          <w:bCs/>
          <w:w w:val="99"/>
        </w:rPr>
        <w:t> </w:t>
      </w:r>
      <w:r>
        <w:rPr/>
        <w:t>存货在取得时，按成本进行初始计量，包括采购成本、加工成本和其他成本。存货发出时按</w:t>
      </w:r>
    </w:p>
    <w:p>
      <w:pPr>
        <w:pStyle w:val="BodyText"/>
        <w:spacing w:line="240" w:lineRule="auto" w:before="38"/>
        <w:ind w:left="257" w:right="240"/>
        <w:jc w:val="left"/>
      </w:pPr>
      <w:r>
        <w:rPr/>
        <w:t>加权平均法计价。</w:t>
      </w:r>
    </w:p>
    <w:p>
      <w:pPr>
        <w:spacing w:line="336" w:lineRule="auto" w:before="134"/>
        <w:ind w:left="677" w:right="22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spacing w:val="1"/>
          <w:w w:val="99"/>
          <w:sz w:val="21"/>
          <w:szCs w:val="21"/>
        </w:rPr>
        <w:t> </w:t>
      </w:r>
      <w:r>
        <w:rPr>
          <w:rFonts w:ascii="宋体" w:hAnsi="宋体" w:cs="宋体" w:eastAsia="宋体" w:hint="default"/>
          <w:sz w:val="21"/>
          <w:szCs w:val="21"/>
        </w:rPr>
        <w:t>期末对存货进行全面清查后，按存货的成本与可变现净值孰低提取或调整存货跌价准备。产</w:t>
      </w:r>
    </w:p>
    <w:p>
      <w:pPr>
        <w:pStyle w:val="BodyText"/>
        <w:spacing w:line="357" w:lineRule="auto" w:before="50"/>
        <w:ind w:left="257" w:right="227"/>
        <w:jc w:val="left"/>
      </w:pPr>
      <w:r>
        <w:rPr/>
        <w:t>成品、库存商品和用于出售的材料等直接用于出售的商品存货，在正常生产经营过程中，以该存 货的估计售价减去估计的销售费用和相关税费后的金额，确定其可变现净值；需要经过加工的材 料存货，在正常生产经营过程中，以所生产的产成品的估计售价减去至完工时估计将要发生的成 本、估计的销售费用和相关税费后的金额，确定其可变现净值；为执行销售合同或者劳务合同而 持有的存货，其可变现净值以合同价格为基础计算，若持有存货的数量多于销售合同订购数量 的，超出部分的存货的可变现净值以一般销售价格为基础计算。</w:t>
      </w:r>
    </w:p>
    <w:p>
      <w:pPr>
        <w:pStyle w:val="BodyText"/>
        <w:spacing w:line="357" w:lineRule="auto" w:before="30"/>
        <w:ind w:left="257" w:right="244" w:firstLine="420"/>
        <w:jc w:val="both"/>
      </w:pPr>
      <w:r>
        <w:rPr/>
        <w:t>期末按照单个存货项目计提存货跌价准备；但对于数量繁多、单价较低的存货，按照存货类 别计提存货跌价准备；与在同一地区生产和销售的产品系列相关、具有相同或类似最终用途或目 的，且难以与其他项目分开计量的存货，则合并计提存货跌价准备。</w:t>
      </w:r>
    </w:p>
    <w:p>
      <w:pPr>
        <w:pStyle w:val="BodyText"/>
        <w:spacing w:line="357" w:lineRule="auto" w:before="30"/>
        <w:ind w:left="257" w:right="244" w:firstLine="420"/>
        <w:jc w:val="both"/>
      </w:pPr>
      <w:r>
        <w:rPr/>
        <w:t>以前减记存货价值的影响因素已经消失的，减记的金额予以恢复，并在原已计提的存货跌价 准备金额内转回，转回的金额计入当期损益。</w:t>
      </w:r>
    </w:p>
    <w:p>
      <w:pPr>
        <w:pStyle w:val="Heading3"/>
        <w:spacing w:line="240" w:lineRule="auto" w:before="30"/>
        <w:ind w:left="679" w:right="240"/>
        <w:jc w:val="left"/>
        <w:rPr>
          <w:b w:val="0"/>
          <w:bCs w:val="0"/>
        </w:rPr>
      </w:pPr>
      <w:r>
        <w:rPr>
          <w:rFonts w:ascii="Times New Roman" w:hAnsi="Times New Roman" w:cs="Times New Roman" w:eastAsia="Times New Roman" w:hint="default"/>
        </w:rPr>
        <w:t>4</w:t>
      </w:r>
      <w:r>
        <w:rPr/>
        <w:t>．</w:t>
      </w:r>
      <w:r>
        <w:rPr>
          <w:spacing w:val="-7"/>
        </w:rPr>
        <w:t> </w:t>
      </w:r>
      <w:r>
        <w:rPr/>
        <w:t>存货的盘存制度</w:t>
      </w:r>
      <w:r>
        <w:rPr>
          <w:b w:val="0"/>
          <w:bCs w:val="0"/>
        </w:rPr>
      </w:r>
    </w:p>
    <w:p>
      <w:pPr>
        <w:spacing w:after="0" w:line="240" w:lineRule="auto"/>
        <w:jc w:val="left"/>
        <w:sectPr>
          <w:footerReference w:type="default" r:id="rId82"/>
          <w:pgSz w:w="11910" w:h="16840"/>
          <w:pgMar w:footer="1197" w:header="882" w:top="1120" w:bottom="1380" w:left="1540" w:right="1040"/>
        </w:sectPr>
      </w:pPr>
    </w:p>
    <w:p>
      <w:pPr>
        <w:spacing w:line="240" w:lineRule="auto" w:before="4"/>
        <w:rPr>
          <w:rFonts w:ascii="宋体" w:hAnsi="宋体" w:cs="宋体" w:eastAsia="宋体" w:hint="default"/>
          <w:b/>
          <w:bCs/>
          <w:sz w:val="25"/>
          <w:szCs w:val="25"/>
        </w:rPr>
      </w:pPr>
    </w:p>
    <w:p>
      <w:pPr>
        <w:pStyle w:val="BodyText"/>
        <w:spacing w:line="240" w:lineRule="auto" w:before="35"/>
        <w:ind w:left="557" w:right="127"/>
        <w:jc w:val="left"/>
      </w:pPr>
      <w:r>
        <w:rPr/>
        <w:t>采用永续盘存制</w:t>
      </w:r>
    </w:p>
    <w:p>
      <w:pPr>
        <w:pStyle w:val="Heading3"/>
        <w:spacing w:line="240" w:lineRule="auto" w:before="133"/>
        <w:ind w:left="559" w:right="127"/>
        <w:jc w:val="left"/>
        <w:rPr>
          <w:b w:val="0"/>
          <w:bCs w:val="0"/>
        </w:rPr>
      </w:pPr>
      <w:r>
        <w:rPr>
          <w:rFonts w:ascii="Times New Roman" w:hAnsi="Times New Roman" w:cs="Times New Roman" w:eastAsia="Times New Roman" w:hint="default"/>
        </w:rPr>
        <w:t>5</w:t>
      </w:r>
      <w:r>
        <w:rPr/>
        <w:t>．</w:t>
      </w:r>
      <w:r>
        <w:rPr>
          <w:spacing w:val="-7"/>
        </w:rPr>
        <w:t> </w:t>
      </w:r>
      <w:r>
        <w:rPr/>
        <w:t>低值易耗品和包装物的摊销方法</w:t>
      </w:r>
      <w:r>
        <w:rPr>
          <w:b w:val="0"/>
          <w:bCs w:val="0"/>
        </w:rPr>
      </w:r>
    </w:p>
    <w:p>
      <w:pPr>
        <w:pStyle w:val="BodyText"/>
        <w:tabs>
          <w:tab w:pos="1397" w:val="left" w:leader="none"/>
        </w:tabs>
        <w:spacing w:line="240" w:lineRule="auto" w:before="118"/>
        <w:ind w:left="557" w:right="127"/>
        <w:jc w:val="left"/>
      </w:pPr>
      <w:r>
        <w:rPr/>
        <w:t>（</w:t>
      </w:r>
      <w:r>
        <w:rPr>
          <w:rFonts w:ascii="Times New Roman" w:hAnsi="Times New Roman" w:cs="Times New Roman" w:eastAsia="Times New Roman" w:hint="default"/>
        </w:rPr>
        <w:t>1</w:t>
      </w:r>
      <w:r>
        <w:rPr/>
        <w:t>）</w:t>
        <w:tab/>
        <w:t>低值易耗品采用一次转销法；</w:t>
      </w:r>
    </w:p>
    <w:p>
      <w:pPr>
        <w:pStyle w:val="BodyText"/>
        <w:tabs>
          <w:tab w:pos="1397" w:val="left" w:leader="none"/>
        </w:tabs>
        <w:spacing w:line="240" w:lineRule="auto" w:before="117"/>
        <w:ind w:left="557" w:right="127"/>
        <w:jc w:val="left"/>
      </w:pPr>
      <w:r>
        <w:rPr/>
        <w:t>（2）</w:t>
        <w:tab/>
        <w:t>包装物采用一次转销法。</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3"/>
        <w:spacing w:line="240" w:lineRule="auto" w:before="0"/>
        <w:ind w:left="137" w:right="127"/>
        <w:jc w:val="left"/>
        <w:rPr>
          <w:b w:val="0"/>
          <w:bCs w:val="0"/>
        </w:rPr>
      </w:pPr>
      <w:r>
        <w:rPr>
          <w:rFonts w:ascii="Calibri" w:hAnsi="Calibri" w:cs="Calibri" w:eastAsia="Calibri" w:hint="default"/>
        </w:rPr>
        <w:t>13.  </w:t>
      </w:r>
      <w:r>
        <w:rPr>
          <w:rFonts w:ascii="Calibri" w:hAnsi="Calibri" w:cs="Calibri" w:eastAsia="Calibri" w:hint="default"/>
          <w:spacing w:val="6"/>
        </w:rPr>
        <w:t> </w:t>
      </w:r>
      <w:r>
        <w:rPr/>
        <w:t>划分为持有待售资产</w:t>
      </w:r>
      <w:r>
        <w:rPr>
          <w:b w:val="0"/>
          <w:bCs w:val="0"/>
        </w:rPr>
      </w:r>
    </w:p>
    <w:p>
      <w:pPr>
        <w:spacing w:line="336" w:lineRule="auto" w:before="51"/>
        <w:ind w:left="557" w:right="33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划分为持有待售确认标准</w:t>
      </w:r>
      <w:r>
        <w:rPr>
          <w:rFonts w:ascii="宋体" w:hAnsi="宋体" w:cs="宋体" w:eastAsia="宋体" w:hint="default"/>
          <w:b/>
          <w:bCs/>
          <w:w w:val="99"/>
          <w:sz w:val="21"/>
          <w:szCs w:val="21"/>
        </w:rPr>
        <w:t> </w:t>
      </w:r>
      <w:r>
        <w:rPr>
          <w:rFonts w:ascii="宋体" w:hAnsi="宋体" w:cs="宋体" w:eastAsia="宋体" w:hint="default"/>
          <w:sz w:val="21"/>
          <w:szCs w:val="21"/>
        </w:rPr>
        <w:t>本公司将同时满足下列条件的企业组成部分（或非流动资产）确认为持有待售组成部分：</w:t>
      </w:r>
    </w:p>
    <w:p>
      <w:pPr>
        <w:pStyle w:val="BodyText"/>
        <w:spacing w:line="240" w:lineRule="auto" w:before="49"/>
        <w:ind w:left="557" w:right="127"/>
        <w:jc w:val="left"/>
      </w:pPr>
      <w:r>
        <w:rPr/>
        <w:t>（</w:t>
      </w:r>
      <w:r>
        <w:rPr>
          <w:rFonts w:ascii="Times New Roman" w:hAnsi="Times New Roman" w:cs="Times New Roman" w:eastAsia="Times New Roman" w:hint="default"/>
        </w:rPr>
        <w:t>1</w:t>
      </w:r>
      <w:r>
        <w:rPr/>
        <w:t>）该组成部分必须在其当前状况下仅根据出售此类组成部分的惯常条款即可立即出售；</w:t>
      </w:r>
    </w:p>
    <w:p>
      <w:pPr>
        <w:pStyle w:val="BodyText"/>
        <w:spacing w:line="336" w:lineRule="auto" w:before="118"/>
        <w:ind w:left="137" w:right="127" w:firstLine="420"/>
        <w:jc w:val="left"/>
      </w:pPr>
      <w:r>
        <w:rPr>
          <w:spacing w:val="-3"/>
        </w:rPr>
        <w:t>（</w:t>
      </w:r>
      <w:r>
        <w:rPr>
          <w:rFonts w:ascii="Times New Roman" w:hAnsi="Times New Roman" w:cs="Times New Roman" w:eastAsia="Times New Roman" w:hint="default"/>
          <w:spacing w:val="-3"/>
        </w:rPr>
        <w:t>2</w:t>
      </w:r>
      <w:r>
        <w:rPr>
          <w:spacing w:val="-3"/>
        </w:rPr>
        <w:t>）企业已经就处置该组成部分作出决议，如按规定需得到股东批准的，已经取得股东大会</w:t>
      </w:r>
      <w:r>
        <w:rPr/>
        <w:t> 或相应权力机构的批准；</w:t>
      </w:r>
    </w:p>
    <w:p>
      <w:pPr>
        <w:pStyle w:val="BodyText"/>
        <w:spacing w:line="240" w:lineRule="auto" w:before="50"/>
        <w:ind w:left="557" w:right="127"/>
        <w:jc w:val="left"/>
      </w:pPr>
      <w:r>
        <w:rPr/>
        <w:t>（</w:t>
      </w:r>
      <w:r>
        <w:rPr>
          <w:rFonts w:ascii="Times New Roman" w:hAnsi="Times New Roman" w:cs="Times New Roman" w:eastAsia="Times New Roman" w:hint="default"/>
        </w:rPr>
        <w:t>3</w:t>
      </w:r>
      <w:r>
        <w:rPr/>
        <w:t>）企业已经与受让方签订了不可撤销的转让协议；</w:t>
      </w:r>
    </w:p>
    <w:p>
      <w:pPr>
        <w:pStyle w:val="BodyText"/>
        <w:spacing w:line="240" w:lineRule="auto" w:before="117"/>
        <w:ind w:left="557" w:right="127"/>
        <w:jc w:val="left"/>
      </w:pPr>
      <w:r>
        <w:rPr/>
        <w:t>（</w:t>
      </w:r>
      <w:r>
        <w:rPr>
          <w:rFonts w:ascii="Times New Roman" w:hAnsi="Times New Roman" w:cs="Times New Roman" w:eastAsia="Times New Roman" w:hint="default"/>
        </w:rPr>
        <w:t>4</w:t>
      </w:r>
      <w:r>
        <w:rPr/>
        <w:t>）该项转让将在一年内完成。</w:t>
      </w:r>
    </w:p>
    <w:p>
      <w:pPr>
        <w:spacing w:line="336" w:lineRule="auto" w:before="118"/>
        <w:ind w:left="557" w:right="12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划分为持有待售核算方法</w:t>
      </w:r>
      <w:r>
        <w:rPr>
          <w:rFonts w:ascii="宋体" w:hAnsi="宋体" w:cs="宋体" w:eastAsia="宋体" w:hint="default"/>
          <w:b/>
          <w:bCs/>
          <w:w w:val="99"/>
          <w:sz w:val="21"/>
          <w:szCs w:val="21"/>
        </w:rPr>
        <w:t> </w:t>
      </w:r>
      <w:r>
        <w:rPr>
          <w:rFonts w:ascii="宋体" w:hAnsi="宋体" w:cs="宋体" w:eastAsia="宋体" w:hint="default"/>
          <w:sz w:val="21"/>
          <w:szCs w:val="21"/>
        </w:rPr>
        <w:t>本公司对于持有待售的固定资产，调整该项固定资产的预计净残值，使该固定资产的预计净</w:t>
      </w:r>
    </w:p>
    <w:p>
      <w:pPr>
        <w:pStyle w:val="BodyText"/>
        <w:spacing w:line="357" w:lineRule="auto" w:before="49"/>
        <w:ind w:left="137" w:right="127"/>
        <w:jc w:val="left"/>
      </w:pPr>
      <w:r>
        <w:rPr/>
        <w:t>残值反映其公允价值减去处置费用后的金额，但不超过符合持有待售条件时该项固定资产的原账 面价值，原账面价值高于调整后预计净残值的差额，应作为资产减值损失计入当期损益。持有待 售的固定资产不计提折旧或摊销，按照账面价值与公允价值减去处置费用后的净额孰低进行计 量。</w:t>
      </w:r>
    </w:p>
    <w:p>
      <w:pPr>
        <w:pStyle w:val="BodyText"/>
        <w:spacing w:line="240" w:lineRule="auto" w:before="30"/>
        <w:ind w:left="557" w:right="127"/>
        <w:jc w:val="left"/>
      </w:pPr>
      <w:r>
        <w:rPr/>
        <w:t>符合持有待售条件的权益性投资、无形资产等其他非流动资产，比照上述原则处理。</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3"/>
        <w:spacing w:line="240" w:lineRule="auto" w:before="0"/>
        <w:ind w:left="137" w:right="127"/>
        <w:jc w:val="left"/>
        <w:rPr>
          <w:b w:val="0"/>
          <w:bCs w:val="0"/>
        </w:rPr>
      </w:pPr>
      <w:r>
        <w:rPr>
          <w:rFonts w:ascii="Calibri" w:hAnsi="Calibri" w:cs="Calibri" w:eastAsia="Calibri" w:hint="default"/>
        </w:rPr>
        <w:t>14.  </w:t>
      </w:r>
      <w:r>
        <w:rPr>
          <w:rFonts w:ascii="Calibri" w:hAnsi="Calibri" w:cs="Calibri" w:eastAsia="Calibri" w:hint="default"/>
          <w:spacing w:val="5"/>
        </w:rPr>
        <w:t> </w:t>
      </w:r>
      <w:r>
        <w:rPr/>
        <w:t>长期股权投资</w:t>
      </w:r>
      <w:r>
        <w:rPr>
          <w:b w:val="0"/>
          <w:bCs w:val="0"/>
        </w:rPr>
      </w:r>
    </w:p>
    <w:p>
      <w:pPr>
        <w:pStyle w:val="Heading3"/>
        <w:spacing w:line="240" w:lineRule="auto" w:before="51"/>
        <w:ind w:left="560" w:right="127"/>
        <w:jc w:val="left"/>
        <w:rPr>
          <w:b w:val="0"/>
          <w:bCs w:val="0"/>
        </w:rPr>
      </w:pPr>
      <w:r>
        <w:rPr>
          <w:rFonts w:ascii="Times New Roman" w:hAnsi="Times New Roman" w:cs="Times New Roman" w:eastAsia="Times New Roman" w:hint="default"/>
        </w:rPr>
        <w:t>1</w:t>
      </w:r>
      <w:r>
        <w:rPr/>
        <w:t>．</w:t>
      </w:r>
      <w:r>
        <w:rPr>
          <w:spacing w:val="-65"/>
        </w:rPr>
        <w:t> </w:t>
      </w:r>
      <w:r>
        <w:rPr/>
        <w:t>投资成本的确定</w:t>
      </w:r>
      <w:r>
        <w:rPr>
          <w:b w:val="0"/>
          <w:bCs w:val="0"/>
        </w:rPr>
      </w:r>
    </w:p>
    <w:p>
      <w:pPr>
        <w:pStyle w:val="BodyText"/>
        <w:spacing w:line="336" w:lineRule="auto" w:before="117"/>
        <w:ind w:left="137" w:right="127" w:firstLine="420"/>
        <w:jc w:val="left"/>
      </w:pPr>
      <w:r>
        <w:rPr>
          <w:spacing w:val="-3"/>
        </w:rPr>
        <w:t>（</w:t>
      </w:r>
      <w:r>
        <w:rPr>
          <w:rFonts w:ascii="Times New Roman" w:hAnsi="Times New Roman" w:cs="Times New Roman" w:eastAsia="Times New Roman" w:hint="default"/>
          <w:spacing w:val="-3"/>
        </w:rPr>
        <w:t>1</w:t>
      </w:r>
      <w:r>
        <w:rPr>
          <w:spacing w:val="-3"/>
        </w:rPr>
        <w:t>）企业合并形成的长期股权投资，具体会计政策详见本附注四／（五）同一控制下和非同</w:t>
      </w:r>
      <w:r>
        <w:rPr/>
        <w:t> 一控制下企业合并的会计处理方法</w:t>
      </w:r>
    </w:p>
    <w:p>
      <w:pPr>
        <w:pStyle w:val="BodyText"/>
        <w:spacing w:line="336" w:lineRule="auto" w:before="50"/>
        <w:ind w:left="557" w:right="127" w:hanging="1"/>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以支付现金方式取得的长期股权投资，按照实际支付的购买价款作为初始投资成本。初始投</w:t>
      </w:r>
    </w:p>
    <w:p>
      <w:pPr>
        <w:pStyle w:val="BodyText"/>
        <w:spacing w:line="355" w:lineRule="auto" w:before="50"/>
        <w:ind w:left="557" w:right="337" w:hanging="420"/>
        <w:jc w:val="left"/>
      </w:pPr>
      <w:r>
        <w:rPr/>
        <w:t>资成本包括与取得长期股权投资直接相关的费用、税金及其他必要支出。 以发行权益性证券取得的长期股权投资，按照发行权益性证券的公允价值作为初始投资成</w:t>
      </w:r>
    </w:p>
    <w:p>
      <w:pPr>
        <w:pStyle w:val="BodyText"/>
        <w:spacing w:line="355" w:lineRule="auto" w:before="33"/>
        <w:ind w:left="557" w:right="337" w:hanging="420"/>
        <w:jc w:val="left"/>
      </w:pPr>
      <w:r>
        <w:rPr/>
        <w:t>本；发行或取得自身权益工具时发生的交易费用，可直接归属于权益性交易的从权益中扣减。 在非货币性资产交换具备商业实质和换入资产或换出资产的公允价值能够可靠计量的前提</w:t>
      </w:r>
    </w:p>
    <w:p>
      <w:pPr>
        <w:pStyle w:val="BodyText"/>
        <w:spacing w:line="357" w:lineRule="auto" w:before="32"/>
        <w:ind w:left="137" w:right="144"/>
        <w:jc w:val="both"/>
      </w:pPr>
      <w:r>
        <w:rPr/>
        <w:t>下，非货币性资产交换换入的长期股权投资以换出资产的公允价值为基础确定其初始投资成本， 除非有确凿证据表明换入资产的公允价值更加可靠；不满足上述前提的非货币性资产交换，以换 出资产的账面价值和应支付的相关税费作为换入长期股权投资的初始投资成本。</w:t>
      </w:r>
    </w:p>
    <w:p>
      <w:pPr>
        <w:spacing w:after="0" w:line="357" w:lineRule="auto"/>
        <w:jc w:val="both"/>
        <w:sectPr>
          <w:footerReference w:type="default" r:id="rId83"/>
          <w:pgSz w:w="11910" w:h="16840"/>
          <w:pgMar w:footer="1197" w:header="882" w:top="1120" w:bottom="1380" w:left="1660" w:right="1140"/>
          <w:pgNumType w:start="81"/>
        </w:sectPr>
      </w:pPr>
    </w:p>
    <w:p>
      <w:pPr>
        <w:spacing w:line="240" w:lineRule="auto" w:before="4"/>
        <w:rPr>
          <w:rFonts w:ascii="宋体" w:hAnsi="宋体" w:cs="宋体" w:eastAsia="宋体" w:hint="default"/>
          <w:sz w:val="25"/>
          <w:szCs w:val="25"/>
        </w:rPr>
      </w:pPr>
    </w:p>
    <w:p>
      <w:pPr>
        <w:pStyle w:val="BodyText"/>
        <w:spacing w:line="240" w:lineRule="auto" w:before="35"/>
        <w:ind w:left="557" w:right="127"/>
        <w:jc w:val="left"/>
      </w:pPr>
      <w:r>
        <w:rPr/>
        <w:t>通过债务重组取得的长期股权投资，其初始投资成本按照公允价值为基础确定。</w:t>
      </w:r>
    </w:p>
    <w:p>
      <w:pPr>
        <w:pStyle w:val="Heading3"/>
        <w:spacing w:line="240" w:lineRule="auto" w:before="133"/>
        <w:ind w:left="559" w:right="127"/>
        <w:jc w:val="left"/>
        <w:rPr>
          <w:b w:val="0"/>
          <w:bCs w:val="0"/>
        </w:rPr>
      </w:pPr>
      <w:r>
        <w:rPr>
          <w:rFonts w:ascii="Times New Roman" w:hAnsi="Times New Roman" w:cs="Times New Roman" w:eastAsia="Times New Roman" w:hint="default"/>
        </w:rPr>
        <w:t>2</w:t>
      </w:r>
      <w:r>
        <w:rPr/>
        <w:t>．</w:t>
      </w:r>
      <w:r>
        <w:rPr>
          <w:spacing w:val="-64"/>
        </w:rPr>
        <w:t> </w:t>
      </w:r>
      <w:r>
        <w:rPr/>
        <w:t>后续计量及损益确认</w:t>
      </w:r>
      <w:r>
        <w:rPr>
          <w:b w:val="0"/>
          <w:bCs w:val="0"/>
        </w:rPr>
      </w:r>
    </w:p>
    <w:p>
      <w:pPr>
        <w:pStyle w:val="BodyText"/>
        <w:spacing w:line="336" w:lineRule="auto" w:before="118"/>
        <w:ind w:left="557" w:right="127" w:hanging="1"/>
        <w:jc w:val="left"/>
      </w:pPr>
      <w:r>
        <w:rPr/>
        <w:t>（</w:t>
      </w:r>
      <w:r>
        <w:rPr>
          <w:rFonts w:ascii="Times New Roman" w:hAnsi="Times New Roman" w:cs="Times New Roman" w:eastAsia="Times New Roman" w:hint="default"/>
        </w:rPr>
        <w:t>1</w:t>
      </w:r>
      <w:r>
        <w:rPr/>
        <w:t>）成本法 本公司能够对被投资单位实施控制的长期股权投资采用成本法核算，并按照初始投资成本计</w:t>
      </w:r>
    </w:p>
    <w:p>
      <w:pPr>
        <w:pStyle w:val="BodyText"/>
        <w:spacing w:line="355" w:lineRule="auto" w:before="50"/>
        <w:ind w:left="557" w:right="127" w:hanging="420"/>
        <w:jc w:val="left"/>
      </w:pPr>
      <w:r>
        <w:rPr/>
        <w:t>价，追加或收回投资调整长期股权投资的成本。 除取得投资时实际支付的价款或对价中包含的已宣告但尚未发放的现金股利或利润外，本公</w:t>
      </w:r>
    </w:p>
    <w:p>
      <w:pPr>
        <w:pStyle w:val="BodyText"/>
        <w:spacing w:line="240" w:lineRule="auto" w:before="32"/>
        <w:ind w:left="137" w:right="127"/>
        <w:jc w:val="left"/>
      </w:pPr>
      <w:r>
        <w:rPr/>
        <w:t>司按照享有被投资单位宣告分派的现金股利或利润确认为当期投资收益。</w:t>
      </w:r>
    </w:p>
    <w:p>
      <w:pPr>
        <w:pStyle w:val="BodyText"/>
        <w:spacing w:line="336" w:lineRule="auto" w:before="134"/>
        <w:ind w:left="557" w:right="127" w:hanging="1"/>
        <w:jc w:val="left"/>
      </w:pPr>
      <w:r>
        <w:rPr/>
        <w:t>（</w:t>
      </w:r>
      <w:r>
        <w:rPr>
          <w:rFonts w:ascii="Times New Roman" w:hAnsi="Times New Roman" w:cs="Times New Roman" w:eastAsia="Times New Roman" w:hint="default"/>
        </w:rPr>
        <w:t>2</w:t>
      </w:r>
      <w:r>
        <w:rPr/>
        <w:t>）权益法 本公司对联营企业和合营企业的长期股权投资采用权益法核算；对于其中一部分通过风险投</w:t>
      </w:r>
    </w:p>
    <w:p>
      <w:pPr>
        <w:pStyle w:val="BodyText"/>
        <w:spacing w:line="355" w:lineRule="auto" w:before="50"/>
        <w:ind w:left="137" w:right="127"/>
        <w:jc w:val="left"/>
      </w:pPr>
      <w:r>
        <w:rPr/>
        <w:t>资机构、共同基金、信托公司或包括投连险基金在内的类似主体间接持有的联营企业的权益性投 资，采用公允价值计量且其变动计入损益。</w:t>
      </w:r>
    </w:p>
    <w:p>
      <w:pPr>
        <w:pStyle w:val="BodyText"/>
        <w:spacing w:line="355" w:lineRule="auto" w:before="33"/>
        <w:ind w:left="137" w:right="144" w:firstLine="420"/>
        <w:jc w:val="both"/>
      </w:pPr>
      <w:r>
        <w:rPr/>
        <w:t>长期股权投资的初始投资成本大于投资时应享有被投资单位可辨认净资产公允价值份额的差 额，不调整长期股权投资的初始投资成本；初始投资成本小于投资时应享有被投资单位可辨认净 资产公允价值份额的差额，计入当期损益。</w:t>
      </w:r>
    </w:p>
    <w:p>
      <w:pPr>
        <w:pStyle w:val="BodyText"/>
        <w:spacing w:line="357" w:lineRule="auto" w:before="33"/>
        <w:ind w:left="137" w:right="144" w:firstLine="420"/>
        <w:jc w:val="both"/>
      </w:pPr>
      <w:r>
        <w:rPr/>
        <w:t>本公司取得长期股权投资后，按照应享有或应分担的被投资单位实现的净损益和其他综合收 益的份额，分别确认投资收益和其他综合收益，同时调整长期股权投资的账面价值；并按照被投 资单位宣告分派的利润或现金股利计算应享有的部分，相应减少长期股权投资的账面价值；对于 被投资单位除净损益、其他综合收益和利润分配以外所有者权益的其他变动，调整长期股权投资 的账面价值并计入所有者权益。</w:t>
      </w:r>
    </w:p>
    <w:p>
      <w:pPr>
        <w:pStyle w:val="BodyText"/>
        <w:spacing w:line="357" w:lineRule="auto" w:before="30"/>
        <w:ind w:left="137" w:right="144" w:firstLine="420"/>
        <w:jc w:val="both"/>
      </w:pPr>
      <w:r>
        <w:rPr/>
        <w:t>本公司在确认应享有被投资单位净损益的份额时，以取得投资时被投资单位各项可辨认资产 等的公允价值为基础，对被投资单位的净利润进行调整后确认。本公司与联营企业、合营企业之 间发生的未实现内部交易损益按照应享有的比例计算归属于本公司的部分予以抵销，在此基础上 确认投资损益。</w:t>
      </w:r>
    </w:p>
    <w:p>
      <w:pPr>
        <w:pStyle w:val="BodyText"/>
        <w:spacing w:line="357" w:lineRule="auto" w:before="31"/>
        <w:ind w:left="137" w:right="144" w:firstLine="420"/>
        <w:jc w:val="both"/>
      </w:pPr>
      <w:r>
        <w:rPr/>
        <w:t>本公司确认应分担被投资单位发生的亏损时，按照以下顺序进行处理：首先，冲减长期股权 投资的账面价值。其次，长期股权投资的账面价值不足以冲减的，以其他实质上构成对被投资单 位净投资的长期权益账面价值为限继续确认投资损失，冲减长期应收项目等的账面价值。最后， 经过上述处理，按照投资合同或协议约定企业仍承担额外义务的，按预计承担的义务确认预计负 债，计入当期投资损失。</w:t>
      </w:r>
    </w:p>
    <w:p>
      <w:pPr>
        <w:pStyle w:val="BodyText"/>
        <w:spacing w:line="357" w:lineRule="auto" w:before="31"/>
        <w:ind w:left="137" w:right="144" w:firstLine="420"/>
        <w:jc w:val="both"/>
      </w:pPr>
      <w:r>
        <w:rPr/>
        <w:t>被投资单位以后期间实现盈利的，公司在扣除未确认的亏损分担额后，按与上述相反的顺序 处理，减记已确认预计负债的账面余额、恢复其他实质上构成对被投资单位净投资的长期权益及 长期股权投资的账面价值后，恢复确认投资收益。</w:t>
      </w:r>
    </w:p>
    <w:p>
      <w:pPr>
        <w:pStyle w:val="Heading3"/>
        <w:spacing w:line="240" w:lineRule="auto" w:before="30"/>
        <w:ind w:left="560" w:right="127"/>
        <w:jc w:val="left"/>
        <w:rPr>
          <w:b w:val="0"/>
          <w:bCs w:val="0"/>
        </w:rPr>
      </w:pPr>
      <w:r>
        <w:rPr>
          <w:rFonts w:ascii="Times New Roman" w:hAnsi="Times New Roman" w:cs="Times New Roman" w:eastAsia="Times New Roman" w:hint="default"/>
        </w:rPr>
        <w:t>3</w:t>
      </w:r>
      <w:r>
        <w:rPr/>
        <w:t>．</w:t>
      </w:r>
      <w:r>
        <w:rPr>
          <w:spacing w:val="-65"/>
        </w:rPr>
        <w:t> </w:t>
      </w:r>
      <w:r>
        <w:rPr/>
        <w:t>长期股权投资核算方法的转换</w:t>
      </w:r>
      <w:r>
        <w:rPr>
          <w:b w:val="0"/>
          <w:bCs w:val="0"/>
        </w:rPr>
      </w:r>
    </w:p>
    <w:p>
      <w:pPr>
        <w:pStyle w:val="BodyText"/>
        <w:tabs>
          <w:tab w:pos="1397" w:val="left" w:leader="none"/>
        </w:tabs>
        <w:spacing w:line="336" w:lineRule="auto" w:before="118"/>
        <w:ind w:left="557" w:right="144"/>
        <w:jc w:val="left"/>
      </w:pPr>
      <w:r>
        <w:rPr/>
        <w:t>（</w:t>
      </w:r>
      <w:r>
        <w:rPr>
          <w:rFonts w:ascii="Times New Roman" w:hAnsi="Times New Roman" w:cs="Times New Roman" w:eastAsia="Times New Roman" w:hint="default"/>
        </w:rPr>
        <w:t>1</w:t>
      </w:r>
      <w:r>
        <w:rPr/>
        <w:t>）</w:t>
        <w:tab/>
        <w:t>公允价值计量转权益法核算 本公司原持有的对被投资单位不具有控制、共同控制或重大影响的按金融工具确认和计量准</w:t>
      </w:r>
    </w:p>
    <w:p>
      <w:pPr>
        <w:spacing w:after="0" w:line="336" w:lineRule="auto"/>
        <w:jc w:val="left"/>
        <w:sectPr>
          <w:pgSz w:w="11910" w:h="16840"/>
          <w:pgMar w:header="882" w:footer="1197" w:top="1120" w:bottom="1380" w:left="1660" w:right="1140"/>
        </w:sectPr>
      </w:pPr>
    </w:p>
    <w:p>
      <w:pPr>
        <w:spacing w:line="240" w:lineRule="auto" w:before="4"/>
        <w:rPr>
          <w:rFonts w:ascii="宋体" w:hAnsi="宋体" w:cs="宋体" w:eastAsia="宋体" w:hint="default"/>
          <w:sz w:val="25"/>
          <w:szCs w:val="25"/>
        </w:rPr>
      </w:pPr>
    </w:p>
    <w:p>
      <w:pPr>
        <w:pStyle w:val="BodyText"/>
        <w:spacing w:line="348" w:lineRule="auto" w:before="35"/>
        <w:ind w:left="137" w:right="131"/>
        <w:jc w:val="both"/>
      </w:pPr>
      <w:r>
        <w:rPr/>
        <w:t>则进行会计处理的权益性投资，因追加投资等原因能够对被投资单位施加重大影响或实施共同控 </w:t>
      </w:r>
      <w:r>
        <w:rPr>
          <w:spacing w:val="-3"/>
        </w:rPr>
        <w:t>制但不构成控制的，按照《企业会计准则第</w:t>
      </w:r>
      <w:r>
        <w:rPr>
          <w:spacing w:val="-41"/>
        </w:rPr>
        <w:t> </w:t>
      </w:r>
      <w:r>
        <w:rPr>
          <w:rFonts w:ascii="Times New Roman" w:hAnsi="Times New Roman" w:cs="Times New Roman" w:eastAsia="Times New Roman" w:hint="default"/>
        </w:rPr>
        <w:t>22</w:t>
      </w:r>
      <w:r>
        <w:rPr>
          <w:rFonts w:ascii="Times New Roman" w:hAnsi="Times New Roman" w:cs="Times New Roman" w:eastAsia="Times New Roman" w:hint="default"/>
          <w:spacing w:val="12"/>
        </w:rPr>
        <w:t> </w:t>
      </w:r>
      <w:r>
        <w:rPr>
          <w:spacing w:val="-3"/>
        </w:rPr>
        <w:t>号——金融工具确认和计量》确定的原持有的股权</w:t>
      </w:r>
      <w:r>
        <w:rPr>
          <w:spacing w:val="-102"/>
        </w:rPr>
        <w:t> </w:t>
      </w:r>
      <w:r>
        <w:rPr>
          <w:spacing w:val="-102"/>
        </w:rPr>
      </w:r>
      <w:r>
        <w:rPr/>
        <w:t>投资的公允价值加上新增投资成本之和，作为改按权益法核算的初始投资成本。</w:t>
      </w:r>
    </w:p>
    <w:p>
      <w:pPr>
        <w:pStyle w:val="BodyText"/>
        <w:spacing w:line="357" w:lineRule="auto" w:before="38"/>
        <w:ind w:left="137" w:right="127" w:firstLine="420"/>
        <w:jc w:val="left"/>
      </w:pPr>
      <w:r>
        <w:rPr/>
        <w:t>原持有的股权投资分类为可供出售金融资产的，其公允价值与账面价值之间的差额，以及原 计入其他综合收益的累计公允价值变动转入改按权益法核算的当期损益。</w:t>
      </w:r>
    </w:p>
    <w:p>
      <w:pPr>
        <w:pStyle w:val="BodyText"/>
        <w:spacing w:line="357" w:lineRule="auto" w:before="30"/>
        <w:ind w:left="137" w:right="144" w:firstLine="420"/>
        <w:jc w:val="both"/>
      </w:pPr>
      <w:r>
        <w:rPr/>
        <w:t>按权益法核算的初始投资成本小于按照追加投资后全新的持股比例计算确定的应享有被投资 单位在追加投资日可辨认净资产公允价值份额之间的差额，调整长期股权投资的账面价值，并计 入当期营业外收入。</w:t>
      </w:r>
    </w:p>
    <w:p>
      <w:pPr>
        <w:pStyle w:val="BodyText"/>
        <w:tabs>
          <w:tab w:pos="1397" w:val="left" w:leader="none"/>
        </w:tabs>
        <w:spacing w:line="338" w:lineRule="auto" w:before="30"/>
        <w:ind w:left="557" w:right="144"/>
        <w:jc w:val="left"/>
      </w:pPr>
      <w:r>
        <w:rPr/>
        <w:t>（</w:t>
      </w:r>
      <w:r>
        <w:rPr>
          <w:rFonts w:ascii="Times New Roman" w:hAnsi="Times New Roman" w:cs="Times New Roman" w:eastAsia="Times New Roman" w:hint="default"/>
        </w:rPr>
        <w:t>2</w:t>
      </w:r>
      <w:r>
        <w:rPr/>
        <w:t>）</w:t>
        <w:tab/>
        <w:t>公允价值计量或权益法核算转成本法核算 本公司原持有的对被投资单位不具有控制、共同控制或重大影响的按金融工具确认和计量准</w:t>
      </w:r>
    </w:p>
    <w:p>
      <w:pPr>
        <w:pStyle w:val="BodyText"/>
        <w:spacing w:line="357" w:lineRule="auto" w:before="47"/>
        <w:ind w:left="137" w:right="144"/>
        <w:jc w:val="both"/>
      </w:pPr>
      <w:r>
        <w:rPr/>
        <w:t>则进行会计处理的权益性投资，或原持有对联营企业、合营企业的长期股权投资，因追加投资等 原因能够对非同一控制下的被投资单位实施控制的，在编制个别财务报表时，按照原持有的股权 投资账面价值加上新增投资成本之和，作为改按成本法核算的初始投资成本。</w:t>
      </w:r>
    </w:p>
    <w:p>
      <w:pPr>
        <w:pStyle w:val="BodyText"/>
        <w:spacing w:line="357" w:lineRule="auto" w:before="30"/>
        <w:ind w:left="137" w:right="127" w:firstLine="420"/>
        <w:jc w:val="left"/>
      </w:pPr>
      <w:r>
        <w:rPr/>
        <w:t>购买日之前持有的股权投资因采用权益法核算而确认的其他综合收益，在处置该项投资时采 用与被投资单位直接处置相关资产或负债相同的基础进行会计处理。</w:t>
      </w:r>
    </w:p>
    <w:p>
      <w:pPr>
        <w:pStyle w:val="BodyText"/>
        <w:spacing w:line="348" w:lineRule="auto" w:before="30"/>
        <w:ind w:left="137" w:right="120" w:firstLine="420"/>
        <w:jc w:val="left"/>
      </w:pPr>
      <w:r>
        <w:rPr>
          <w:spacing w:val="-3"/>
        </w:rPr>
        <w:t>购买日之前持有的股权投资按照《企业会计准则第 </w:t>
      </w:r>
      <w:r>
        <w:rPr>
          <w:rFonts w:ascii="Times New Roman" w:hAnsi="Times New Roman" w:cs="Times New Roman" w:eastAsia="Times New Roman" w:hint="default"/>
        </w:rPr>
        <w:t>22</w:t>
      </w:r>
      <w:r>
        <w:rPr>
          <w:rFonts w:ascii="Times New Roman" w:hAnsi="Times New Roman" w:cs="Times New Roman" w:eastAsia="Times New Roman" w:hint="default"/>
          <w:spacing w:val="-31"/>
        </w:rPr>
        <w:t> </w:t>
      </w:r>
      <w:r>
        <w:rPr>
          <w:spacing w:val="-3"/>
        </w:rPr>
        <w:t>号——金融工具确认和计量》的有关规</w:t>
      </w:r>
      <w:r>
        <w:rPr/>
        <w:t> 定进行会计处理的，原计入其他综合收益的累计公允价值变动在改按成本法核算时转入当期损 益。</w:t>
      </w:r>
    </w:p>
    <w:p>
      <w:pPr>
        <w:pStyle w:val="BodyText"/>
        <w:tabs>
          <w:tab w:pos="1397" w:val="left" w:leader="none"/>
        </w:tabs>
        <w:spacing w:line="336" w:lineRule="auto" w:before="40"/>
        <w:ind w:left="557" w:right="144"/>
        <w:jc w:val="left"/>
      </w:pPr>
      <w:r>
        <w:rPr/>
        <w:t>（</w:t>
      </w:r>
      <w:r>
        <w:rPr>
          <w:rFonts w:ascii="Times New Roman" w:hAnsi="Times New Roman" w:cs="Times New Roman" w:eastAsia="Times New Roman" w:hint="default"/>
        </w:rPr>
        <w:t>3</w:t>
      </w:r>
      <w:r>
        <w:rPr/>
        <w:t>）</w:t>
        <w:tab/>
        <w:t>权益法核算转公允价值计量 本公司因处置部分股权投资等原因丧失了对被投资单位的共同控制或重大影响的，处置后的</w:t>
      </w:r>
    </w:p>
    <w:p>
      <w:pPr>
        <w:pStyle w:val="BodyText"/>
        <w:spacing w:line="338" w:lineRule="auto" w:before="49"/>
        <w:ind w:left="137" w:right="131"/>
        <w:jc w:val="both"/>
      </w:pPr>
      <w:r>
        <w:rPr>
          <w:spacing w:val="-4"/>
        </w:rPr>
        <w:t>剩余股权改按《企业会计准则第</w:t>
      </w:r>
      <w:r>
        <w:rPr>
          <w:spacing w:val="-71"/>
        </w:rPr>
        <w:t> </w:t>
      </w:r>
      <w:r>
        <w:rPr>
          <w:rFonts w:ascii="Times New Roman" w:hAnsi="Times New Roman" w:cs="Times New Roman" w:eastAsia="Times New Roman" w:hint="default"/>
        </w:rPr>
        <w:t>22</w:t>
      </w:r>
      <w:r>
        <w:rPr>
          <w:rFonts w:ascii="Times New Roman" w:hAnsi="Times New Roman" w:cs="Times New Roman" w:eastAsia="Times New Roman" w:hint="default"/>
          <w:spacing w:val="-18"/>
        </w:rPr>
        <w:t> </w:t>
      </w:r>
      <w:r>
        <w:rPr/>
        <w:t>号——金融工具确认和计量》核算，其在丧失共同控制或重大 影响之日的公允价值与账面价值之间的差额计入当期损益。</w:t>
      </w:r>
    </w:p>
    <w:p>
      <w:pPr>
        <w:pStyle w:val="BodyText"/>
        <w:spacing w:line="357" w:lineRule="auto" w:before="47"/>
        <w:ind w:left="137" w:right="127" w:firstLine="420"/>
        <w:jc w:val="left"/>
      </w:pPr>
      <w:r>
        <w:rPr/>
        <w:t>原股权投资因采用权益法核算而确认的其他综合收益，在终止采用权益法核算时采用与被投 资单位直接处置相关资产或负债相同的基础进行会计处理。</w:t>
      </w:r>
    </w:p>
    <w:p>
      <w:pPr>
        <w:pStyle w:val="BodyText"/>
        <w:tabs>
          <w:tab w:pos="1397" w:val="left" w:leader="none"/>
        </w:tabs>
        <w:spacing w:line="338" w:lineRule="auto" w:before="30"/>
        <w:ind w:left="557" w:right="354"/>
        <w:jc w:val="left"/>
      </w:pPr>
      <w:r>
        <w:rPr/>
        <w:t>（</w:t>
      </w:r>
      <w:r>
        <w:rPr>
          <w:rFonts w:ascii="Times New Roman" w:hAnsi="Times New Roman" w:cs="Times New Roman" w:eastAsia="Times New Roman" w:hint="default"/>
        </w:rPr>
        <w:t>4</w:t>
      </w:r>
      <w:r>
        <w:rPr/>
        <w:t>）</w:t>
        <w:tab/>
        <w:t>成本法转权益法 本公司因处置部分权益性投资等原因丧失了对被投资单位的控制的，在编制个别财务报表</w:t>
      </w:r>
    </w:p>
    <w:p>
      <w:pPr>
        <w:pStyle w:val="BodyText"/>
        <w:spacing w:line="355" w:lineRule="auto" w:before="47"/>
        <w:ind w:left="137" w:right="144"/>
        <w:jc w:val="both"/>
      </w:pPr>
      <w:r>
        <w:rPr/>
        <w:t>时，处置后的剩余股权能够对被投资单位实施共同控制或施加重大影响的，改按权益法核算，并 对该剩余股权视同自取得时即采用权益法核算进行调整。</w:t>
      </w:r>
    </w:p>
    <w:p>
      <w:pPr>
        <w:pStyle w:val="BodyText"/>
        <w:tabs>
          <w:tab w:pos="1397" w:val="left" w:leader="none"/>
        </w:tabs>
        <w:spacing w:line="336" w:lineRule="auto" w:before="33"/>
        <w:ind w:left="557" w:right="354"/>
        <w:jc w:val="left"/>
      </w:pPr>
      <w:r>
        <w:rPr/>
        <w:t>（</w:t>
      </w:r>
      <w:r>
        <w:rPr>
          <w:rFonts w:ascii="Times New Roman" w:hAnsi="Times New Roman" w:cs="Times New Roman" w:eastAsia="Times New Roman" w:hint="default"/>
        </w:rPr>
        <w:t>5</w:t>
      </w:r>
      <w:r>
        <w:rPr/>
        <w:t>）</w:t>
        <w:tab/>
        <w:t>成本法转公允价值计量 本公司因处置部分权益性投资等原因丧失了对被投资单位的控制的，在编制个别财务报表</w:t>
      </w:r>
    </w:p>
    <w:p>
      <w:pPr>
        <w:pStyle w:val="BodyText"/>
        <w:spacing w:line="348" w:lineRule="auto" w:before="50"/>
        <w:ind w:left="137" w:right="132"/>
        <w:jc w:val="both"/>
      </w:pPr>
      <w:r>
        <w:rPr/>
        <w:t>时，处置后的剩余股权不能对被投资单位实施共同控制或施加重大影响的，改按《企业会计准则 第</w:t>
      </w:r>
      <w:r>
        <w:rPr>
          <w:spacing w:val="-42"/>
        </w:rPr>
        <w:t> </w:t>
      </w:r>
      <w:r>
        <w:rPr>
          <w:rFonts w:ascii="Times New Roman" w:hAnsi="Times New Roman" w:cs="Times New Roman" w:eastAsia="Times New Roman" w:hint="default"/>
          <w:spacing w:val="-1"/>
        </w:rPr>
        <w:t>22</w:t>
      </w:r>
      <w:r>
        <w:rPr>
          <w:rFonts w:ascii="Times New Roman" w:hAnsi="Times New Roman" w:cs="Times New Roman" w:eastAsia="Times New Roman" w:hint="default"/>
          <w:spacing w:val="11"/>
        </w:rPr>
        <w:t> </w:t>
      </w:r>
      <w:r>
        <w:rPr>
          <w:spacing w:val="-3"/>
        </w:rPr>
        <w:t>号——金融工具确认和计量》的有关规定进行会计处理，其在丧失控制之日的公允价值与账</w:t>
      </w:r>
      <w:r>
        <w:rPr>
          <w:spacing w:val="-103"/>
        </w:rPr>
        <w:t> </w:t>
      </w:r>
      <w:r>
        <w:rPr>
          <w:spacing w:val="-103"/>
        </w:rPr>
      </w:r>
      <w:r>
        <w:rPr/>
        <w:t>面价值间的差额计入当期损益。</w:t>
      </w:r>
    </w:p>
    <w:p>
      <w:pPr>
        <w:pStyle w:val="Heading3"/>
        <w:spacing w:line="240" w:lineRule="auto" w:before="38"/>
        <w:ind w:left="559" w:right="127"/>
        <w:jc w:val="left"/>
        <w:rPr>
          <w:b w:val="0"/>
          <w:bCs w:val="0"/>
        </w:rPr>
      </w:pPr>
      <w:r>
        <w:rPr>
          <w:rFonts w:ascii="Times New Roman" w:hAnsi="Times New Roman" w:cs="Times New Roman" w:eastAsia="Times New Roman" w:hint="default"/>
        </w:rPr>
        <w:t>4</w:t>
      </w:r>
      <w:r>
        <w:rPr/>
        <w:t>．</w:t>
      </w:r>
      <w:r>
        <w:rPr>
          <w:spacing w:val="-64"/>
        </w:rPr>
        <w:t> </w:t>
      </w:r>
      <w:r>
        <w:rPr/>
        <w:t>长期股权投资的处置</w:t>
      </w:r>
      <w:r>
        <w:rPr>
          <w:b w:val="0"/>
          <w:bCs w:val="0"/>
        </w:rPr>
      </w:r>
    </w:p>
    <w:p>
      <w:pPr>
        <w:spacing w:after="0" w:line="240" w:lineRule="auto"/>
        <w:jc w:val="left"/>
        <w:sectPr>
          <w:footerReference w:type="default" r:id="rId84"/>
          <w:pgSz w:w="11910" w:h="16840"/>
          <w:pgMar w:footer="1197" w:header="882" w:top="1120" w:bottom="1380" w:left="1660" w:right="1140"/>
          <w:pgNumType w:start="83"/>
        </w:sectPr>
      </w:pPr>
    </w:p>
    <w:p>
      <w:pPr>
        <w:spacing w:line="240" w:lineRule="auto" w:before="4"/>
        <w:rPr>
          <w:rFonts w:ascii="宋体" w:hAnsi="宋体" w:cs="宋体" w:eastAsia="宋体" w:hint="default"/>
          <w:b/>
          <w:bCs/>
          <w:sz w:val="25"/>
          <w:szCs w:val="25"/>
        </w:rPr>
      </w:pPr>
    </w:p>
    <w:p>
      <w:pPr>
        <w:pStyle w:val="BodyText"/>
        <w:spacing w:line="357" w:lineRule="auto" w:before="35"/>
        <w:ind w:left="137" w:right="144" w:firstLine="420"/>
        <w:jc w:val="both"/>
      </w:pPr>
      <w:r>
        <w:rPr/>
        <w:t>处置长期股权投资，其账面价值与实际取得价款之间的差额，应当计入当期损益。采用权益 法核算的长期股权投资，在处置该项投资时，采用与被投资单位直接处置相关资产或负债相同的 基础，按相应比例对原计入其他综合收益的部分进行会计处理。</w:t>
      </w:r>
    </w:p>
    <w:p>
      <w:pPr>
        <w:pStyle w:val="BodyText"/>
        <w:spacing w:line="357" w:lineRule="auto" w:before="30"/>
        <w:ind w:left="137" w:right="144" w:firstLine="420"/>
        <w:jc w:val="both"/>
      </w:pPr>
      <w:r>
        <w:rPr/>
        <w:t>处置对子公司股权投资的各项交易的条款、条件以及经济影响符合以下一种或多种情况，将 多次交易事项作为一揽子交易进行会计处理：</w:t>
      </w:r>
    </w:p>
    <w:p>
      <w:pPr>
        <w:pStyle w:val="BodyText"/>
        <w:tabs>
          <w:tab w:pos="1397" w:val="left" w:leader="none"/>
        </w:tabs>
        <w:spacing w:line="240" w:lineRule="auto" w:before="30"/>
        <w:ind w:left="557" w:right="127"/>
        <w:jc w:val="left"/>
      </w:pPr>
      <w:r>
        <w:rPr/>
        <w:t>（</w:t>
      </w:r>
      <w:r>
        <w:rPr>
          <w:rFonts w:ascii="Times New Roman" w:hAnsi="Times New Roman" w:cs="Times New Roman" w:eastAsia="Times New Roman" w:hint="default"/>
        </w:rPr>
        <w:t>1</w:t>
      </w:r>
      <w:r>
        <w:rPr/>
        <w:t>）</w:t>
        <w:tab/>
        <w:t>这些交易是同时或者在考虑了彼此影响的情况下订立的；</w:t>
      </w:r>
    </w:p>
    <w:p>
      <w:pPr>
        <w:pStyle w:val="BodyText"/>
        <w:tabs>
          <w:tab w:pos="1397" w:val="left" w:leader="none"/>
        </w:tabs>
        <w:spacing w:line="240" w:lineRule="auto" w:before="117"/>
        <w:ind w:left="557" w:right="127"/>
        <w:jc w:val="left"/>
      </w:pPr>
      <w:r>
        <w:rPr/>
        <w:t>（</w:t>
      </w:r>
      <w:r>
        <w:rPr>
          <w:rFonts w:ascii="Times New Roman" w:hAnsi="Times New Roman" w:cs="Times New Roman" w:eastAsia="Times New Roman" w:hint="default"/>
        </w:rPr>
        <w:t>2</w:t>
      </w:r>
      <w:r>
        <w:rPr/>
        <w:t>）</w:t>
        <w:tab/>
        <w:t>这些交易整体才能达成一项完整的商业结果；</w:t>
      </w:r>
    </w:p>
    <w:p>
      <w:pPr>
        <w:pStyle w:val="BodyText"/>
        <w:tabs>
          <w:tab w:pos="1397" w:val="left" w:leader="none"/>
        </w:tabs>
        <w:spacing w:line="240" w:lineRule="auto" w:before="118"/>
        <w:ind w:left="557" w:right="127"/>
        <w:jc w:val="left"/>
      </w:pPr>
      <w:r>
        <w:rPr/>
        <w:t>（</w:t>
      </w:r>
      <w:r>
        <w:rPr>
          <w:rFonts w:ascii="Times New Roman" w:hAnsi="Times New Roman" w:cs="Times New Roman" w:eastAsia="Times New Roman" w:hint="default"/>
        </w:rPr>
        <w:t>3</w:t>
      </w:r>
      <w:r>
        <w:rPr/>
        <w:t>）</w:t>
        <w:tab/>
        <w:t>一项交易的发生取决于其他至少一项交易的发生；</w:t>
      </w:r>
    </w:p>
    <w:p>
      <w:pPr>
        <w:pStyle w:val="BodyText"/>
        <w:tabs>
          <w:tab w:pos="1397" w:val="left" w:leader="none"/>
        </w:tabs>
        <w:spacing w:line="338" w:lineRule="auto" w:before="117"/>
        <w:ind w:left="557" w:right="144"/>
        <w:jc w:val="left"/>
      </w:pPr>
      <w:r>
        <w:rPr/>
        <w:t>（</w:t>
      </w:r>
      <w:r>
        <w:rPr>
          <w:rFonts w:ascii="Times New Roman" w:hAnsi="Times New Roman" w:cs="Times New Roman" w:eastAsia="Times New Roman" w:hint="default"/>
        </w:rPr>
        <w:t>4</w:t>
      </w:r>
      <w:r>
        <w:rPr/>
        <w:t>）</w:t>
        <w:tab/>
        <w:t>一项交易单独看是不经济的，但是和其他交易一并考虑时是经济的。 因处置部分股权投资或其他原因丧失了对原有子公司控制权的，不属于一揽子交易的，区分</w:t>
      </w:r>
    </w:p>
    <w:p>
      <w:pPr>
        <w:pStyle w:val="BodyText"/>
        <w:spacing w:line="240" w:lineRule="auto" w:before="47"/>
        <w:ind w:left="137" w:right="127"/>
        <w:jc w:val="left"/>
      </w:pPr>
      <w:r>
        <w:rPr/>
        <w:t>个别财务报表和合并财务报表进行相关会计处理：</w:t>
      </w:r>
    </w:p>
    <w:p>
      <w:pPr>
        <w:pStyle w:val="BodyText"/>
        <w:spacing w:line="352" w:lineRule="auto" w:before="134"/>
        <w:ind w:left="137" w:right="131" w:firstLine="420"/>
        <w:jc w:val="both"/>
      </w:pPr>
      <w:r>
        <w:rPr>
          <w:spacing w:val="-3"/>
        </w:rPr>
        <w:t>（</w:t>
      </w:r>
      <w:r>
        <w:rPr>
          <w:rFonts w:ascii="Times New Roman" w:hAnsi="Times New Roman" w:cs="Times New Roman" w:eastAsia="Times New Roman" w:hint="default"/>
          <w:spacing w:val="-3"/>
        </w:rPr>
        <w:t>1</w:t>
      </w:r>
      <w:r>
        <w:rPr>
          <w:spacing w:val="-3"/>
        </w:rPr>
        <w:t>）在个别财务报表中，对于处置的股权，其账面价值与实际取得价款之间的差额计入当期</w:t>
      </w:r>
      <w:r>
        <w:rPr/>
        <w:t> 损益。处置后的剩余股权能够对被投资单位实施共同控制或施加重大影响的，改按权益法核算， 并对该剩余股权视同自取得时即采用权益法核算进行调整；处置后的剩余股权不能对被投资单位 </w:t>
      </w:r>
      <w:r>
        <w:rPr>
          <w:spacing w:val="-3"/>
        </w:rPr>
        <w:t>实施共同控制或施加重大影响的，改按《企业会计准则第</w:t>
      </w:r>
      <w:r>
        <w:rPr>
          <w:spacing w:val="-51"/>
        </w:rPr>
        <w:t> </w:t>
      </w:r>
      <w:r>
        <w:rPr/>
        <w:t>22</w:t>
      </w:r>
      <w:r>
        <w:rPr>
          <w:spacing w:val="-51"/>
        </w:rPr>
        <w:t> </w:t>
      </w:r>
      <w:r>
        <w:rPr>
          <w:spacing w:val="-4"/>
        </w:rPr>
        <w:t>号——金融工具确认和计量》的有关</w:t>
      </w:r>
      <w:r>
        <w:rPr>
          <w:spacing w:val="-103"/>
        </w:rPr>
        <w:t> </w:t>
      </w:r>
      <w:r>
        <w:rPr>
          <w:spacing w:val="-103"/>
        </w:rPr>
      </w:r>
      <w:r>
        <w:rPr/>
        <w:t>规定进行会计处理，其在丧失控制之日的公允价值与账面价值间的差额计入当期损益。</w:t>
      </w:r>
    </w:p>
    <w:p>
      <w:pPr>
        <w:pStyle w:val="BodyText"/>
        <w:spacing w:line="352" w:lineRule="auto" w:before="35"/>
        <w:ind w:left="137" w:right="131" w:firstLine="420"/>
        <w:jc w:val="both"/>
      </w:pPr>
      <w:r>
        <w:rPr>
          <w:spacing w:val="-3"/>
        </w:rPr>
        <w:t>（</w:t>
      </w:r>
      <w:r>
        <w:rPr>
          <w:rFonts w:ascii="Times New Roman" w:hAnsi="Times New Roman" w:cs="Times New Roman" w:eastAsia="Times New Roman" w:hint="default"/>
          <w:spacing w:val="-3"/>
        </w:rPr>
        <w:t>2</w:t>
      </w:r>
      <w:r>
        <w:rPr>
          <w:spacing w:val="-3"/>
        </w:rPr>
        <w:t>）在合并财务报表中，对于在丧失对子公司控制权以前的各项交易，处置价款与处置长期</w:t>
      </w:r>
      <w:r>
        <w:rPr/>
        <w:t> 股权投资相应对享有子公司自购买日或合并日开始持续计算的净资产份额之间的差额，调整资本 公积（股本溢价），资本公积不足冲减的，调整留存收益；在丧失对子公司控制权时，对于剩余 股权，按照其在丧失控制权日的公允价值进行重新计量。处置股权取得的对价与剩余股权公允价 值之和，减去按原持股比例计算应享有原有子公司自购买日开始持续计算的净资产的份额之间的 差额，计入丧失控制权当期的投资收益，同时冲减商誉。与原有子公司股权投资相关的其他综合 收益等，在丧失控制权时转为当期投资收益。</w:t>
      </w:r>
    </w:p>
    <w:p>
      <w:pPr>
        <w:pStyle w:val="BodyText"/>
        <w:spacing w:line="357" w:lineRule="auto" w:before="35"/>
        <w:ind w:left="137" w:right="144" w:firstLine="420"/>
        <w:jc w:val="both"/>
      </w:pPr>
      <w:r>
        <w:rPr/>
        <w:t>处置对子公司股权投资直至丧失控制权的各项交易属于一揽子交易的，将各项交易作为一项 处置子公司股权投资并丧失控制权的交易进行会计处理，区分个别财务报表和合并财务报表进行 相关会计处理：</w:t>
      </w:r>
    </w:p>
    <w:p>
      <w:pPr>
        <w:pStyle w:val="BodyText"/>
        <w:spacing w:line="348" w:lineRule="auto" w:before="30"/>
        <w:ind w:left="137" w:right="127" w:firstLine="420"/>
        <w:jc w:val="left"/>
      </w:pPr>
      <w:r>
        <w:rPr>
          <w:spacing w:val="-3"/>
        </w:rPr>
        <w:t>（</w:t>
      </w:r>
      <w:r>
        <w:rPr>
          <w:rFonts w:ascii="Times New Roman" w:hAnsi="Times New Roman" w:cs="Times New Roman" w:eastAsia="Times New Roman" w:hint="default"/>
          <w:spacing w:val="-3"/>
        </w:rPr>
        <w:t>1</w:t>
      </w:r>
      <w:r>
        <w:rPr>
          <w:spacing w:val="-3"/>
        </w:rPr>
        <w:t>）在个别财务报表中，在丧失控制权之前每一次处置价款与处置的股权对应的长期股权投</w:t>
      </w:r>
      <w:r>
        <w:rPr/>
        <w:t> 资账面价值之间的差额，确认为其他综合收益，在丧失控制权时一并转入丧失控制权当期的损 益。</w:t>
      </w:r>
    </w:p>
    <w:p>
      <w:pPr>
        <w:pStyle w:val="BodyText"/>
        <w:spacing w:line="338" w:lineRule="auto" w:before="38"/>
        <w:ind w:left="137" w:right="131" w:firstLine="420"/>
        <w:jc w:val="both"/>
      </w:pPr>
      <w:r>
        <w:rPr>
          <w:spacing w:val="-3"/>
        </w:rPr>
        <w:t>（</w:t>
      </w:r>
      <w:r>
        <w:rPr>
          <w:rFonts w:ascii="Times New Roman" w:hAnsi="Times New Roman" w:cs="Times New Roman" w:eastAsia="Times New Roman" w:hint="default"/>
          <w:spacing w:val="-3"/>
        </w:rPr>
        <w:t>2</w:t>
      </w:r>
      <w:r>
        <w:rPr>
          <w:spacing w:val="-3"/>
        </w:rPr>
        <w:t>）在合并财务报表中，在丧失控制权之前每一次处置价款与处置投资对应的享有该子公司</w:t>
      </w:r>
      <w:r>
        <w:rPr/>
        <w:t> 净资产份额的差额，确认为其他综合收益，在丧失控制权时一并转入丧失控制权当期的损益。</w:t>
      </w:r>
    </w:p>
    <w:p>
      <w:pPr>
        <w:spacing w:line="338" w:lineRule="auto" w:before="47"/>
        <w:ind w:left="557" w:right="12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62"/>
          <w:sz w:val="21"/>
          <w:szCs w:val="21"/>
        </w:rPr>
        <w:t> </w:t>
      </w:r>
      <w:r>
        <w:rPr>
          <w:rFonts w:ascii="宋体" w:hAnsi="宋体" w:cs="宋体" w:eastAsia="宋体" w:hint="default"/>
          <w:b/>
          <w:bCs/>
          <w:sz w:val="21"/>
          <w:szCs w:val="21"/>
        </w:rPr>
        <w:t>共同控制、重大影响的判断标准</w:t>
      </w:r>
      <w:r>
        <w:rPr>
          <w:rFonts w:ascii="宋体" w:hAnsi="宋体" w:cs="宋体" w:eastAsia="宋体" w:hint="default"/>
          <w:b/>
          <w:bCs/>
          <w:spacing w:val="1"/>
          <w:w w:val="99"/>
          <w:sz w:val="21"/>
          <w:szCs w:val="21"/>
        </w:rPr>
        <w:t> </w:t>
      </w:r>
      <w:r>
        <w:rPr>
          <w:rFonts w:ascii="宋体" w:hAnsi="宋体" w:cs="宋体" w:eastAsia="宋体" w:hint="default"/>
          <w:sz w:val="21"/>
          <w:szCs w:val="21"/>
        </w:rPr>
        <w:t>如果本公司按照相关约定与其他参与方集体控制某项安排，并且对该安排回报具有重大影响</w:t>
      </w:r>
    </w:p>
    <w:p>
      <w:pPr>
        <w:pStyle w:val="BodyText"/>
        <w:spacing w:line="240" w:lineRule="auto" w:before="47"/>
        <w:ind w:left="137" w:right="0"/>
        <w:jc w:val="left"/>
      </w:pPr>
      <w:r>
        <w:rPr/>
        <w:t>的活动决策，需要经过分享控制权的参与方一致同意时才存在，则视为本公司与其他参与方共同</w:t>
      </w:r>
    </w:p>
    <w:p>
      <w:pPr>
        <w:spacing w:after="0" w:line="240" w:lineRule="auto"/>
        <w:jc w:val="left"/>
        <w:sectPr>
          <w:pgSz w:w="11910" w:h="16840"/>
          <w:pgMar w:header="882" w:footer="1197" w:top="1120" w:bottom="1380" w:left="1660" w:right="1140"/>
        </w:sectPr>
      </w:pPr>
    </w:p>
    <w:p>
      <w:pPr>
        <w:spacing w:line="240" w:lineRule="auto" w:before="4"/>
        <w:rPr>
          <w:rFonts w:ascii="宋体" w:hAnsi="宋体" w:cs="宋体" w:eastAsia="宋体" w:hint="default"/>
          <w:sz w:val="25"/>
          <w:szCs w:val="25"/>
        </w:rPr>
      </w:pPr>
    </w:p>
    <w:p>
      <w:pPr>
        <w:pStyle w:val="BodyText"/>
        <w:spacing w:line="355" w:lineRule="auto" w:before="35"/>
        <w:ind w:left="637" w:right="437" w:hanging="420"/>
        <w:jc w:val="left"/>
      </w:pPr>
      <w:r>
        <w:rPr/>
        <w:t>控制某项安排，该安排即属于合营安排。 合营安排通过单独主体达成的，根据相关约定判断本公司对该单独主体的净资产享有权利</w:t>
      </w:r>
    </w:p>
    <w:p>
      <w:pPr>
        <w:pStyle w:val="BodyText"/>
        <w:spacing w:line="357" w:lineRule="auto" w:before="33"/>
        <w:ind w:right="227"/>
        <w:jc w:val="left"/>
      </w:pPr>
      <w:r>
        <w:rPr/>
        <w:t>时，将该单独主体作为合营企业，采用权益法核算。若根据相关约定判断本公司并非对该单独主 体的净资产享有权利时，该单独主体作为共同经营，本公司确认与共同经营利益份额相关的项 目，并按照相关企业会计准则的规定进行会计处理。</w:t>
      </w:r>
    </w:p>
    <w:p>
      <w:pPr>
        <w:pStyle w:val="BodyText"/>
        <w:spacing w:line="348" w:lineRule="auto" w:before="30"/>
        <w:ind w:right="231" w:firstLine="420"/>
        <w:jc w:val="both"/>
      </w:pPr>
      <w:r>
        <w:rPr/>
        <w:t>重大影响，是指投资方对被投资单位的财务和经营政策有参与决策的权力，但并不能够控制 或者与其他方一起共同控制这些政策的制定。本公司通过以下一种或多种情形，并综合考虑所有 </w:t>
      </w:r>
      <w:r>
        <w:rPr>
          <w:spacing w:val="-3"/>
        </w:rPr>
        <w:t>事实和情况后，判断对被投资单位具有重大影响。（</w:t>
      </w:r>
      <w:r>
        <w:rPr>
          <w:rFonts w:ascii="Times New Roman" w:hAnsi="Times New Roman" w:cs="Times New Roman" w:eastAsia="Times New Roman" w:hint="default"/>
          <w:spacing w:val="-3"/>
        </w:rPr>
        <w:t>1</w:t>
      </w:r>
      <w:r>
        <w:rPr>
          <w:spacing w:val="-3"/>
        </w:rPr>
        <w:t>）在被投资单位的董事会或类似权力机构中</w:t>
      </w:r>
      <w:r>
        <w:rPr>
          <w:spacing w:val="-70"/>
        </w:rPr>
        <w:t> </w:t>
      </w:r>
      <w:r>
        <w:rPr>
          <w:spacing w:val="-70"/>
        </w:rPr>
      </w:r>
      <w:r>
        <w:rPr/>
        <w:t>派有代表；（</w:t>
      </w:r>
      <w:r>
        <w:rPr>
          <w:rFonts w:ascii="Times New Roman" w:hAnsi="Times New Roman" w:cs="Times New Roman" w:eastAsia="Times New Roman" w:hint="default"/>
        </w:rPr>
        <w:t>2</w:t>
      </w:r>
      <w:r>
        <w:rPr/>
        <w:t>）参与被投资单位财务和经营政策制定过程；（</w:t>
      </w:r>
      <w:r>
        <w:rPr>
          <w:rFonts w:ascii="Times New Roman" w:hAnsi="Times New Roman" w:cs="Times New Roman" w:eastAsia="Times New Roman" w:hint="default"/>
        </w:rPr>
        <w:t>3</w:t>
      </w:r>
      <w:r>
        <w:rPr/>
        <w:t>）与被投资单位之间发生重要交 易；（</w:t>
      </w:r>
      <w:r>
        <w:rPr>
          <w:rFonts w:ascii="Times New Roman" w:hAnsi="Times New Roman" w:cs="Times New Roman" w:eastAsia="Times New Roman" w:hint="default"/>
        </w:rPr>
        <w:t>4</w:t>
      </w:r>
      <w:r>
        <w:rPr/>
        <w:t>）向被投资单位派出管理人员；（</w:t>
      </w:r>
      <w:r>
        <w:rPr>
          <w:rFonts w:ascii="Times New Roman" w:hAnsi="Times New Roman" w:cs="Times New Roman" w:eastAsia="Times New Roman" w:hint="default"/>
        </w:rPr>
        <w:t>5</w:t>
      </w:r>
      <w:r>
        <w:rPr/>
        <w:t>）向被投资单位提供关键技术资料。</w:t>
      </w:r>
    </w:p>
    <w:p>
      <w:pPr>
        <w:spacing w:line="240" w:lineRule="auto" w:before="11"/>
        <w:rPr>
          <w:rFonts w:ascii="宋体" w:hAnsi="宋体" w:cs="宋体" w:eastAsia="宋体" w:hint="default"/>
          <w:sz w:val="30"/>
          <w:szCs w:val="30"/>
        </w:rPr>
      </w:pPr>
    </w:p>
    <w:p>
      <w:pPr>
        <w:spacing w:line="295" w:lineRule="auto" w:before="0"/>
        <w:ind w:left="217" w:right="7321" w:firstLine="0"/>
        <w:jc w:val="left"/>
        <w:rPr>
          <w:rFonts w:ascii="宋体" w:hAnsi="宋体" w:cs="宋体" w:eastAsia="宋体" w:hint="default"/>
          <w:sz w:val="21"/>
          <w:szCs w:val="21"/>
        </w:rPr>
      </w:pPr>
      <w:r>
        <w:rPr>
          <w:rFonts w:ascii="Calibri" w:hAnsi="Calibri" w:cs="Calibri" w:eastAsia="Calibri" w:hint="default"/>
          <w:b/>
          <w:bCs/>
          <w:sz w:val="21"/>
          <w:szCs w:val="21"/>
        </w:rPr>
        <w:t>15.</w:t>
      </w:r>
      <w:r>
        <w:rPr>
          <w:rFonts w:ascii="Calibri" w:hAnsi="Calibri" w:cs="Calibri" w:eastAsia="Calibri" w:hint="default"/>
          <w:b/>
          <w:bCs/>
          <w:spacing w:val="5"/>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27"/>
          <w:szCs w:val="27"/>
        </w:rPr>
      </w:pPr>
    </w:p>
    <w:p>
      <w:pPr>
        <w:pStyle w:val="Heading3"/>
        <w:spacing w:line="295" w:lineRule="auto" w:before="0"/>
        <w:ind w:right="7780"/>
        <w:jc w:val="left"/>
        <w:rPr>
          <w:b w:val="0"/>
          <w:bCs w:val="0"/>
        </w:rPr>
      </w:pPr>
      <w:r>
        <w:rPr>
          <w:rFonts w:ascii="Calibri" w:hAnsi="Calibri" w:cs="Calibri" w:eastAsia="Calibri" w:hint="default"/>
        </w:rPr>
        <w:t>16.</w:t>
      </w:r>
      <w:r>
        <w:rPr>
          <w:rFonts w:ascii="Calibri" w:hAnsi="Calibri" w:cs="Calibri" w:eastAsia="Calibri" w:hint="default"/>
          <w:spacing w:val="7"/>
        </w:rPr>
        <w:t> </w:t>
      </w:r>
      <w:r>
        <w:rPr/>
        <w:t>固定资产</w:t>
      </w:r>
      <w:r>
        <w:rPr>
          <w:spacing w:val="1"/>
          <w:w w:val="99"/>
        </w:rPr>
        <w:t> </w:t>
      </w:r>
      <w:r>
        <w:rPr/>
        <w:t>(1).确认条件</w:t>
      </w:r>
      <w:r>
        <w:rPr>
          <w:b w:val="0"/>
          <w:bCs w:val="0"/>
        </w:rPr>
      </w:r>
    </w:p>
    <w:p>
      <w:pPr>
        <w:pStyle w:val="BodyText"/>
        <w:spacing w:line="357" w:lineRule="auto" w:before="29"/>
        <w:ind w:right="244" w:firstLine="420"/>
        <w:jc w:val="both"/>
      </w:pPr>
      <w:r>
        <w:rPr/>
        <w:t>固定资产指为生产商品、提供劳务、出租或经营管理而持有，并且使用寿命超过一个会计年 度的有形资产。固定资产在同时满足下列条件时予以确认：</w:t>
      </w:r>
    </w:p>
    <w:p>
      <w:pPr>
        <w:pStyle w:val="BodyText"/>
        <w:spacing w:line="240" w:lineRule="auto" w:before="30"/>
        <w:ind w:left="637" w:right="114"/>
        <w:jc w:val="left"/>
      </w:pPr>
      <w:r>
        <w:rPr/>
        <w:t>（</w:t>
      </w:r>
      <w:r>
        <w:rPr>
          <w:rFonts w:ascii="Times New Roman" w:hAnsi="Times New Roman" w:cs="Times New Roman" w:eastAsia="Times New Roman" w:hint="default"/>
        </w:rPr>
        <w:t>1</w:t>
      </w:r>
      <w:r>
        <w:rPr/>
        <w:t>）与该固定资产有关的经济利益很可能流入企业；</w:t>
      </w:r>
    </w:p>
    <w:p>
      <w:pPr>
        <w:spacing w:line="338" w:lineRule="auto" w:before="117"/>
        <w:ind w:left="630" w:right="4742" w:firstLine="7"/>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）该固定资产的成本能够可靠地计量。 </w:t>
      </w:r>
      <w:r>
        <w:rPr>
          <w:rFonts w:ascii="宋体" w:hAnsi="宋体" w:cs="宋体" w:eastAsia="宋体" w:hint="default"/>
          <w:b/>
          <w:bCs/>
          <w:sz w:val="21"/>
          <w:szCs w:val="21"/>
        </w:rPr>
        <w:t>固定资产初始计量</w:t>
      </w:r>
      <w:r>
        <w:rPr>
          <w:rFonts w:ascii="宋体" w:hAnsi="宋体" w:cs="宋体" w:eastAsia="宋体" w:hint="default"/>
          <w:sz w:val="21"/>
          <w:szCs w:val="21"/>
        </w:rPr>
      </w:r>
    </w:p>
    <w:p>
      <w:pPr>
        <w:pStyle w:val="BodyText"/>
        <w:spacing w:line="357" w:lineRule="auto" w:before="47"/>
        <w:ind w:right="232" w:firstLine="420"/>
        <w:jc w:val="both"/>
      </w:pPr>
      <w:r>
        <w:rPr/>
        <w:t>本公司固定资产按成本进行初始计量。其中，外购的固定资产的成本包括买价、进口关税等 相关税费，以及为使固定资产达到预定可使用状态前所发生的可直接归属于该资产的其他支出。</w:t>
      </w:r>
      <w:r>
        <w:rPr>
          <w:spacing w:val="-96"/>
        </w:rPr>
        <w:t> </w:t>
      </w:r>
      <w:r>
        <w:rPr>
          <w:spacing w:val="-96"/>
        </w:rPr>
      </w:r>
      <w:r>
        <w:rPr/>
        <w:t>自行建造固定资产的成本，由建造该项资产达到预定可使用状态前所发生的必要支出构成。投资</w:t>
      </w:r>
      <w:r>
        <w:rPr>
          <w:spacing w:val="-96"/>
        </w:rPr>
        <w:t> </w:t>
      </w:r>
      <w:r>
        <w:rPr>
          <w:spacing w:val="-96"/>
        </w:rPr>
      </w:r>
      <w:r>
        <w:rPr/>
        <w:t>者投入的固定资产，按投资合同或协议约定的价值作为入账价值，但合同或协议约定价值不公允</w:t>
      </w:r>
      <w:r>
        <w:rPr>
          <w:spacing w:val="-96"/>
        </w:rPr>
        <w:t> </w:t>
      </w:r>
      <w:r>
        <w:rPr>
          <w:spacing w:val="-96"/>
        </w:rPr>
      </w:r>
      <w:r>
        <w:rPr/>
        <w:t>的按公允价值入账。购买固定资产的价款超过正常信用条件延期支付，实质上具有融资性质的，</w:t>
      </w:r>
      <w:r>
        <w:rPr>
          <w:spacing w:val="-96"/>
        </w:rPr>
        <w:t> </w:t>
      </w:r>
      <w:r>
        <w:rPr>
          <w:spacing w:val="-96"/>
        </w:rPr>
      </w:r>
      <w:r>
        <w:rPr/>
        <w:t>固定资产的成本以购买价款的现值为基础确定。实际支付的价款与购买价款的现值之间的差额，</w:t>
      </w:r>
      <w:r>
        <w:rPr>
          <w:spacing w:val="-96"/>
        </w:rPr>
        <w:t> </w:t>
      </w:r>
      <w:r>
        <w:rPr>
          <w:spacing w:val="-96"/>
        </w:rPr>
      </w:r>
      <w:r>
        <w:rPr/>
        <w:t>除应予资本化的以外，在信用期间内计入当期损益。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3"/>
        <w:spacing w:line="240" w:lineRule="auto" w:before="0"/>
        <w:ind w:right="114"/>
        <w:jc w:val="left"/>
        <w:rPr>
          <w:b w:val="0"/>
          <w:bCs w:val="0"/>
        </w:rPr>
      </w:pPr>
      <w:r>
        <w:rPr/>
        <w:t>(2).折旧方法</w:t>
      </w:r>
      <w:r>
        <w:rPr>
          <w:b w:val="0"/>
          <w:bCs w:val="0"/>
        </w:rPr>
      </w:r>
    </w:p>
    <w:p>
      <w:pPr>
        <w:spacing w:line="240" w:lineRule="auto" w:before="7"/>
        <w:rPr>
          <w:rFonts w:ascii="宋体" w:hAnsi="宋体" w:cs="宋体" w:eastAsia="宋体" w:hint="default"/>
          <w:b/>
          <w:bCs/>
          <w:sz w:val="8"/>
          <w:szCs w:val="8"/>
        </w:rPr>
      </w:pPr>
    </w:p>
    <w:tbl>
      <w:tblPr>
        <w:tblW w:w="0" w:type="auto"/>
        <w:jc w:val="left"/>
        <w:tblInd w:w="104" w:type="dxa"/>
        <w:tblLayout w:type="fixed"/>
        <w:tblCellMar>
          <w:top w:w="0" w:type="dxa"/>
          <w:left w:w="0" w:type="dxa"/>
          <w:bottom w:w="0" w:type="dxa"/>
          <w:right w:w="0" w:type="dxa"/>
        </w:tblCellMar>
        <w:tblLook w:val="01E0"/>
      </w:tblPr>
      <w:tblGrid>
        <w:gridCol w:w="1718"/>
        <w:gridCol w:w="1831"/>
        <w:gridCol w:w="1834"/>
        <w:gridCol w:w="1832"/>
        <w:gridCol w:w="1834"/>
      </w:tblGrid>
      <w:tr>
        <w:trPr>
          <w:trHeight w:val="32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89"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76"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8"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直线法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2" w:right="0"/>
              <w:jc w:val="left"/>
              <w:rPr>
                <w:rFonts w:ascii="宋体" w:hAnsi="宋体" w:cs="宋体" w:eastAsia="宋体" w:hint="default"/>
                <w:sz w:val="21"/>
                <w:szCs w:val="21"/>
              </w:rPr>
            </w:pPr>
            <w:r>
              <w:rPr>
                <w:rFonts w:ascii="宋体"/>
                <w:sz w:val="21"/>
              </w:rPr>
              <w:t>20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sz w:val="21"/>
              </w:rPr>
              <w:t>4.75</w:t>
            </w:r>
          </w:p>
        </w:tc>
      </w:tr>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直线法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sz w:val="21"/>
              </w:rPr>
              <w:t>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sz w:val="21"/>
              </w:rPr>
              <w:t>31.67</w:t>
            </w:r>
          </w:p>
        </w:tc>
      </w:tr>
      <w:tr>
        <w:trPr>
          <w:trHeight w:val="32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直线法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311" w:right="0"/>
              <w:jc w:val="left"/>
              <w:rPr>
                <w:rFonts w:ascii="宋体" w:hAnsi="宋体" w:cs="宋体" w:eastAsia="宋体" w:hint="default"/>
                <w:sz w:val="21"/>
                <w:szCs w:val="21"/>
              </w:rPr>
            </w:pPr>
            <w:r>
              <w:rPr>
                <w:rFonts w:ascii="宋体"/>
                <w:sz w:val="21"/>
              </w:rPr>
              <w:t>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sz w:val="21"/>
              </w:rPr>
              <w:t>19</w:t>
            </w:r>
          </w:p>
        </w:tc>
      </w:tr>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直线法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sz w:val="21"/>
              </w:rPr>
              <w:t>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sz w:val="21"/>
              </w:rPr>
              <w:t>19</w:t>
            </w:r>
          </w:p>
        </w:tc>
      </w:tr>
    </w:tbl>
    <w:p>
      <w:pPr>
        <w:spacing w:after="0" w:line="260" w:lineRule="exact"/>
        <w:jc w:val="left"/>
        <w:rPr>
          <w:rFonts w:ascii="宋体" w:hAnsi="宋体" w:cs="宋体" w:eastAsia="宋体" w:hint="default"/>
          <w:sz w:val="21"/>
          <w:szCs w:val="21"/>
        </w:rPr>
        <w:sectPr>
          <w:pgSz w:w="11910" w:h="16840"/>
          <w:pgMar w:header="882" w:footer="1197" w:top="1120" w:bottom="138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spacing w:line="307" w:lineRule="auto" w:before="35"/>
        <w:ind w:left="557" w:right="1047" w:hanging="420"/>
        <w:jc w:val="left"/>
        <w:rPr>
          <w:rFonts w:ascii="宋体" w:hAnsi="宋体" w:cs="宋体" w:eastAsia="宋体" w:hint="default"/>
          <w:sz w:val="21"/>
          <w:szCs w:val="21"/>
        </w:rPr>
      </w:pPr>
      <w:r>
        <w:rPr>
          <w:rFonts w:ascii="宋体" w:hAnsi="宋体" w:cs="宋体" w:eastAsia="宋体" w:hint="default"/>
          <w:b/>
          <w:bCs/>
          <w:sz w:val="21"/>
          <w:szCs w:val="21"/>
        </w:rPr>
        <w:t>(3).融资租入固定资产的认定依据、计价和折旧方法</w:t>
      </w:r>
      <w:r>
        <w:rPr>
          <w:rFonts w:ascii="宋体" w:hAnsi="宋体" w:cs="宋体" w:eastAsia="宋体" w:hint="default"/>
          <w:b/>
          <w:bCs/>
          <w:w w:val="99"/>
          <w:sz w:val="21"/>
          <w:szCs w:val="21"/>
        </w:rPr>
        <w:t> </w:t>
      </w:r>
      <w:r>
        <w:rPr>
          <w:rFonts w:ascii="宋体" w:hAnsi="宋体" w:cs="宋体" w:eastAsia="宋体" w:hint="default"/>
          <w:sz w:val="21"/>
          <w:szCs w:val="21"/>
        </w:rPr>
        <w:t>当本公司租入的固定资产符合下列一项或数项标准时，确认为融资租入固定资产：</w:t>
      </w:r>
    </w:p>
    <w:p>
      <w:pPr>
        <w:pStyle w:val="BodyText"/>
        <w:spacing w:line="240" w:lineRule="auto" w:before="74"/>
        <w:ind w:left="557" w:right="98"/>
        <w:jc w:val="left"/>
      </w:pPr>
      <w:r>
        <w:rPr/>
        <w:t>（</w:t>
      </w:r>
      <w:r>
        <w:rPr>
          <w:rFonts w:ascii="Arial" w:hAnsi="Arial" w:cs="Arial" w:eastAsia="Arial" w:hint="default"/>
        </w:rPr>
        <w:t>1</w:t>
      </w:r>
      <w:r>
        <w:rPr/>
        <w:t>）在租赁期届满时，租赁资产的所有权转移给本公司。</w:t>
      </w:r>
    </w:p>
    <w:p>
      <w:pPr>
        <w:pStyle w:val="BodyText"/>
        <w:spacing w:line="338" w:lineRule="auto" w:before="119"/>
        <w:ind w:left="137" w:right="212" w:firstLine="420"/>
        <w:jc w:val="both"/>
      </w:pPr>
      <w:r>
        <w:rPr>
          <w:spacing w:val="-3"/>
        </w:rPr>
        <w:t>（</w:t>
      </w:r>
      <w:r>
        <w:rPr>
          <w:rFonts w:ascii="Arial" w:hAnsi="Arial" w:cs="Arial" w:eastAsia="Arial" w:hint="default"/>
          <w:spacing w:val="-3"/>
        </w:rPr>
        <w:t>2</w:t>
      </w:r>
      <w:r>
        <w:rPr>
          <w:spacing w:val="-3"/>
        </w:rPr>
        <w:t>）本公司有购买租赁资产的选择权，所订立的购买价款预计将远低于行使选择权时租赁资</w:t>
      </w:r>
      <w:r>
        <w:rPr/>
        <w:t> 产的公允价值，因而在租赁开始日就可以合理确定本公司将会行使这种选择权。</w:t>
      </w:r>
    </w:p>
    <w:p>
      <w:pPr>
        <w:pStyle w:val="BodyText"/>
        <w:spacing w:line="240" w:lineRule="auto" w:before="48"/>
        <w:ind w:left="557" w:right="98"/>
        <w:jc w:val="left"/>
      </w:pPr>
      <w:r>
        <w:rPr/>
        <w:t>（</w:t>
      </w:r>
      <w:r>
        <w:rPr>
          <w:rFonts w:ascii="Arial" w:hAnsi="Arial" w:cs="Arial" w:eastAsia="Arial" w:hint="default"/>
        </w:rPr>
        <w:t>3</w:t>
      </w:r>
      <w:r>
        <w:rPr/>
        <w:t>）即使资产的所有权不转移，但租赁期占租赁资产使用寿命的大部分。</w:t>
      </w:r>
    </w:p>
    <w:p>
      <w:pPr>
        <w:pStyle w:val="BodyText"/>
        <w:spacing w:line="240" w:lineRule="auto" w:before="118"/>
        <w:ind w:left="557" w:right="0"/>
        <w:jc w:val="left"/>
      </w:pPr>
      <w:r>
        <w:rPr/>
        <w:t>（</w:t>
      </w:r>
      <w:r>
        <w:rPr>
          <w:rFonts w:ascii="Arial" w:hAnsi="Arial" w:cs="Arial" w:eastAsia="Arial" w:hint="default"/>
          <w:w w:val="81"/>
        </w:rPr>
        <w:t>4</w:t>
      </w:r>
      <w:r>
        <w:rPr>
          <w:spacing w:val="-94"/>
        </w:rPr>
        <w:t>）</w:t>
      </w:r>
      <w:r>
        <w:rPr/>
        <w:t>本公司在租赁开始日的最低租赁付款额现值</w:t>
      </w:r>
      <w:r>
        <w:rPr>
          <w:spacing w:val="-94"/>
        </w:rPr>
        <w:t>，</w:t>
      </w:r>
      <w:r>
        <w:rPr/>
        <w:t>几乎相当于租赁开始日租赁资产公允价值。</w:t>
      </w:r>
    </w:p>
    <w:p>
      <w:pPr>
        <w:pStyle w:val="BodyText"/>
        <w:spacing w:line="338" w:lineRule="auto" w:before="118"/>
        <w:ind w:left="557" w:right="207"/>
        <w:jc w:val="left"/>
      </w:pPr>
      <w:r>
        <w:rPr/>
        <w:t>（</w:t>
      </w:r>
      <w:r>
        <w:rPr>
          <w:rFonts w:ascii="Arial" w:hAnsi="Arial" w:cs="Arial" w:eastAsia="Arial" w:hint="default"/>
        </w:rPr>
        <w:t>5</w:t>
      </w:r>
      <w:r>
        <w:rPr/>
        <w:t>）租赁资产性质特殊，如果不作较大改造，只有本公司才能使用。 融资租赁租入的固定资产，按租赁开始日租赁资产公允价值与最低租赁付款额的现值两者中</w:t>
      </w:r>
    </w:p>
    <w:p>
      <w:pPr>
        <w:pStyle w:val="BodyText"/>
        <w:spacing w:line="357" w:lineRule="auto" w:before="47"/>
        <w:ind w:left="137" w:right="212"/>
        <w:jc w:val="both"/>
      </w:pPr>
      <w:r>
        <w:rPr/>
        <w:t>较低者，作为入账价值。最低租赁付款额作为长期应付款的入账价值，其差额作为未确认融资费</w:t>
      </w:r>
      <w:r>
        <w:rPr>
          <w:spacing w:val="-96"/>
        </w:rPr>
        <w:t> </w:t>
      </w:r>
      <w:r>
        <w:rPr>
          <w:spacing w:val="-96"/>
        </w:rPr>
      </w:r>
      <w:r>
        <w:rPr/>
        <w:t>用。在租赁谈判和签订租赁合同过程中发生的，可归属于租赁项目的手续费、律师费、差旅费、</w:t>
      </w:r>
      <w:r>
        <w:rPr>
          <w:spacing w:val="-96"/>
        </w:rPr>
        <w:t> </w:t>
      </w:r>
      <w:r>
        <w:rPr>
          <w:spacing w:val="-96"/>
        </w:rPr>
      </w:r>
      <w:r>
        <w:rPr/>
        <w:t>印花税等初始直接费用，计入租入资产价值。未确认融资费用在租赁期内各个期间采用实际利率</w:t>
      </w:r>
      <w:r>
        <w:rPr>
          <w:spacing w:val="-96"/>
        </w:rPr>
        <w:t> </w:t>
      </w:r>
      <w:r>
        <w:rPr>
          <w:spacing w:val="-96"/>
        </w:rPr>
      </w:r>
      <w:r>
        <w:rPr/>
        <w:t>法进行分摊。</w:t>
      </w:r>
    </w:p>
    <w:p>
      <w:pPr>
        <w:pStyle w:val="BodyText"/>
        <w:spacing w:line="357" w:lineRule="auto" w:before="30"/>
        <w:ind w:left="137" w:right="212" w:firstLine="420"/>
        <w:jc w:val="both"/>
      </w:pPr>
      <w:r>
        <w:rPr/>
        <w:t>本公司采用与自有固定资产相一致的折旧政策计提融资租入固定资产折旧。能够合理确定租 赁期届满时取得租赁资产所有权的，在租赁资产使用寿命内计提折旧。无法合理确定租赁期届满</w:t>
      </w:r>
      <w:r>
        <w:rPr>
          <w:spacing w:val="-96"/>
        </w:rPr>
        <w:t> </w:t>
      </w:r>
      <w:r>
        <w:rPr>
          <w:spacing w:val="-96"/>
        </w:rPr>
      </w:r>
      <w:r>
        <w:rPr/>
        <w:t>时能够取得租赁资产所有权的，在租赁期与租赁资产使用寿命两者中较短的期间内计提折旧。</w:t>
      </w:r>
    </w:p>
    <w:p>
      <w:pPr>
        <w:spacing w:line="240" w:lineRule="auto" w:before="0"/>
        <w:rPr>
          <w:rFonts w:ascii="宋体" w:hAnsi="宋体" w:cs="宋体" w:eastAsia="宋体" w:hint="default"/>
          <w:sz w:val="20"/>
          <w:szCs w:val="20"/>
        </w:rPr>
      </w:pPr>
    </w:p>
    <w:p>
      <w:pPr>
        <w:pStyle w:val="Heading3"/>
        <w:spacing w:line="240" w:lineRule="auto" w:before="159"/>
        <w:ind w:left="137" w:right="0"/>
        <w:jc w:val="both"/>
        <w:rPr>
          <w:b w:val="0"/>
          <w:bCs w:val="0"/>
        </w:rPr>
      </w:pPr>
      <w:r>
        <w:rPr>
          <w:rFonts w:ascii="Calibri" w:hAnsi="Calibri" w:cs="Calibri" w:eastAsia="Calibri" w:hint="default"/>
        </w:rPr>
        <w:t>17.  </w:t>
      </w:r>
      <w:r>
        <w:rPr>
          <w:rFonts w:ascii="Calibri" w:hAnsi="Calibri" w:cs="Calibri" w:eastAsia="Calibri" w:hint="default"/>
          <w:spacing w:val="7"/>
        </w:rPr>
        <w:t> </w:t>
      </w:r>
      <w:r>
        <w:rPr/>
        <w:t>在建工程</w:t>
      </w:r>
      <w:r>
        <w:rPr>
          <w:b w:val="0"/>
          <w:bCs w:val="0"/>
        </w:rPr>
      </w:r>
    </w:p>
    <w:p>
      <w:pPr>
        <w:spacing w:line="338" w:lineRule="auto" w:before="51"/>
        <w:ind w:left="557" w:right="20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2"/>
          <w:sz w:val="21"/>
          <w:szCs w:val="21"/>
        </w:rPr>
        <w:t> </w:t>
      </w:r>
      <w:r>
        <w:rPr>
          <w:rFonts w:ascii="宋体" w:hAnsi="宋体" w:cs="宋体" w:eastAsia="宋体" w:hint="default"/>
          <w:b/>
          <w:bCs/>
          <w:sz w:val="21"/>
          <w:szCs w:val="21"/>
        </w:rPr>
        <w:t>在建工程的类别</w:t>
      </w:r>
      <w:r>
        <w:rPr>
          <w:rFonts w:ascii="宋体" w:hAnsi="宋体" w:cs="宋体" w:eastAsia="宋体" w:hint="default"/>
          <w:b/>
          <w:bCs/>
          <w:w w:val="99"/>
          <w:sz w:val="21"/>
          <w:szCs w:val="21"/>
        </w:rPr>
        <w:t> </w:t>
      </w:r>
      <w:r>
        <w:rPr>
          <w:rFonts w:ascii="宋体" w:hAnsi="宋体" w:cs="宋体" w:eastAsia="宋体" w:hint="default"/>
          <w:sz w:val="21"/>
          <w:szCs w:val="21"/>
        </w:rPr>
        <w:t>本公司自行建造的在建工程按实际成本计价，实际成本由建造该项资产达到预定可使用状态</w:t>
      </w:r>
    </w:p>
    <w:p>
      <w:pPr>
        <w:pStyle w:val="BodyText"/>
        <w:spacing w:line="357" w:lineRule="auto" w:before="47"/>
        <w:ind w:left="137" w:right="224"/>
        <w:jc w:val="both"/>
      </w:pPr>
      <w:r>
        <w:rPr/>
        <w:t>前所发生的必要支出构成，包括工程用物资成本、人工成本、交纳的相关税费、应予资本化的借 款费用以及应分摊的间接费用等。本公司的在建工程以项目分类核算。</w:t>
      </w:r>
    </w:p>
    <w:p>
      <w:pPr>
        <w:spacing w:line="336" w:lineRule="auto" w:before="30"/>
        <w:ind w:left="557" w:right="20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在建工程结转为固定资产的标准和时点</w:t>
      </w:r>
      <w:r>
        <w:rPr>
          <w:rFonts w:ascii="宋体" w:hAnsi="宋体" w:cs="宋体" w:eastAsia="宋体" w:hint="default"/>
          <w:b/>
          <w:bCs/>
          <w:w w:val="99"/>
          <w:sz w:val="21"/>
          <w:szCs w:val="21"/>
        </w:rPr>
        <w:t> </w:t>
      </w:r>
      <w:r>
        <w:rPr>
          <w:rFonts w:ascii="宋体" w:hAnsi="宋体" w:cs="宋体" w:eastAsia="宋体" w:hint="default"/>
          <w:sz w:val="21"/>
          <w:szCs w:val="21"/>
        </w:rPr>
        <w:t>在建工程项目按建造该项资产达到预定可使用状态前所发生的全部支出，作为固定资产的入</w:t>
      </w:r>
    </w:p>
    <w:p>
      <w:pPr>
        <w:pStyle w:val="BodyText"/>
        <w:spacing w:line="357" w:lineRule="auto" w:before="50"/>
        <w:ind w:left="137" w:right="224"/>
        <w:jc w:val="both"/>
      </w:pPr>
      <w:r>
        <w:rPr/>
        <w:t>账价值。所建造的固定资产在建工程已达到预定可使用状态，但尚未办理竣工决算的，自达到预 定可使用状态之日起，根据工程预算、造价或者工程实际成本等，按估计的价值转入固定资产， 并按本公司固定资产折旧政策计提固定资产的折旧，待办理竣工决算后，再按实际成本调整原来 的暂估价值，但不调整原已计提的折旧额。</w:t>
      </w:r>
    </w:p>
    <w:p>
      <w:pPr>
        <w:pStyle w:val="Heading3"/>
        <w:spacing w:line="240" w:lineRule="auto" w:before="110"/>
        <w:ind w:left="137" w:right="0"/>
        <w:jc w:val="both"/>
        <w:rPr>
          <w:b w:val="0"/>
          <w:bCs w:val="0"/>
        </w:rPr>
      </w:pPr>
      <w:r>
        <w:rPr>
          <w:rFonts w:ascii="Calibri" w:hAnsi="Calibri" w:cs="Calibri" w:eastAsia="Calibri" w:hint="default"/>
        </w:rPr>
        <w:t>18.  </w:t>
      </w:r>
      <w:r>
        <w:rPr>
          <w:rFonts w:ascii="Calibri" w:hAnsi="Calibri" w:cs="Calibri" w:eastAsia="Calibri" w:hint="default"/>
          <w:spacing w:val="7"/>
        </w:rPr>
        <w:t> </w:t>
      </w:r>
      <w:r>
        <w:rPr/>
        <w:t>借款费用</w:t>
      </w:r>
      <w:r>
        <w:rPr>
          <w:b w:val="0"/>
          <w:bCs w:val="0"/>
        </w:rPr>
      </w:r>
    </w:p>
    <w:p>
      <w:pPr>
        <w:spacing w:line="336" w:lineRule="auto" w:before="51"/>
        <w:ind w:left="557" w:right="20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借款费用资本化的确认原则</w:t>
      </w:r>
      <w:r>
        <w:rPr>
          <w:rFonts w:ascii="宋体" w:hAnsi="宋体" w:cs="宋体" w:eastAsia="宋体" w:hint="default"/>
          <w:b/>
          <w:bCs/>
          <w:w w:val="99"/>
          <w:sz w:val="21"/>
          <w:szCs w:val="21"/>
        </w:rPr>
        <w:t> </w:t>
      </w:r>
      <w:r>
        <w:rPr>
          <w:rFonts w:ascii="宋体" w:hAnsi="宋体" w:cs="宋体" w:eastAsia="宋体" w:hint="default"/>
          <w:sz w:val="21"/>
          <w:szCs w:val="21"/>
        </w:rPr>
        <w:t>公司发生的借款费用，可直接归属于符合资本化条件的资产的购建或者生产的，在符合资本</w:t>
      </w:r>
    </w:p>
    <w:p>
      <w:pPr>
        <w:pStyle w:val="BodyText"/>
        <w:spacing w:line="357" w:lineRule="auto" w:before="49"/>
        <w:ind w:left="137" w:right="224"/>
        <w:jc w:val="both"/>
      </w:pPr>
      <w:r>
        <w:rPr/>
        <w:t>化条件的情况下开始资本化，计入相关资产成本；其他借款费用，在发生时根据其发生额确认为 费用，计入当期损益。</w:t>
      </w:r>
    </w:p>
    <w:p>
      <w:pPr>
        <w:spacing w:after="0" w:line="357" w:lineRule="auto"/>
        <w:jc w:val="both"/>
        <w:sectPr>
          <w:pgSz w:w="11910" w:h="16840"/>
          <w:pgMar w:header="882" w:footer="1197" w:top="1120" w:bottom="1380" w:left="1660" w:right="1060"/>
        </w:sectPr>
      </w:pPr>
    </w:p>
    <w:p>
      <w:pPr>
        <w:spacing w:line="240" w:lineRule="auto" w:before="4"/>
        <w:rPr>
          <w:rFonts w:ascii="宋体" w:hAnsi="宋体" w:cs="宋体" w:eastAsia="宋体" w:hint="default"/>
          <w:sz w:val="25"/>
          <w:szCs w:val="25"/>
        </w:rPr>
      </w:pPr>
    </w:p>
    <w:p>
      <w:pPr>
        <w:pStyle w:val="BodyText"/>
        <w:spacing w:line="355" w:lineRule="auto" w:before="35"/>
        <w:ind w:left="137" w:right="127" w:firstLine="420"/>
        <w:jc w:val="left"/>
      </w:pPr>
      <w:r>
        <w:rPr/>
        <w:t>符合资本化条件的资产，是指需要经过相当长时间的购建或者生产活动才能达到预定可使用 或者可销售状态的固定资产、投资性房地产和存货等资产。</w:t>
      </w:r>
    </w:p>
    <w:p>
      <w:pPr>
        <w:pStyle w:val="BodyText"/>
        <w:spacing w:line="240" w:lineRule="auto" w:before="33"/>
        <w:ind w:left="557" w:right="127"/>
        <w:jc w:val="left"/>
      </w:pPr>
      <w:r>
        <w:rPr/>
        <w:t>借款费用同时满足下列条件时开始资本化：</w:t>
      </w:r>
    </w:p>
    <w:p>
      <w:pPr>
        <w:pStyle w:val="BodyText"/>
        <w:spacing w:line="338" w:lineRule="auto" w:before="133"/>
        <w:ind w:left="137" w:right="232" w:firstLine="42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 金、转移非现金资产或者承担带息债务形式发生的支出；</w:t>
      </w:r>
    </w:p>
    <w:p>
      <w:pPr>
        <w:pStyle w:val="BodyText"/>
        <w:spacing w:line="240" w:lineRule="auto" w:before="47"/>
        <w:ind w:left="557" w:right="127"/>
        <w:jc w:val="left"/>
      </w:pPr>
      <w:r>
        <w:rPr/>
        <w:t>（</w:t>
      </w:r>
      <w:r>
        <w:rPr>
          <w:rFonts w:ascii="Times New Roman" w:hAnsi="Times New Roman" w:cs="Times New Roman" w:eastAsia="Times New Roman" w:hint="default"/>
        </w:rPr>
        <w:t>2</w:t>
      </w:r>
      <w:r>
        <w:rPr/>
        <w:t>）借款费用已经发生；</w:t>
      </w:r>
    </w:p>
    <w:p>
      <w:pPr>
        <w:pStyle w:val="BodyText"/>
        <w:spacing w:line="240" w:lineRule="auto" w:before="117"/>
        <w:ind w:left="557" w:right="127"/>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336" w:lineRule="auto" w:before="118"/>
        <w:ind w:left="557" w:right="12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2"/>
          <w:sz w:val="21"/>
          <w:szCs w:val="21"/>
        </w:rPr>
        <w:t> </w:t>
      </w:r>
      <w:r>
        <w:rPr>
          <w:rFonts w:ascii="宋体" w:hAnsi="宋体" w:cs="宋体" w:eastAsia="宋体" w:hint="default"/>
          <w:b/>
          <w:bCs/>
          <w:sz w:val="21"/>
          <w:szCs w:val="21"/>
        </w:rPr>
        <w:t>借款费用资本化期间</w:t>
      </w:r>
      <w:r>
        <w:rPr>
          <w:rFonts w:ascii="宋体" w:hAnsi="宋体" w:cs="宋体" w:eastAsia="宋体" w:hint="default"/>
          <w:b/>
          <w:bCs/>
          <w:spacing w:val="1"/>
          <w:w w:val="99"/>
          <w:sz w:val="21"/>
          <w:szCs w:val="21"/>
        </w:rPr>
        <w:t> </w:t>
      </w:r>
      <w:r>
        <w:rPr>
          <w:rFonts w:ascii="宋体" w:hAnsi="宋体" w:cs="宋体" w:eastAsia="宋体" w:hint="default"/>
          <w:sz w:val="21"/>
          <w:szCs w:val="21"/>
        </w:rPr>
        <w:t>资本化期间，指从借款费用开始资本化时点到停止资本化时点的期间，借款费用暂停资本化</w:t>
      </w:r>
    </w:p>
    <w:p>
      <w:pPr>
        <w:pStyle w:val="BodyText"/>
        <w:spacing w:line="355" w:lineRule="auto" w:before="50"/>
        <w:ind w:left="557" w:right="127" w:hanging="420"/>
        <w:jc w:val="left"/>
      </w:pPr>
      <w:r>
        <w:rPr/>
        <w:t>的期间不包括在内。 当购建或者生产符合资本化条件的资产达到预定可使用或者可销售状态时，借款费用停止资</w:t>
      </w:r>
    </w:p>
    <w:p>
      <w:pPr>
        <w:pStyle w:val="BodyText"/>
        <w:spacing w:line="240" w:lineRule="auto" w:before="33"/>
        <w:ind w:left="137" w:right="0"/>
        <w:jc w:val="both"/>
      </w:pPr>
      <w:r>
        <w:rPr/>
        <w:t>本化。</w:t>
      </w:r>
    </w:p>
    <w:p>
      <w:pPr>
        <w:pStyle w:val="BodyText"/>
        <w:spacing w:line="355" w:lineRule="auto" w:before="133"/>
        <w:ind w:left="137" w:right="127" w:firstLine="420"/>
        <w:jc w:val="left"/>
      </w:pPr>
      <w:r>
        <w:rPr/>
        <w:t>当购建或者生产符合资本化条件的资产中部分项目分别完工且可单独使用时，该部分资产借 款费用停止资本化。</w:t>
      </w:r>
    </w:p>
    <w:p>
      <w:pPr>
        <w:pStyle w:val="BodyText"/>
        <w:spacing w:line="355" w:lineRule="auto" w:before="33"/>
        <w:ind w:left="137" w:right="127" w:firstLine="420"/>
        <w:jc w:val="left"/>
      </w:pPr>
      <w:r>
        <w:rPr/>
        <w:t>购建或者生产的资产的各部分分别完工，但必须等到整体完工后才可使用或可对外销售的， 在该资产整体完工时停止借款费用资本化。</w:t>
      </w:r>
    </w:p>
    <w:p>
      <w:pPr>
        <w:spacing w:line="336" w:lineRule="auto" w:before="33"/>
        <w:ind w:left="557" w:right="12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62"/>
          <w:sz w:val="21"/>
          <w:szCs w:val="21"/>
        </w:rPr>
        <w:t> </w:t>
      </w:r>
      <w:r>
        <w:rPr>
          <w:rFonts w:ascii="宋体" w:hAnsi="宋体" w:cs="宋体" w:eastAsia="宋体" w:hint="default"/>
          <w:b/>
          <w:bCs/>
          <w:sz w:val="21"/>
          <w:szCs w:val="21"/>
        </w:rPr>
        <w:t>暂停资本化期间</w:t>
      </w:r>
      <w:r>
        <w:rPr>
          <w:rFonts w:ascii="宋体" w:hAnsi="宋体" w:cs="宋体" w:eastAsia="宋体" w:hint="default"/>
          <w:b/>
          <w:bCs/>
          <w:w w:val="99"/>
          <w:sz w:val="21"/>
          <w:szCs w:val="21"/>
        </w:rPr>
        <w:t> </w:t>
      </w:r>
      <w:r>
        <w:rPr>
          <w:rFonts w:ascii="宋体" w:hAnsi="宋体" w:cs="宋体" w:eastAsia="宋体" w:hint="default"/>
          <w:sz w:val="21"/>
          <w:szCs w:val="21"/>
        </w:rPr>
        <w:t>符合资本化条件的资产在购建或生产过程中发生的非正常中断、且中断时间连续超过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个月</w:t>
      </w:r>
    </w:p>
    <w:p>
      <w:pPr>
        <w:pStyle w:val="BodyText"/>
        <w:spacing w:line="355" w:lineRule="auto" w:before="25"/>
        <w:ind w:left="137" w:right="144"/>
        <w:jc w:val="both"/>
      </w:pPr>
      <w:r>
        <w:rPr/>
        <w:t>的，则借款费用暂停资本化；该项中断如是所购建或生产的符合资本化条件的资产达到预定可使 用状态或者可销售状态必要的程序，则借款费用继续资本化。在中断期间发生的借款费用确认为 当期损益，直至资产的购建或者生产活动重新开始后借款费用继续资本化。</w:t>
      </w:r>
    </w:p>
    <w:p>
      <w:pPr>
        <w:spacing w:line="336" w:lineRule="auto" w:before="33"/>
        <w:ind w:left="557" w:right="12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62"/>
          <w:sz w:val="21"/>
          <w:szCs w:val="21"/>
        </w:rPr>
        <w:t> </w:t>
      </w:r>
      <w:r>
        <w:rPr>
          <w:rFonts w:ascii="宋体" w:hAnsi="宋体" w:cs="宋体" w:eastAsia="宋体" w:hint="default"/>
          <w:b/>
          <w:bCs/>
          <w:sz w:val="21"/>
          <w:szCs w:val="21"/>
        </w:rPr>
        <w:t>借款费用资本化金额的计算方法</w:t>
      </w:r>
      <w:r>
        <w:rPr>
          <w:rFonts w:ascii="宋体" w:hAnsi="宋体" w:cs="宋体" w:eastAsia="宋体" w:hint="default"/>
          <w:b/>
          <w:bCs/>
          <w:spacing w:val="1"/>
          <w:w w:val="99"/>
          <w:sz w:val="21"/>
          <w:szCs w:val="21"/>
        </w:rPr>
        <w:t> </w:t>
      </w:r>
      <w:r>
        <w:rPr>
          <w:rFonts w:ascii="宋体" w:hAnsi="宋体" w:cs="宋体" w:eastAsia="宋体" w:hint="default"/>
          <w:sz w:val="21"/>
          <w:szCs w:val="21"/>
        </w:rPr>
        <w:t>专门借款的利息费用（扣除尚未动用的借款资金存入银行取得的利息收入或者进行暂时性投</w:t>
      </w:r>
    </w:p>
    <w:p>
      <w:pPr>
        <w:pStyle w:val="BodyText"/>
        <w:spacing w:line="355" w:lineRule="auto" w:before="50"/>
        <w:ind w:left="137" w:right="144"/>
        <w:jc w:val="both"/>
      </w:pPr>
      <w:r>
        <w:rPr/>
        <w:t>资取得的投资收益）及其辅助费用在所购建或者生产的符合资本化条件的资产达到预定可使用或 者可销售状态前，予以资本化。</w:t>
      </w:r>
    </w:p>
    <w:p>
      <w:pPr>
        <w:pStyle w:val="BodyText"/>
        <w:spacing w:line="355" w:lineRule="auto" w:before="33"/>
        <w:ind w:left="137" w:right="127" w:firstLine="420"/>
        <w:jc w:val="left"/>
      </w:pPr>
      <w:r>
        <w:rPr/>
        <w:t>根据累计资产支出超过专门借款部分的资产支出加权平均数乘以所占用一般借款的资本化 率，计算确定一般借款应予资本化的利息金额。资本化率根据一般借款加权平均利率计算确定。</w:t>
      </w:r>
    </w:p>
    <w:p>
      <w:pPr>
        <w:pStyle w:val="BodyText"/>
        <w:spacing w:line="357" w:lineRule="auto" w:before="32"/>
        <w:ind w:left="137" w:right="127" w:firstLine="420"/>
        <w:jc w:val="left"/>
      </w:pPr>
      <w:r>
        <w:rPr/>
        <w:t>借款存在折价或者溢价的，按照实际利率法确定每一会计期间应摊销的折价或者溢价金额， 调整每期利息金额。</w:t>
      </w:r>
    </w:p>
    <w:p>
      <w:pPr>
        <w:pStyle w:val="Heading3"/>
        <w:spacing w:line="240" w:lineRule="auto" w:before="109"/>
        <w:ind w:left="137" w:right="0"/>
        <w:jc w:val="both"/>
        <w:rPr>
          <w:b w:val="0"/>
          <w:bCs w:val="0"/>
        </w:rPr>
      </w:pPr>
      <w:r>
        <w:rPr>
          <w:rFonts w:ascii="Calibri" w:hAnsi="Calibri" w:cs="Calibri" w:eastAsia="Calibri" w:hint="default"/>
        </w:rPr>
        <w:t>19.  </w:t>
      </w:r>
      <w:r>
        <w:rPr>
          <w:rFonts w:ascii="Calibri" w:hAnsi="Calibri" w:cs="Calibri" w:eastAsia="Calibri" w:hint="default"/>
          <w:spacing w:val="7"/>
        </w:rPr>
        <w:t> </w:t>
      </w:r>
      <w:r>
        <w:rPr/>
        <w:t>生物资产</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54"/>
        <w:ind w:left="137" w:right="0"/>
        <w:jc w:val="both"/>
        <w:rPr>
          <w:b w:val="0"/>
          <w:bCs w:val="0"/>
        </w:rPr>
      </w:pPr>
      <w:r>
        <w:rPr>
          <w:rFonts w:ascii="Calibri" w:hAnsi="Calibri" w:cs="Calibri" w:eastAsia="Calibri" w:hint="default"/>
        </w:rPr>
        <w:t>20.  </w:t>
      </w:r>
      <w:r>
        <w:rPr>
          <w:rFonts w:ascii="Calibri" w:hAnsi="Calibri" w:cs="Calibri" w:eastAsia="Calibri" w:hint="default"/>
          <w:spacing w:val="7"/>
        </w:rPr>
        <w:t> </w:t>
      </w:r>
      <w:r>
        <w:rPr/>
        <w:t>油气资产</w:t>
      </w:r>
      <w:r>
        <w:rPr>
          <w:b w:val="0"/>
          <w:bCs w:val="0"/>
        </w:rPr>
      </w:r>
    </w:p>
    <w:p>
      <w:pPr>
        <w:spacing w:after="0" w:line="240" w:lineRule="auto"/>
        <w:jc w:val="both"/>
        <w:sectPr>
          <w:pgSz w:w="11910" w:h="16840"/>
          <w:pgMar w:header="882" w:footer="1197" w:top="1120" w:bottom="1380" w:left="1660" w:right="1140"/>
        </w:sectPr>
      </w:pPr>
    </w:p>
    <w:p>
      <w:pPr>
        <w:spacing w:line="240" w:lineRule="auto" w:before="10"/>
        <w:rPr>
          <w:rFonts w:ascii="宋体" w:hAnsi="宋体" w:cs="宋体" w:eastAsia="宋体" w:hint="default"/>
          <w:b/>
          <w:bCs/>
          <w:sz w:val="26"/>
          <w:szCs w:val="26"/>
        </w:rPr>
      </w:pPr>
    </w:p>
    <w:p>
      <w:pPr>
        <w:pStyle w:val="Heading3"/>
        <w:spacing w:line="295" w:lineRule="auto"/>
        <w:ind w:left="137" w:right="5676"/>
        <w:jc w:val="left"/>
        <w:rPr>
          <w:b w:val="0"/>
          <w:bCs w:val="0"/>
        </w:rPr>
      </w:pPr>
      <w:r>
        <w:rPr>
          <w:rFonts w:ascii="Calibri" w:hAnsi="Calibri" w:cs="Calibri" w:eastAsia="Calibri" w:hint="default"/>
        </w:rPr>
        <w:t>21.                                      </w:t>
      </w:r>
      <w:r>
        <w:rPr>
          <w:rFonts w:ascii="Calibri" w:hAnsi="Calibri" w:cs="Calibri" w:eastAsia="Calibri" w:hint="default"/>
          <w:spacing w:val="24"/>
        </w:rPr>
        <w:t> </w:t>
      </w:r>
      <w:r>
        <w:rPr/>
        <w:t>无形资产</w:t>
      </w:r>
      <w:r>
        <w:rPr>
          <w:spacing w:val="1"/>
          <w:w w:val="99"/>
        </w:rPr>
        <w:t> </w:t>
      </w:r>
      <w:r>
        <w:rPr>
          <w:spacing w:val="1"/>
          <w:w w:val="99"/>
        </w:rPr>
        <w:t>                </w:t>
      </w:r>
      <w:r>
        <w:rPr/>
        <w:t>(1).</w:t>
      </w:r>
      <w:r>
        <w:rPr>
          <w:spacing w:val="-86"/>
        </w:rPr>
        <w:t> </w:t>
      </w:r>
      <w:r>
        <w:rPr/>
        <w:t>计价方法、使用寿命、减值测试</w:t>
      </w:r>
      <w:r>
        <w:rPr>
          <w:b w:val="0"/>
          <w:bCs w:val="0"/>
        </w:rPr>
      </w:r>
    </w:p>
    <w:p>
      <w:pPr>
        <w:pStyle w:val="BodyText"/>
        <w:spacing w:line="355" w:lineRule="auto" w:before="29"/>
        <w:ind w:left="137" w:right="0" w:firstLine="420"/>
        <w:jc w:val="left"/>
      </w:pPr>
      <w:r>
        <w:rPr>
          <w:spacing w:val="-3"/>
        </w:rPr>
        <w:t>无形资产是指本公司拥有或者控制的没有实物形态的可辨认非货币性资产，包括土地使用权、</w:t>
      </w:r>
      <w:r>
        <w:rPr/>
        <w:t> 管理办公用软件。</w:t>
      </w:r>
    </w:p>
    <w:p>
      <w:pPr>
        <w:spacing w:line="336" w:lineRule="auto" w:before="33"/>
        <w:ind w:left="557" w:right="24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无形资产的初始计量</w:t>
      </w:r>
      <w:r>
        <w:rPr>
          <w:rFonts w:ascii="宋体" w:hAnsi="宋体" w:cs="宋体" w:eastAsia="宋体" w:hint="default"/>
          <w:b/>
          <w:bCs/>
          <w:spacing w:val="1"/>
          <w:w w:val="99"/>
          <w:sz w:val="21"/>
          <w:szCs w:val="21"/>
        </w:rPr>
        <w:t> </w:t>
      </w:r>
      <w:r>
        <w:rPr>
          <w:rFonts w:ascii="宋体" w:hAnsi="宋体" w:cs="宋体" w:eastAsia="宋体" w:hint="default"/>
          <w:sz w:val="21"/>
          <w:szCs w:val="21"/>
        </w:rPr>
        <w:t>外购无形资产的成本，包括购买价款、相关税费以及直接归属于使该项资产达到预定用途所</w:t>
      </w:r>
    </w:p>
    <w:p>
      <w:pPr>
        <w:pStyle w:val="BodyText"/>
        <w:spacing w:line="355" w:lineRule="auto" w:before="50"/>
        <w:ind w:left="137" w:right="247"/>
        <w:jc w:val="left"/>
      </w:pPr>
      <w:r>
        <w:rPr/>
        <w:t>发生的其他支出。购买无形资产的价款超过正常信用条件延期支付，实质上具有融资性质的，无 形资产的成本以购买价款的现值为基础确定。</w:t>
      </w:r>
    </w:p>
    <w:p>
      <w:pPr>
        <w:pStyle w:val="BodyText"/>
        <w:spacing w:line="357" w:lineRule="auto" w:before="32"/>
        <w:ind w:left="137" w:right="474" w:firstLine="420"/>
        <w:jc w:val="right"/>
      </w:pPr>
      <w:r>
        <w:rPr/>
        <w:t>债务重组取得债务人用以抵债的无形资产，以该无形资产的公允价值为基础确定其入账价 值，并将重组债务的账面价值与该用以抵债的无形资产公允价值之间的差额，计入当期损益。 在非货币性资产交换具备商业实质且换入资产或换出资产的公允价值能够可靠计量的前提</w:t>
      </w:r>
    </w:p>
    <w:p>
      <w:pPr>
        <w:pStyle w:val="BodyText"/>
        <w:spacing w:line="357" w:lineRule="auto" w:before="31"/>
        <w:ind w:left="137" w:right="264"/>
        <w:jc w:val="both"/>
      </w:pPr>
      <w:r>
        <w:rPr/>
        <w:t>下，非货币性资产交换换入的无形资产以换出资产的公允价值为基础确定其入账价值，除非有确 凿证据表明换入资产的公允价值更加可靠；不满足上述前提的非货币性资产交换，以换出资产的 账面价值和应支付的相关税费作为换入无形资产的成本，不确认损益。</w:t>
      </w:r>
    </w:p>
    <w:p>
      <w:pPr>
        <w:pStyle w:val="BodyText"/>
        <w:spacing w:line="355" w:lineRule="auto" w:before="30"/>
        <w:ind w:left="137" w:right="247" w:firstLine="420"/>
        <w:jc w:val="left"/>
      </w:pPr>
      <w:r>
        <w:rPr/>
        <w:t>以同一控制下的企业吸收合并方式取得的无形资产按被合并方的账面价值确定其入账价值； 以非同一控制下的企业吸收合并方式取得的无形资产按公允价值确定其入账价值。</w:t>
      </w:r>
    </w:p>
    <w:p>
      <w:pPr>
        <w:pStyle w:val="BodyText"/>
        <w:spacing w:line="357" w:lineRule="auto" w:before="33"/>
        <w:ind w:left="137" w:right="247" w:firstLine="420"/>
        <w:jc w:val="left"/>
      </w:pPr>
      <w:r>
        <w:rPr/>
        <w:t>内部自行开发的无形资产，其成本包括：开发该无形资产时耗用的材料、劳务成本、注册 费、在开发过程中使用的其他专利权和特许权的摊销以及满足资本化条件的利息费用，以及为使 该无形资产达到预定用途前所发生的其他直接费用。</w:t>
      </w:r>
    </w:p>
    <w:p>
      <w:pPr>
        <w:spacing w:line="338" w:lineRule="auto" w:before="30"/>
        <w:ind w:left="557" w:right="24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无形资产的后续计量</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本公司在取得无形资产时分析判断其使用寿命，划分为使用寿命有限和使用寿命不确定的无</w:t>
      </w:r>
    </w:p>
    <w:p>
      <w:pPr>
        <w:pStyle w:val="BodyText"/>
        <w:spacing w:line="240" w:lineRule="auto" w:before="47"/>
        <w:ind w:left="137" w:right="0"/>
        <w:jc w:val="both"/>
      </w:pPr>
      <w:r>
        <w:rPr/>
        <w:t>形资产。</w:t>
      </w:r>
    </w:p>
    <w:p>
      <w:pPr>
        <w:pStyle w:val="BodyText"/>
        <w:tabs>
          <w:tab w:pos="1397" w:val="left" w:leader="none"/>
        </w:tabs>
        <w:spacing w:line="357" w:lineRule="auto" w:before="133"/>
        <w:ind w:left="557" w:right="264"/>
        <w:jc w:val="left"/>
      </w:pPr>
      <w:r>
        <w:rPr/>
        <w:t>（1）</w:t>
        <w:tab/>
        <w:t>使用寿命有限的无形资产 对于使用寿命有限的无形资产，在为企业带来经济利益的期限内按直线法摊销。使用寿命有</w:t>
      </w:r>
    </w:p>
    <w:p>
      <w:pPr>
        <w:pStyle w:val="BodyText"/>
        <w:spacing w:line="240" w:lineRule="auto" w:before="30"/>
        <w:ind w:left="137" w:right="0"/>
        <w:jc w:val="both"/>
      </w:pPr>
      <w:r>
        <w:rPr/>
        <w:t>限的无形资产预计寿命及依据如下：</w:t>
      </w:r>
    </w:p>
    <w:p>
      <w:pPr>
        <w:spacing w:line="240" w:lineRule="auto" w:before="11"/>
        <w:rPr>
          <w:rFonts w:ascii="宋体" w:hAnsi="宋体" w:cs="宋体" w:eastAsia="宋体" w:hint="default"/>
          <w:sz w:val="12"/>
          <w:szCs w:val="12"/>
        </w:rPr>
      </w:pPr>
    </w:p>
    <w:p>
      <w:pPr>
        <w:spacing w:line="1224" w:lineRule="exact"/>
        <w:ind w:left="108" w:right="0" w:firstLine="0"/>
        <w:rPr>
          <w:rFonts w:ascii="宋体" w:hAnsi="宋体" w:cs="宋体" w:eastAsia="宋体" w:hint="default"/>
          <w:sz w:val="20"/>
          <w:szCs w:val="20"/>
        </w:rPr>
      </w:pPr>
      <w:r>
        <w:rPr>
          <w:rFonts w:ascii="宋体" w:hAnsi="宋体" w:cs="宋体" w:eastAsia="宋体" w:hint="default"/>
          <w:position w:val="-23"/>
          <w:sz w:val="20"/>
          <w:szCs w:val="20"/>
        </w:rPr>
        <w:pict>
          <v:group style="width:450.05pt;height:61.2pt;mso-position-horizontal-relative:char;mso-position-vertical-relative:line" coordorigin="0,0" coordsize="9001,1224">
            <v:group style="position:absolute;left:29;top:15;width:8942;height:2" coordorigin="29,15" coordsize="8942,2">
              <v:shape style="position:absolute;left:29;top:15;width:8942;height:2" coordorigin="29,15" coordsize="8942,0" path="m29,15l8971,15e" filled="false" stroked="true" strokeweight="1.5pt" strokecolor="#000000">
                <v:path arrowok="t"/>
              </v:shape>
              <v:shape style="position:absolute;left:2979;top:5;width:2047;height:394" type="#_x0000_t75" stroked="false">
                <v:imagedata r:id="rId85" o:title=""/>
              </v:shape>
            </v:group>
            <v:group style="position:absolute;left:15;top:1209;width:2990;height:2" coordorigin="15,1209" coordsize="2990,2">
              <v:shape style="position:absolute;left:15;top:1209;width:2990;height:2" coordorigin="15,1209" coordsize="2990,0" path="m15,1209l3004,1209e" filled="false" stroked="true" strokeweight="1.5pt" strokecolor="#000000">
                <v:path arrowok="t"/>
              </v:shape>
            </v:group>
            <v:group style="position:absolute;left:3004;top:1209;width:1988;height:2" coordorigin="3004,1209" coordsize="1988,2">
              <v:shape style="position:absolute;left:3004;top:1209;width:1988;height:2" coordorigin="3004,1209" coordsize="1988,0" path="m3004,1209l4991,1209e" filled="false" stroked="true" strokeweight="1.5pt" strokecolor="#000000">
                <v:path arrowok="t"/>
              </v:shape>
              <v:shape style="position:absolute;left:1;top:348;width:9000;height:846" type="#_x0000_t75" stroked="false">
                <v:imagedata r:id="rId86" o:title=""/>
              </v:shape>
            </v:group>
            <v:group style="position:absolute;left:4991;top:1209;width:3980;height:2" coordorigin="4991,1209" coordsize="3980,2">
              <v:shape style="position:absolute;left:4991;top:1209;width:3980;height:2" coordorigin="4991,1209" coordsize="3980,0" path="m4991,1209l8971,1209e" filled="false" stroked="true" strokeweight="1.5pt" strokecolor="#000000">
                <v:path arrowok="t"/>
              </v:shape>
              <v:shape style="position:absolute;left:1285;top:11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3412;top:111;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预计使用寿命</w:t>
                      </w:r>
                    </w:p>
                  </w:txbxContent>
                </v:textbox>
                <w10:wrap type="none"/>
              </v:shape>
              <v:shape style="position:absolute;left:6664;top:111;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依  据</w:t>
                      </w:r>
                    </w:p>
                  </w:txbxContent>
                </v:textbox>
                <w10:wrap type="none"/>
              </v:shape>
              <v:shape style="position:absolute;left:29;top:492;width:14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管理及办公用软件</w:t>
                      </w:r>
                    </w:p>
                  </w:txbxContent>
                </v:textbox>
                <w10:wrap type="none"/>
              </v:shape>
              <v:shape style="position:absolute;left:3799;top:576;width:306;height:189" type="#_x0000_t202" filled="false" stroked="false">
                <v:textbox inset="0,0,0,0">
                  <w:txbxContent>
                    <w:p>
                      <w:pPr>
                        <w:spacing w:line="189" w:lineRule="exact" w:before="0"/>
                        <w:ind w:left="0" w:right="0" w:firstLine="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26"/>
                          <w:sz w:val="18"/>
                          <w:szCs w:val="18"/>
                        </w:rPr>
                        <w:t> </w:t>
                      </w:r>
                      <w:r>
                        <w:rPr>
                          <w:rFonts w:ascii="宋体" w:hAnsi="宋体" w:cs="宋体" w:eastAsia="宋体" w:hint="default"/>
                          <w:sz w:val="18"/>
                          <w:szCs w:val="18"/>
                        </w:rPr>
                        <w:t>年</w:t>
                      </w:r>
                    </w:p>
                  </w:txbxContent>
                </v:textbox>
                <w10:wrap type="none"/>
              </v:shape>
              <v:shape style="position:absolute;left:5944;top:576;width:19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根据历史经验值合理预计</w:t>
                      </w:r>
                    </w:p>
                  </w:txbxContent>
                </v:textbox>
                <w10:wrap type="none"/>
              </v:shape>
              <v:shape style="position:absolute;left:29;top:903;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土地使用权</w:t>
                      </w:r>
                    </w:p>
                  </w:txbxContent>
                </v:textbox>
                <w10:wrap type="none"/>
              </v:shape>
              <v:shape style="position:absolute;left:3758;top:985;width:388;height:189" type="#_x0000_t202" filled="false" stroked="false">
                <v:textbox inset="0,0,0,0">
                  <w:txbxContent>
                    <w:p>
                      <w:pPr>
                        <w:spacing w:line="189" w:lineRule="exact" w:before="0"/>
                        <w:ind w:left="0" w:right="0" w:firstLine="0"/>
                        <w:jc w:val="left"/>
                        <w:rPr>
                          <w:rFonts w:ascii="宋体" w:hAnsi="宋体" w:cs="宋体" w:eastAsia="宋体" w:hint="default"/>
                          <w:sz w:val="18"/>
                          <w:szCs w:val="18"/>
                        </w:rPr>
                      </w:pPr>
                      <w:r>
                        <w:rPr>
                          <w:rFonts w:ascii="Arial" w:hAnsi="Arial" w:cs="Arial" w:eastAsia="Arial" w:hint="default"/>
                          <w:w w:val="95"/>
                          <w:sz w:val="18"/>
                          <w:szCs w:val="18"/>
                        </w:rPr>
                        <w:t>50</w:t>
                      </w:r>
                      <w:r>
                        <w:rPr>
                          <w:rFonts w:ascii="Arial" w:hAnsi="Arial" w:cs="Arial" w:eastAsia="Arial" w:hint="default"/>
                          <w:spacing w:val="-23"/>
                          <w:w w:val="95"/>
                          <w:sz w:val="18"/>
                          <w:szCs w:val="18"/>
                        </w:rPr>
                        <w:t> </w:t>
                      </w:r>
                      <w:r>
                        <w:rPr>
                          <w:rFonts w:ascii="宋体" w:hAnsi="宋体" w:cs="宋体" w:eastAsia="宋体" w:hint="default"/>
                          <w:w w:val="95"/>
                          <w:sz w:val="18"/>
                          <w:szCs w:val="18"/>
                        </w:rPr>
                        <w:t>年</w:t>
                      </w:r>
                    </w:p>
                  </w:txbxContent>
                </v:textbox>
                <w10:wrap type="none"/>
              </v:shape>
              <v:shape style="position:absolute;left:5764;top:985;width:23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根据土地使用权使用年限预计</w:t>
                      </w:r>
                    </w:p>
                  </w:txbxContent>
                </v:textbox>
                <w10:wrap type="none"/>
              </v:shape>
            </v:group>
          </v:group>
        </w:pict>
      </w:r>
      <w:r>
        <w:rPr>
          <w:rFonts w:ascii="宋体" w:hAnsi="宋体" w:cs="宋体" w:eastAsia="宋体" w:hint="default"/>
          <w:position w:val="-23"/>
          <w:sz w:val="20"/>
          <w:szCs w:val="20"/>
        </w:rPr>
      </w:r>
    </w:p>
    <w:p>
      <w:pPr>
        <w:spacing w:line="240" w:lineRule="auto" w:before="8"/>
        <w:rPr>
          <w:rFonts w:ascii="宋体" w:hAnsi="宋体" w:cs="宋体" w:eastAsia="宋体" w:hint="default"/>
          <w:sz w:val="6"/>
          <w:szCs w:val="6"/>
        </w:rPr>
      </w:pPr>
    </w:p>
    <w:p>
      <w:pPr>
        <w:pStyle w:val="BodyText"/>
        <w:spacing w:line="355" w:lineRule="auto" w:before="35"/>
        <w:ind w:left="137" w:right="247" w:firstLine="420"/>
        <w:jc w:val="left"/>
      </w:pPr>
      <w:r>
        <w:rPr/>
        <w:t>每期末，对使用寿命有限的无形资产的使用寿命及摊销方法进行复核，如与原先估计数存在 差异的，进行相应的调整。</w:t>
      </w:r>
    </w:p>
    <w:p>
      <w:pPr>
        <w:pStyle w:val="BodyText"/>
        <w:spacing w:line="240" w:lineRule="auto" w:before="33"/>
        <w:ind w:left="557" w:right="0"/>
        <w:jc w:val="left"/>
      </w:pPr>
      <w:r>
        <w:rPr/>
        <w:t>经复核，本期期末无形资产的使用寿命及摊销方法与以前估计未有不同。</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3"/>
        <w:spacing w:line="307" w:lineRule="auto" w:before="0"/>
        <w:ind w:left="559" w:right="3164" w:hanging="423"/>
        <w:jc w:val="left"/>
        <w:rPr>
          <w:b w:val="0"/>
          <w:bCs w:val="0"/>
        </w:rPr>
      </w:pPr>
      <w:r>
        <w:rPr/>
        <w:t>(2).</w:t>
      </w:r>
      <w:r>
        <w:rPr>
          <w:spacing w:val="-83"/>
        </w:rPr>
        <w:t> </w:t>
      </w:r>
      <w:r>
        <w:rPr/>
        <w:t>内部研究开发支出会计政策</w:t>
      </w:r>
      <w:r>
        <w:rPr>
          <w:w w:val="99"/>
        </w:rPr>
        <w:t> </w:t>
      </w:r>
      <w:r>
        <w:rPr/>
        <w:t>划分公司内部研究开发项目的研究阶段和开发阶段具体标准</w:t>
      </w:r>
      <w:r>
        <w:rPr>
          <w:b w:val="0"/>
          <w:bCs w:val="0"/>
        </w:rPr>
      </w:r>
    </w:p>
    <w:p>
      <w:pPr>
        <w:spacing w:after="0" w:line="307" w:lineRule="auto"/>
        <w:jc w:val="left"/>
        <w:sectPr>
          <w:pgSz w:w="11910" w:h="16840"/>
          <w:pgMar w:header="882" w:footer="1197" w:top="1120" w:bottom="1380" w:left="1660" w:right="1020"/>
        </w:sectPr>
      </w:pPr>
    </w:p>
    <w:p>
      <w:pPr>
        <w:spacing w:line="240" w:lineRule="auto" w:before="4"/>
        <w:rPr>
          <w:rFonts w:ascii="宋体" w:hAnsi="宋体" w:cs="宋体" w:eastAsia="宋体" w:hint="default"/>
          <w:b/>
          <w:bCs/>
          <w:sz w:val="25"/>
          <w:szCs w:val="25"/>
        </w:rPr>
      </w:pPr>
    </w:p>
    <w:p>
      <w:pPr>
        <w:pStyle w:val="BodyText"/>
        <w:spacing w:line="355" w:lineRule="auto" w:before="35"/>
        <w:ind w:left="137" w:right="144" w:firstLine="420"/>
        <w:jc w:val="both"/>
      </w:pPr>
      <w:r>
        <w:rPr/>
        <w:t>研究阶段：为获取并理解新的科学或技术知识等而进行的独创性的有计划调查、研究活动的 阶段。</w:t>
      </w:r>
    </w:p>
    <w:p>
      <w:pPr>
        <w:pStyle w:val="BodyText"/>
        <w:spacing w:line="355" w:lineRule="auto" w:before="33"/>
        <w:ind w:left="137" w:right="144" w:firstLine="420"/>
        <w:jc w:val="both"/>
      </w:pPr>
      <w:r>
        <w:rPr/>
        <w:t>开发阶段：在进行商业性生产或使用前，将研究成果或其他知识应用于某项计划或设计，以 生产出新的或具有实质性改进的材料、装置、产品等活动的阶段。</w:t>
      </w:r>
    </w:p>
    <w:p>
      <w:pPr>
        <w:spacing w:line="355" w:lineRule="auto" w:before="33"/>
        <w:ind w:left="557" w:right="1597" w:firstLine="0"/>
        <w:jc w:val="left"/>
        <w:rPr>
          <w:rFonts w:ascii="宋体" w:hAnsi="宋体" w:cs="宋体" w:eastAsia="宋体" w:hint="default"/>
          <w:sz w:val="21"/>
          <w:szCs w:val="21"/>
        </w:rPr>
      </w:pPr>
      <w:r>
        <w:rPr>
          <w:rFonts w:ascii="宋体" w:hAnsi="宋体" w:cs="宋体" w:eastAsia="宋体" w:hint="default"/>
          <w:sz w:val="21"/>
          <w:szCs w:val="21"/>
        </w:rPr>
        <w:t>内部研究开发项目研究阶段的支出，在发生时计入当期损益。 </w:t>
      </w:r>
      <w:r>
        <w:rPr>
          <w:rFonts w:ascii="宋体" w:hAnsi="宋体" w:cs="宋体" w:eastAsia="宋体" w:hint="default"/>
          <w:b/>
          <w:bCs/>
          <w:sz w:val="21"/>
          <w:szCs w:val="21"/>
        </w:rPr>
        <w:t>开发阶段支出符合资本化的具体标准</w:t>
      </w:r>
      <w:r>
        <w:rPr>
          <w:rFonts w:ascii="宋体" w:hAnsi="宋体" w:cs="宋体" w:eastAsia="宋体" w:hint="default"/>
          <w:b/>
          <w:bCs/>
          <w:w w:val="99"/>
          <w:sz w:val="21"/>
          <w:szCs w:val="21"/>
        </w:rPr>
        <w:t> </w:t>
      </w:r>
      <w:r>
        <w:rPr>
          <w:rFonts w:ascii="宋体" w:hAnsi="宋体" w:cs="宋体" w:eastAsia="宋体" w:hint="default"/>
          <w:sz w:val="21"/>
          <w:szCs w:val="21"/>
        </w:rPr>
        <w:t>内部研究开发项目开发阶段的支出，同时满足下列条件时确认为无形资产：</w:t>
      </w:r>
    </w:p>
    <w:p>
      <w:pPr>
        <w:pStyle w:val="BodyText"/>
        <w:spacing w:line="240" w:lineRule="auto" w:before="33"/>
        <w:ind w:left="557" w:right="127"/>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17"/>
        <w:ind w:left="557" w:right="127"/>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36" w:lineRule="auto" w:before="118"/>
        <w:ind w:left="137" w:right="131" w:firstLine="420"/>
        <w:jc w:val="both"/>
      </w:pPr>
      <w:r>
        <w:rPr>
          <w:spacing w:val="-3"/>
        </w:rPr>
        <w:t>（</w:t>
      </w:r>
      <w:r>
        <w:rPr>
          <w:rFonts w:ascii="Times New Roman" w:hAnsi="Times New Roman" w:cs="Times New Roman" w:eastAsia="Times New Roman" w:hint="default"/>
          <w:spacing w:val="-3"/>
        </w:rPr>
        <w:t>3</w:t>
      </w:r>
      <w:r>
        <w:rPr>
          <w:spacing w:val="-3"/>
        </w:rPr>
        <w:t>）无形资产产生经济利益的方式，包括能够证明运用该无形资产生产的产品存在市场或无</w:t>
      </w:r>
      <w:r>
        <w:rPr/>
        <w:t> 形资产自身存在市场，无形资产将在内部使用的，能够证明其有用性；</w:t>
      </w:r>
    </w:p>
    <w:p>
      <w:pPr>
        <w:pStyle w:val="BodyText"/>
        <w:spacing w:line="336" w:lineRule="auto" w:before="50"/>
        <w:ind w:left="137" w:right="131" w:firstLine="420"/>
        <w:jc w:val="both"/>
      </w:pPr>
      <w:r>
        <w:rPr>
          <w:spacing w:val="-3"/>
        </w:rPr>
        <w:t>（</w:t>
      </w:r>
      <w:r>
        <w:rPr>
          <w:rFonts w:ascii="Times New Roman" w:hAnsi="Times New Roman" w:cs="Times New Roman" w:eastAsia="Times New Roman" w:hint="default"/>
          <w:spacing w:val="-3"/>
        </w:rPr>
        <w:t>4</w:t>
      </w:r>
      <w:r>
        <w:rPr>
          <w:spacing w:val="-3"/>
        </w:rPr>
        <w:t>）有足够的技术、财务资源和其他资源支持，以完成该无形资产的开发，并有能力使用或</w:t>
      </w:r>
      <w:r>
        <w:rPr/>
        <w:t> 出售该无形资产；</w:t>
      </w:r>
    </w:p>
    <w:p>
      <w:pPr>
        <w:pStyle w:val="BodyText"/>
        <w:spacing w:line="240" w:lineRule="auto" w:before="49"/>
        <w:ind w:left="557" w:right="127"/>
        <w:jc w:val="left"/>
      </w:pPr>
      <w:r>
        <w:rPr/>
        <w:t>（</w:t>
      </w:r>
      <w:r>
        <w:rPr>
          <w:rFonts w:ascii="Times New Roman" w:hAnsi="Times New Roman" w:cs="Times New Roman" w:eastAsia="Times New Roman" w:hint="default"/>
        </w:rPr>
        <w:t>5</w:t>
      </w:r>
      <w:r>
        <w:rPr/>
        <w:t>）归属于该无形资产开发阶段的支出能够可靠地计量。</w:t>
      </w:r>
    </w:p>
    <w:p>
      <w:pPr>
        <w:pStyle w:val="BodyText"/>
        <w:spacing w:line="273" w:lineRule="auto" w:before="137"/>
        <w:ind w:left="137" w:right="144"/>
        <w:jc w:val="both"/>
      </w:pPr>
      <w:r>
        <w:rPr/>
        <w:t>不满足上述条件的开发阶段的支出，于发生时计入当期损益。以前期间已计入损益的开发支出不 在以后期间重新确认为资产。已资本化的开发阶段的支出在资产负债表上列示为开发支出，自该 项目达到预定用途之日起转为无形资产。</w:t>
      </w:r>
    </w:p>
    <w:p>
      <w:pPr>
        <w:spacing w:line="240" w:lineRule="auto" w:before="0"/>
        <w:rPr>
          <w:rFonts w:ascii="宋体" w:hAnsi="宋体" w:cs="宋体" w:eastAsia="宋体" w:hint="default"/>
          <w:sz w:val="29"/>
          <w:szCs w:val="29"/>
        </w:rPr>
      </w:pPr>
    </w:p>
    <w:p>
      <w:pPr>
        <w:spacing w:line="280" w:lineRule="auto" w:before="0"/>
        <w:ind w:left="557" w:right="127" w:hanging="420"/>
        <w:jc w:val="left"/>
        <w:rPr>
          <w:rFonts w:ascii="宋体" w:hAnsi="宋体" w:cs="宋体" w:eastAsia="宋体" w:hint="default"/>
          <w:sz w:val="21"/>
          <w:szCs w:val="21"/>
        </w:rPr>
      </w:pPr>
      <w:r>
        <w:rPr>
          <w:rFonts w:ascii="Calibri" w:hAnsi="Calibri" w:cs="Calibri" w:eastAsia="Calibri" w:hint="default"/>
          <w:b/>
          <w:bCs/>
          <w:sz w:val="21"/>
          <w:szCs w:val="21"/>
        </w:rPr>
        <w:t>22.</w:t>
      </w:r>
      <w:r>
        <w:rPr>
          <w:rFonts w:ascii="Calibri" w:hAnsi="Calibri" w:cs="Calibri" w:eastAsia="Calibri" w:hint="default"/>
          <w:b/>
          <w:bCs/>
          <w:spacing w:val="6"/>
          <w:sz w:val="21"/>
          <w:szCs w:val="21"/>
        </w:rPr>
        <w:t> </w:t>
      </w:r>
      <w:r>
        <w:rPr>
          <w:rFonts w:ascii="宋体" w:hAnsi="宋体" w:cs="宋体" w:eastAsia="宋体" w:hint="default"/>
          <w:b/>
          <w:bCs/>
          <w:sz w:val="21"/>
          <w:szCs w:val="21"/>
        </w:rPr>
        <w:t>长期资产减值</w:t>
      </w:r>
      <w:r>
        <w:rPr>
          <w:rFonts w:ascii="宋体" w:hAnsi="宋体" w:cs="宋体" w:eastAsia="宋体" w:hint="default"/>
          <w:b/>
          <w:bCs/>
          <w:w w:val="99"/>
          <w:sz w:val="21"/>
          <w:szCs w:val="21"/>
        </w:rPr>
        <w:t> </w:t>
      </w:r>
      <w:r>
        <w:rPr>
          <w:rFonts w:ascii="宋体" w:hAnsi="宋体" w:cs="宋体" w:eastAsia="宋体" w:hint="default"/>
          <w:sz w:val="21"/>
          <w:szCs w:val="21"/>
        </w:rPr>
        <w:t>本公司在资产负债表日判断长期资产是否存在可能发生减值的迹象。如果长期资产存在减值</w:t>
      </w:r>
    </w:p>
    <w:p>
      <w:pPr>
        <w:pStyle w:val="BodyText"/>
        <w:spacing w:line="357" w:lineRule="auto" w:before="97"/>
        <w:ind w:left="137" w:right="144"/>
        <w:jc w:val="both"/>
      </w:pPr>
      <w:r>
        <w:rPr/>
        <w:t>迹象的，以单项资产为基础估计其可收回金额；难以对单项资产的可收回金额进行估计的，以该 资产所属的资产组为基础确定资产组的可收回金额。</w:t>
      </w:r>
    </w:p>
    <w:p>
      <w:pPr>
        <w:pStyle w:val="BodyText"/>
        <w:spacing w:line="357" w:lineRule="auto" w:before="30"/>
        <w:ind w:left="137" w:right="144" w:firstLine="420"/>
        <w:jc w:val="both"/>
      </w:pPr>
      <w:r>
        <w:rPr/>
        <w:t>资产可收回金额的估计，根据其公允价值减去处置费用后的净额与资产预计未来现金流量的 现值两者之间较高者确定。</w:t>
      </w:r>
    </w:p>
    <w:p>
      <w:pPr>
        <w:pStyle w:val="BodyText"/>
        <w:spacing w:line="357" w:lineRule="auto" w:before="30"/>
        <w:ind w:left="137" w:right="144" w:firstLine="420"/>
        <w:jc w:val="both"/>
      </w:pPr>
      <w:r>
        <w:rPr/>
        <w:t>可收回金额的计量结果表明，长期资产的可收回金额低于其账面价值的，将长期资产的账面 价值减记至可收回金额，减记的金额确认为资产减值损失，计入当期损益，同时计提相应的资产 减值准备。资产减值损失一经确认，在以后会计期间不得转回。</w:t>
      </w:r>
    </w:p>
    <w:p>
      <w:pPr>
        <w:pStyle w:val="BodyText"/>
        <w:spacing w:line="357" w:lineRule="auto" w:before="30"/>
        <w:ind w:left="137" w:right="144" w:firstLine="420"/>
        <w:jc w:val="both"/>
      </w:pPr>
      <w:r>
        <w:rPr/>
        <w:t>资产减值损失确认后，减值资产的折旧或者摊销费用在未来期间作相应调整，以使该资产在 剩余使用寿命内，系统地分摊调整后的资产账面价值（扣除预计净残值）。</w:t>
      </w:r>
    </w:p>
    <w:p>
      <w:pPr>
        <w:pStyle w:val="BodyText"/>
        <w:spacing w:line="357" w:lineRule="auto" w:before="30"/>
        <w:ind w:left="137" w:right="144" w:firstLine="420"/>
        <w:jc w:val="both"/>
      </w:pPr>
      <w:r>
        <w:rPr/>
        <w:t>因企业合并所形成的商誉和使用寿命不确定的无形资产，无论是否存在减值迹象，每年都进 行减值测试。</w:t>
      </w:r>
    </w:p>
    <w:p>
      <w:pPr>
        <w:pStyle w:val="BodyText"/>
        <w:spacing w:line="357" w:lineRule="auto" w:before="30"/>
        <w:ind w:left="137" w:right="144" w:firstLine="420"/>
        <w:jc w:val="both"/>
      </w:pPr>
      <w:r>
        <w:rPr/>
        <w:t>商誉结合与其相关的资产组或者资产组组合进行减值测试。在对包含商誉的相关资产组或者 资产组组合进行减值测试时，如与商誉相关的资产组或者资产组组合存在减值迹象的，先对不包 含商誉的资产组或者资产组组合进行减值测试，计算可收回金额，并与相关账面价值相比较，确 认相应的减值损失。再对包含商誉的资产组或者资产组组合进行减值测试，比较这些相关资产组</w:t>
      </w:r>
    </w:p>
    <w:p>
      <w:pPr>
        <w:spacing w:after="0" w:line="357" w:lineRule="auto"/>
        <w:jc w:val="both"/>
        <w:sectPr>
          <w:pgSz w:w="11910" w:h="16840"/>
          <w:pgMar w:header="882" w:footer="1197" w:top="1120" w:bottom="1380" w:left="1660" w:right="1140"/>
        </w:sectPr>
      </w:pPr>
    </w:p>
    <w:p>
      <w:pPr>
        <w:spacing w:line="240" w:lineRule="auto" w:before="4"/>
        <w:rPr>
          <w:rFonts w:ascii="宋体" w:hAnsi="宋体" w:cs="宋体" w:eastAsia="宋体" w:hint="default"/>
          <w:sz w:val="25"/>
          <w:szCs w:val="25"/>
        </w:rPr>
      </w:pPr>
    </w:p>
    <w:p>
      <w:pPr>
        <w:pStyle w:val="BodyText"/>
        <w:spacing w:line="355" w:lineRule="auto" w:before="35"/>
        <w:ind w:left="137" w:right="127"/>
        <w:jc w:val="left"/>
      </w:pPr>
      <w:r>
        <w:rPr/>
        <w:t>或者资产组组合的账面价值（包括所分摊的商誉的账面价值部分）与其可收回金额，如相关资产 组或者资产组组合的可收回金额低于其账面价值的，确认商誉的减值损失。</w:t>
      </w:r>
    </w:p>
    <w:p>
      <w:pPr>
        <w:spacing w:line="240" w:lineRule="auto" w:before="0"/>
        <w:rPr>
          <w:rFonts w:ascii="宋体" w:hAnsi="宋体" w:cs="宋体" w:eastAsia="宋体" w:hint="default"/>
          <w:sz w:val="20"/>
          <w:szCs w:val="20"/>
        </w:rPr>
      </w:pPr>
    </w:p>
    <w:p>
      <w:pPr>
        <w:pStyle w:val="Heading3"/>
        <w:spacing w:line="240" w:lineRule="auto" w:before="163"/>
        <w:ind w:left="137" w:right="127"/>
        <w:jc w:val="left"/>
        <w:rPr>
          <w:b w:val="0"/>
          <w:bCs w:val="0"/>
        </w:rPr>
      </w:pPr>
      <w:r>
        <w:rPr>
          <w:rFonts w:ascii="Calibri" w:hAnsi="Calibri" w:cs="Calibri" w:eastAsia="Calibri" w:hint="default"/>
        </w:rPr>
        <w:t>23.  </w:t>
      </w:r>
      <w:r>
        <w:rPr>
          <w:rFonts w:ascii="Calibri" w:hAnsi="Calibri" w:cs="Calibri" w:eastAsia="Calibri" w:hint="default"/>
          <w:spacing w:val="5"/>
        </w:rPr>
        <w:t> </w:t>
      </w:r>
      <w:r>
        <w:rPr/>
        <w:t>长期待摊费用</w:t>
      </w:r>
      <w:r>
        <w:rPr>
          <w:b w:val="0"/>
          <w:bCs w:val="0"/>
        </w:rPr>
      </w:r>
    </w:p>
    <w:p>
      <w:pPr>
        <w:pStyle w:val="BodyText"/>
        <w:spacing w:line="336" w:lineRule="auto" w:before="51"/>
        <w:ind w:left="137" w:right="144" w:firstLine="420"/>
        <w:jc w:val="both"/>
      </w:pPr>
      <w:r>
        <w:rPr/>
        <w:t>长期待摊费用，是指本公司已经发生但应由本期和以后各期负担的分摊期限在</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年以上的各 项费用。长期待摊费用在受益期内按直接法分期摊销。</w:t>
      </w:r>
    </w:p>
    <w:p>
      <w:pPr>
        <w:spacing w:line="240" w:lineRule="auto" w:before="0"/>
        <w:rPr>
          <w:rFonts w:ascii="宋体" w:hAnsi="宋体" w:cs="宋体" w:eastAsia="宋体" w:hint="default"/>
          <w:sz w:val="20"/>
          <w:szCs w:val="20"/>
        </w:rPr>
      </w:pPr>
    </w:p>
    <w:p>
      <w:pPr>
        <w:pStyle w:val="Heading3"/>
        <w:spacing w:line="295" w:lineRule="auto" w:before="180"/>
        <w:ind w:left="137" w:right="6100"/>
        <w:jc w:val="left"/>
        <w:rPr>
          <w:b w:val="0"/>
          <w:bCs w:val="0"/>
        </w:rPr>
      </w:pPr>
      <w:r>
        <w:rPr>
          <w:rFonts w:ascii="Calibri" w:hAnsi="Calibri" w:cs="Calibri" w:eastAsia="Calibri" w:hint="default"/>
        </w:rPr>
        <w:t>24.</w:t>
      </w:r>
      <w:r>
        <w:rPr>
          <w:rFonts w:ascii="Calibri" w:hAnsi="Calibri" w:cs="Calibri" w:eastAsia="Calibri" w:hint="default"/>
          <w:spacing w:val="7"/>
        </w:rPr>
        <w:t> </w:t>
      </w:r>
      <w:r>
        <w:rPr/>
        <w:t>职工薪酬</w:t>
      </w:r>
      <w:r>
        <w:rPr>
          <w:spacing w:val="1"/>
          <w:w w:val="99"/>
        </w:rPr>
        <w:t> </w:t>
      </w:r>
      <w:r>
        <w:rPr/>
        <w:t>(1)、短期薪酬的会计处理方法</w:t>
      </w:r>
      <w:r>
        <w:rPr>
          <w:b w:val="0"/>
          <w:bCs w:val="0"/>
        </w:rPr>
      </w:r>
    </w:p>
    <w:p>
      <w:pPr>
        <w:pStyle w:val="BodyText"/>
        <w:spacing w:line="355" w:lineRule="auto" w:before="29"/>
        <w:ind w:left="137" w:right="144" w:firstLine="420"/>
        <w:jc w:val="both"/>
      </w:pPr>
      <w:r>
        <w:rPr/>
        <w:t>短期薪酬是指本公司在职工提供相关服务的年度报告期间结束后十二个月内需要全部予以支 付的职工薪酬，离职后福利和辞退福利除外。本公司在职工提供服务的会计期间，将应付的短期 薪酬确认为负债，并根据职工提供服务的受益对象计入相关资产成本和费用。</w:t>
      </w:r>
    </w:p>
    <w:p>
      <w:pPr>
        <w:spacing w:line="307" w:lineRule="auto" w:before="112"/>
        <w:ind w:left="557" w:right="127" w:hanging="420"/>
        <w:jc w:val="left"/>
        <w:rPr>
          <w:rFonts w:ascii="宋体" w:hAnsi="宋体" w:cs="宋体" w:eastAsia="宋体" w:hint="default"/>
          <w:sz w:val="21"/>
          <w:szCs w:val="21"/>
        </w:rPr>
      </w:pPr>
      <w:r>
        <w:rPr>
          <w:rFonts w:ascii="宋体" w:hAnsi="宋体" w:cs="宋体" w:eastAsia="宋体" w:hint="default"/>
          <w:b/>
          <w:bCs/>
          <w:sz w:val="21"/>
          <w:szCs w:val="21"/>
        </w:rPr>
        <w:t>(2)、离职后福利的会计处理方法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离职后福利是指本公司为获得职工提供的服务而在职工退休或与企业解除劳动关系后，提供</w:t>
      </w:r>
    </w:p>
    <w:p>
      <w:pPr>
        <w:pStyle w:val="BodyText"/>
        <w:spacing w:line="357" w:lineRule="auto" w:before="74"/>
        <w:ind w:left="557" w:right="127" w:hanging="420"/>
        <w:jc w:val="left"/>
      </w:pPr>
      <w:r>
        <w:rPr/>
        <w:t>的各种形式的报酬和福利，短期薪酬和辞退福利除外。离职后福利计划系设定提存计划。 离职后福利设定提存计划主要为参加由各地劳动及社会保障机构组织实施的社会基本养老保</w:t>
      </w:r>
    </w:p>
    <w:p>
      <w:pPr>
        <w:pStyle w:val="BodyText"/>
        <w:spacing w:line="357" w:lineRule="auto" w:before="30"/>
        <w:ind w:left="137" w:right="127"/>
        <w:jc w:val="left"/>
      </w:pPr>
      <w:r>
        <w:rPr/>
        <w:t>险、失业保险等。在职工为本公司提供服务的会计期间，将根据设定提存计划计算的应缴存金额 确认为负债，并计入当期损益或相关资产成本。</w:t>
      </w:r>
    </w:p>
    <w:p>
      <w:pPr>
        <w:spacing w:line="324" w:lineRule="auto" w:before="49"/>
        <w:ind w:left="137" w:right="967" w:firstLine="0"/>
        <w:jc w:val="left"/>
        <w:rPr>
          <w:rFonts w:ascii="宋体" w:hAnsi="宋体" w:cs="宋体" w:eastAsia="宋体" w:hint="default"/>
          <w:sz w:val="21"/>
          <w:szCs w:val="21"/>
        </w:rPr>
      </w:pPr>
      <w:r>
        <w:rPr>
          <w:rFonts w:ascii="宋体" w:hAnsi="宋体" w:cs="宋体" w:eastAsia="宋体" w:hint="default"/>
          <w:sz w:val="21"/>
          <w:szCs w:val="21"/>
        </w:rPr>
        <w:t>本公司按照国家规定的标准和年金计划定期缴付上述款项后，不再有其他的支付义务。 </w:t>
      </w:r>
      <w:r>
        <w:rPr>
          <w:rFonts w:ascii="宋体" w:hAnsi="宋体" w:cs="宋体" w:eastAsia="宋体" w:hint="default"/>
          <w:b/>
          <w:bCs/>
          <w:sz w:val="21"/>
          <w:szCs w:val="21"/>
        </w:rPr>
        <w:t>(3)、辞退福利的会计处理方法</w:t>
      </w:r>
      <w:r>
        <w:rPr>
          <w:rFonts w:ascii="宋体" w:hAnsi="宋体" w:cs="宋体" w:eastAsia="宋体" w:hint="default"/>
          <w:sz w:val="21"/>
          <w:szCs w:val="21"/>
        </w:rPr>
      </w:r>
    </w:p>
    <w:p>
      <w:pPr>
        <w:pStyle w:val="BodyText"/>
        <w:spacing w:line="273" w:lineRule="auto" w:before="23"/>
        <w:ind w:left="137" w:right="145" w:firstLine="420"/>
        <w:jc w:val="both"/>
      </w:pPr>
      <w:r>
        <w:rPr/>
        <w:t>辞退福利是指本公司在职工劳动合同到期之前解除与职工的劳动关系，或者为鼓励职工自愿 接受裁减而给予职工的补偿，在发生当期计入当期损益。</w:t>
      </w:r>
    </w:p>
    <w:p>
      <w:pPr>
        <w:spacing w:line="324" w:lineRule="auto" w:before="67"/>
        <w:ind w:left="557" w:right="127" w:hanging="421"/>
        <w:jc w:val="left"/>
        <w:rPr>
          <w:rFonts w:ascii="宋体" w:hAnsi="宋体" w:cs="宋体" w:eastAsia="宋体" w:hint="default"/>
          <w:sz w:val="21"/>
          <w:szCs w:val="21"/>
        </w:rPr>
      </w:pPr>
      <w:r>
        <w:rPr>
          <w:rFonts w:ascii="宋体" w:hAnsi="宋体" w:cs="宋体" w:eastAsia="宋体" w:hint="default"/>
          <w:b/>
          <w:bCs/>
          <w:sz w:val="21"/>
          <w:szCs w:val="21"/>
        </w:rPr>
        <w:t>(4)、其他长期职工福利的会计处理方法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其他长期职工福利是指除短期薪酬、离职后福利、辞退福利之外的其他所有职工福利。对符</w:t>
      </w:r>
    </w:p>
    <w:p>
      <w:pPr>
        <w:pStyle w:val="BodyText"/>
        <w:spacing w:line="238" w:lineRule="exact"/>
        <w:ind w:left="137" w:right="0"/>
        <w:jc w:val="left"/>
      </w:pPr>
      <w:r>
        <w:rPr/>
        <w:t>合设定提存计划条件的其他长期职工福利，在职工为本公司提供服务的会计期间，将应缴存金额</w:t>
      </w:r>
    </w:p>
    <w:p>
      <w:pPr>
        <w:pStyle w:val="BodyText"/>
        <w:spacing w:line="240" w:lineRule="auto" w:before="37"/>
        <w:ind w:left="137" w:right="127"/>
        <w:jc w:val="left"/>
      </w:pPr>
      <w:r>
        <w:rPr/>
        <w:t>确认为负债，并计入当期损益或相关资产成本。</w:t>
      </w:r>
    </w:p>
    <w:p>
      <w:pPr>
        <w:spacing w:line="240" w:lineRule="auto" w:before="0"/>
        <w:rPr>
          <w:rFonts w:ascii="宋体" w:hAnsi="宋体" w:cs="宋体" w:eastAsia="宋体" w:hint="default"/>
          <w:sz w:val="20"/>
          <w:szCs w:val="20"/>
        </w:rPr>
      </w:pPr>
    </w:p>
    <w:p>
      <w:pPr>
        <w:pStyle w:val="Heading3"/>
        <w:spacing w:line="240" w:lineRule="auto" w:before="147"/>
        <w:ind w:left="137" w:right="127"/>
        <w:jc w:val="left"/>
        <w:rPr>
          <w:b w:val="0"/>
          <w:bCs w:val="0"/>
        </w:rPr>
      </w:pPr>
      <w:r>
        <w:rPr>
          <w:rFonts w:ascii="Calibri" w:hAnsi="Calibri" w:cs="Calibri" w:eastAsia="Calibri" w:hint="default"/>
        </w:rPr>
        <w:t>25.  </w:t>
      </w:r>
      <w:r>
        <w:rPr>
          <w:rFonts w:ascii="Calibri" w:hAnsi="Calibri" w:cs="Calibri" w:eastAsia="Calibri" w:hint="default"/>
          <w:spacing w:val="7"/>
        </w:rPr>
        <w:t> </w:t>
      </w:r>
      <w:r>
        <w:rPr/>
        <w:t>预计负债</w:t>
      </w:r>
      <w:r>
        <w:rPr>
          <w:b w:val="0"/>
          <w:bCs w:val="0"/>
        </w:rPr>
      </w:r>
    </w:p>
    <w:p>
      <w:pPr>
        <w:pStyle w:val="BodyText"/>
        <w:spacing w:line="352" w:lineRule="auto" w:before="51"/>
        <w:ind w:left="557" w:right="2017" w:firstLine="2"/>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62"/>
        </w:rPr>
        <w:t> </w:t>
      </w:r>
      <w:r>
        <w:rPr>
          <w:rFonts w:ascii="宋体" w:hAnsi="宋体" w:cs="宋体" w:eastAsia="宋体" w:hint="default"/>
          <w:b/>
          <w:bCs/>
        </w:rPr>
        <w:t>预计负债的确认标准</w:t>
      </w:r>
      <w:r>
        <w:rPr>
          <w:rFonts w:ascii="宋体" w:hAnsi="宋体" w:cs="宋体" w:eastAsia="宋体" w:hint="default"/>
          <w:b/>
          <w:bCs/>
          <w:spacing w:val="1"/>
          <w:w w:val="99"/>
        </w:rPr>
        <w:t> </w:t>
      </w:r>
      <w:r>
        <w:rPr/>
        <w:t>与或有事项相关的义务同时满足下列条件时，本公司确认为预计负债： 该义务是本公司承担的现时义务； 履行该义务很可能导致经济利益流出本公司； 该义务的金额能够可靠地计量。</w:t>
      </w:r>
    </w:p>
    <w:p>
      <w:pPr>
        <w:pStyle w:val="BodyText"/>
        <w:spacing w:line="348" w:lineRule="auto" w:before="34"/>
        <w:ind w:left="557" w:right="127" w:firstLine="2"/>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62"/>
        </w:rPr>
        <w:t> </w:t>
      </w:r>
      <w:r>
        <w:rPr>
          <w:rFonts w:ascii="宋体" w:hAnsi="宋体" w:cs="宋体" w:eastAsia="宋体" w:hint="default"/>
          <w:b/>
          <w:bCs/>
        </w:rPr>
        <w:t>预计负债的计量方法</w:t>
      </w:r>
      <w:r>
        <w:rPr>
          <w:rFonts w:ascii="宋体" w:hAnsi="宋体" w:cs="宋体" w:eastAsia="宋体" w:hint="default"/>
          <w:b/>
          <w:bCs/>
          <w:spacing w:val="1"/>
          <w:w w:val="99"/>
        </w:rPr>
        <w:t> </w:t>
      </w:r>
      <w:r>
        <w:rPr/>
        <w:t>本公司预计负债按履行相关现时义务所需的支出的最佳估计数进行初始计量。 本公司在确定最佳估计数时，综合考虑与或有事项有关的风险、不确定性和货币时间价值等</w:t>
      </w:r>
    </w:p>
    <w:p>
      <w:pPr>
        <w:spacing w:after="0" w:line="348" w:lineRule="auto"/>
        <w:jc w:val="left"/>
        <w:sectPr>
          <w:footerReference w:type="default" r:id="rId87"/>
          <w:pgSz w:w="11910" w:h="16840"/>
          <w:pgMar w:footer="1197" w:header="882" w:top="1120" w:bottom="1380" w:left="1660" w:right="1140"/>
          <w:pgNumType w:start="90"/>
        </w:sectPr>
      </w:pPr>
    </w:p>
    <w:p>
      <w:pPr>
        <w:spacing w:line="240" w:lineRule="auto" w:before="4"/>
        <w:rPr>
          <w:rFonts w:ascii="宋体" w:hAnsi="宋体" w:cs="宋体" w:eastAsia="宋体" w:hint="default"/>
          <w:sz w:val="25"/>
          <w:szCs w:val="25"/>
        </w:rPr>
      </w:pPr>
    </w:p>
    <w:p>
      <w:pPr>
        <w:pStyle w:val="BodyText"/>
        <w:spacing w:line="357" w:lineRule="auto" w:before="35"/>
        <w:ind w:left="557" w:right="127" w:hanging="420"/>
        <w:jc w:val="left"/>
      </w:pPr>
      <w:r>
        <w:rPr/>
        <w:t>因素。对于货币时间价值影响重大的，通过对相关未来现金流出进行折现后确定最佳估计数。 最佳估计数分别以下情况处理： 所需支出存在一个连续范围（或区间），且该范围内各种结果发生的可能性相同的，则最佳</w:t>
      </w:r>
    </w:p>
    <w:p>
      <w:pPr>
        <w:pStyle w:val="BodyText"/>
        <w:spacing w:line="357" w:lineRule="auto" w:before="30"/>
        <w:ind w:left="557" w:right="127" w:hanging="420"/>
        <w:jc w:val="left"/>
      </w:pPr>
      <w:r>
        <w:rPr/>
        <w:t>估计数按照该范围的中间值即上下限金额的平均数确定。 所需支出不存在一个连续范围（或区间），或虽然存在一个连续范围但该范围内各种结果发</w:t>
      </w:r>
    </w:p>
    <w:p>
      <w:pPr>
        <w:pStyle w:val="BodyText"/>
        <w:spacing w:line="355" w:lineRule="auto" w:before="30"/>
        <w:ind w:left="137" w:right="144"/>
        <w:jc w:val="both"/>
      </w:pPr>
      <w:r>
        <w:rPr/>
        <w:t>生的可能性不相同的，如或有事项涉及单个项目的，则最佳估计数按照最可能发生金额确定；如 或有事项涉及多个项目的，则最佳估计数按各种可能结果及相关概率计算确定。</w:t>
      </w:r>
    </w:p>
    <w:p>
      <w:pPr>
        <w:pStyle w:val="BodyText"/>
        <w:spacing w:line="273" w:lineRule="auto" w:before="52"/>
        <w:ind w:left="137" w:right="145" w:firstLine="420"/>
        <w:jc w:val="both"/>
      </w:pPr>
      <w:r>
        <w:rPr/>
        <w:t>本公司清偿预计负债所需支出全部或部分预期由第三方补偿的，补偿金额在基本确定能够收 到时，作为资产单独确认，确认的补偿金额不超过预计负债的账面价值。</w:t>
      </w:r>
    </w:p>
    <w:p>
      <w:pPr>
        <w:spacing w:line="240" w:lineRule="auto" w:before="0"/>
        <w:rPr>
          <w:rFonts w:ascii="宋体" w:hAnsi="宋体" w:cs="宋体" w:eastAsia="宋体" w:hint="default"/>
          <w:sz w:val="29"/>
          <w:szCs w:val="29"/>
        </w:rPr>
      </w:pPr>
    </w:p>
    <w:p>
      <w:pPr>
        <w:pStyle w:val="Heading3"/>
        <w:spacing w:line="240" w:lineRule="auto" w:before="0"/>
        <w:ind w:left="137" w:right="127"/>
        <w:jc w:val="left"/>
        <w:rPr>
          <w:b w:val="0"/>
          <w:bCs w:val="0"/>
        </w:rPr>
      </w:pPr>
      <w:r>
        <w:rPr>
          <w:rFonts w:ascii="Calibri" w:hAnsi="Calibri" w:cs="Calibri" w:eastAsia="Calibri" w:hint="default"/>
        </w:rPr>
        <w:t>26.  </w:t>
      </w:r>
      <w:r>
        <w:rPr>
          <w:rFonts w:ascii="Calibri" w:hAnsi="Calibri" w:cs="Calibri" w:eastAsia="Calibri" w:hint="default"/>
          <w:spacing w:val="7"/>
        </w:rPr>
        <w:t> </w:t>
      </w:r>
      <w:r>
        <w:rPr/>
        <w:t>股份支付</w:t>
      </w:r>
      <w:r>
        <w:rPr>
          <w:b w:val="0"/>
          <w:bCs w:val="0"/>
        </w:rPr>
      </w:r>
    </w:p>
    <w:p>
      <w:pPr>
        <w:spacing w:line="348" w:lineRule="auto" w:before="51"/>
        <w:ind w:left="557" w:right="180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股份支付的种类</w:t>
      </w:r>
      <w:r>
        <w:rPr>
          <w:rFonts w:ascii="宋体" w:hAnsi="宋体" w:cs="宋体" w:eastAsia="宋体" w:hint="default"/>
          <w:b/>
          <w:bCs/>
          <w:w w:val="99"/>
          <w:sz w:val="21"/>
          <w:szCs w:val="21"/>
        </w:rPr>
        <w:t> </w:t>
      </w:r>
      <w:r>
        <w:rPr>
          <w:rFonts w:ascii="宋体" w:hAnsi="宋体" w:cs="宋体" w:eastAsia="宋体" w:hint="default"/>
          <w:sz w:val="21"/>
          <w:szCs w:val="21"/>
        </w:rPr>
        <w:t>本公司的股份支付分为以权益结算的股份支付和以现金结算的股份支付。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权益工具公允价值的确定方法</w:t>
      </w:r>
      <w:r>
        <w:rPr>
          <w:rFonts w:ascii="宋体" w:hAnsi="宋体" w:cs="宋体" w:eastAsia="宋体" w:hint="default"/>
          <w:sz w:val="21"/>
          <w:szCs w:val="21"/>
        </w:rPr>
      </w:r>
    </w:p>
    <w:p>
      <w:pPr>
        <w:pStyle w:val="BodyText"/>
        <w:spacing w:line="357" w:lineRule="auto" w:before="12"/>
        <w:ind w:left="137" w:right="131" w:firstLine="420"/>
        <w:jc w:val="both"/>
      </w:pPr>
      <w:r>
        <w:rPr/>
        <w:t>对于授予的存在活跃市场的期权等权益工具，按照活跃市场中的报价确定其公允价值。对于 授予的不存在活跃市场的期权等权益工具，采用期权定价模型等确定其公允价值，选用的期权定 </w:t>
      </w:r>
      <w:r>
        <w:rPr>
          <w:spacing w:val="-3"/>
        </w:rPr>
        <w:t>价模型考虑以下因素：（1）期权的行权价格；（2）期权的有效期；（3）标的股份的现行价格；</w:t>
      </w:r>
    </w:p>
    <w:p>
      <w:pPr>
        <w:pStyle w:val="BodyText"/>
        <w:spacing w:line="357" w:lineRule="auto" w:before="30"/>
        <w:ind w:left="557" w:right="127" w:hanging="420"/>
        <w:jc w:val="left"/>
      </w:pPr>
      <w:r>
        <w:rPr/>
        <w:t>（4）股价预计波动率；（5）股份的预计股利；（6）期权有效期内的无风险利率。 在确定权益工具授予日的公允价值时，考虑股份支付协议规定的可行权条件中的市场条件和</w:t>
      </w:r>
    </w:p>
    <w:p>
      <w:pPr>
        <w:pStyle w:val="BodyText"/>
        <w:spacing w:line="357" w:lineRule="auto" w:before="30"/>
        <w:ind w:left="137" w:right="144"/>
        <w:jc w:val="both"/>
      </w:pPr>
      <w:r>
        <w:rPr/>
        <w:t>非可行权条件的影响。股份支付存在非可行权条件的，只要职工或其他方满足了所有可行权条件 中的非市场条件（如服务期限等），即确认已得到服务相对应的成本费用。</w:t>
      </w:r>
    </w:p>
    <w:p>
      <w:pPr>
        <w:spacing w:line="338" w:lineRule="auto" w:before="30"/>
        <w:ind w:left="557" w:right="33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确定可行权权益工具最佳估计的依据</w:t>
      </w:r>
      <w:r>
        <w:rPr>
          <w:rFonts w:ascii="宋体" w:hAnsi="宋体" w:cs="宋体" w:eastAsia="宋体" w:hint="default"/>
          <w:b/>
          <w:bCs/>
          <w:w w:val="99"/>
          <w:sz w:val="21"/>
          <w:szCs w:val="21"/>
        </w:rPr>
        <w:t> </w:t>
      </w:r>
      <w:r>
        <w:rPr>
          <w:rFonts w:ascii="宋体" w:hAnsi="宋体" w:cs="宋体" w:eastAsia="宋体" w:hint="default"/>
          <w:sz w:val="21"/>
          <w:szCs w:val="21"/>
        </w:rPr>
        <w:t>等待期内每个资产负债表日，根据最新取得的可行权职工人数变动等后续信息作出最佳估</w:t>
      </w:r>
    </w:p>
    <w:p>
      <w:pPr>
        <w:pStyle w:val="BodyText"/>
        <w:spacing w:line="355" w:lineRule="auto" w:before="47"/>
        <w:ind w:left="137" w:right="144"/>
        <w:jc w:val="both"/>
      </w:pPr>
      <w:r>
        <w:rPr/>
        <w:t>计，修正预计可行权的权益工具数量。在可行权日，最终预计可行权权益工具的数量与实际可行 权数量一致。</w:t>
      </w:r>
    </w:p>
    <w:p>
      <w:pPr>
        <w:spacing w:line="336" w:lineRule="auto" w:before="33"/>
        <w:ind w:left="557" w:right="12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实施、修改、终止股份支付计划的相关会计处理</w:t>
      </w:r>
      <w:r>
        <w:rPr>
          <w:rFonts w:ascii="宋体" w:hAnsi="宋体" w:cs="宋体" w:eastAsia="宋体" w:hint="default"/>
          <w:b/>
          <w:bCs/>
          <w:w w:val="99"/>
          <w:sz w:val="21"/>
          <w:szCs w:val="21"/>
        </w:rPr>
        <w:t> </w:t>
      </w:r>
      <w:r>
        <w:rPr>
          <w:rFonts w:ascii="宋体" w:hAnsi="宋体" w:cs="宋体" w:eastAsia="宋体" w:hint="default"/>
          <w:sz w:val="21"/>
          <w:szCs w:val="21"/>
        </w:rPr>
        <w:t>以权益结算的股份支付，按授予职工权益工具的公允价值计量。授予后立即可行权的，在授</w:t>
      </w:r>
    </w:p>
    <w:p>
      <w:pPr>
        <w:pStyle w:val="BodyText"/>
        <w:spacing w:line="357" w:lineRule="auto" w:before="50"/>
        <w:ind w:left="137" w:right="144"/>
        <w:jc w:val="both"/>
      </w:pPr>
      <w:r>
        <w:rPr/>
        <w:t>予日按照权益工具的公允价值计入相关成本或费用，相应增加资本公积。在完成等待期内的服务 或达到规定业绩条件才可行权的，在等待期内的每个资产负债表日，以对可行权权益工具数量的 最佳估计为基础，按照权益工具授予日的公允价值，将当期取得的服务计入相关成本或费用和资 本公积。在可行权日之后不再对已确认的相关成本或费用和所有者权益总额进行调整。</w:t>
      </w:r>
    </w:p>
    <w:p>
      <w:pPr>
        <w:pStyle w:val="BodyText"/>
        <w:spacing w:line="357" w:lineRule="auto" w:before="30"/>
        <w:ind w:left="137" w:right="144" w:firstLine="420"/>
        <w:jc w:val="both"/>
      </w:pPr>
      <w:r>
        <w:rPr/>
        <w:t>以现金结算的股份支付，按照本公司承担的以股份或其他权益工具为基础计算确定的负债的 公允价值计量。授予后立即可行权的，在授予日以本公司承担负债的公允价值计入相关成本或费 用，相应增加负债。在完成等待期内的服务或达到规定业绩条件以后才可行权的以现金结算的股</w:t>
      </w:r>
    </w:p>
    <w:p>
      <w:pPr>
        <w:spacing w:after="0" w:line="357" w:lineRule="auto"/>
        <w:jc w:val="both"/>
        <w:sectPr>
          <w:pgSz w:w="11910" w:h="16840"/>
          <w:pgMar w:header="882" w:footer="1197"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5"/>
        <w:ind w:left="137" w:right="224"/>
        <w:jc w:val="both"/>
      </w:pPr>
      <w:r>
        <w:rPr/>
        <w:t>份支付，在等待期内的每个资产负债表日，以对可行权情况的最佳估计为基础，按照本公司承担 负债的公允价值金额，将当期取得的服务计入成本或费用和相应的负债。在相关负债结算前的每 个资产负债表日以及结算日，对负债的公允价值重新计量，其变动计入当期损益。</w:t>
      </w:r>
    </w:p>
    <w:p>
      <w:pPr>
        <w:spacing w:line="352" w:lineRule="auto" w:before="30"/>
        <w:ind w:left="557" w:right="9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对于存在修改条款和条件的情况的，本期的修改情况及相关会计处理</w:t>
      </w:r>
      <w:r>
        <w:rPr>
          <w:rFonts w:ascii="宋体" w:hAnsi="宋体" w:cs="宋体" w:eastAsia="宋体" w:hint="default"/>
          <w:b/>
          <w:bCs/>
          <w:w w:val="99"/>
          <w:sz w:val="21"/>
          <w:szCs w:val="21"/>
        </w:rPr>
        <w:t> </w:t>
      </w:r>
      <w:r>
        <w:rPr>
          <w:rFonts w:ascii="宋体" w:hAnsi="宋体" w:cs="宋体" w:eastAsia="宋体" w:hint="default"/>
          <w:spacing w:val="-3"/>
          <w:sz w:val="21"/>
          <w:szCs w:val="21"/>
        </w:rPr>
        <w:t>若在等待期内取消了授予的权益工具，本公司对取消所授予的权益性工具作为加速行权处理，</w:t>
      </w:r>
    </w:p>
    <w:p>
      <w:pPr>
        <w:pStyle w:val="BodyText"/>
        <w:spacing w:line="213" w:lineRule="exact"/>
        <w:ind w:left="137" w:right="98"/>
        <w:jc w:val="left"/>
      </w:pPr>
      <w:r>
        <w:rPr/>
        <w:t>将剩余等待期内应确认的金额立即计入当期损益，同时确认资本公积。职工或其他方能够选择满</w:t>
      </w:r>
    </w:p>
    <w:p>
      <w:pPr>
        <w:pStyle w:val="BodyText"/>
        <w:spacing w:line="240" w:lineRule="auto" w:before="37"/>
        <w:ind w:left="137" w:right="98"/>
        <w:jc w:val="left"/>
      </w:pPr>
      <w:r>
        <w:rPr/>
        <w:t>足非可行权条件但在等待期内未满足的，本公司将其作为授予权益工具的取消处理。</w:t>
      </w:r>
    </w:p>
    <w:p>
      <w:pPr>
        <w:spacing w:line="240" w:lineRule="auto" w:before="0"/>
        <w:rPr>
          <w:rFonts w:ascii="宋体" w:hAnsi="宋体" w:cs="宋体" w:eastAsia="宋体" w:hint="default"/>
          <w:sz w:val="20"/>
          <w:szCs w:val="20"/>
        </w:rPr>
      </w:pPr>
    </w:p>
    <w:p>
      <w:pPr>
        <w:pStyle w:val="Heading3"/>
        <w:spacing w:line="240" w:lineRule="auto" w:before="147"/>
        <w:ind w:left="137" w:right="98"/>
        <w:jc w:val="left"/>
        <w:rPr>
          <w:b w:val="0"/>
          <w:bCs w:val="0"/>
        </w:rPr>
      </w:pPr>
      <w:r>
        <w:rPr>
          <w:rFonts w:ascii="Calibri" w:hAnsi="Calibri" w:cs="Calibri" w:eastAsia="Calibri" w:hint="default"/>
        </w:rPr>
        <w:t>27.  </w:t>
      </w:r>
      <w:r>
        <w:rPr>
          <w:rFonts w:ascii="Calibri" w:hAnsi="Calibri" w:cs="Calibri" w:eastAsia="Calibri" w:hint="default"/>
          <w:spacing w:val="5"/>
        </w:rPr>
        <w:t> </w:t>
      </w:r>
      <w:r>
        <w:rPr/>
        <w:t>优先股、永续债等其他金融工具</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pStyle w:val="Heading3"/>
        <w:spacing w:line="240" w:lineRule="auto" w:before="178"/>
        <w:ind w:left="137" w:right="98"/>
        <w:jc w:val="left"/>
        <w:rPr>
          <w:b w:val="0"/>
          <w:bCs w:val="0"/>
        </w:rPr>
      </w:pPr>
      <w:r>
        <w:rPr>
          <w:rFonts w:ascii="Calibri" w:hAnsi="Calibri" w:cs="Calibri" w:eastAsia="Calibri" w:hint="default"/>
        </w:rPr>
        <w:t>28.  </w:t>
      </w:r>
      <w:r>
        <w:rPr>
          <w:rFonts w:ascii="Calibri" w:hAnsi="Calibri" w:cs="Calibri" w:eastAsia="Calibri" w:hint="default"/>
          <w:spacing w:val="7"/>
        </w:rPr>
        <w:t> </w:t>
      </w:r>
      <w:r>
        <w:rPr/>
        <w:t>收入</w:t>
      </w:r>
      <w:r>
        <w:rPr>
          <w:b w:val="0"/>
          <w:bCs w:val="0"/>
        </w:rPr>
      </w:r>
    </w:p>
    <w:p>
      <w:pPr>
        <w:spacing w:line="336" w:lineRule="auto" w:before="51"/>
        <w:ind w:left="557" w:right="20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销售商品收入确认时间的具体判断标准</w:t>
      </w:r>
      <w:r>
        <w:rPr>
          <w:rFonts w:ascii="宋体" w:hAnsi="宋体" w:cs="宋体" w:eastAsia="宋体" w:hint="default"/>
          <w:b/>
          <w:bCs/>
          <w:w w:val="99"/>
          <w:sz w:val="21"/>
          <w:szCs w:val="21"/>
        </w:rPr>
        <w:t> </w:t>
      </w:r>
      <w:r>
        <w:rPr>
          <w:rFonts w:ascii="宋体" w:hAnsi="宋体" w:cs="宋体" w:eastAsia="宋体" w:hint="default"/>
          <w:sz w:val="21"/>
          <w:szCs w:val="21"/>
        </w:rPr>
        <w:t>公司已将商品所有权上的主要风险和报酬转移给购买方；公司既没有保留与所有权相联系的</w:t>
      </w:r>
    </w:p>
    <w:p>
      <w:pPr>
        <w:pStyle w:val="BodyText"/>
        <w:spacing w:line="357" w:lineRule="auto" w:before="49"/>
        <w:ind w:left="137" w:right="207"/>
        <w:jc w:val="left"/>
      </w:pPr>
      <w:r>
        <w:rPr/>
        <w:t>继续管理权，也没有对已售出的商品实施有效控制；收入的金额能够可靠地计量；相关的经济利 益很可能流入企业；相关的已发生或将发生的成本能够可靠地计量时，确认商品销售收入实现。</w:t>
      </w:r>
    </w:p>
    <w:p>
      <w:pPr>
        <w:pStyle w:val="BodyText"/>
        <w:spacing w:line="357" w:lineRule="auto" w:before="30"/>
        <w:ind w:left="557" w:right="207"/>
        <w:jc w:val="left"/>
      </w:pPr>
      <w:r>
        <w:rPr/>
        <w:t>公司按销售商品原则确认的收入主要包括商品销售收入及系统集成收入： 公司商品销售收入确认的具体原则为：公司将项目货物全部发出，客户签收无误后，发出货</w:t>
      </w:r>
    </w:p>
    <w:p>
      <w:pPr>
        <w:pStyle w:val="BodyText"/>
        <w:spacing w:line="357" w:lineRule="auto" w:before="30"/>
        <w:ind w:left="557" w:right="207" w:hanging="420"/>
        <w:jc w:val="left"/>
      </w:pPr>
      <w:r>
        <w:rPr/>
        <w:t>物的收入金额能够确定，并已收讫货款或预计可收回货款，成本能够可靠计量。 公司系统集成收入确认的具体原则为：在系统集成项目经客户竣工验收时，确认该系统集成</w:t>
      </w:r>
    </w:p>
    <w:p>
      <w:pPr>
        <w:pStyle w:val="BodyText"/>
        <w:spacing w:line="240" w:lineRule="auto" w:before="30"/>
        <w:ind w:left="137" w:right="98"/>
        <w:jc w:val="left"/>
      </w:pPr>
      <w:r>
        <w:rPr/>
        <w:t>项目收入。</w:t>
      </w:r>
    </w:p>
    <w:p>
      <w:pPr>
        <w:spacing w:line="338" w:lineRule="auto" w:before="133"/>
        <w:ind w:left="557" w:right="20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确认让渡资产使用权收入的依据</w:t>
      </w:r>
      <w:r>
        <w:rPr>
          <w:rFonts w:ascii="宋体" w:hAnsi="宋体" w:cs="宋体" w:eastAsia="宋体" w:hint="default"/>
          <w:b/>
          <w:bCs/>
          <w:spacing w:val="1"/>
          <w:w w:val="99"/>
          <w:sz w:val="21"/>
          <w:szCs w:val="21"/>
        </w:rPr>
        <w:t> </w:t>
      </w:r>
      <w:r>
        <w:rPr>
          <w:rFonts w:ascii="宋体" w:hAnsi="宋体" w:cs="宋体" w:eastAsia="宋体" w:hint="default"/>
          <w:sz w:val="21"/>
          <w:szCs w:val="21"/>
        </w:rPr>
        <w:t>与交易相关的经济利益很可能流入企业，收入的金额能够可靠地计量时，分别下列情况确定</w:t>
      </w:r>
    </w:p>
    <w:p>
      <w:pPr>
        <w:pStyle w:val="BodyText"/>
        <w:spacing w:line="240" w:lineRule="auto" w:before="47"/>
        <w:ind w:left="137" w:right="98"/>
        <w:jc w:val="left"/>
      </w:pPr>
      <w:r>
        <w:rPr/>
        <w:t>让渡资产使用权收入金额：</w:t>
      </w:r>
    </w:p>
    <w:p>
      <w:pPr>
        <w:pStyle w:val="BodyText"/>
        <w:spacing w:line="240" w:lineRule="auto" w:before="134"/>
        <w:ind w:left="557" w:right="98"/>
        <w:jc w:val="left"/>
      </w:pPr>
      <w:r>
        <w:rPr/>
        <w:t>（</w:t>
      </w:r>
      <w:r>
        <w:rPr>
          <w:rFonts w:ascii="Times New Roman" w:hAnsi="Times New Roman" w:cs="Times New Roman" w:eastAsia="Times New Roman" w:hint="default"/>
        </w:rPr>
        <w:t>1</w:t>
      </w:r>
      <w:r>
        <w:rPr/>
        <w:t>）利息收入金额，按照他人使用本公司货币资金的时间和实际利率计算确定。</w:t>
      </w:r>
    </w:p>
    <w:p>
      <w:pPr>
        <w:pStyle w:val="BodyText"/>
        <w:spacing w:line="240" w:lineRule="auto" w:before="117"/>
        <w:ind w:left="557" w:right="98"/>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336" w:lineRule="auto" w:before="118"/>
        <w:ind w:left="557" w:right="41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提供劳务收入的确认依据和方法</w:t>
      </w:r>
      <w:r>
        <w:rPr>
          <w:rFonts w:ascii="宋体" w:hAnsi="宋体" w:cs="宋体" w:eastAsia="宋体" w:hint="default"/>
          <w:b/>
          <w:bCs/>
          <w:spacing w:val="1"/>
          <w:w w:val="99"/>
          <w:sz w:val="21"/>
          <w:szCs w:val="21"/>
        </w:rPr>
        <w:t> </w:t>
      </w:r>
      <w:r>
        <w:rPr>
          <w:rFonts w:ascii="宋体" w:hAnsi="宋体" w:cs="宋体" w:eastAsia="宋体" w:hint="default"/>
          <w:sz w:val="21"/>
          <w:szCs w:val="21"/>
        </w:rPr>
        <w:t>在资产负债表日提供劳务交易的结果能够可靠估计的，采用完工百分比法确认提供劳务收</w:t>
      </w:r>
    </w:p>
    <w:p>
      <w:pPr>
        <w:pStyle w:val="BodyText"/>
        <w:spacing w:line="357" w:lineRule="auto" w:before="49"/>
        <w:ind w:left="557" w:right="1047" w:hanging="420"/>
        <w:jc w:val="left"/>
      </w:pPr>
      <w:r>
        <w:rPr/>
        <w:t>入。提供劳务交易的完工进度，依据已完成劳务的工作量占预计劳务总量的比例确定。 提供劳务交易的结果能够可靠估计，是指同时满足下列条件：</w:t>
      </w:r>
    </w:p>
    <w:p>
      <w:pPr>
        <w:pStyle w:val="BodyText"/>
        <w:spacing w:line="240" w:lineRule="auto" w:before="30"/>
        <w:ind w:left="557" w:right="98"/>
        <w:jc w:val="left"/>
      </w:pPr>
      <w:r>
        <w:rPr/>
        <w:t>（</w:t>
      </w:r>
      <w:r>
        <w:rPr>
          <w:rFonts w:ascii="Times New Roman" w:hAnsi="Times New Roman" w:cs="Times New Roman" w:eastAsia="Times New Roman" w:hint="default"/>
        </w:rPr>
        <w:t>1</w:t>
      </w:r>
      <w:r>
        <w:rPr/>
        <w:t>）收入的金额能够可靠地计量；</w:t>
      </w:r>
    </w:p>
    <w:p>
      <w:pPr>
        <w:pStyle w:val="BodyText"/>
        <w:spacing w:line="240" w:lineRule="auto" w:before="118"/>
        <w:ind w:left="557" w:right="98"/>
        <w:jc w:val="left"/>
      </w:pPr>
      <w:r>
        <w:rPr/>
        <w:t>（</w:t>
      </w:r>
      <w:r>
        <w:rPr>
          <w:rFonts w:ascii="Times New Roman" w:hAnsi="Times New Roman" w:cs="Times New Roman" w:eastAsia="Times New Roman" w:hint="default"/>
        </w:rPr>
        <w:t>2</w:t>
      </w:r>
      <w:r>
        <w:rPr/>
        <w:t>）相关的经济利益很可能流入企业；</w:t>
      </w:r>
    </w:p>
    <w:p>
      <w:pPr>
        <w:pStyle w:val="BodyText"/>
        <w:spacing w:line="240" w:lineRule="auto" w:before="117"/>
        <w:ind w:left="557" w:right="98"/>
        <w:jc w:val="left"/>
      </w:pPr>
      <w:r>
        <w:rPr/>
        <w:t>（</w:t>
      </w:r>
      <w:r>
        <w:rPr>
          <w:rFonts w:ascii="Times New Roman" w:hAnsi="Times New Roman" w:cs="Times New Roman" w:eastAsia="Times New Roman" w:hint="default"/>
        </w:rPr>
        <w:t>3</w:t>
      </w:r>
      <w:r>
        <w:rPr/>
        <w:t>）交易的完工进度能够可靠地确定；</w:t>
      </w:r>
    </w:p>
    <w:p>
      <w:pPr>
        <w:pStyle w:val="BodyText"/>
        <w:spacing w:line="336" w:lineRule="auto" w:before="118"/>
        <w:ind w:left="557" w:right="207" w:hanging="1"/>
        <w:jc w:val="left"/>
      </w:pPr>
      <w:r>
        <w:rPr/>
        <w:t>（</w:t>
      </w:r>
      <w:r>
        <w:rPr>
          <w:rFonts w:ascii="Times New Roman" w:hAnsi="Times New Roman" w:cs="Times New Roman" w:eastAsia="Times New Roman" w:hint="default"/>
        </w:rPr>
        <w:t>4</w:t>
      </w:r>
      <w:r>
        <w:rPr/>
        <w:t>）交易中已发生和将发生的成本能够可靠地计量。 按照已收或应收的合同或协议价款确定提供劳务收入总额，但已收或应收的合同或协议价款</w:t>
      </w:r>
    </w:p>
    <w:p>
      <w:pPr>
        <w:spacing w:after="0" w:line="336" w:lineRule="auto"/>
        <w:jc w:val="left"/>
        <w:sectPr>
          <w:footerReference w:type="default" r:id="rId88"/>
          <w:pgSz w:w="11910" w:h="16840"/>
          <w:pgMar w:footer="1197" w:header="882" w:top="1120" w:bottom="1380" w:left="1660" w:right="1060"/>
          <w:pgNumType w:start="92"/>
        </w:sectPr>
      </w:pPr>
    </w:p>
    <w:p>
      <w:pPr>
        <w:spacing w:line="240" w:lineRule="auto" w:before="4"/>
        <w:rPr>
          <w:rFonts w:ascii="宋体" w:hAnsi="宋体" w:cs="宋体" w:eastAsia="宋体" w:hint="default"/>
          <w:sz w:val="25"/>
          <w:szCs w:val="25"/>
        </w:rPr>
      </w:pPr>
    </w:p>
    <w:p>
      <w:pPr>
        <w:pStyle w:val="BodyText"/>
        <w:spacing w:line="355" w:lineRule="auto" w:before="35"/>
        <w:ind w:left="137" w:right="207"/>
        <w:jc w:val="left"/>
      </w:pPr>
      <w:r>
        <w:rPr/>
        <w:t>不公允的除外。资产负债表日按照提供劳务收入总额乘以完工进度扣除以前会计期间累计已确认 提供劳务收入后的金额，确认当期提供劳务收入。</w:t>
      </w:r>
    </w:p>
    <w:p>
      <w:pPr>
        <w:pStyle w:val="BodyText"/>
        <w:spacing w:line="240" w:lineRule="auto" w:before="33"/>
        <w:ind w:left="557" w:right="98"/>
        <w:jc w:val="left"/>
      </w:pPr>
      <w:r>
        <w:rPr/>
        <w:t>在资产负债表日提供劳务交易结果不能够可靠估计的，分别下列情况处理：</w:t>
      </w:r>
    </w:p>
    <w:p>
      <w:pPr>
        <w:pStyle w:val="BodyText"/>
        <w:spacing w:line="338" w:lineRule="auto" w:before="133"/>
        <w:ind w:left="137" w:right="211" w:firstLine="420"/>
        <w:jc w:val="both"/>
      </w:pPr>
      <w:r>
        <w:rPr>
          <w:spacing w:val="-3"/>
        </w:rPr>
        <w:t>（</w:t>
      </w:r>
      <w:r>
        <w:rPr>
          <w:rFonts w:ascii="Times New Roman" w:hAnsi="Times New Roman" w:cs="Times New Roman" w:eastAsia="Times New Roman" w:hint="default"/>
          <w:spacing w:val="-3"/>
        </w:rPr>
        <w:t>1</w:t>
      </w:r>
      <w:r>
        <w:rPr>
          <w:spacing w:val="-3"/>
        </w:rPr>
        <w:t>）已经发生的劳务成本预计能够得到补偿的，按照已经发生的劳务成本金额确认提供劳务</w:t>
      </w:r>
      <w:r>
        <w:rPr/>
        <w:t> 收入，并按相同金额结转劳务成本。</w:t>
      </w:r>
    </w:p>
    <w:p>
      <w:pPr>
        <w:pStyle w:val="BodyText"/>
        <w:spacing w:line="336" w:lineRule="auto" w:before="47"/>
        <w:ind w:left="137" w:right="211" w:firstLine="420"/>
        <w:jc w:val="both"/>
      </w:pPr>
      <w:r>
        <w:rPr>
          <w:spacing w:val="-3"/>
        </w:rPr>
        <w:t>（</w:t>
      </w:r>
      <w:r>
        <w:rPr>
          <w:rFonts w:ascii="Times New Roman" w:hAnsi="Times New Roman" w:cs="Times New Roman" w:eastAsia="Times New Roman" w:hint="default"/>
          <w:spacing w:val="-3"/>
        </w:rPr>
        <w:t>2</w:t>
      </w:r>
      <w:r>
        <w:rPr>
          <w:spacing w:val="-3"/>
        </w:rPr>
        <w:t>）已经发生的劳务成本预计不能够得到补偿的，将已经发生的劳务成本计入当期损益，不</w:t>
      </w:r>
      <w:r>
        <w:rPr/>
        <w:t> 确认提供劳务收入。</w:t>
      </w:r>
    </w:p>
    <w:p>
      <w:pPr>
        <w:pStyle w:val="BodyText"/>
        <w:spacing w:line="357" w:lineRule="auto" w:before="50"/>
        <w:ind w:left="137" w:right="224" w:firstLine="420"/>
        <w:jc w:val="both"/>
      </w:pPr>
      <w:r>
        <w:rPr/>
        <w:t>本公司与其他企业签订的合同或协议包括销售商品和提供劳务时，销售商品部分和提供劳务 部分能够区分且能够单独计量的，将销售商品的部分作为销售商品处理，将提供劳务的部分作为 提供劳务处理。销售商品部分和提供劳务部分不能够区分，或虽能区分但不能够单独计量的，将 销售商品部分和提供劳务部分全部作为销售商品处理。</w:t>
      </w:r>
    </w:p>
    <w:p>
      <w:pPr>
        <w:pStyle w:val="BodyText"/>
        <w:spacing w:line="355" w:lineRule="auto" w:before="31"/>
        <w:ind w:left="557" w:right="207"/>
        <w:jc w:val="left"/>
      </w:pPr>
      <w:r>
        <w:rPr/>
        <w:t>公司提供劳务收入主要包括定制软件收入、系统维护收入、技术服务收入： 公司定制软件收入确认的具体原则为：在已收讫货款或预计可收回合同货款时，资产负债表</w:t>
      </w:r>
    </w:p>
    <w:p>
      <w:pPr>
        <w:pStyle w:val="BodyText"/>
        <w:spacing w:line="357" w:lineRule="auto" w:before="32"/>
        <w:ind w:left="137" w:right="207"/>
        <w:jc w:val="left"/>
      </w:pPr>
      <w:r>
        <w:rPr/>
        <w:t>日按定制软件项目实际已投入的工作量占该定制软件项目预计投入总工作量的比例确定完工进 度，按照该定制软件项目合同确定的收入总额乘以完工进度扣除以前会计期间累计已确认的定制 软件收入金额，确认当期定制软件收入。</w:t>
      </w:r>
    </w:p>
    <w:p>
      <w:pPr>
        <w:pStyle w:val="BodyText"/>
        <w:spacing w:line="355" w:lineRule="auto" w:before="31"/>
        <w:ind w:left="137" w:right="224" w:firstLine="420"/>
        <w:jc w:val="both"/>
      </w:pPr>
      <w:r>
        <w:rPr/>
        <w:t>公司系统维护收入确认的具体原则为：在已收讫货款或预计可收回合同货款时，按合同或协 议约定的系统维护费结算时间分期确认。</w:t>
      </w:r>
    </w:p>
    <w:p>
      <w:pPr>
        <w:pStyle w:val="BodyText"/>
        <w:spacing w:line="355" w:lineRule="auto" w:before="33"/>
        <w:ind w:left="137" w:right="224" w:firstLine="420"/>
        <w:jc w:val="both"/>
      </w:pPr>
      <w:r>
        <w:rPr/>
        <w:t>公司技术服务收入确认的具体原则为：在技术服务已经提供，按合同约定结算技术服务费时 确认。</w:t>
      </w:r>
    </w:p>
    <w:p>
      <w:pPr>
        <w:pStyle w:val="Heading3"/>
        <w:spacing w:line="240" w:lineRule="auto" w:before="32"/>
        <w:ind w:left="559" w:right="98"/>
        <w:jc w:val="left"/>
        <w:rPr>
          <w:b w:val="0"/>
          <w:bCs w:val="0"/>
        </w:rPr>
      </w:pPr>
      <w:r>
        <w:rPr>
          <w:rFonts w:ascii="Times New Roman" w:hAnsi="Times New Roman" w:cs="Times New Roman" w:eastAsia="Times New Roman" w:hint="default"/>
        </w:rPr>
        <w:t>4</w:t>
      </w:r>
      <w:r>
        <w:rPr/>
        <w:t>．</w:t>
      </w:r>
      <w:r>
        <w:rPr>
          <w:spacing w:val="-7"/>
        </w:rPr>
        <w:t> </w:t>
      </w:r>
      <w:r>
        <w:rPr/>
        <w:t>建造合同收入的确认依据和方法</w:t>
      </w:r>
      <w:r>
        <w:rPr>
          <w:b w:val="0"/>
          <w:bCs w:val="0"/>
        </w:rPr>
      </w:r>
    </w:p>
    <w:p>
      <w:pPr>
        <w:pStyle w:val="BodyText"/>
        <w:spacing w:line="348" w:lineRule="auto" w:before="118"/>
        <w:ind w:left="137" w:right="224" w:firstLine="420"/>
        <w:jc w:val="both"/>
      </w:pPr>
      <w:r>
        <w:rPr/>
        <w:t>（</w:t>
      </w:r>
      <w:r>
        <w:rPr>
          <w:rFonts w:ascii="Arial" w:hAnsi="Arial" w:cs="Arial" w:eastAsia="Arial" w:hint="default"/>
        </w:rPr>
        <w:t>1</w:t>
      </w:r>
      <w:r>
        <w:rPr/>
        <w:t>）</w:t>
      </w:r>
      <w:r>
        <w:rPr>
          <w:spacing w:val="93"/>
        </w:rPr>
        <w:t> </w:t>
      </w:r>
      <w:r>
        <w:rPr/>
        <w:t>当建造合同的结果能够可靠地估计时，与其相关的合同收入和合同费用在资产负债</w:t>
      </w:r>
      <w:r>
        <w:rPr/>
        <w:t> 表日按完工百分比法予以确认。完工百分比法，是指根据合同完工进度确认合同收入和合同费用 的方法。合同完工进度按照累计实际发生的合同成本占合同预计总成本的比例确定。</w:t>
      </w:r>
    </w:p>
    <w:p>
      <w:pPr>
        <w:pStyle w:val="BodyText"/>
        <w:spacing w:line="240" w:lineRule="auto" w:before="38"/>
        <w:ind w:left="557" w:right="98"/>
        <w:jc w:val="left"/>
      </w:pPr>
      <w:r>
        <w:rPr/>
        <w:t>固定造价合同的结果能够可靠估计，是指同时满足下列条件：</w:t>
      </w:r>
    </w:p>
    <w:p>
      <w:pPr>
        <w:pStyle w:val="BodyText"/>
        <w:spacing w:line="240" w:lineRule="auto" w:before="134"/>
        <w:ind w:left="557" w:right="98"/>
        <w:jc w:val="left"/>
      </w:pPr>
      <w:r>
        <w:rPr>
          <w:rFonts w:ascii="Arial" w:hAnsi="Arial" w:cs="Arial" w:eastAsia="Arial" w:hint="default"/>
        </w:rPr>
        <w:t>1</w:t>
      </w:r>
      <w:r>
        <w:rPr/>
        <w:t>）</w:t>
      </w:r>
      <w:r>
        <w:rPr>
          <w:spacing w:val="-13"/>
        </w:rPr>
        <w:t> </w:t>
      </w:r>
      <w:r>
        <w:rPr/>
        <w:t>合同总收入能够可靠地计量；</w:t>
      </w:r>
    </w:p>
    <w:p>
      <w:pPr>
        <w:pStyle w:val="BodyText"/>
        <w:spacing w:line="240" w:lineRule="auto" w:before="118"/>
        <w:ind w:left="557" w:right="98"/>
        <w:jc w:val="left"/>
      </w:pPr>
      <w:r>
        <w:rPr>
          <w:rFonts w:ascii="Arial" w:hAnsi="Arial" w:cs="Arial" w:eastAsia="Arial" w:hint="default"/>
        </w:rPr>
        <w:t>2</w:t>
      </w:r>
      <w:r>
        <w:rPr/>
        <w:t>）</w:t>
      </w:r>
      <w:r>
        <w:rPr>
          <w:spacing w:val="-13"/>
        </w:rPr>
        <w:t> </w:t>
      </w:r>
      <w:r>
        <w:rPr/>
        <w:t>与合同相关的经济利益很可能流入企业；</w:t>
      </w:r>
    </w:p>
    <w:p>
      <w:pPr>
        <w:pStyle w:val="BodyText"/>
        <w:spacing w:line="240" w:lineRule="auto" w:before="118"/>
        <w:ind w:left="557" w:right="98"/>
        <w:jc w:val="left"/>
      </w:pPr>
      <w:r>
        <w:rPr>
          <w:rFonts w:ascii="Arial" w:hAnsi="Arial" w:cs="Arial" w:eastAsia="Arial" w:hint="default"/>
        </w:rPr>
        <w:t>3</w:t>
      </w:r>
      <w:r>
        <w:rPr/>
        <w:t>）</w:t>
      </w:r>
      <w:r>
        <w:rPr>
          <w:spacing w:val="-13"/>
        </w:rPr>
        <w:t> </w:t>
      </w:r>
      <w:r>
        <w:rPr/>
        <w:t>实际发生的合同成本能够清楚地区分和可靠地计量；</w:t>
      </w:r>
    </w:p>
    <w:p>
      <w:pPr>
        <w:pStyle w:val="BodyText"/>
        <w:spacing w:line="338" w:lineRule="auto" w:before="119"/>
        <w:ind w:left="557" w:right="2516"/>
        <w:jc w:val="left"/>
      </w:pPr>
      <w:r>
        <w:rPr>
          <w:rFonts w:ascii="Arial" w:hAnsi="Arial" w:cs="Arial" w:eastAsia="Arial" w:hint="default"/>
        </w:rPr>
        <w:t>4</w:t>
      </w:r>
      <w:r>
        <w:rPr/>
        <w:t>）</w:t>
      </w:r>
      <w:r>
        <w:rPr>
          <w:spacing w:val="-11"/>
        </w:rPr>
        <w:t> </w:t>
      </w:r>
      <w:r>
        <w:rPr/>
        <w:t>合同完工进度和为完成合同尚需发生的成本能够可靠地确定。</w:t>
      </w:r>
      <w:r>
        <w:rPr/>
        <w:t> 成本加成合同的结果能够可靠估计，是指同时满足下列条件：</w:t>
      </w:r>
    </w:p>
    <w:p>
      <w:pPr>
        <w:pStyle w:val="BodyText"/>
        <w:spacing w:line="240" w:lineRule="auto" w:before="48"/>
        <w:ind w:left="557" w:right="98"/>
        <w:jc w:val="left"/>
      </w:pPr>
      <w:r>
        <w:rPr>
          <w:rFonts w:ascii="Arial" w:hAnsi="Arial" w:cs="Arial" w:eastAsia="Arial" w:hint="default"/>
        </w:rPr>
        <w:t>1</w:t>
      </w:r>
      <w:r>
        <w:rPr/>
        <w:t>）</w:t>
      </w:r>
      <w:r>
        <w:rPr>
          <w:spacing w:val="-13"/>
        </w:rPr>
        <w:t> </w:t>
      </w:r>
      <w:r>
        <w:rPr/>
        <w:t>与合同相关的经济利益很可能流入企业；</w:t>
      </w:r>
    </w:p>
    <w:p>
      <w:pPr>
        <w:pStyle w:val="BodyText"/>
        <w:spacing w:line="338" w:lineRule="auto" w:before="118"/>
        <w:ind w:left="557" w:right="98"/>
        <w:jc w:val="left"/>
      </w:pPr>
      <w:r>
        <w:rPr>
          <w:rFonts w:ascii="Arial" w:hAnsi="Arial" w:cs="Arial" w:eastAsia="Arial" w:hint="default"/>
        </w:rPr>
        <w:t>2</w:t>
      </w:r>
      <w:r>
        <w:rPr/>
        <w:t>）</w:t>
      </w:r>
      <w:r>
        <w:rPr>
          <w:spacing w:val="8"/>
        </w:rPr>
        <w:t> </w:t>
      </w:r>
      <w:r>
        <w:rPr/>
        <w:t>实际发生的合同成本能够清楚地区分和可靠地计量。</w:t>
      </w:r>
      <w:r>
        <w:rPr/>
        <w:t> </w:t>
      </w:r>
      <w:r>
        <w:rPr>
          <w:spacing w:val="-3"/>
        </w:rPr>
        <w:t>在资产负债表日，按照合同总收入乘以完工进度扣除以前会计期间累计已确认收入后的金额，</w:t>
      </w:r>
    </w:p>
    <w:p>
      <w:pPr>
        <w:pStyle w:val="BodyText"/>
        <w:spacing w:line="240" w:lineRule="auto" w:before="47"/>
        <w:ind w:left="137" w:right="98"/>
        <w:jc w:val="left"/>
      </w:pPr>
      <w:r>
        <w:rPr/>
        <w:t>确认为当期合同收入；同时，按照合同预计总成本乘以完工进度扣除以前会计期间累计已确认成</w:t>
      </w:r>
    </w:p>
    <w:p>
      <w:pPr>
        <w:spacing w:after="0" w:line="240" w:lineRule="auto"/>
        <w:jc w:val="left"/>
        <w:sectPr>
          <w:footerReference w:type="default" r:id="rId89"/>
          <w:pgSz w:w="11910" w:h="16840"/>
          <w:pgMar w:footer="1197" w:header="882" w:top="1120" w:bottom="1380" w:left="1660" w:right="1060"/>
          <w:pgNumType w:start="93"/>
        </w:sectPr>
      </w:pPr>
    </w:p>
    <w:p>
      <w:pPr>
        <w:spacing w:line="240" w:lineRule="auto" w:before="4"/>
        <w:rPr>
          <w:rFonts w:ascii="宋体" w:hAnsi="宋体" w:cs="宋体" w:eastAsia="宋体" w:hint="default"/>
          <w:sz w:val="25"/>
          <w:szCs w:val="25"/>
        </w:rPr>
      </w:pPr>
    </w:p>
    <w:p>
      <w:pPr>
        <w:pStyle w:val="BodyText"/>
        <w:spacing w:line="355" w:lineRule="auto" w:before="35"/>
        <w:ind w:left="137" w:right="127"/>
        <w:jc w:val="left"/>
      </w:pPr>
      <w:r>
        <w:rPr/>
        <w:t>本后的金额，确认为当期合同成本。合同工程的变动、索赔及奖金以可能带来收入并能可靠计算 的数额为限计入合同总收入。</w:t>
      </w:r>
    </w:p>
    <w:p>
      <w:pPr>
        <w:pStyle w:val="BodyText"/>
        <w:tabs>
          <w:tab w:pos="1397" w:val="left" w:leader="none"/>
        </w:tabs>
        <w:spacing w:line="240" w:lineRule="auto" w:before="33"/>
        <w:ind w:left="557" w:right="127"/>
        <w:jc w:val="left"/>
      </w:pPr>
      <w:r>
        <w:rPr>
          <w:w w:val="95"/>
        </w:rPr>
        <w:t>（</w:t>
      </w:r>
      <w:r>
        <w:rPr>
          <w:rFonts w:ascii="Arial" w:hAnsi="Arial" w:cs="Arial" w:eastAsia="Arial" w:hint="default"/>
          <w:w w:val="95"/>
        </w:rPr>
        <w:t>2</w:t>
      </w:r>
      <w:r>
        <w:rPr>
          <w:w w:val="95"/>
        </w:rPr>
        <w:t>）</w:t>
        <w:tab/>
      </w:r>
      <w:r>
        <w:rPr/>
        <w:t>建造合同的结果不能可靠估计的，分别下列情况处理：</w:t>
      </w:r>
    </w:p>
    <w:p>
      <w:pPr>
        <w:pStyle w:val="BodyText"/>
        <w:spacing w:line="338" w:lineRule="auto" w:before="118"/>
        <w:ind w:left="137" w:right="144" w:firstLine="420"/>
        <w:jc w:val="both"/>
      </w:pPr>
      <w:r>
        <w:rPr>
          <w:rFonts w:ascii="Arial" w:hAnsi="Arial" w:cs="Arial" w:eastAsia="Arial" w:hint="default"/>
        </w:rPr>
        <w:t>1</w:t>
      </w:r>
      <w:r>
        <w:rPr/>
        <w:t>）</w:t>
      </w:r>
      <w:r>
        <w:rPr>
          <w:spacing w:val="-11"/>
        </w:rPr>
        <w:t> </w:t>
      </w:r>
      <w:r>
        <w:rPr/>
        <w:t>合同成本能够收回的，合同收入根据能够收回的实际合同成本予以确认，合同成本在其</w:t>
      </w:r>
      <w:r>
        <w:rPr/>
        <w:t> 发生的当期确认为合同费用。</w:t>
      </w:r>
    </w:p>
    <w:p>
      <w:pPr>
        <w:pStyle w:val="BodyText"/>
        <w:spacing w:line="240" w:lineRule="auto" w:before="47"/>
        <w:ind w:left="557" w:right="127"/>
        <w:jc w:val="left"/>
      </w:pPr>
      <w:r>
        <w:rPr>
          <w:rFonts w:ascii="Arial" w:hAnsi="Arial" w:cs="Arial" w:eastAsia="Arial" w:hint="default"/>
        </w:rPr>
        <w:t>2</w:t>
      </w:r>
      <w:r>
        <w:rPr/>
        <w:t>）</w:t>
      </w:r>
      <w:r>
        <w:rPr>
          <w:spacing w:val="-13"/>
        </w:rPr>
        <w:t> </w:t>
      </w:r>
      <w:r>
        <w:rPr/>
        <w:t>合同成本不可能收回的，在发生时立即确认为合同费用，不确认合同收入。</w:t>
      </w:r>
    </w:p>
    <w:p>
      <w:pPr>
        <w:pStyle w:val="BodyText"/>
        <w:tabs>
          <w:tab w:pos="1397" w:val="left" w:leader="none"/>
        </w:tabs>
        <w:spacing w:line="355" w:lineRule="auto" w:before="118"/>
        <w:ind w:left="557" w:right="1194"/>
        <w:jc w:val="left"/>
      </w:pPr>
      <w:r>
        <w:rPr>
          <w:w w:val="95"/>
        </w:rPr>
        <w:t>（</w:t>
      </w:r>
      <w:r>
        <w:rPr>
          <w:rFonts w:ascii="Arial" w:hAnsi="Arial" w:cs="Arial" w:eastAsia="Arial" w:hint="default"/>
          <w:w w:val="95"/>
        </w:rPr>
        <w:t>3</w:t>
      </w:r>
      <w:r>
        <w:rPr>
          <w:w w:val="95"/>
        </w:rPr>
        <w:t>）</w:t>
        <w:tab/>
      </w:r>
      <w:r>
        <w:rPr/>
        <w:t>如果合同总成本很可能超过合同总收入，则预期损失立即确认为费用。 公司建安工程收入遵照上述建造合同收入的确认依据和方法进行。</w:t>
      </w:r>
    </w:p>
    <w:p>
      <w:pPr>
        <w:spacing w:line="240" w:lineRule="auto" w:before="7"/>
        <w:rPr>
          <w:rFonts w:ascii="宋体" w:hAnsi="宋体" w:cs="宋体" w:eastAsia="宋体" w:hint="default"/>
          <w:sz w:val="23"/>
          <w:szCs w:val="23"/>
        </w:rPr>
      </w:pPr>
    </w:p>
    <w:p>
      <w:pPr>
        <w:pStyle w:val="Heading3"/>
        <w:spacing w:line="295" w:lineRule="auto" w:before="0"/>
        <w:ind w:left="137" w:right="3991"/>
        <w:jc w:val="left"/>
        <w:rPr>
          <w:b w:val="0"/>
          <w:bCs w:val="0"/>
        </w:rPr>
      </w:pPr>
      <w:r>
        <w:rPr>
          <w:rFonts w:ascii="Calibri" w:hAnsi="Calibri" w:cs="Calibri" w:eastAsia="Calibri" w:hint="default"/>
        </w:rPr>
        <w:t>29.</w:t>
      </w:r>
      <w:r>
        <w:rPr>
          <w:rFonts w:ascii="Calibri" w:hAnsi="Calibri" w:cs="Calibri" w:eastAsia="Calibri" w:hint="default"/>
          <w:spacing w:val="7"/>
        </w:rPr>
        <w:t> </w:t>
      </w:r>
      <w:r>
        <w:rPr/>
        <w:t>政府补助</w:t>
      </w:r>
      <w:r>
        <w:rPr>
          <w:spacing w:val="1"/>
          <w:w w:val="99"/>
        </w:rPr>
        <w:t> </w:t>
      </w:r>
      <w:r>
        <w:rPr/>
        <w:t>(1)、与资产相关的政府补助判断依据及会计处理方法</w:t>
      </w:r>
      <w:r>
        <w:rPr>
          <w:b w:val="0"/>
          <w:bCs w:val="0"/>
        </w:rPr>
      </w:r>
    </w:p>
    <w:p>
      <w:pPr>
        <w:pStyle w:val="BodyText"/>
        <w:spacing w:line="273" w:lineRule="auto" w:before="49"/>
        <w:ind w:left="137" w:right="144" w:firstLine="420"/>
        <w:jc w:val="both"/>
      </w:pPr>
      <w:r>
        <w:rPr/>
        <w:t>与资产相关的政府补助，是指本公司取得的、用于购建或以其他方式形成长期资产的政府补 助。</w:t>
      </w:r>
    </w:p>
    <w:p>
      <w:pPr>
        <w:pStyle w:val="BodyText"/>
        <w:spacing w:line="273" w:lineRule="auto" w:before="7"/>
        <w:ind w:left="137" w:right="144" w:firstLine="420"/>
        <w:jc w:val="both"/>
      </w:pPr>
      <w:r>
        <w:rPr/>
        <w:t>与资产相关的政府补助，确认为递延收益，按照所建造或购买的资产使用年限分期计入营业 外收入。</w:t>
      </w:r>
    </w:p>
    <w:p>
      <w:pPr>
        <w:pStyle w:val="Heading3"/>
        <w:spacing w:line="240" w:lineRule="auto" w:before="67"/>
        <w:ind w:left="137" w:right="0"/>
        <w:jc w:val="both"/>
        <w:rPr>
          <w:b w:val="0"/>
          <w:bCs w:val="0"/>
        </w:rPr>
      </w:pPr>
      <w:r>
        <w:rPr/>
        <w:t>(2)、与收益相关的政府补助判断依据及会计处理方法</w:t>
      </w:r>
      <w:r>
        <w:rPr>
          <w:b w:val="0"/>
          <w:bCs w:val="0"/>
        </w:rPr>
      </w:r>
    </w:p>
    <w:p>
      <w:pPr>
        <w:pStyle w:val="BodyText"/>
        <w:spacing w:line="273" w:lineRule="auto" w:before="97"/>
        <w:ind w:left="663" w:right="127"/>
        <w:jc w:val="left"/>
      </w:pPr>
      <w:r>
        <w:rPr/>
        <w:t>与收益相关的政府补助，是指除与资产相关的政府补助之外的政府补助。 </w:t>
      </w:r>
      <w:r>
        <w:rPr>
          <w:spacing w:val="-3"/>
        </w:rPr>
        <w:t>与收益相关的政府补助，用于补偿企业以后期间的相关费用或损失的，确认为递延收益，在</w:t>
      </w:r>
    </w:p>
    <w:p>
      <w:pPr>
        <w:pStyle w:val="BodyText"/>
        <w:spacing w:line="273" w:lineRule="auto" w:before="7"/>
        <w:ind w:left="137" w:right="127"/>
        <w:jc w:val="left"/>
      </w:pPr>
      <w:r>
        <w:rPr/>
        <w:t>确认相关费用的期间计入当期营业外收入；用于补偿企业已发生的相关费用或损失的，取得时直 接计入当期营业外收入。</w:t>
      </w:r>
    </w:p>
    <w:p>
      <w:pPr>
        <w:spacing w:line="240" w:lineRule="auto" w:before="0"/>
        <w:rPr>
          <w:rFonts w:ascii="宋体" w:hAnsi="宋体" w:cs="宋体" w:eastAsia="宋体" w:hint="default"/>
          <w:sz w:val="29"/>
          <w:szCs w:val="29"/>
        </w:rPr>
      </w:pPr>
    </w:p>
    <w:p>
      <w:pPr>
        <w:spacing w:line="280" w:lineRule="auto" w:before="0"/>
        <w:ind w:left="557" w:right="267" w:hanging="421"/>
        <w:jc w:val="left"/>
        <w:rPr>
          <w:rFonts w:ascii="宋体" w:hAnsi="宋体" w:cs="宋体" w:eastAsia="宋体" w:hint="default"/>
          <w:sz w:val="21"/>
          <w:szCs w:val="21"/>
        </w:rPr>
      </w:pPr>
      <w:r>
        <w:rPr>
          <w:rFonts w:ascii="Calibri" w:hAnsi="Calibri" w:cs="Calibri" w:eastAsia="Calibri" w:hint="default"/>
          <w:b/>
          <w:bCs/>
          <w:sz w:val="21"/>
          <w:szCs w:val="21"/>
        </w:rPr>
        <w:t>30.</w:t>
      </w:r>
      <w:r>
        <w:rPr>
          <w:rFonts w:ascii="Calibri" w:hAnsi="Calibri" w:cs="Calibri" w:eastAsia="Calibri" w:hint="default"/>
          <w:b/>
          <w:bCs/>
          <w:spacing w:val="6"/>
          <w:sz w:val="21"/>
          <w:szCs w:val="21"/>
        </w:rPr>
        <w:t> </w:t>
      </w:r>
      <w:r>
        <w:rPr>
          <w:rFonts w:ascii="宋体" w:hAnsi="宋体" w:cs="宋体" w:eastAsia="宋体" w:hint="default"/>
          <w:b/>
          <w:bCs/>
          <w:sz w:val="21"/>
          <w:szCs w:val="21"/>
        </w:rPr>
        <w:t>递延所得税资产</w:t>
      </w:r>
      <w:r>
        <w:rPr>
          <w:rFonts w:ascii="Calibri" w:hAnsi="Calibri" w:cs="Calibri" w:eastAsia="Calibri"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spacing w:val="1"/>
          <w:w w:val="99"/>
          <w:sz w:val="21"/>
          <w:szCs w:val="21"/>
        </w:rPr>
        <w:t> </w:t>
      </w:r>
      <w:r>
        <w:rPr>
          <w:rFonts w:ascii="宋体" w:hAnsi="宋体" w:cs="宋体" w:eastAsia="宋体" w:hint="default"/>
          <w:sz w:val="21"/>
          <w:szCs w:val="21"/>
        </w:rPr>
        <w:t>递延所得税资产和递延所得税负债根据资产和负债的计税基础与其账面价值的差额</w:t>
      </w:r>
      <w:r>
        <w:rPr>
          <w:rFonts w:ascii="Times New Roman" w:hAnsi="Times New Roman" w:cs="Times New Roman" w:eastAsia="Times New Roman" w:hint="default"/>
          <w:sz w:val="21"/>
          <w:szCs w:val="21"/>
        </w:rPr>
        <w:t>(</w:t>
      </w:r>
      <w:r>
        <w:rPr>
          <w:rFonts w:ascii="宋体" w:hAnsi="宋体" w:cs="宋体" w:eastAsia="宋体" w:hint="default"/>
          <w:sz w:val="21"/>
          <w:szCs w:val="21"/>
        </w:rPr>
        <w:t>暂时性</w:t>
      </w:r>
    </w:p>
    <w:p>
      <w:pPr>
        <w:pStyle w:val="BodyText"/>
        <w:spacing w:line="338" w:lineRule="auto" w:before="77"/>
        <w:ind w:left="137" w:right="267"/>
        <w:jc w:val="left"/>
      </w:pPr>
      <w:r>
        <w:rPr/>
        <w:t>差异</w:t>
      </w:r>
      <w:r>
        <w:rPr>
          <w:rFonts w:ascii="Times New Roman" w:hAnsi="Times New Roman" w:cs="Times New Roman" w:eastAsia="Times New Roman" w:hint="default"/>
        </w:rPr>
        <w:t>)</w:t>
      </w:r>
      <w:r>
        <w:rPr/>
        <w:t>计算确认。于资产负债表日，递延所得税资产和递延所得税负债，按照预期收回该资产或 清偿该负债期间的适用税率计量。</w:t>
      </w:r>
    </w:p>
    <w:p>
      <w:pPr>
        <w:spacing w:line="338" w:lineRule="auto" w:before="47"/>
        <w:ind w:left="557" w:right="12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确认递延所得税资产的依据</w:t>
      </w:r>
      <w:r>
        <w:rPr>
          <w:rFonts w:ascii="宋体" w:hAnsi="宋体" w:cs="宋体" w:eastAsia="宋体" w:hint="default"/>
          <w:b/>
          <w:bCs/>
          <w:w w:val="99"/>
          <w:sz w:val="21"/>
          <w:szCs w:val="21"/>
        </w:rPr>
        <w:t> </w:t>
      </w:r>
      <w:r>
        <w:rPr>
          <w:rFonts w:ascii="宋体" w:hAnsi="宋体" w:cs="宋体" w:eastAsia="宋体" w:hint="default"/>
          <w:sz w:val="21"/>
          <w:szCs w:val="21"/>
        </w:rPr>
        <w:t>本公司以很可能取得用来抵扣可抵扣暂时性差异、能够结转以后年度的可抵扣亏损和税款抵</w:t>
      </w:r>
    </w:p>
    <w:p>
      <w:pPr>
        <w:pStyle w:val="BodyText"/>
        <w:spacing w:line="348" w:lineRule="auto" w:before="47"/>
        <w:ind w:left="137" w:right="131"/>
        <w:jc w:val="both"/>
      </w:pPr>
      <w:r>
        <w:rPr/>
        <w:t>减的应纳税所得额为限，确认由可抵扣暂时性差异产生的递延所得税资产。但是，同时具有下列 </w:t>
      </w:r>
      <w:r>
        <w:rPr>
          <w:spacing w:val="-3"/>
        </w:rPr>
        <w:t>特征的交易中因资产或负债的初始确认所产生的递延所得税资产不予确认：（</w:t>
      </w:r>
      <w:r>
        <w:rPr>
          <w:rFonts w:ascii="Times New Roman" w:hAnsi="Times New Roman" w:cs="Times New Roman" w:eastAsia="Times New Roman" w:hint="default"/>
          <w:spacing w:val="-3"/>
        </w:rPr>
        <w:t>1</w:t>
      </w:r>
      <w:r>
        <w:rPr>
          <w:spacing w:val="-3"/>
        </w:rPr>
        <w:t>）该交易不是企业</w:t>
      </w:r>
      <w:r>
        <w:rPr>
          <w:spacing w:val="-69"/>
        </w:rPr>
        <w:t> </w:t>
      </w:r>
      <w:r>
        <w:rPr>
          <w:spacing w:val="-69"/>
        </w:rPr>
      </w:r>
      <w:r>
        <w:rPr/>
        <w:t>合并；（</w:t>
      </w:r>
      <w:r>
        <w:rPr>
          <w:rFonts w:ascii="Times New Roman" w:hAnsi="Times New Roman" w:cs="Times New Roman" w:eastAsia="Times New Roman" w:hint="default"/>
        </w:rPr>
        <w:t>2</w:t>
      </w:r>
      <w:r>
        <w:rPr/>
        <w:t>）交易发生时既不影响会计利润也不影响应纳税所得额或可抵扣亏损。</w:t>
      </w:r>
    </w:p>
    <w:p>
      <w:pPr>
        <w:pStyle w:val="BodyText"/>
        <w:spacing w:line="357" w:lineRule="auto" w:before="12"/>
        <w:ind w:left="137" w:right="144" w:firstLine="420"/>
        <w:jc w:val="both"/>
      </w:pPr>
      <w:r>
        <w:rPr/>
        <w:t>对于与联营企业投资相关的可抵扣暂时性差异，同时满足下列条件的，确认相应的递延所得 税资产：暂时性差异在可预见的未来很可能转回，且未来很可能获得用来抵扣可抵扣暂时性差异 的应纳税所得额。</w:t>
      </w:r>
    </w:p>
    <w:p>
      <w:pPr>
        <w:spacing w:line="336" w:lineRule="auto" w:before="31"/>
        <w:ind w:left="557" w:right="33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确认递延所得税负债的依据</w:t>
      </w:r>
      <w:r>
        <w:rPr>
          <w:rFonts w:ascii="宋体" w:hAnsi="宋体" w:cs="宋体" w:eastAsia="宋体" w:hint="default"/>
          <w:b/>
          <w:bCs/>
          <w:w w:val="99"/>
          <w:sz w:val="21"/>
          <w:szCs w:val="21"/>
        </w:rPr>
        <w:t> </w:t>
      </w:r>
      <w:r>
        <w:rPr>
          <w:rFonts w:ascii="宋体" w:hAnsi="宋体" w:cs="宋体" w:eastAsia="宋体" w:hint="default"/>
          <w:sz w:val="21"/>
          <w:szCs w:val="21"/>
        </w:rPr>
        <w:t>公司将当期与以前期间应交未交的应纳税暂时性差异确认为递延所得税负债。但不包括：</w:t>
      </w:r>
    </w:p>
    <w:p>
      <w:pPr>
        <w:pStyle w:val="BodyText"/>
        <w:spacing w:line="240" w:lineRule="auto" w:before="49"/>
        <w:ind w:left="557" w:right="127"/>
        <w:jc w:val="left"/>
      </w:pPr>
      <w:r>
        <w:rPr/>
        <w:t>（</w:t>
      </w:r>
      <w:r>
        <w:rPr>
          <w:rFonts w:ascii="Times New Roman" w:hAnsi="Times New Roman" w:cs="Times New Roman" w:eastAsia="Times New Roman" w:hint="default"/>
        </w:rPr>
        <w:t>1</w:t>
      </w:r>
      <w:r>
        <w:rPr/>
        <w:t>）商誉的初始确认所形成的暂时性差异；</w:t>
      </w:r>
    </w:p>
    <w:p>
      <w:pPr>
        <w:spacing w:after="0" w:line="240" w:lineRule="auto"/>
        <w:jc w:val="left"/>
        <w:sectPr>
          <w:pgSz w:w="11910" w:h="16840"/>
          <w:pgMar w:header="882" w:footer="1197" w:top="1120" w:bottom="1380" w:left="1660" w:right="1140"/>
        </w:sectPr>
      </w:pPr>
    </w:p>
    <w:p>
      <w:pPr>
        <w:spacing w:line="240" w:lineRule="auto" w:before="4"/>
        <w:rPr>
          <w:rFonts w:ascii="宋体" w:hAnsi="宋体" w:cs="宋体" w:eastAsia="宋体" w:hint="default"/>
          <w:sz w:val="25"/>
          <w:szCs w:val="25"/>
        </w:rPr>
      </w:pPr>
    </w:p>
    <w:p>
      <w:pPr>
        <w:pStyle w:val="BodyText"/>
        <w:spacing w:line="336" w:lineRule="auto" w:before="35"/>
        <w:ind w:right="231" w:firstLine="420"/>
        <w:jc w:val="both"/>
      </w:pPr>
      <w:r>
        <w:rPr>
          <w:spacing w:val="-3"/>
        </w:rPr>
        <w:t>（</w:t>
      </w:r>
      <w:r>
        <w:rPr>
          <w:rFonts w:ascii="Times New Roman" w:hAnsi="Times New Roman" w:cs="Times New Roman" w:eastAsia="Times New Roman" w:hint="default"/>
          <w:spacing w:val="-3"/>
        </w:rPr>
        <w:t>2</w:t>
      </w:r>
      <w:r>
        <w:rPr>
          <w:spacing w:val="-3"/>
        </w:rPr>
        <w:t>）非企业合并形成的交易或事项，且该交易或事项发生时既不影响会计利润，也不影响应</w:t>
      </w:r>
      <w:r>
        <w:rPr/>
        <w:t> 纳税所得额（或可抵扣亏损）所形成的暂时性差异；</w:t>
      </w:r>
    </w:p>
    <w:p>
      <w:pPr>
        <w:pStyle w:val="BodyText"/>
        <w:spacing w:line="256" w:lineRule="auto" w:before="69"/>
        <w:ind w:right="232" w:firstLine="420"/>
        <w:jc w:val="both"/>
      </w:pPr>
      <w:r>
        <w:rPr>
          <w:spacing w:val="-3"/>
        </w:rPr>
        <w:t>（</w:t>
      </w:r>
      <w:r>
        <w:rPr>
          <w:rFonts w:ascii="Times New Roman" w:hAnsi="Times New Roman" w:cs="Times New Roman" w:eastAsia="Times New Roman" w:hint="default"/>
          <w:spacing w:val="-3"/>
        </w:rPr>
        <w:t>3</w:t>
      </w:r>
      <w:r>
        <w:rPr>
          <w:spacing w:val="-3"/>
        </w:rPr>
        <w:t>）对于与子公司、联营企业投资相关的应纳税暂时性差异，该暂时性差异转回的时间能够</w:t>
      </w:r>
      <w:r>
        <w:rPr/>
        <w:t> 控制并且该暂时性差异在可预见的未来很可能不会转回。</w:t>
      </w:r>
    </w:p>
    <w:p>
      <w:pPr>
        <w:pStyle w:val="Heading3"/>
        <w:spacing w:line="295" w:lineRule="auto" w:before="82"/>
        <w:ind w:right="6200"/>
        <w:jc w:val="left"/>
        <w:rPr>
          <w:b w:val="0"/>
          <w:bCs w:val="0"/>
        </w:rPr>
      </w:pPr>
      <w:r>
        <w:rPr>
          <w:rFonts w:ascii="Calibri" w:hAnsi="Calibri" w:cs="Calibri" w:eastAsia="Calibri" w:hint="default"/>
        </w:rPr>
        <w:t>31.</w:t>
      </w:r>
      <w:r>
        <w:rPr>
          <w:rFonts w:ascii="Calibri" w:hAnsi="Calibri" w:cs="Calibri" w:eastAsia="Calibri" w:hint="default"/>
          <w:spacing w:val="7"/>
        </w:rPr>
        <w:t> </w:t>
      </w:r>
      <w:r>
        <w:rPr/>
        <w:t>租赁</w:t>
      </w:r>
      <w:r>
        <w:rPr>
          <w:spacing w:val="1"/>
          <w:w w:val="99"/>
        </w:rPr>
        <w:t> </w:t>
      </w:r>
      <w:r>
        <w:rPr/>
        <w:t>(1)、经营租赁的会计处理方法</w:t>
      </w:r>
      <w:r>
        <w:rPr>
          <w:b w:val="0"/>
          <w:bCs w:val="0"/>
        </w:rPr>
      </w:r>
    </w:p>
    <w:p>
      <w:pPr>
        <w:pStyle w:val="BodyText"/>
        <w:spacing w:line="336" w:lineRule="auto" w:before="29"/>
        <w:ind w:right="231" w:firstLine="420"/>
        <w:jc w:val="both"/>
      </w:pPr>
      <w:r>
        <w:rPr>
          <w:spacing w:val="-3"/>
        </w:rPr>
        <w:t>（</w:t>
      </w:r>
      <w:r>
        <w:rPr>
          <w:rFonts w:ascii="Times New Roman" w:hAnsi="Times New Roman" w:cs="Times New Roman" w:eastAsia="Times New Roman" w:hint="default"/>
          <w:spacing w:val="-3"/>
        </w:rPr>
        <w:t>1</w:t>
      </w:r>
      <w:r>
        <w:rPr>
          <w:spacing w:val="-3"/>
        </w:rPr>
        <w:t>）公司租入资产所支付的租赁费，在不扣除免租期的整个租赁期内，按直线法进行分摊，</w:t>
      </w:r>
      <w:r>
        <w:rPr/>
        <w:t> 计入当期费用。公司支付的与租赁交易相关的初始直接费用，计入当期费用。</w:t>
      </w:r>
    </w:p>
    <w:p>
      <w:pPr>
        <w:pStyle w:val="BodyText"/>
        <w:spacing w:line="355" w:lineRule="auto" w:before="50"/>
        <w:ind w:right="244" w:firstLine="420"/>
        <w:jc w:val="both"/>
      </w:pPr>
      <w:r>
        <w:rPr/>
        <w:t>资产出租方承担了应由公司承担的与租赁相关的费用时，公司将该部分费用从租金总额中扣 除，按扣除后的租金费用在租赁期内分摊，计入当期费用。</w:t>
      </w:r>
    </w:p>
    <w:p>
      <w:pPr>
        <w:pStyle w:val="BodyText"/>
        <w:spacing w:line="348" w:lineRule="auto" w:before="32"/>
        <w:ind w:right="231" w:firstLine="420"/>
        <w:jc w:val="both"/>
      </w:pPr>
      <w:r>
        <w:rPr>
          <w:spacing w:val="-3"/>
        </w:rPr>
        <w:t>（</w:t>
      </w:r>
      <w:r>
        <w:rPr>
          <w:rFonts w:ascii="Times New Roman" w:hAnsi="Times New Roman" w:cs="Times New Roman" w:eastAsia="Times New Roman" w:hint="default"/>
          <w:spacing w:val="-3"/>
        </w:rPr>
        <w:t>2</w:t>
      </w:r>
      <w:r>
        <w:rPr>
          <w:spacing w:val="-3"/>
        </w:rPr>
        <w:t>）公司出租资产所收取的租赁费，在不扣除免租期的整个租赁期内，按直线法进行分摊，</w:t>
      </w:r>
      <w:r>
        <w:rPr/>
        <w:t> 确认为租赁收入。公司支付的与租赁交易相关的初始直接费用，计入当期费用；如金额较大的， 则予以资本化，在整个租赁期间内按照与租赁收入确认相同的基础分期计入当期收益。</w:t>
      </w:r>
    </w:p>
    <w:p>
      <w:pPr>
        <w:pStyle w:val="BodyText"/>
        <w:spacing w:line="273" w:lineRule="auto" w:before="59"/>
        <w:ind w:right="244" w:firstLine="420"/>
        <w:jc w:val="both"/>
      </w:pPr>
      <w:r>
        <w:rPr/>
        <w:t>公司承担了应由承租方承担的与租赁相关的费用时，公司将该部分费用从租金收入总额中扣 除，按扣除后的租金费用在租赁期内分配。</w:t>
      </w:r>
    </w:p>
    <w:p>
      <w:pPr>
        <w:pStyle w:val="Heading3"/>
        <w:spacing w:line="240" w:lineRule="auto" w:before="67"/>
        <w:ind w:right="114"/>
        <w:jc w:val="left"/>
        <w:rPr>
          <w:b w:val="0"/>
          <w:bCs w:val="0"/>
        </w:rPr>
      </w:pPr>
      <w:r>
        <w:rPr/>
        <w:t>(2)、融资租赁的会计处理方法</w:t>
      </w:r>
      <w:r>
        <w:rPr>
          <w:b w:val="0"/>
          <w:bCs w:val="0"/>
        </w:rPr>
      </w:r>
    </w:p>
    <w:p>
      <w:pPr>
        <w:pStyle w:val="BodyText"/>
        <w:spacing w:line="348" w:lineRule="auto" w:before="78"/>
        <w:ind w:right="231" w:firstLine="420"/>
        <w:jc w:val="both"/>
      </w:pPr>
      <w:r>
        <w:rPr>
          <w:spacing w:val="-3"/>
        </w:rPr>
        <w:t>（</w:t>
      </w:r>
      <w:r>
        <w:rPr>
          <w:rFonts w:ascii="Times New Roman" w:hAnsi="Times New Roman" w:cs="Times New Roman" w:eastAsia="Times New Roman" w:hint="default"/>
          <w:spacing w:val="-3"/>
        </w:rPr>
        <w:t>1</w:t>
      </w:r>
      <w:r>
        <w:rPr>
          <w:spacing w:val="-3"/>
        </w:rPr>
        <w:t>）融资租入资产：公司在承租开始日，将租赁资产公允价值与最低租赁付款额现值两者中</w:t>
      </w:r>
      <w:r>
        <w:rPr/>
        <w:t> 较低者作为租入资产的入账价值，将最低租赁付款额作为长期应付款的入账价值，其差额作为未 确认的融资费用。</w:t>
      </w:r>
    </w:p>
    <w:p>
      <w:pPr>
        <w:pStyle w:val="BodyText"/>
        <w:spacing w:line="240" w:lineRule="auto" w:before="38"/>
        <w:ind w:left="637" w:right="114"/>
        <w:jc w:val="left"/>
      </w:pPr>
      <w:r>
        <w:rPr/>
        <w:t>公司采用实际利率法对未确认的融资费用，在资产租赁期间内摊销，计入财务费用。</w:t>
      </w:r>
    </w:p>
    <w:p>
      <w:pPr>
        <w:pStyle w:val="BodyText"/>
        <w:spacing w:line="264" w:lineRule="auto" w:before="152"/>
        <w:ind w:right="244" w:firstLine="315"/>
        <w:jc w:val="both"/>
      </w:pPr>
      <w:r>
        <w:rPr/>
        <w:t>（</w:t>
      </w:r>
      <w:r>
        <w:rPr>
          <w:rFonts w:ascii="Times New Roman" w:hAnsi="Times New Roman" w:cs="Times New Roman" w:eastAsia="Times New Roman" w:hint="default"/>
        </w:rPr>
        <w:t>2</w:t>
      </w:r>
      <w:r>
        <w:rPr/>
        <w:t>）融资租出资产：公司在租赁开始日，将应收融资租赁款，未担保余值之和与其现值的差 额确认为未实现融资收益，在将来收到租金的各期间内确认为租赁收入，公司发生的与出租交易 相关的初始直接费用，计入应收融资租赁款的初始计量中，并减少租赁期内确认的收益金额。</w:t>
      </w:r>
    </w:p>
    <w:p>
      <w:pPr>
        <w:spacing w:line="240" w:lineRule="auto" w:before="9"/>
        <w:rPr>
          <w:rFonts w:ascii="宋体" w:hAnsi="宋体" w:cs="宋体" w:eastAsia="宋体" w:hint="default"/>
          <w:sz w:val="29"/>
          <w:szCs w:val="29"/>
        </w:rPr>
      </w:pPr>
    </w:p>
    <w:p>
      <w:pPr>
        <w:pStyle w:val="Heading3"/>
        <w:spacing w:line="240" w:lineRule="auto" w:before="0"/>
        <w:ind w:right="114"/>
        <w:jc w:val="left"/>
        <w:rPr>
          <w:b w:val="0"/>
          <w:bCs w:val="0"/>
        </w:rPr>
      </w:pPr>
      <w:r>
        <w:rPr>
          <w:rFonts w:ascii="Calibri" w:hAnsi="Calibri" w:cs="Calibri" w:eastAsia="Calibri" w:hint="default"/>
        </w:rPr>
        <w:t>32.  </w:t>
      </w:r>
      <w:r>
        <w:rPr>
          <w:rFonts w:ascii="Calibri" w:hAnsi="Calibri" w:cs="Calibri" w:eastAsia="Calibri" w:hint="default"/>
          <w:spacing w:val="5"/>
        </w:rPr>
        <w:t> </w:t>
      </w:r>
      <w:r>
        <w:rPr/>
        <w:t>其他重要的会计政策和会计估计</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pStyle w:val="Heading3"/>
        <w:spacing w:line="295" w:lineRule="auto" w:before="178"/>
        <w:ind w:right="5057"/>
        <w:jc w:val="left"/>
        <w:rPr>
          <w:b w:val="0"/>
          <w:bCs w:val="0"/>
        </w:rPr>
      </w:pPr>
      <w:r>
        <w:rPr>
          <w:rFonts w:ascii="Calibri" w:hAnsi="Calibri" w:cs="Calibri" w:eastAsia="Calibri" w:hint="default"/>
        </w:rPr>
        <w:t>33.</w:t>
      </w:r>
      <w:r>
        <w:rPr>
          <w:rFonts w:ascii="Calibri" w:hAnsi="Calibri" w:cs="Calibri" w:eastAsia="Calibri" w:hint="default"/>
          <w:spacing w:val="5"/>
        </w:rPr>
        <w:t> </w:t>
      </w:r>
      <w:r>
        <w:rPr/>
        <w:t>重要会计政策和会计估计的变更</w:t>
      </w:r>
      <w:r>
        <w:rPr>
          <w:spacing w:val="1"/>
          <w:w w:val="99"/>
        </w:rPr>
        <w:t> </w:t>
      </w:r>
      <w:r>
        <w:rPr/>
        <w:t>(1)、重要会计政策变更</w:t>
      </w:r>
      <w:r>
        <w:rPr>
          <w:b w:val="0"/>
          <w:bCs w:val="0"/>
        </w:rPr>
      </w:r>
    </w:p>
    <w:p>
      <w:pPr>
        <w:pStyle w:val="BodyText"/>
        <w:spacing w:line="240" w:lineRule="auto" w:before="49"/>
        <w:ind w:right="114"/>
        <w:jc w:val="left"/>
      </w:pPr>
      <w:r>
        <w:rPr/>
        <w:t>√适用</w:t>
      </w:r>
      <w:r>
        <w:rPr>
          <w:spacing w:val="-2"/>
        </w:rPr>
        <w:t> </w:t>
      </w:r>
      <w:r>
        <w:rPr/>
        <w:t>□不适用</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956"/>
        <w:gridCol w:w="3054"/>
        <w:gridCol w:w="3040"/>
      </w:tblGrid>
      <w:tr>
        <w:trPr>
          <w:trHeight w:val="635"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12"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备注(受重要影响的报表项目</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名称和金额)</w:t>
            </w:r>
          </w:p>
        </w:tc>
      </w:tr>
      <w:tr>
        <w:trPr>
          <w:trHeight w:val="634"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70"/>
                <w:sz w:val="21"/>
                <w:szCs w:val="21"/>
              </w:rPr>
              <w:t> </w:t>
            </w:r>
            <w:r>
              <w:rPr>
                <w:rFonts w:ascii="宋体" w:hAnsi="宋体" w:cs="宋体" w:eastAsia="宋体" w:hint="default"/>
                <w:sz w:val="21"/>
                <w:szCs w:val="21"/>
              </w:rPr>
              <w:t>2014</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7</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宋体" w:hAnsi="宋体" w:cs="宋体" w:eastAsia="宋体" w:hint="default"/>
                <w:sz w:val="21"/>
                <w:szCs w:val="21"/>
              </w:rPr>
              <w:t>1</w:t>
            </w:r>
            <w:r>
              <w:rPr>
                <w:rFonts w:ascii="宋体" w:hAnsi="宋体" w:cs="宋体" w:eastAsia="宋体" w:hint="default"/>
                <w:spacing w:val="-70"/>
                <w:sz w:val="21"/>
                <w:szCs w:val="21"/>
              </w:rPr>
              <w:t> </w:t>
            </w:r>
            <w:r>
              <w:rPr>
                <w:rFonts w:ascii="宋体" w:hAnsi="宋体" w:cs="宋体" w:eastAsia="宋体" w:hint="default"/>
                <w:sz w:val="21"/>
                <w:szCs w:val="21"/>
              </w:rPr>
              <w:t>日起执行新颁</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布的企业会计准则</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经公司第五届董事会 2014</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第十次会议决议审议通过</w:t>
            </w:r>
          </w:p>
        </w:tc>
        <w:tc>
          <w:tcPr>
            <w:tcW w:w="30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56" w:type="dxa"/>
            <w:tcBorders>
              <w:top w:val="single" w:sz="4" w:space="0" w:color="000000"/>
              <w:left w:val="single" w:sz="4" w:space="0" w:color="000000"/>
              <w:bottom w:val="single" w:sz="4" w:space="0" w:color="000000"/>
              <w:right w:val="single" w:sz="4" w:space="0" w:color="000000"/>
            </w:tcBorders>
          </w:tcPr>
          <w:p>
            <w:pPr/>
          </w:p>
        </w:tc>
        <w:tc>
          <w:tcPr>
            <w:tcW w:w="3054" w:type="dxa"/>
            <w:tcBorders>
              <w:top w:val="single" w:sz="4" w:space="0" w:color="000000"/>
              <w:left w:val="single" w:sz="4" w:space="0" w:color="000000"/>
              <w:bottom w:val="single" w:sz="4" w:space="0" w:color="000000"/>
              <w:right w:val="single" w:sz="4" w:space="0" w:color="000000"/>
            </w:tcBorders>
          </w:tcPr>
          <w:p>
            <w:pPr/>
          </w:p>
        </w:tc>
        <w:tc>
          <w:tcPr>
            <w:tcW w:w="304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0" w:lineRule="exact"/>
        <w:ind w:right="114"/>
        <w:jc w:val="left"/>
      </w:pPr>
      <w:r>
        <w:rPr/>
        <w:t>其他说明</w:t>
      </w:r>
    </w:p>
    <w:p>
      <w:pPr>
        <w:pStyle w:val="BodyText"/>
        <w:spacing w:line="355" w:lineRule="auto" w:before="18"/>
        <w:ind w:right="227" w:firstLine="420"/>
        <w:jc w:val="left"/>
      </w:pPr>
      <w:r>
        <w:rPr/>
        <w:t>财政部于</w:t>
      </w:r>
      <w:r>
        <w:rPr>
          <w:spacing w:val="-48"/>
        </w:rPr>
        <w:t> </w:t>
      </w:r>
      <w:r>
        <w:rPr/>
        <w:t>2014</w:t>
      </w:r>
      <w:r>
        <w:rPr>
          <w:spacing w:val="-47"/>
        </w:rPr>
        <w:t> </w:t>
      </w:r>
      <w:r>
        <w:rPr/>
        <w:t>年陆续颁布或修订了一系列企业会计准则，本公司已按要求于</w:t>
      </w:r>
      <w:r>
        <w:rPr>
          <w:spacing w:val="-48"/>
        </w:rPr>
        <w:t> </w:t>
      </w:r>
      <w:r>
        <w:rPr/>
        <w:t>2014</w:t>
      </w:r>
      <w:r>
        <w:rPr>
          <w:spacing w:val="-49"/>
        </w:rPr>
        <w:t> </w:t>
      </w:r>
      <w:r>
        <w:rPr/>
        <w:t>年</w:t>
      </w:r>
      <w:r>
        <w:rPr>
          <w:spacing w:val="-48"/>
        </w:rPr>
        <w:t> </w:t>
      </w:r>
      <w:r>
        <w:rPr/>
        <w:t>7</w:t>
      </w:r>
      <w:r>
        <w:rPr>
          <w:spacing w:val="-49"/>
        </w:rPr>
        <w:t> </w:t>
      </w:r>
      <w:r>
        <w:rPr/>
        <w:t>月</w:t>
      </w:r>
      <w:r>
        <w:rPr>
          <w:spacing w:val="-48"/>
        </w:rPr>
        <w:t> </w:t>
      </w:r>
      <w:r>
        <w:rPr/>
        <w:t>1</w:t>
      </w:r>
      <w:r>
        <w:rPr/>
        <w:t> 日执行新的该等企业会计准则，并按照新准则的衔接规定对比较财务报表进行调整，除此之外本</w:t>
      </w:r>
    </w:p>
    <w:p>
      <w:pPr>
        <w:spacing w:after="0" w:line="355" w:lineRule="auto"/>
        <w:jc w:val="left"/>
        <w:sectPr>
          <w:pgSz w:w="11910" w:h="16840"/>
          <w:pgMar w:header="882" w:footer="1197" w:top="1120" w:bottom="1380" w:left="1580" w:right="1040"/>
        </w:sectPr>
      </w:pPr>
    </w:p>
    <w:p>
      <w:pPr>
        <w:spacing w:line="240" w:lineRule="auto" w:before="4"/>
        <w:rPr>
          <w:rFonts w:ascii="宋体" w:hAnsi="宋体" w:cs="宋体" w:eastAsia="宋体" w:hint="default"/>
          <w:sz w:val="25"/>
          <w:szCs w:val="25"/>
        </w:rPr>
      </w:pPr>
    </w:p>
    <w:p>
      <w:pPr>
        <w:pStyle w:val="BodyText"/>
        <w:spacing w:line="240" w:lineRule="auto" w:before="35"/>
        <w:ind w:left="237" w:right="255"/>
        <w:jc w:val="left"/>
      </w:pPr>
      <w:r>
        <w:rPr/>
        <w:t>公司未发生会计政策变更。执行新准则对比较财务报表影响说明如下：</w:t>
      </w:r>
    </w:p>
    <w:p>
      <w:pPr>
        <w:spacing w:line="240" w:lineRule="auto" w:before="7"/>
        <w:rPr>
          <w:rFonts w:ascii="宋体" w:hAnsi="宋体" w:cs="宋体" w:eastAsia="宋体" w:hint="default"/>
          <w:sz w:val="29"/>
          <w:szCs w:val="29"/>
        </w:rPr>
      </w:pPr>
    </w:p>
    <w:p>
      <w:pPr>
        <w:pStyle w:val="BodyText"/>
        <w:tabs>
          <w:tab w:pos="1497" w:val="left" w:leader="none"/>
        </w:tabs>
        <w:spacing w:line="240" w:lineRule="auto"/>
        <w:ind w:left="657" w:right="255"/>
        <w:jc w:val="left"/>
      </w:pPr>
      <w:r>
        <w:rPr/>
        <w:t>（</w:t>
      </w:r>
      <w:r>
        <w:rPr>
          <w:rFonts w:ascii="Calibri" w:hAnsi="Calibri" w:cs="Calibri" w:eastAsia="Calibri" w:hint="default"/>
        </w:rPr>
        <w:t>1</w:t>
      </w:r>
      <w:r>
        <w:rPr/>
        <w:t>）</w:t>
        <w:tab/>
        <w:t>长期股权投资</w:t>
      </w:r>
    </w:p>
    <w:p>
      <w:pPr>
        <w:pStyle w:val="BodyText"/>
        <w:spacing w:line="357" w:lineRule="auto" w:before="69"/>
        <w:ind w:left="237" w:right="255" w:firstLine="420"/>
        <w:jc w:val="left"/>
      </w:pPr>
      <w:r>
        <w:rPr/>
        <w:pict>
          <v:group style="position:absolute;margin-left:89.07pt;margin-top:86.87381pt;width:455.2pt;height:150.9pt;mso-position-horizontal-relative:page;mso-position-vertical-relative:paragraph;z-index:-1227592" coordorigin="1781,1737" coordsize="9104,3018">
            <v:group style="position:absolute;left:1811;top:1752;width:9050;height:2" coordorigin="1811,1752" coordsize="9050,2">
              <v:shape style="position:absolute;left:1811;top:1752;width:9050;height:2" coordorigin="1811,1752" coordsize="9050,0" path="m1811,1752l10860,1752e" filled="false" stroked="true" strokeweight="1.5pt" strokecolor="#000000">
                <v:path arrowok="t"/>
              </v:shape>
              <v:shape style="position:absolute;left:3879;top:1748;width:2606;height:379" type="#_x0000_t75" stroked="false">
                <v:imagedata r:id="rId90" o:title=""/>
              </v:shape>
              <v:shape style="position:absolute;left:3880;top:2088;width:7006;height:516" type="#_x0000_t75" stroked="false">
                <v:imagedata r:id="rId91" o:title=""/>
              </v:shape>
            </v:group>
            <v:group style="position:absolute;left:1796;top:4740;width:2103;height:2" coordorigin="1796,4740" coordsize="2103,2">
              <v:shape style="position:absolute;left:1796;top:4740;width:2103;height:2" coordorigin="1796,4740" coordsize="2103,0" path="m1796,4740l3899,4740e" filled="false" stroked="true" strokeweight="1.5pt" strokecolor="#000000">
                <v:path arrowok="t"/>
              </v:shape>
              <v:shape style="position:absolute;left:1792;top:2565;width:9094;height:2189" type="#_x0000_t75" stroked="false">
                <v:imagedata r:id="rId92" o:title=""/>
              </v:shape>
            </v:group>
            <v:group style="position:absolute;left:3899;top:4740;width:926;height:2" coordorigin="3899,4740" coordsize="926,2">
              <v:shape style="position:absolute;left:3899;top:4740;width:926;height:2" coordorigin="3899,4740" coordsize="926,0" path="m3899,4740l4824,4740e" filled="false" stroked="true" strokeweight="1.5pt" strokecolor="#000000">
                <v:path arrowok="t"/>
              </v:shape>
              <v:shape style="position:absolute;left:4795;top:4229;width:67;height:526" type="#_x0000_t75" stroked="false">
                <v:imagedata r:id="rId93" o:title=""/>
              </v:shape>
            </v:group>
            <v:group style="position:absolute;left:4824;top:4740;width:1632;height:2" coordorigin="4824,4740" coordsize="1632,2">
              <v:shape style="position:absolute;left:4824;top:4740;width:1632;height:2" coordorigin="4824,4740" coordsize="1632,0" path="m4824,4740l6456,4740e" filled="false" stroked="true" strokeweight="1.5pt" strokecolor="#000000">
                <v:path arrowok="t"/>
              </v:shape>
              <v:shape style="position:absolute;left:6427;top:4229;width:67;height:526" type="#_x0000_t75" stroked="false">
                <v:imagedata r:id="rId93" o:title=""/>
              </v:shape>
            </v:group>
            <v:group style="position:absolute;left:6456;top:4740;width:1654;height:2" coordorigin="6456,4740" coordsize="1654,2">
              <v:shape style="position:absolute;left:6456;top:4740;width:1654;height:2" coordorigin="6456,4740" coordsize="1654,0" path="m6456,4740l8110,4740e" filled="false" stroked="true" strokeweight="1.5pt" strokecolor="#000000">
                <v:path arrowok="t"/>
              </v:shape>
              <v:shape style="position:absolute;left:8081;top:4229;width:67;height:526" type="#_x0000_t75" stroked="false">
                <v:imagedata r:id="rId93" o:title=""/>
              </v:shape>
            </v:group>
            <v:group style="position:absolute;left:8110;top:4740;width:1355;height:2" coordorigin="8110,4740" coordsize="1355,2">
              <v:shape style="position:absolute;left:8110;top:4740;width:1355;height:2" coordorigin="8110,4740" coordsize="1355,0" path="m8110,4740l9464,4740e" filled="false" stroked="true" strokeweight="1.5pt" strokecolor="#000000">
                <v:path arrowok="t"/>
              </v:shape>
              <v:shape style="position:absolute;left:9436;top:4229;width:67;height:526" type="#_x0000_t75" stroked="false">
                <v:imagedata r:id="rId93" o:title=""/>
              </v:shape>
            </v:group>
            <v:group style="position:absolute;left:9464;top:4740;width:1396;height:2" coordorigin="9464,4740" coordsize="1396,2">
              <v:shape style="position:absolute;left:9464;top:4740;width:1396;height:2" coordorigin="9464,4740" coordsize="1396,0" path="m9464,4740l10860,4740e" filled="false" stroked="true" strokeweight="1.5pt" strokecolor="#000000">
                <v:path arrowok="t"/>
              </v:shape>
              <v:shape style="position:absolute;left:2406;top:2084;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被投资单位</w:t>
                      </w:r>
                    </w:p>
                  </w:txbxContent>
                </v:textbox>
                <w10:wrap type="none"/>
              </v:shape>
              <v:shape style="position:absolute;left:4072;top:1968;width:588;height:422" type="#_x0000_t202" filled="false" stroked="false">
                <v:textbox inset="0,0,0,0">
                  <w:txbxContent>
                    <w:p>
                      <w:pPr>
                        <w:spacing w:line="179" w:lineRule="exact" w:before="0"/>
                        <w:ind w:left="-1" w:right="0" w:firstLine="0"/>
                        <w:jc w:val="center"/>
                        <w:rPr>
                          <w:rFonts w:ascii="宋体" w:hAnsi="宋体" w:cs="宋体" w:eastAsia="宋体" w:hint="default"/>
                          <w:sz w:val="18"/>
                          <w:szCs w:val="18"/>
                        </w:rPr>
                      </w:pPr>
                      <w:r>
                        <w:rPr>
                          <w:rFonts w:ascii="宋体" w:hAnsi="宋体" w:cs="宋体" w:eastAsia="宋体" w:hint="default"/>
                          <w:sz w:val="18"/>
                          <w:szCs w:val="18"/>
                        </w:rPr>
                        <w:t>持股</w:t>
                      </w:r>
                    </w:p>
                    <w:p>
                      <w:pPr>
                        <w:spacing w:line="243" w:lineRule="exact" w:before="0"/>
                        <w:ind w:left="-1" w:right="0" w:firstLine="0"/>
                        <w:jc w:val="center"/>
                        <w:rPr>
                          <w:rFonts w:ascii="Arial" w:hAnsi="Arial" w:cs="Arial" w:eastAsia="Arial" w:hint="default"/>
                          <w:sz w:val="18"/>
                          <w:szCs w:val="18"/>
                        </w:rPr>
                      </w:pPr>
                      <w:r>
                        <w:rPr>
                          <w:rFonts w:ascii="宋体" w:hAnsi="宋体" w:cs="宋体" w:eastAsia="宋体" w:hint="default"/>
                          <w:w w:val="90"/>
                          <w:sz w:val="18"/>
                          <w:szCs w:val="18"/>
                        </w:rPr>
                        <w:t>比例</w:t>
                      </w:r>
                      <w:r>
                        <w:rPr>
                          <w:rFonts w:ascii="Arial" w:hAnsi="Arial" w:cs="Arial" w:eastAsia="Arial" w:hint="default"/>
                          <w:w w:val="90"/>
                          <w:sz w:val="18"/>
                          <w:szCs w:val="18"/>
                        </w:rPr>
                        <w:t>(%)</w:t>
                      </w:r>
                      <w:r>
                        <w:rPr>
                          <w:rFonts w:ascii="Arial" w:hAnsi="Arial" w:cs="Arial" w:eastAsia="Arial" w:hint="default"/>
                          <w:sz w:val="18"/>
                          <w:szCs w:val="18"/>
                        </w:rPr>
                      </w:r>
                    </w:p>
                  </w:txbxContent>
                </v:textbox>
                <w10:wrap type="none"/>
              </v:shape>
              <v:shape style="position:absolute;left:4936;top:1852;width:1417;height:647" type="#_x0000_t202" filled="false" stroked="false">
                <v:textbox inset="0,0,0,0">
                  <w:txbxContent>
                    <w:p>
                      <w:pPr>
                        <w:spacing w:line="185" w:lineRule="exact" w:before="0"/>
                        <w:ind w:left="78" w:right="0" w:hanging="79"/>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72"/>
                          <w:sz w:val="18"/>
                          <w:szCs w:val="18"/>
                        </w:rPr>
                        <w:t> </w:t>
                      </w:r>
                      <w:r>
                        <w:rPr>
                          <w:rFonts w:ascii="Arial" w:hAnsi="Arial" w:cs="Arial" w:eastAsia="Arial" w:hint="default"/>
                          <w:sz w:val="18"/>
                          <w:szCs w:val="18"/>
                        </w:rPr>
                        <w:t>1</w:t>
                      </w:r>
                      <w:r>
                        <w:rPr>
                          <w:rFonts w:ascii="Arial" w:hAnsi="Arial" w:cs="Arial" w:eastAsia="Arial" w:hint="default"/>
                          <w:spacing w:val="-32"/>
                          <w:sz w:val="18"/>
                          <w:szCs w:val="18"/>
                        </w:rPr>
                        <w:t> </w:t>
                      </w:r>
                      <w:r>
                        <w:rPr>
                          <w:rFonts w:ascii="宋体" w:hAnsi="宋体" w:cs="宋体" w:eastAsia="宋体" w:hint="default"/>
                          <w:sz w:val="18"/>
                          <w:szCs w:val="18"/>
                        </w:rPr>
                        <w:t>月</w:t>
                      </w:r>
                      <w:r>
                        <w:rPr>
                          <w:rFonts w:ascii="宋体" w:hAnsi="宋体" w:cs="宋体" w:eastAsia="宋体" w:hint="default"/>
                          <w:spacing w:val="-72"/>
                          <w:sz w:val="18"/>
                          <w:szCs w:val="18"/>
                        </w:rPr>
                        <w:t> </w:t>
                      </w:r>
                      <w:r>
                        <w:rPr>
                          <w:rFonts w:ascii="Arial" w:hAnsi="Arial" w:cs="Arial" w:eastAsia="Arial" w:hint="default"/>
                          <w:sz w:val="18"/>
                          <w:szCs w:val="18"/>
                        </w:rPr>
                        <w:t>1</w:t>
                      </w:r>
                      <w:r>
                        <w:rPr>
                          <w:rFonts w:ascii="Arial" w:hAnsi="Arial" w:cs="Arial" w:eastAsia="Arial" w:hint="default"/>
                          <w:spacing w:val="-32"/>
                          <w:sz w:val="18"/>
                          <w:szCs w:val="18"/>
                        </w:rPr>
                        <w:t> </w:t>
                      </w:r>
                      <w:r>
                        <w:rPr>
                          <w:rFonts w:ascii="宋体" w:hAnsi="宋体" w:cs="宋体" w:eastAsia="宋体" w:hint="default"/>
                          <w:sz w:val="18"/>
                          <w:szCs w:val="18"/>
                        </w:rPr>
                        <w:t>日归</w:t>
                      </w:r>
                    </w:p>
                    <w:p>
                      <w:pPr>
                        <w:spacing w:line="234" w:lineRule="exact" w:before="15"/>
                        <w:ind w:left="528" w:right="77" w:hanging="450"/>
                        <w:jc w:val="left"/>
                        <w:rPr>
                          <w:rFonts w:ascii="宋体" w:hAnsi="宋体" w:cs="宋体" w:eastAsia="宋体" w:hint="default"/>
                          <w:sz w:val="18"/>
                          <w:szCs w:val="18"/>
                        </w:rPr>
                      </w:pPr>
                      <w:r>
                        <w:rPr>
                          <w:rFonts w:ascii="宋体" w:hAnsi="宋体" w:cs="宋体" w:eastAsia="宋体" w:hint="default"/>
                          <w:sz w:val="18"/>
                          <w:szCs w:val="18"/>
                        </w:rPr>
                        <w:t>属于母公司股东 权益</w:t>
                      </w:r>
                    </w:p>
                  </w:txbxContent>
                </v:textbox>
                <w10:wrap type="none"/>
              </v:shape>
              <v:shape style="position:absolute;left:7948;top:1846;width:1421;height:189" type="#_x0000_t202" filled="false" stroked="false">
                <v:textbox inset="0,0,0,0">
                  <w:txbxContent>
                    <w:p>
                      <w:pPr>
                        <w:spacing w:line="189" w:lineRule="exact" w:before="0"/>
                        <w:ind w:left="0" w:right="0" w:firstLine="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12</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31</w:t>
                      </w:r>
                      <w:r>
                        <w:rPr>
                          <w:rFonts w:ascii="Arial" w:hAnsi="Arial" w:cs="Arial" w:eastAsia="Arial" w:hint="default"/>
                          <w:spacing w:val="-36"/>
                          <w:sz w:val="18"/>
                          <w:szCs w:val="18"/>
                        </w:rPr>
                        <w:t> </w:t>
                      </w:r>
                      <w:r>
                        <w:rPr>
                          <w:rFonts w:ascii="宋体" w:hAnsi="宋体" w:cs="宋体" w:eastAsia="宋体" w:hint="default"/>
                          <w:sz w:val="18"/>
                          <w:szCs w:val="18"/>
                        </w:rPr>
                        <w:t>日</w:t>
                      </w:r>
                    </w:p>
                  </w:txbxContent>
                </v:textbox>
                <w10:wrap type="none"/>
              </v:shape>
              <v:shape style="position:absolute;left:6746;top:2260;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长期股权投资</w:t>
                      </w:r>
                    </w:p>
                  </w:txbxContent>
                </v:textbox>
                <w10:wrap type="none"/>
              </v:shape>
              <v:shape style="position:absolute;left:8251;top:2143;width:1080;height:413" type="#_x0000_t202" filled="false" stroked="false">
                <v:textbox inset="0,0,0,0">
                  <w:txbxContent>
                    <w:p>
                      <w:pPr>
                        <w:spacing w:line="179"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可供出售金融</w:t>
                      </w:r>
                    </w:p>
                    <w:p>
                      <w:pPr>
                        <w:spacing w:line="234"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9623;top:2143;width:1080;height:413" type="#_x0000_t202" filled="false" stroked="false">
                <v:textbox inset="0,0,0,0">
                  <w:txbxContent>
                    <w:p>
                      <w:pPr>
                        <w:spacing w:line="179"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归属于母公司</w:t>
                      </w:r>
                    </w:p>
                    <w:p>
                      <w:pPr>
                        <w:spacing w:line="234"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股东权益</w:t>
                      </w:r>
                    </w:p>
                  </w:txbxContent>
                </v:textbox>
                <w10:wrap type="none"/>
              </v:shape>
              <v:shape style="position:absolute;left:1918;top:2620;width:1800;height:1961" type="#_x0000_t202" filled="false" stroked="false">
                <v:textbox inset="0,0,0,0">
                  <w:txbxContent>
                    <w:p>
                      <w:pPr>
                        <w:spacing w:line="179"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山西同仁股权</w:t>
                      </w:r>
                    </w:p>
                    <w:p>
                      <w:pPr>
                        <w:spacing w:line="240" w:lineRule="auto"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投资合伙企业 </w:t>
                      </w:r>
                      <w:r>
                        <w:rPr>
                          <w:rFonts w:ascii="Arial" w:hAnsi="Arial" w:cs="Arial" w:eastAsia="Arial" w:hint="default"/>
                          <w:sz w:val="18"/>
                          <w:szCs w:val="18"/>
                        </w:rPr>
                        <w:t>(</w:t>
                      </w:r>
                      <w:r>
                        <w:rPr>
                          <w:rFonts w:ascii="宋体" w:hAnsi="宋体" w:cs="宋体" w:eastAsia="宋体" w:hint="default"/>
                          <w:sz w:val="18"/>
                          <w:szCs w:val="18"/>
                        </w:rPr>
                        <w:t>有限合伙</w:t>
                      </w:r>
                      <w:r>
                        <w:rPr>
                          <w:rFonts w:ascii="Arial" w:hAnsi="Arial" w:cs="Arial" w:eastAsia="Arial" w:hint="default"/>
                          <w:sz w:val="18"/>
                          <w:szCs w:val="18"/>
                        </w:rPr>
                        <w:t>)</w:t>
                      </w:r>
                      <w:r>
                        <w:rPr>
                          <w:rFonts w:ascii="Arial" w:hAnsi="Arial" w:cs="Arial" w:eastAsia="Arial" w:hint="default"/>
                          <w:w w:val="81"/>
                          <w:sz w:val="18"/>
                          <w:szCs w:val="18"/>
                        </w:rPr>
                        <w:t> </w:t>
                      </w:r>
                      <w:r>
                        <w:rPr>
                          <w:rFonts w:ascii="宋体" w:hAnsi="宋体" w:cs="宋体" w:eastAsia="宋体" w:hint="default"/>
                          <w:sz w:val="18"/>
                          <w:szCs w:val="18"/>
                        </w:rPr>
                        <w:t>中融子午（北京）资产 管理有限公司 河北信创达物联网科技 有限公司</w:t>
                      </w:r>
                    </w:p>
                    <w:p>
                      <w:pPr>
                        <w:spacing w:before="124"/>
                        <w:ind w:left="76" w:right="0" w:firstLine="0"/>
                        <w:jc w:val="center"/>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4541;top:4400;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6082;top:4400;width:1924;height:180" type="#_x0000_t202" filled="false" stroked="false">
                <v:textbox inset="0,0,0,0">
                  <w:txbxContent>
                    <w:p>
                      <w:pPr>
                        <w:tabs>
                          <w:tab w:pos="663" w:val="left" w:leader="none"/>
                        </w:tabs>
                        <w:spacing w:line="180" w:lineRule="exact" w:before="0"/>
                        <w:ind w:left="0" w:right="0" w:firstLine="0"/>
                        <w:jc w:val="left"/>
                        <w:rPr>
                          <w:rFonts w:ascii="宋体" w:hAnsi="宋体" w:cs="宋体" w:eastAsia="宋体" w:hint="default"/>
                          <w:sz w:val="18"/>
                          <w:szCs w:val="18"/>
                        </w:rPr>
                      </w:pPr>
                      <w:r>
                        <w:rPr>
                          <w:rFonts w:ascii="宋体"/>
                          <w:sz w:val="18"/>
                        </w:rPr>
                        <w:t>---</w:t>
                        <w:tab/>
                        <w:t>-10,400,000.00</w:t>
                      </w:r>
                    </w:p>
                  </w:txbxContent>
                </v:textbox>
                <w10:wrap type="none"/>
              </v:shape>
              <v:shape style="position:absolute;left:8280;top:4284;width:1080;height:413" type="#_x0000_t202" filled="false" stroked="false">
                <v:textbox inset="0,0,0,0">
                  <w:txbxContent>
                    <w:p>
                      <w:pPr>
                        <w:spacing w:line="179" w:lineRule="exact" w:before="0"/>
                        <w:ind w:left="0" w:right="0" w:firstLine="0"/>
                        <w:jc w:val="right"/>
                        <w:rPr>
                          <w:rFonts w:ascii="宋体" w:hAnsi="宋体" w:cs="宋体" w:eastAsia="宋体" w:hint="default"/>
                          <w:sz w:val="18"/>
                          <w:szCs w:val="18"/>
                        </w:rPr>
                      </w:pPr>
                      <w:r>
                        <w:rPr>
                          <w:rFonts w:ascii="宋体"/>
                          <w:sz w:val="18"/>
                        </w:rPr>
                        <w:t>10,400,000.0</w:t>
                      </w:r>
                    </w:p>
                    <w:p>
                      <w:pPr>
                        <w:spacing w:line="234" w:lineRule="exact" w:before="0"/>
                        <w:ind w:left="0" w:right="0" w:firstLine="0"/>
                        <w:jc w:val="right"/>
                        <w:rPr>
                          <w:rFonts w:ascii="宋体" w:hAnsi="宋体" w:cs="宋体" w:eastAsia="宋体" w:hint="default"/>
                          <w:sz w:val="18"/>
                          <w:szCs w:val="18"/>
                        </w:rPr>
                      </w:pPr>
                      <w:r>
                        <w:rPr>
                          <w:rFonts w:ascii="宋体"/>
                          <w:sz w:val="18"/>
                        </w:rPr>
                        <w:t>0</w:t>
                      </w:r>
                    </w:p>
                  </w:txbxContent>
                </v:textbox>
                <w10:wrap type="none"/>
              </v:shape>
              <v:shape style="position:absolute;left:10481;top:4400;width:27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txbxContent>
                </v:textbox>
                <w10:wrap type="none"/>
              </v:shape>
            </v:group>
            <w10:wrap type="none"/>
          </v:group>
        </w:pict>
      </w:r>
      <w:r>
        <w:rPr/>
        <w:t>1）</w:t>
      </w:r>
      <w:r>
        <w:rPr>
          <w:spacing w:val="12"/>
        </w:rPr>
        <w:t> </w:t>
      </w:r>
      <w:r>
        <w:rPr>
          <w:spacing w:val="-8"/>
        </w:rPr>
        <w:t>本公司根据新修订的《长期股权投资准则》，将原成本法核算的对被投资单位不具有控制、</w:t>
      </w:r>
      <w:r>
        <w:rPr/>
        <w:t> 共同控制或重大影响的权益性投资纳入可供出售金融资产核算，其中：在活跃市场中没有报价、 公允价值不能可靠计量的权益工具按照成本进行后续计量，其他权益工具按公允价值进行后续计 量。上述会计政策变更追溯调整影响如下：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tbl>
      <w:tblPr>
        <w:tblW w:w="0" w:type="auto"/>
        <w:jc w:val="left"/>
        <w:tblInd w:w="2675" w:type="dxa"/>
        <w:tblLayout w:type="fixed"/>
        <w:tblCellMar>
          <w:top w:w="0" w:type="dxa"/>
          <w:left w:w="0" w:type="dxa"/>
          <w:bottom w:w="0" w:type="dxa"/>
          <w:right w:w="0" w:type="dxa"/>
        </w:tblCellMar>
        <w:tblLook w:val="01E0"/>
      </w:tblPr>
      <w:tblGrid>
        <w:gridCol w:w="1165"/>
        <w:gridCol w:w="1192"/>
        <w:gridCol w:w="1549"/>
        <w:gridCol w:w="1778"/>
        <w:gridCol w:w="865"/>
      </w:tblGrid>
      <w:tr>
        <w:trPr>
          <w:trHeight w:val="400" w:hRule="exact"/>
        </w:trPr>
        <w:tc>
          <w:tcPr>
            <w:tcW w:w="1165" w:type="dxa"/>
            <w:tcBorders>
              <w:top w:val="nil" w:sz="6" w:space="0" w:color="auto"/>
              <w:left w:val="nil" w:sz="6" w:space="0" w:color="auto"/>
              <w:bottom w:val="nil" w:sz="6" w:space="0" w:color="auto"/>
              <w:right w:val="nil" w:sz="6" w:space="0" w:color="auto"/>
            </w:tcBorders>
          </w:tcPr>
          <w:p>
            <w:pPr>
              <w:pStyle w:val="TableParagraph"/>
              <w:spacing w:line="194" w:lineRule="exact"/>
              <w:ind w:left="35" w:right="0"/>
              <w:jc w:val="left"/>
              <w:rPr>
                <w:rFonts w:ascii="宋体" w:hAnsi="宋体" w:cs="宋体" w:eastAsia="宋体" w:hint="default"/>
                <w:sz w:val="18"/>
                <w:szCs w:val="18"/>
              </w:rPr>
            </w:pPr>
            <w:r>
              <w:rPr>
                <w:rFonts w:ascii="宋体"/>
                <w:sz w:val="18"/>
              </w:rPr>
              <w:t>2.857</w:t>
            </w:r>
          </w:p>
        </w:tc>
        <w:tc>
          <w:tcPr>
            <w:tcW w:w="1192" w:type="dxa"/>
            <w:tcBorders>
              <w:top w:val="nil" w:sz="6" w:space="0" w:color="auto"/>
              <w:left w:val="nil" w:sz="6" w:space="0" w:color="auto"/>
              <w:bottom w:val="nil" w:sz="6" w:space="0" w:color="auto"/>
              <w:right w:val="nil" w:sz="6" w:space="0" w:color="auto"/>
            </w:tcBorders>
          </w:tcPr>
          <w:p>
            <w:pPr>
              <w:pStyle w:val="TableParagraph"/>
              <w:spacing w:line="194" w:lineRule="exact"/>
              <w:ind w:right="239"/>
              <w:jc w:val="right"/>
              <w:rPr>
                <w:rFonts w:ascii="宋体" w:hAnsi="宋体" w:cs="宋体" w:eastAsia="宋体" w:hint="default"/>
                <w:sz w:val="18"/>
                <w:szCs w:val="18"/>
              </w:rPr>
            </w:pPr>
            <w:r>
              <w:rPr>
                <w:rFonts w:ascii="宋体"/>
                <w:sz w:val="18"/>
              </w:rPr>
              <w:t>---</w:t>
            </w:r>
          </w:p>
        </w:tc>
        <w:tc>
          <w:tcPr>
            <w:tcW w:w="1549" w:type="dxa"/>
            <w:tcBorders>
              <w:top w:val="nil" w:sz="6" w:space="0" w:color="auto"/>
              <w:left w:val="nil" w:sz="6" w:space="0" w:color="auto"/>
              <w:bottom w:val="nil" w:sz="6" w:space="0" w:color="auto"/>
              <w:right w:val="nil" w:sz="6" w:space="0" w:color="auto"/>
            </w:tcBorders>
          </w:tcPr>
          <w:p>
            <w:pPr>
              <w:pStyle w:val="TableParagraph"/>
              <w:spacing w:line="194" w:lineRule="exact"/>
              <w:ind w:right="135"/>
              <w:jc w:val="right"/>
              <w:rPr>
                <w:rFonts w:ascii="宋体" w:hAnsi="宋体" w:cs="宋体" w:eastAsia="宋体" w:hint="default"/>
                <w:sz w:val="18"/>
                <w:szCs w:val="18"/>
              </w:rPr>
            </w:pPr>
            <w:r>
              <w:rPr>
                <w:rFonts w:ascii="宋体"/>
                <w:sz w:val="18"/>
              </w:rPr>
              <w:t>-5,000,000.00</w:t>
            </w:r>
          </w:p>
        </w:tc>
        <w:tc>
          <w:tcPr>
            <w:tcW w:w="1778" w:type="dxa"/>
            <w:tcBorders>
              <w:top w:val="nil" w:sz="6" w:space="0" w:color="auto"/>
              <w:left w:val="nil" w:sz="6" w:space="0" w:color="auto"/>
              <w:bottom w:val="nil" w:sz="6" w:space="0" w:color="auto"/>
              <w:right w:val="nil" w:sz="6" w:space="0" w:color="auto"/>
            </w:tcBorders>
          </w:tcPr>
          <w:p>
            <w:pPr>
              <w:pStyle w:val="TableParagraph"/>
              <w:spacing w:line="194" w:lineRule="exact"/>
              <w:ind w:right="558"/>
              <w:jc w:val="right"/>
              <w:rPr>
                <w:rFonts w:ascii="宋体" w:hAnsi="宋体" w:cs="宋体" w:eastAsia="宋体" w:hint="default"/>
                <w:sz w:val="18"/>
                <w:szCs w:val="18"/>
              </w:rPr>
            </w:pPr>
            <w:r>
              <w:rPr>
                <w:rFonts w:ascii="宋体"/>
                <w:sz w:val="18"/>
              </w:rPr>
              <w:t>5,000,000.00</w:t>
            </w:r>
          </w:p>
        </w:tc>
        <w:tc>
          <w:tcPr>
            <w:tcW w:w="865" w:type="dxa"/>
            <w:tcBorders>
              <w:top w:val="nil" w:sz="6" w:space="0" w:color="auto"/>
              <w:left w:val="nil" w:sz="6" w:space="0" w:color="auto"/>
              <w:bottom w:val="nil" w:sz="6" w:space="0" w:color="auto"/>
              <w:right w:val="nil" w:sz="6" w:space="0" w:color="auto"/>
            </w:tcBorders>
          </w:tcPr>
          <w:p>
            <w:pPr>
              <w:pStyle w:val="TableParagraph"/>
              <w:spacing w:line="194" w:lineRule="exact"/>
              <w:ind w:right="33"/>
              <w:jc w:val="right"/>
              <w:rPr>
                <w:rFonts w:ascii="宋体" w:hAnsi="宋体" w:cs="宋体" w:eastAsia="宋体" w:hint="default"/>
                <w:sz w:val="18"/>
                <w:szCs w:val="18"/>
              </w:rPr>
            </w:pPr>
            <w:r>
              <w:rPr>
                <w:rFonts w:ascii="宋体"/>
                <w:sz w:val="18"/>
              </w:rPr>
              <w:t>---</w:t>
            </w:r>
          </w:p>
        </w:tc>
      </w:tr>
      <w:tr>
        <w:trPr>
          <w:trHeight w:val="535" w:hRule="exact"/>
        </w:trPr>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35" w:right="0"/>
              <w:jc w:val="left"/>
              <w:rPr>
                <w:rFonts w:ascii="宋体" w:hAnsi="宋体" w:cs="宋体" w:eastAsia="宋体" w:hint="default"/>
                <w:sz w:val="18"/>
                <w:szCs w:val="18"/>
              </w:rPr>
            </w:pPr>
            <w:r>
              <w:rPr>
                <w:rFonts w:ascii="宋体"/>
                <w:sz w:val="18"/>
              </w:rPr>
              <w:t>16.00</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239"/>
              <w:jc w:val="right"/>
              <w:rPr>
                <w:rFonts w:ascii="宋体" w:hAnsi="宋体" w:cs="宋体" w:eastAsia="宋体" w:hint="default"/>
                <w:sz w:val="18"/>
                <w:szCs w:val="18"/>
              </w:rPr>
            </w:pPr>
            <w:r>
              <w:rPr>
                <w:rFonts w:ascii="宋体"/>
                <w:sz w:val="18"/>
              </w:rPr>
              <w:t>---</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35"/>
              <w:jc w:val="right"/>
              <w:rPr>
                <w:rFonts w:ascii="宋体" w:hAnsi="宋体" w:cs="宋体" w:eastAsia="宋体" w:hint="default"/>
                <w:sz w:val="18"/>
                <w:szCs w:val="18"/>
              </w:rPr>
            </w:pPr>
            <w:r>
              <w:rPr>
                <w:rFonts w:ascii="宋体"/>
                <w:sz w:val="18"/>
              </w:rPr>
              <w:t>-4,800,000.00</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558"/>
              <w:jc w:val="right"/>
              <w:rPr>
                <w:rFonts w:ascii="宋体" w:hAnsi="宋体" w:cs="宋体" w:eastAsia="宋体" w:hint="default"/>
                <w:sz w:val="18"/>
                <w:szCs w:val="18"/>
              </w:rPr>
            </w:pPr>
            <w:r>
              <w:rPr>
                <w:rFonts w:ascii="宋体"/>
                <w:sz w:val="18"/>
              </w:rPr>
              <w:t>4,800,000.00</w:t>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33"/>
              <w:jc w:val="right"/>
              <w:rPr>
                <w:rFonts w:ascii="宋体" w:hAnsi="宋体" w:cs="宋体" w:eastAsia="宋体" w:hint="default"/>
                <w:sz w:val="18"/>
                <w:szCs w:val="18"/>
              </w:rPr>
            </w:pPr>
            <w:r>
              <w:rPr>
                <w:rFonts w:ascii="宋体"/>
                <w:sz w:val="18"/>
              </w:rPr>
              <w:t>---</w:t>
            </w:r>
          </w:p>
        </w:tc>
      </w:tr>
      <w:tr>
        <w:trPr>
          <w:trHeight w:val="329" w:hRule="exact"/>
        </w:trPr>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18"/>
                <w:szCs w:val="18"/>
              </w:rPr>
            </w:pPr>
            <w:r>
              <w:rPr>
                <w:rFonts w:ascii="宋体"/>
                <w:sz w:val="18"/>
              </w:rPr>
              <w:t>10.00</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39"/>
              <w:jc w:val="right"/>
              <w:rPr>
                <w:rFonts w:ascii="宋体" w:hAnsi="宋体" w:cs="宋体" w:eastAsia="宋体" w:hint="default"/>
                <w:sz w:val="18"/>
                <w:szCs w:val="18"/>
              </w:rPr>
            </w:pPr>
            <w:r>
              <w:rPr>
                <w:rFonts w:ascii="宋体"/>
                <w:sz w:val="18"/>
              </w:rPr>
              <w:t>---</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35"/>
              <w:jc w:val="right"/>
              <w:rPr>
                <w:rFonts w:ascii="宋体" w:hAnsi="宋体" w:cs="宋体" w:eastAsia="宋体" w:hint="default"/>
                <w:sz w:val="18"/>
                <w:szCs w:val="18"/>
              </w:rPr>
            </w:pPr>
            <w:r>
              <w:rPr>
                <w:rFonts w:ascii="宋体"/>
                <w:sz w:val="18"/>
              </w:rPr>
              <w:t>-600,000.00</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558"/>
              <w:jc w:val="right"/>
              <w:rPr>
                <w:rFonts w:ascii="宋体" w:hAnsi="宋体" w:cs="宋体" w:eastAsia="宋体" w:hint="default"/>
                <w:sz w:val="18"/>
                <w:szCs w:val="18"/>
              </w:rPr>
            </w:pPr>
            <w:r>
              <w:rPr>
                <w:rFonts w:ascii="宋体"/>
                <w:sz w:val="18"/>
              </w:rPr>
              <w:t>600,000.00</w:t>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宋体" w:hAnsi="宋体" w:cs="宋体" w:eastAsia="宋体" w:hint="default"/>
                <w:sz w:val="18"/>
                <w:szCs w:val="18"/>
              </w:rPr>
            </w:pPr>
            <w:r>
              <w:rPr>
                <w:rFonts w:ascii="宋体"/>
                <w:sz w:val="18"/>
              </w:rPr>
              <w:t>---</w:t>
            </w:r>
          </w:p>
        </w:tc>
      </w:tr>
      <w:tr>
        <w:trPr>
          <w:trHeight w:val="140" w:hRule="exact"/>
        </w:trPr>
        <w:tc>
          <w:tcPr>
            <w:tcW w:w="1165"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
        </w:tc>
        <w:tc>
          <w:tcPr>
            <w:tcW w:w="865"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tabs>
          <w:tab w:pos="1497" w:val="left" w:leader="none"/>
        </w:tabs>
        <w:spacing w:line="420" w:lineRule="auto"/>
        <w:ind w:left="657" w:right="372"/>
        <w:jc w:val="left"/>
      </w:pPr>
      <w:r>
        <w:rPr/>
        <w:t>（</w:t>
      </w:r>
      <w:r>
        <w:rPr>
          <w:rFonts w:ascii="Calibri" w:hAnsi="Calibri" w:cs="Calibri" w:eastAsia="Calibri" w:hint="default"/>
        </w:rPr>
        <w:t>2</w:t>
      </w:r>
      <w:r>
        <w:rPr/>
        <w:t>）</w:t>
        <w:tab/>
        <w:t>财务报表列报准则变动对于合并财务报表的影响 </w:t>
      </w:r>
      <w:r>
        <w:rPr>
          <w:spacing w:val="-4"/>
        </w:rPr>
        <w:t>1）本公司根据修订后的《企业会计准则第</w:t>
      </w:r>
      <w:r>
        <w:rPr>
          <w:spacing w:val="-44"/>
        </w:rPr>
        <w:t> </w:t>
      </w:r>
      <w:r>
        <w:rPr/>
        <w:t>30</w:t>
      </w:r>
      <w:r>
        <w:rPr>
          <w:spacing w:val="-42"/>
        </w:rPr>
        <w:t> </w:t>
      </w:r>
      <w:r>
        <w:rPr>
          <w:spacing w:val="-7"/>
        </w:rPr>
        <w:t>号—财务报表列报》，根据列报要求将递延收益</w:t>
      </w:r>
    </w:p>
    <w:p>
      <w:pPr>
        <w:pStyle w:val="BodyText"/>
        <w:spacing w:line="251" w:lineRule="exact"/>
        <w:ind w:left="237" w:right="255"/>
        <w:jc w:val="left"/>
      </w:pPr>
      <w:r>
        <w:rPr/>
        <w:t>单独列报，并对年初数采用追溯调整法进行调整列报，追溯调整影响如下：</w:t>
      </w:r>
    </w:p>
    <w:p>
      <w:pPr>
        <w:spacing w:line="240" w:lineRule="auto" w:before="11"/>
        <w:rPr>
          <w:rFonts w:ascii="宋体" w:hAnsi="宋体" w:cs="宋体" w:eastAsia="宋体" w:hint="default"/>
          <w:sz w:val="12"/>
          <w:szCs w:val="12"/>
        </w:rPr>
      </w:pPr>
    </w:p>
    <w:p>
      <w:pPr>
        <w:spacing w:line="1800" w:lineRule="exact"/>
        <w:ind w:left="100" w:right="0" w:firstLine="0"/>
        <w:rPr>
          <w:rFonts w:ascii="宋体" w:hAnsi="宋体" w:cs="宋体" w:eastAsia="宋体" w:hint="default"/>
          <w:sz w:val="20"/>
          <w:szCs w:val="20"/>
        </w:rPr>
      </w:pPr>
      <w:r>
        <w:rPr>
          <w:rFonts w:ascii="宋体" w:hAnsi="宋体" w:cs="宋体" w:eastAsia="宋体" w:hint="default"/>
          <w:position w:val="-35"/>
          <w:sz w:val="20"/>
          <w:szCs w:val="20"/>
        </w:rPr>
        <w:pict>
          <v:group style="width:455.4pt;height:90pt;mso-position-horizontal-relative:char;mso-position-vertical-relative:line" coordorigin="0,0" coordsize="9108,1800">
            <v:group style="position:absolute;left:29;top:15;width:9050;height:2" coordorigin="29,15" coordsize="9050,2">
              <v:shape style="position:absolute;left:29;top:15;width:9050;height:2" coordorigin="29,15" coordsize="9050,0" path="m29,15l9079,15e" filled="false" stroked="true" strokeweight="1.5pt" strokecolor="#000000">
                <v:path arrowok="t"/>
              </v:shape>
              <v:shape style="position:absolute;left:2536;top:10;width:3310;height:379" type="#_x0000_t75" stroked="false">
                <v:imagedata r:id="rId94" o:title=""/>
              </v:shape>
              <v:shape style="position:absolute;left:2534;top:348;width:6574;height:394" type="#_x0000_t75" stroked="false">
                <v:imagedata r:id="rId95" o:title=""/>
              </v:shape>
            </v:group>
            <v:group style="position:absolute;left:15;top:1785;width:2541;height:2" coordorigin="15,1785" coordsize="2541,2">
              <v:shape style="position:absolute;left:15;top:1785;width:2541;height:2" coordorigin="15,1785" coordsize="2541,0" path="m15,1785l2555,1785e" filled="false" stroked="true" strokeweight="1.5pt" strokecolor="#000000">
                <v:path arrowok="t"/>
              </v:shape>
            </v:group>
            <v:group style="position:absolute;left:2555;top:1785;width:1630;height:2" coordorigin="2555,1785" coordsize="1630,2">
              <v:shape style="position:absolute;left:2555;top:1785;width:1630;height:2" coordorigin="2555,1785" coordsize="1630,0" path="m2555,1785l4185,1785e" filled="false" stroked="true" strokeweight="1.5pt" strokecolor="#000000">
                <v:path arrowok="t"/>
              </v:shape>
            </v:group>
            <v:group style="position:absolute;left:4185;top:1785;width:1631;height:2" coordorigin="4185,1785" coordsize="1631,2">
              <v:shape style="position:absolute;left:4185;top:1785;width:1631;height:2" coordorigin="4185,1785" coordsize="1631,0" path="m4185,1785l5816,1785e" filled="false" stroked="true" strokeweight="1.5pt" strokecolor="#000000">
                <v:path arrowok="t"/>
              </v:shape>
            </v:group>
            <v:group style="position:absolute;left:5816;top:1785;width:1629;height:2" coordorigin="5816,1785" coordsize="1629,2">
              <v:shape style="position:absolute;left:5816;top:1785;width:1629;height:2" coordorigin="5816,1785" coordsize="1629,0" path="m5816,1785l7444,1785e" filled="false" stroked="true" strokeweight="1.5pt" strokecolor="#000000">
                <v:path arrowok="t"/>
              </v:shape>
              <v:shape style="position:absolute;left:1;top:700;width:9107;height:1070" type="#_x0000_t75" stroked="false">
                <v:imagedata r:id="rId96" o:title=""/>
              </v:shape>
            </v:group>
            <v:group style="position:absolute;left:7444;top:1785;width:1635;height:2" coordorigin="7444,1785" coordsize="1635,2">
              <v:shape style="position:absolute;left:7444;top:1785;width:1635;height:2" coordorigin="7444,1785" coordsize="1635,0" path="m7444,1785l9079,1785e" filled="false" stroked="true" strokeweight="1.5pt" strokecolor="#000000">
                <v:path arrowok="t"/>
              </v:shape>
              <v:shape style="position:absolute;left:3561;top:108;width:1258;height:189" type="#_x0000_t202" filled="false" stroked="false">
                <v:textbox inset="0,0,0,0">
                  <w:txbxContent>
                    <w:p>
                      <w:pPr>
                        <w:spacing w:line="189" w:lineRule="exact" w:before="0"/>
                        <w:ind w:left="0" w:right="0" w:firstLine="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28"/>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Arial" w:hAnsi="Arial" w:cs="Arial" w:eastAsia="Arial" w:hint="default"/>
                          <w:sz w:val="18"/>
                          <w:szCs w:val="18"/>
                        </w:rPr>
                        <w:t>1</w:t>
                      </w:r>
                      <w:r>
                        <w:rPr>
                          <w:rFonts w:ascii="Arial" w:hAnsi="Arial" w:cs="Arial" w:eastAsia="Arial" w:hint="default"/>
                          <w:spacing w:val="-29"/>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Arial" w:hAnsi="Arial" w:cs="Arial" w:eastAsia="Arial" w:hint="default"/>
                          <w:sz w:val="18"/>
                          <w:szCs w:val="18"/>
                        </w:rPr>
                        <w:t>1</w:t>
                      </w:r>
                      <w:r>
                        <w:rPr>
                          <w:rFonts w:ascii="Arial" w:hAnsi="Arial" w:cs="Arial" w:eastAsia="Arial" w:hint="default"/>
                          <w:spacing w:val="-28"/>
                          <w:sz w:val="18"/>
                          <w:szCs w:val="18"/>
                        </w:rPr>
                        <w:t> </w:t>
                      </w:r>
                      <w:r>
                        <w:rPr>
                          <w:rFonts w:ascii="宋体" w:hAnsi="宋体" w:cs="宋体" w:eastAsia="宋体" w:hint="default"/>
                          <w:sz w:val="18"/>
                          <w:szCs w:val="18"/>
                        </w:rPr>
                        <w:t>日</w:t>
                      </w:r>
                    </w:p>
                  </w:txbxContent>
                </v:textbox>
                <w10:wrap type="none"/>
              </v:shape>
              <v:shape style="position:absolute;left:6737;top:108;width:1421;height:189" type="#_x0000_t202" filled="false" stroked="false">
                <v:textbox inset="0,0,0,0">
                  <w:txbxContent>
                    <w:p>
                      <w:pPr>
                        <w:spacing w:line="189" w:lineRule="exact" w:before="0"/>
                        <w:ind w:left="0" w:right="0" w:firstLine="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12</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31</w:t>
                      </w:r>
                      <w:r>
                        <w:rPr>
                          <w:rFonts w:ascii="Arial" w:hAnsi="Arial" w:cs="Arial" w:eastAsia="Arial" w:hint="default"/>
                          <w:spacing w:val="-36"/>
                          <w:sz w:val="18"/>
                          <w:szCs w:val="18"/>
                        </w:rPr>
                        <w:t> </w:t>
                      </w:r>
                      <w:r>
                        <w:rPr>
                          <w:rFonts w:ascii="宋体" w:hAnsi="宋体" w:cs="宋体" w:eastAsia="宋体" w:hint="default"/>
                          <w:sz w:val="18"/>
                          <w:szCs w:val="18"/>
                        </w:rPr>
                        <w:t>日</w:t>
                      </w:r>
                    </w:p>
                  </w:txbxContent>
                </v:textbox>
                <w10:wrap type="none"/>
              </v:shape>
              <v:shape style="position:absolute;left:1114;top:28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3104;top:45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调整前</w:t>
                      </w:r>
                    </w:p>
                  </w:txbxContent>
                </v:textbox>
                <w10:wrap type="none"/>
              </v:shape>
              <v:shape style="position:absolute;left:137;top:810;width:1337;height:879"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递延收益</w:t>
                      </w:r>
                    </w:p>
                    <w:p>
                      <w:pPr>
                        <w:spacing w:before="112"/>
                        <w:ind w:left="0" w:right="0" w:firstLine="0"/>
                        <w:jc w:val="left"/>
                        <w:rPr>
                          <w:rFonts w:ascii="宋体" w:hAnsi="宋体" w:cs="宋体" w:eastAsia="宋体" w:hint="default"/>
                          <w:sz w:val="18"/>
                          <w:szCs w:val="18"/>
                        </w:rPr>
                      </w:pPr>
                      <w:r>
                        <w:rPr>
                          <w:rFonts w:ascii="宋体" w:hAnsi="宋体" w:cs="宋体" w:eastAsia="宋体" w:hint="default"/>
                          <w:sz w:val="18"/>
                          <w:szCs w:val="18"/>
                        </w:rPr>
                        <w:t>其他非流动负债</w:t>
                      </w:r>
                    </w:p>
                    <w:p>
                      <w:pPr>
                        <w:spacing w:before="115"/>
                        <w:ind w:left="0" w:right="0" w:firstLine="0"/>
                        <w:jc w:val="righ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2781;top:459;width:2931;height:1242" type="#_x0000_t202" filled="false" stroked="false">
                <v:textbox inset="0,0,0,0">
                  <w:txbxContent>
                    <w:p>
                      <w:pPr>
                        <w:spacing w:line="180" w:lineRule="exact" w:before="0"/>
                        <w:ind w:left="1952" w:right="0" w:firstLine="0"/>
                        <w:jc w:val="left"/>
                        <w:rPr>
                          <w:rFonts w:ascii="宋体" w:hAnsi="宋体" w:cs="宋体" w:eastAsia="宋体" w:hint="default"/>
                          <w:sz w:val="18"/>
                          <w:szCs w:val="18"/>
                        </w:rPr>
                      </w:pPr>
                      <w:r>
                        <w:rPr>
                          <w:rFonts w:ascii="宋体" w:hAnsi="宋体" w:cs="宋体" w:eastAsia="宋体" w:hint="default"/>
                          <w:sz w:val="18"/>
                          <w:szCs w:val="18"/>
                        </w:rPr>
                        <w:t>调整后</w:t>
                      </w:r>
                    </w:p>
                    <w:p>
                      <w:pPr>
                        <w:tabs>
                          <w:tab w:pos="1629" w:val="left" w:leader="none"/>
                        </w:tabs>
                        <w:spacing w:before="100"/>
                        <w:ind w:left="1029" w:right="0" w:firstLine="0"/>
                        <w:jc w:val="left"/>
                        <w:rPr>
                          <w:rFonts w:ascii="宋体" w:hAnsi="宋体" w:cs="宋体" w:eastAsia="宋体" w:hint="default"/>
                          <w:sz w:val="20"/>
                          <w:szCs w:val="20"/>
                        </w:rPr>
                      </w:pPr>
                      <w:r>
                        <w:rPr>
                          <w:rFonts w:ascii="宋体"/>
                          <w:position w:val="1"/>
                          <w:sz w:val="18"/>
                        </w:rPr>
                        <w:t>---</w:t>
                        <w:tab/>
                      </w:r>
                      <w:r>
                        <w:rPr>
                          <w:rFonts w:ascii="宋体"/>
                          <w:spacing w:val="-1"/>
                          <w:sz w:val="20"/>
                        </w:rPr>
                        <w:t>14,650,827.06</w:t>
                      </w:r>
                      <w:r>
                        <w:rPr>
                          <w:rFonts w:ascii="宋体"/>
                          <w:sz w:val="20"/>
                        </w:rPr>
                      </w:r>
                    </w:p>
                    <w:p>
                      <w:pPr>
                        <w:tabs>
                          <w:tab w:pos="2660" w:val="left" w:leader="none"/>
                        </w:tabs>
                        <w:spacing w:before="87"/>
                        <w:ind w:left="0" w:right="0" w:firstLine="0"/>
                        <w:jc w:val="left"/>
                        <w:rPr>
                          <w:rFonts w:ascii="宋体" w:hAnsi="宋体" w:cs="宋体" w:eastAsia="宋体" w:hint="default"/>
                          <w:sz w:val="18"/>
                          <w:szCs w:val="18"/>
                        </w:rPr>
                      </w:pPr>
                      <w:r>
                        <w:rPr>
                          <w:rFonts w:ascii="宋体"/>
                          <w:spacing w:val="-1"/>
                          <w:sz w:val="20"/>
                        </w:rPr>
                        <w:t>14,650,827.06</w:t>
                        <w:tab/>
                      </w:r>
                      <w:r>
                        <w:rPr>
                          <w:rFonts w:ascii="宋体"/>
                          <w:position w:val="1"/>
                          <w:sz w:val="18"/>
                        </w:rPr>
                        <w:t>---</w:t>
                      </w:r>
                      <w:r>
                        <w:rPr>
                          <w:rFonts w:ascii="宋体"/>
                          <w:sz w:val="18"/>
                        </w:rPr>
                      </w:r>
                    </w:p>
                    <w:p>
                      <w:pPr>
                        <w:tabs>
                          <w:tab w:pos="1630" w:val="left" w:leader="none"/>
                        </w:tabs>
                        <w:spacing w:before="88"/>
                        <w:ind w:left="0" w:right="0" w:firstLine="0"/>
                        <w:jc w:val="left"/>
                        <w:rPr>
                          <w:rFonts w:ascii="宋体" w:hAnsi="宋体" w:cs="宋体" w:eastAsia="宋体" w:hint="default"/>
                          <w:sz w:val="20"/>
                          <w:szCs w:val="20"/>
                        </w:rPr>
                      </w:pPr>
                      <w:r>
                        <w:rPr>
                          <w:rFonts w:ascii="宋体"/>
                          <w:spacing w:val="-1"/>
                          <w:sz w:val="20"/>
                        </w:rPr>
                        <w:t>14,650,827.06</w:t>
                        <w:tab/>
                        <w:t>14,650,827.06</w:t>
                      </w:r>
                      <w:r>
                        <w:rPr>
                          <w:rFonts w:ascii="宋体"/>
                          <w:sz w:val="20"/>
                        </w:rPr>
                      </w:r>
                    </w:p>
                  </w:txbxContent>
                </v:textbox>
                <w10:wrap type="none"/>
              </v:shape>
              <v:shape style="position:absolute;left:6170;top:459;width:1170;height:1230" type="#_x0000_t202" filled="false" stroked="false">
                <v:textbox inset="0,0,0,0">
                  <w:txbxContent>
                    <w:p>
                      <w:pPr>
                        <w:spacing w:line="180" w:lineRule="exact" w:before="0"/>
                        <w:ind w:left="193" w:right="0" w:firstLine="0"/>
                        <w:jc w:val="left"/>
                        <w:rPr>
                          <w:rFonts w:ascii="宋体" w:hAnsi="宋体" w:cs="宋体" w:eastAsia="宋体" w:hint="default"/>
                          <w:sz w:val="18"/>
                          <w:szCs w:val="18"/>
                        </w:rPr>
                      </w:pPr>
                      <w:r>
                        <w:rPr>
                          <w:rFonts w:ascii="宋体" w:hAnsi="宋体" w:cs="宋体" w:eastAsia="宋体" w:hint="default"/>
                          <w:sz w:val="18"/>
                          <w:szCs w:val="18"/>
                        </w:rPr>
                        <w:t>调整前</w:t>
                      </w:r>
                    </w:p>
                    <w:p>
                      <w:pPr>
                        <w:spacing w:line="357" w:lineRule="auto" w:before="113"/>
                        <w:ind w:left="0" w:right="0" w:firstLine="900"/>
                        <w:jc w:val="left"/>
                        <w:rPr>
                          <w:rFonts w:ascii="宋体" w:hAnsi="宋体" w:cs="宋体" w:eastAsia="宋体" w:hint="default"/>
                          <w:sz w:val="18"/>
                          <w:szCs w:val="18"/>
                        </w:rPr>
                      </w:pPr>
                      <w:r>
                        <w:rPr>
                          <w:rFonts w:ascii="宋体"/>
                          <w:sz w:val="18"/>
                        </w:rPr>
                        <w:t>--- 13,600,000.00</w:t>
                      </w:r>
                    </w:p>
                    <w:p>
                      <w:pPr>
                        <w:spacing w:before="26"/>
                        <w:ind w:left="0" w:right="0" w:firstLine="0"/>
                        <w:jc w:val="left"/>
                        <w:rPr>
                          <w:rFonts w:ascii="宋体" w:hAnsi="宋体" w:cs="宋体" w:eastAsia="宋体" w:hint="default"/>
                          <w:sz w:val="18"/>
                          <w:szCs w:val="18"/>
                        </w:rPr>
                      </w:pPr>
                      <w:r>
                        <w:rPr>
                          <w:rFonts w:ascii="宋体"/>
                          <w:sz w:val="18"/>
                        </w:rPr>
                        <w:t>13,600,000.00</w:t>
                      </w:r>
                    </w:p>
                  </w:txbxContent>
                </v:textbox>
                <w10:wrap type="none"/>
              </v:shape>
              <v:shape style="position:absolute;left:7799;top:459;width:1170;height:1230" type="#_x0000_t202" filled="false" stroked="false">
                <v:textbox inset="0,0,0,0">
                  <w:txbxContent>
                    <w:p>
                      <w:pPr>
                        <w:spacing w:line="180" w:lineRule="exact" w:before="0"/>
                        <w:ind w:left="193" w:right="0" w:firstLine="0"/>
                        <w:jc w:val="left"/>
                        <w:rPr>
                          <w:rFonts w:ascii="宋体" w:hAnsi="宋体" w:cs="宋体" w:eastAsia="宋体" w:hint="default"/>
                          <w:sz w:val="18"/>
                          <w:szCs w:val="18"/>
                        </w:rPr>
                      </w:pPr>
                      <w:r>
                        <w:rPr>
                          <w:rFonts w:ascii="宋体" w:hAnsi="宋体" w:cs="宋体" w:eastAsia="宋体" w:hint="default"/>
                          <w:sz w:val="18"/>
                          <w:szCs w:val="18"/>
                        </w:rPr>
                        <w:t>调整后</w:t>
                      </w:r>
                    </w:p>
                    <w:p>
                      <w:pPr>
                        <w:spacing w:before="113"/>
                        <w:ind w:left="0" w:right="0" w:firstLine="0"/>
                        <w:jc w:val="left"/>
                        <w:rPr>
                          <w:rFonts w:ascii="宋体" w:hAnsi="宋体" w:cs="宋体" w:eastAsia="宋体" w:hint="default"/>
                          <w:sz w:val="18"/>
                          <w:szCs w:val="18"/>
                        </w:rPr>
                      </w:pPr>
                      <w:r>
                        <w:rPr>
                          <w:rFonts w:ascii="宋体"/>
                          <w:sz w:val="18"/>
                        </w:rPr>
                        <w:t>13,600,000.00</w:t>
                      </w:r>
                    </w:p>
                    <w:p>
                      <w:pPr>
                        <w:spacing w:line="350" w:lineRule="atLeast" w:before="0"/>
                        <w:ind w:left="0" w:right="0" w:firstLine="900"/>
                        <w:jc w:val="left"/>
                        <w:rPr>
                          <w:rFonts w:ascii="宋体" w:hAnsi="宋体" w:cs="宋体" w:eastAsia="宋体" w:hint="default"/>
                          <w:sz w:val="18"/>
                          <w:szCs w:val="18"/>
                        </w:rPr>
                      </w:pPr>
                      <w:r>
                        <w:rPr>
                          <w:rFonts w:ascii="宋体"/>
                          <w:sz w:val="18"/>
                        </w:rPr>
                        <w:t>--- 13,600,000.00</w:t>
                      </w:r>
                    </w:p>
                  </w:txbxContent>
                </v:textbox>
                <w10:wrap type="none"/>
              </v:shape>
            </v:group>
          </v:group>
        </w:pict>
      </w:r>
      <w:r>
        <w:rPr>
          <w:rFonts w:ascii="宋体" w:hAnsi="宋体" w:cs="宋体" w:eastAsia="宋体" w:hint="default"/>
          <w:position w:val="-35"/>
          <w:sz w:val="20"/>
          <w:szCs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3"/>
        <w:spacing w:line="240" w:lineRule="auto"/>
        <w:ind w:left="237" w:right="255"/>
        <w:jc w:val="left"/>
        <w:rPr>
          <w:b w:val="0"/>
          <w:bCs w:val="0"/>
        </w:rPr>
      </w:pPr>
      <w:r>
        <w:rPr/>
        <w:t>(2)、重要会计估计变更</w:t>
      </w:r>
      <w:r>
        <w:rPr>
          <w:b w:val="0"/>
          <w:bCs w:val="0"/>
        </w:rPr>
      </w:r>
    </w:p>
    <w:p>
      <w:pPr>
        <w:pStyle w:val="BodyText"/>
        <w:spacing w:line="240" w:lineRule="auto" w:before="97"/>
        <w:ind w:left="237" w:right="255"/>
        <w:jc w:val="left"/>
      </w:pPr>
      <w:r>
        <w:rPr/>
        <w:t>□适用</w:t>
      </w:r>
      <w:r>
        <w:rPr>
          <w:spacing w:val="-2"/>
        </w:rPr>
        <w:t> </w:t>
      </w:r>
      <w:r>
        <w:rPr/>
        <w:t>□不适用</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936"/>
        <w:gridCol w:w="1993"/>
        <w:gridCol w:w="1699"/>
        <w:gridCol w:w="2420"/>
      </w:tblGrid>
      <w:tr>
        <w:trPr>
          <w:trHeight w:val="634"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02" w:right="0"/>
              <w:jc w:val="left"/>
              <w:rPr>
                <w:rFonts w:ascii="宋体" w:hAnsi="宋体" w:cs="宋体" w:eastAsia="宋体" w:hint="default"/>
                <w:sz w:val="21"/>
                <w:szCs w:val="21"/>
              </w:rPr>
            </w:pPr>
            <w:r>
              <w:rPr>
                <w:rFonts w:ascii="宋体" w:hAnsi="宋体" w:cs="宋体" w:eastAsia="宋体" w:hint="default"/>
                <w:sz w:val="21"/>
                <w:szCs w:val="21"/>
              </w:rPr>
              <w:t>会计估计变更的内容和原因</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71"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9" w:right="0"/>
              <w:jc w:val="left"/>
              <w:rPr>
                <w:rFonts w:ascii="宋体" w:hAnsi="宋体" w:cs="宋体" w:eastAsia="宋体" w:hint="default"/>
                <w:sz w:val="21"/>
                <w:szCs w:val="21"/>
              </w:rPr>
            </w:pPr>
            <w:r>
              <w:rPr>
                <w:rFonts w:ascii="宋体" w:hAnsi="宋体" w:cs="宋体" w:eastAsia="宋体" w:hint="default"/>
                <w:sz w:val="21"/>
                <w:szCs w:val="21"/>
              </w:rPr>
              <w:t>开始适用的时点</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备注(受重要影响的报</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表项目名称和金额)</w:t>
            </w:r>
          </w:p>
        </w:tc>
      </w:tr>
      <w:tr>
        <w:trPr>
          <w:trHeight w:val="322" w:hRule="exact"/>
        </w:trPr>
        <w:tc>
          <w:tcPr>
            <w:tcW w:w="2936"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36"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0" w:lineRule="exact"/>
        <w:ind w:left="237" w:right="255"/>
        <w:jc w:val="left"/>
      </w:pPr>
      <w:r>
        <w:rPr/>
        <w:t>其他说明</w:t>
      </w:r>
    </w:p>
    <w:p>
      <w:pPr>
        <w:pStyle w:val="BodyText"/>
        <w:spacing w:line="240" w:lineRule="auto" w:before="37"/>
        <w:ind w:left="237" w:right="255"/>
        <w:jc w:val="left"/>
      </w:pPr>
      <w:r>
        <w:rPr/>
        <w:t>无</w:t>
      </w:r>
    </w:p>
    <w:p>
      <w:pPr>
        <w:spacing w:line="240" w:lineRule="auto" w:before="0"/>
        <w:rPr>
          <w:rFonts w:ascii="宋体" w:hAnsi="宋体" w:cs="宋体" w:eastAsia="宋体" w:hint="default"/>
          <w:sz w:val="20"/>
          <w:szCs w:val="20"/>
        </w:rPr>
      </w:pPr>
    </w:p>
    <w:p>
      <w:pPr>
        <w:pStyle w:val="Heading3"/>
        <w:spacing w:line="240" w:lineRule="auto" w:before="147"/>
        <w:ind w:left="237" w:right="255"/>
        <w:jc w:val="left"/>
        <w:rPr>
          <w:b w:val="0"/>
          <w:bCs w:val="0"/>
        </w:rPr>
      </w:pPr>
      <w:r>
        <w:rPr>
          <w:rFonts w:ascii="Calibri" w:hAnsi="Calibri" w:cs="Calibri" w:eastAsia="Calibri" w:hint="default"/>
        </w:rPr>
        <w:t>34.  </w:t>
      </w:r>
      <w:r>
        <w:rPr>
          <w:rFonts w:ascii="Calibri" w:hAnsi="Calibri" w:cs="Calibri" w:eastAsia="Calibri" w:hint="default"/>
          <w:spacing w:val="7"/>
        </w:rPr>
        <w:t> </w:t>
      </w:r>
      <w:r>
        <w:rPr/>
        <w:t>其他</w:t>
      </w:r>
      <w:r>
        <w:rPr>
          <w:b w:val="0"/>
          <w:bCs w:val="0"/>
        </w:rPr>
      </w:r>
    </w:p>
    <w:p>
      <w:pPr>
        <w:spacing w:after="0" w:line="240" w:lineRule="auto"/>
        <w:jc w:val="left"/>
        <w:sectPr>
          <w:pgSz w:w="11910" w:h="16840"/>
          <w:pgMar w:header="882" w:footer="1197" w:top="1120" w:bottom="1380" w:left="1560" w:right="900"/>
        </w:sectPr>
      </w:pPr>
    </w:p>
    <w:p>
      <w:pPr>
        <w:spacing w:line="240" w:lineRule="auto" w:before="10"/>
        <w:rPr>
          <w:rFonts w:ascii="宋体" w:hAnsi="宋体" w:cs="宋体" w:eastAsia="宋体" w:hint="default"/>
          <w:b/>
          <w:bCs/>
          <w:sz w:val="26"/>
          <w:szCs w:val="26"/>
        </w:rPr>
      </w:pPr>
    </w:p>
    <w:p>
      <w:pPr>
        <w:pStyle w:val="Heading3"/>
        <w:spacing w:line="240" w:lineRule="auto"/>
        <w:ind w:right="114"/>
        <w:jc w:val="left"/>
        <w:rPr>
          <w:b w:val="0"/>
          <w:bCs w:val="0"/>
        </w:rPr>
      </w:pPr>
      <w:r>
        <w:rPr/>
        <w:t>四、税项</w:t>
      </w:r>
      <w:r>
        <w:rPr>
          <w:b w:val="0"/>
          <w:bCs w:val="0"/>
        </w:rPr>
      </w:r>
    </w:p>
    <w:p>
      <w:pPr>
        <w:pStyle w:val="Heading3"/>
        <w:tabs>
          <w:tab w:pos="763" w:val="left" w:leader="none"/>
        </w:tabs>
        <w:spacing w:line="240" w:lineRule="auto" w:before="97"/>
        <w:ind w:right="114"/>
        <w:jc w:val="left"/>
        <w:rPr>
          <w:b w:val="0"/>
          <w:bCs w:val="0"/>
        </w:rPr>
      </w:pPr>
      <w:r>
        <w:rPr>
          <w:rFonts w:ascii="Calibri" w:hAnsi="Calibri" w:cs="Calibri" w:eastAsia="Calibri" w:hint="default"/>
        </w:rPr>
        <w:t>1.</w:t>
        <w:tab/>
      </w:r>
      <w:r>
        <w:rPr/>
        <w:t>主要税种及税率</w:t>
      </w:r>
      <w:r>
        <w:rPr>
          <w:b w:val="0"/>
          <w:bCs w:val="0"/>
        </w:rPr>
      </w:r>
    </w:p>
    <w:p>
      <w:pPr>
        <w:spacing w:line="240" w:lineRule="auto" w:before="7"/>
        <w:rPr>
          <w:rFonts w:ascii="宋体" w:hAnsi="宋体" w:cs="宋体" w:eastAsia="宋体" w:hint="default"/>
          <w:b/>
          <w:bCs/>
          <w:sz w:val="6"/>
          <w:szCs w:val="6"/>
        </w:rPr>
      </w:pPr>
    </w:p>
    <w:tbl>
      <w:tblPr>
        <w:tblW w:w="0" w:type="auto"/>
        <w:jc w:val="left"/>
        <w:tblInd w:w="104" w:type="dxa"/>
        <w:tblLayout w:type="fixed"/>
        <w:tblCellMar>
          <w:top w:w="0" w:type="dxa"/>
          <w:left w:w="0" w:type="dxa"/>
          <w:bottom w:w="0" w:type="dxa"/>
          <w:right w:w="0" w:type="dxa"/>
        </w:tblCellMar>
        <w:tblLook w:val="01E0"/>
      </w:tblPr>
      <w:tblGrid>
        <w:gridCol w:w="2782"/>
        <w:gridCol w:w="3145"/>
        <w:gridCol w:w="3122"/>
      </w:tblGrid>
      <w:tr>
        <w:trPr>
          <w:trHeight w:val="32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316" w:hRule="exact"/>
        </w:trPr>
        <w:tc>
          <w:tcPr>
            <w:tcW w:w="2782"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5"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销售货物、应税劳务收入和应税</w:t>
            </w:r>
          </w:p>
        </w:tc>
        <w:tc>
          <w:tcPr>
            <w:tcW w:w="3122"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17、6、3</w:t>
            </w:r>
          </w:p>
        </w:tc>
      </w:tr>
      <w:tr>
        <w:trPr>
          <w:trHeight w:val="312" w:hRule="exact"/>
        </w:trPr>
        <w:tc>
          <w:tcPr>
            <w:tcW w:w="2782" w:type="dxa"/>
            <w:tcBorders>
              <w:top w:val="nil" w:sz="6" w:space="0" w:color="auto"/>
              <w:left w:val="single" w:sz="4" w:space="0" w:color="000000"/>
              <w:bottom w:val="nil" w:sz="6" w:space="0" w:color="auto"/>
              <w:right w:val="single" w:sz="4" w:space="0" w:color="000000"/>
            </w:tcBorders>
          </w:tcPr>
          <w:p>
            <w:pPr/>
          </w:p>
        </w:tc>
        <w:tc>
          <w:tcPr>
            <w:tcW w:w="31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服务收入（营改增试点地区适用</w:t>
            </w:r>
          </w:p>
        </w:tc>
        <w:tc>
          <w:tcPr>
            <w:tcW w:w="3122"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782" w:type="dxa"/>
            <w:tcBorders>
              <w:top w:val="nil" w:sz="6" w:space="0" w:color="auto"/>
              <w:left w:val="single" w:sz="4" w:space="0" w:color="000000"/>
              <w:bottom w:val="single" w:sz="4" w:space="0" w:color="000000"/>
              <w:right w:val="single" w:sz="4" w:space="0" w:color="000000"/>
            </w:tcBorders>
          </w:tcPr>
          <w:p>
            <w:pPr/>
          </w:p>
        </w:tc>
        <w:tc>
          <w:tcPr>
            <w:tcW w:w="3145"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应税劳务收入）</w:t>
            </w:r>
          </w:p>
        </w:tc>
        <w:tc>
          <w:tcPr>
            <w:tcW w:w="3122" w:type="dxa"/>
            <w:tcBorders>
              <w:top w:val="nil" w:sz="6" w:space="0" w:color="auto"/>
              <w:left w:val="single" w:sz="4" w:space="0" w:color="000000"/>
              <w:bottom w:val="single" w:sz="4" w:space="0" w:color="000000"/>
              <w:right w:val="single" w:sz="4" w:space="0" w:color="000000"/>
            </w:tcBorders>
          </w:tcPr>
          <w:p>
            <w:pPr/>
          </w:p>
        </w:tc>
      </w:tr>
      <w:tr>
        <w:trPr>
          <w:trHeight w:val="32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145" w:type="dxa"/>
            <w:tcBorders>
              <w:top w:val="single" w:sz="4" w:space="0" w:color="000000"/>
              <w:left w:val="single" w:sz="4" w:space="0" w:color="000000"/>
              <w:bottom w:val="single" w:sz="4" w:space="0" w:color="000000"/>
              <w:right w:val="single" w:sz="4" w:space="0" w:color="000000"/>
            </w:tcBorders>
          </w:tcPr>
          <w:p>
            <w:pPr/>
          </w:p>
        </w:tc>
        <w:tc>
          <w:tcPr>
            <w:tcW w:w="31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应纳税营业额</w:t>
            </w:r>
          </w:p>
        </w:tc>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z w:val="21"/>
                <w:szCs w:val="21"/>
              </w:rPr>
              <w:t>3、5</w:t>
            </w:r>
          </w:p>
        </w:tc>
      </w:tr>
      <w:tr>
        <w:trPr>
          <w:trHeight w:val="32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z w:val="21"/>
                <w:szCs w:val="21"/>
              </w:rPr>
              <w:t>实缴流转税税额</w:t>
            </w:r>
          </w:p>
        </w:tc>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sz w:val="21"/>
              </w:rPr>
              <w:t>7</w:t>
            </w:r>
          </w:p>
        </w:tc>
      </w:tr>
      <w:tr>
        <w:trPr>
          <w:trHeight w:val="32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5" w:type="dxa"/>
            <w:tcBorders>
              <w:top w:val="single" w:sz="4" w:space="0" w:color="000000"/>
              <w:left w:val="single" w:sz="4" w:space="0" w:color="000000"/>
              <w:bottom w:val="single" w:sz="4" w:space="0" w:color="000000"/>
              <w:right w:val="single" w:sz="4" w:space="0" w:color="000000"/>
            </w:tcBorders>
          </w:tcPr>
          <w:p>
            <w:pPr/>
          </w:p>
        </w:tc>
        <w:tc>
          <w:tcPr>
            <w:tcW w:w="31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z w:val="21"/>
                <w:szCs w:val="21"/>
              </w:rPr>
              <w:t>实缴流转税税额</w:t>
            </w:r>
          </w:p>
        </w:tc>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sz w:val="21"/>
              </w:rPr>
              <w:t>3</w:t>
            </w:r>
          </w:p>
        </w:tc>
      </w:tr>
      <w:tr>
        <w:trPr>
          <w:trHeight w:val="32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z w:val="21"/>
                <w:szCs w:val="21"/>
              </w:rPr>
              <w:t>实缴流转税税额</w:t>
            </w:r>
          </w:p>
        </w:tc>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sz w:val="21"/>
              </w:rPr>
              <w:t>2</w:t>
            </w:r>
          </w:p>
        </w:tc>
      </w:tr>
      <w:tr>
        <w:trPr>
          <w:trHeight w:val="32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sz w:val="21"/>
              </w:rPr>
              <w:t>0.01</w:t>
            </w:r>
          </w:p>
        </w:tc>
      </w:tr>
    </w:tbl>
    <w:p>
      <w:pPr>
        <w:spacing w:line="240" w:lineRule="auto" w:before="0"/>
        <w:rPr>
          <w:rFonts w:ascii="宋体" w:hAnsi="宋体" w:cs="宋体" w:eastAsia="宋体" w:hint="default"/>
          <w:b/>
          <w:bCs/>
          <w:sz w:val="20"/>
          <w:szCs w:val="20"/>
        </w:rPr>
      </w:pPr>
    </w:p>
    <w:p>
      <w:pPr>
        <w:pStyle w:val="BodyText"/>
        <w:spacing w:line="240" w:lineRule="auto" w:before="35"/>
        <w:ind w:right="114"/>
        <w:jc w:val="left"/>
      </w:pPr>
      <w:r>
        <w:rPr/>
        <w:t>存在不同企业所得税税率纳税主体的，披露情况说明</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4602"/>
        <w:gridCol w:w="4447"/>
      </w:tblGrid>
      <w:tr>
        <w:trPr>
          <w:trHeight w:val="324" w:hRule="exact"/>
        </w:trPr>
        <w:tc>
          <w:tcPr>
            <w:tcW w:w="4602" w:type="dxa"/>
            <w:tcBorders>
              <w:top w:val="single" w:sz="4" w:space="0" w:color="000000"/>
              <w:left w:val="single" w:sz="4" w:space="0" w:color="000000"/>
              <w:bottom w:val="single" w:sz="6" w:space="0" w:color="000000"/>
              <w:right w:val="single" w:sz="6"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7" w:type="dxa"/>
            <w:tcBorders>
              <w:top w:val="single" w:sz="4" w:space="0" w:color="000000"/>
              <w:left w:val="single" w:sz="6" w:space="0" w:color="000000"/>
              <w:bottom w:val="single" w:sz="6"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328"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4447" w:type="dxa"/>
            <w:tcBorders>
              <w:top w:val="single" w:sz="6" w:space="0" w:color="000000"/>
              <w:left w:val="single" w:sz="6" w:space="0" w:color="000000"/>
              <w:bottom w:val="single" w:sz="6" w:space="0" w:color="000000"/>
              <w:right w:val="single" w:sz="4"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10</w:t>
            </w:r>
          </w:p>
        </w:tc>
      </w:tr>
      <w:tr>
        <w:trPr>
          <w:trHeight w:val="326"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深圳市齐普生信息科技有限公司</w:t>
            </w:r>
          </w:p>
        </w:tc>
        <w:tc>
          <w:tcPr>
            <w:tcW w:w="4447" w:type="dxa"/>
            <w:tcBorders>
              <w:top w:val="single" w:sz="6" w:space="0" w:color="000000"/>
              <w:left w:val="single" w:sz="6" w:space="0" w:color="000000"/>
              <w:bottom w:val="single" w:sz="6"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15</w:t>
            </w:r>
          </w:p>
        </w:tc>
      </w:tr>
      <w:tr>
        <w:trPr>
          <w:trHeight w:val="328"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深圳市金证软银科技有限公司</w:t>
            </w:r>
          </w:p>
        </w:tc>
        <w:tc>
          <w:tcPr>
            <w:tcW w:w="4447" w:type="dxa"/>
            <w:tcBorders>
              <w:top w:val="single" w:sz="6" w:space="0" w:color="000000"/>
              <w:left w:val="single" w:sz="6" w:space="0" w:color="000000"/>
              <w:bottom w:val="single" w:sz="6"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25</w:t>
            </w:r>
          </w:p>
        </w:tc>
      </w:tr>
      <w:tr>
        <w:trPr>
          <w:trHeight w:val="326"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上海金证高科技有限公司</w:t>
            </w:r>
          </w:p>
        </w:tc>
        <w:tc>
          <w:tcPr>
            <w:tcW w:w="4447" w:type="dxa"/>
            <w:tcBorders>
              <w:top w:val="single" w:sz="6" w:space="0" w:color="000000"/>
              <w:left w:val="single" w:sz="6" w:space="0" w:color="000000"/>
              <w:bottom w:val="single" w:sz="6"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25</w:t>
            </w:r>
          </w:p>
        </w:tc>
      </w:tr>
      <w:tr>
        <w:trPr>
          <w:trHeight w:val="328"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北京北方金证科技有限公司</w:t>
            </w:r>
          </w:p>
        </w:tc>
        <w:tc>
          <w:tcPr>
            <w:tcW w:w="4447" w:type="dxa"/>
            <w:tcBorders>
              <w:top w:val="single" w:sz="6" w:space="0" w:color="000000"/>
              <w:left w:val="single" w:sz="6" w:space="0" w:color="000000"/>
              <w:bottom w:val="single" w:sz="6"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25</w:t>
            </w:r>
          </w:p>
        </w:tc>
      </w:tr>
      <w:tr>
        <w:trPr>
          <w:trHeight w:val="326"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成都市金证科技有限责任公司</w:t>
            </w:r>
          </w:p>
        </w:tc>
        <w:tc>
          <w:tcPr>
            <w:tcW w:w="4447" w:type="dxa"/>
            <w:tcBorders>
              <w:top w:val="single" w:sz="6" w:space="0" w:color="000000"/>
              <w:left w:val="single" w:sz="6" w:space="0" w:color="000000"/>
              <w:bottom w:val="single" w:sz="6"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25</w:t>
            </w:r>
          </w:p>
        </w:tc>
      </w:tr>
      <w:tr>
        <w:trPr>
          <w:trHeight w:val="328"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成都金证信息技术有限公司</w:t>
            </w:r>
          </w:p>
        </w:tc>
        <w:tc>
          <w:tcPr>
            <w:tcW w:w="4447" w:type="dxa"/>
            <w:tcBorders>
              <w:top w:val="single" w:sz="6" w:space="0" w:color="000000"/>
              <w:left w:val="single" w:sz="6" w:space="0" w:color="000000"/>
              <w:bottom w:val="single" w:sz="6"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25</w:t>
            </w:r>
          </w:p>
        </w:tc>
      </w:tr>
      <w:tr>
        <w:trPr>
          <w:trHeight w:val="326"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深圳市金证博泽科技有限公司</w:t>
            </w:r>
          </w:p>
        </w:tc>
        <w:tc>
          <w:tcPr>
            <w:tcW w:w="4447" w:type="dxa"/>
            <w:tcBorders>
              <w:top w:val="single" w:sz="6" w:space="0" w:color="000000"/>
              <w:left w:val="single" w:sz="6" w:space="0" w:color="000000"/>
              <w:bottom w:val="single" w:sz="6"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25</w:t>
            </w:r>
          </w:p>
        </w:tc>
      </w:tr>
      <w:tr>
        <w:trPr>
          <w:trHeight w:val="328"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南京金证信息技术有限公司</w:t>
            </w:r>
          </w:p>
        </w:tc>
        <w:tc>
          <w:tcPr>
            <w:tcW w:w="4447" w:type="dxa"/>
            <w:tcBorders>
              <w:top w:val="single" w:sz="6" w:space="0" w:color="000000"/>
              <w:left w:val="single" w:sz="6" w:space="0" w:color="000000"/>
              <w:bottom w:val="single" w:sz="6"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25</w:t>
            </w:r>
          </w:p>
        </w:tc>
      </w:tr>
      <w:tr>
        <w:trPr>
          <w:trHeight w:val="325" w:hRule="exact"/>
        </w:trPr>
        <w:tc>
          <w:tcPr>
            <w:tcW w:w="4602" w:type="dxa"/>
            <w:tcBorders>
              <w:top w:val="single" w:sz="6" w:space="0" w:color="000000"/>
              <w:left w:val="single" w:sz="4" w:space="0" w:color="000000"/>
              <w:bottom w:val="single" w:sz="4"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金证财富南京科技有限公司</w:t>
            </w:r>
          </w:p>
        </w:tc>
        <w:tc>
          <w:tcPr>
            <w:tcW w:w="4447" w:type="dxa"/>
            <w:tcBorders>
              <w:top w:val="single" w:sz="6" w:space="0" w:color="000000"/>
              <w:left w:val="single" w:sz="6"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25</w:t>
            </w:r>
          </w:p>
        </w:tc>
      </w:tr>
    </w:tbl>
    <w:p>
      <w:pPr>
        <w:spacing w:line="240" w:lineRule="auto" w:before="8"/>
        <w:rPr>
          <w:rFonts w:ascii="宋体" w:hAnsi="宋体" w:cs="宋体" w:eastAsia="宋体" w:hint="default"/>
          <w:sz w:val="24"/>
          <w:szCs w:val="24"/>
        </w:rPr>
      </w:pPr>
    </w:p>
    <w:p>
      <w:pPr>
        <w:pStyle w:val="Heading3"/>
        <w:tabs>
          <w:tab w:pos="763" w:val="left" w:leader="none"/>
        </w:tabs>
        <w:spacing w:line="240" w:lineRule="auto"/>
        <w:ind w:right="114"/>
        <w:jc w:val="left"/>
        <w:rPr>
          <w:b w:val="0"/>
          <w:bCs w:val="0"/>
        </w:rPr>
      </w:pPr>
      <w:r>
        <w:rPr>
          <w:rFonts w:ascii="Calibri" w:hAnsi="Calibri" w:cs="Calibri" w:eastAsia="Calibri" w:hint="default"/>
        </w:rPr>
        <w:t>2.</w:t>
        <w:tab/>
      </w:r>
      <w:r>
        <w:rPr/>
        <w:t>税收优惠</w:t>
      </w:r>
      <w:r>
        <w:rPr>
          <w:b w:val="0"/>
          <w:bCs w:val="0"/>
        </w:rPr>
      </w:r>
    </w:p>
    <w:p>
      <w:pPr>
        <w:pStyle w:val="Heading3"/>
        <w:spacing w:line="256" w:lineRule="auto" w:before="70"/>
        <w:ind w:right="232" w:firstLine="422"/>
        <w:jc w:val="both"/>
        <w:rPr>
          <w:b w:val="0"/>
          <w:bCs w:val="0"/>
        </w:rPr>
      </w:pP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月，本公司被确定为</w:t>
      </w:r>
      <w:r>
        <w:rPr>
          <w:spacing w:val="-55"/>
        </w:rPr>
        <w:t> </w:t>
      </w:r>
      <w:r>
        <w:rPr>
          <w:rFonts w:ascii="Times New Roman" w:hAnsi="Times New Roman" w:cs="Times New Roman" w:eastAsia="Times New Roman" w:hint="default"/>
        </w:rPr>
        <w:t>2013-2014</w:t>
      </w:r>
      <w:r>
        <w:rPr>
          <w:rFonts w:ascii="Times New Roman" w:hAnsi="Times New Roman" w:cs="Times New Roman" w:eastAsia="Times New Roman" w:hint="default"/>
          <w:spacing w:val="-2"/>
        </w:rPr>
        <w:t> </w:t>
      </w:r>
      <w:r>
        <w:rPr/>
        <w:t>年度国家规划布局内重点软件企业（证书编号：</w:t>
      </w:r>
      <w:r>
        <w:rPr>
          <w:spacing w:val="1"/>
          <w:w w:val="99"/>
        </w:rPr>
        <w:t> </w:t>
      </w:r>
      <w:r>
        <w:rPr>
          <w:rFonts w:ascii="Times New Roman" w:hAnsi="Times New Roman" w:cs="Times New Roman" w:eastAsia="Times New Roman" w:hint="default"/>
        </w:rPr>
        <w:t>R-2013-302</w:t>
      </w:r>
      <w:r>
        <w:rPr/>
        <w:t>），依据《国家税务总局关于进一步鼓励软件产业和集成电路产业发展企业所得税政</w:t>
      </w:r>
      <w:r>
        <w:rPr>
          <w:w w:val="99"/>
        </w:rPr>
        <w:t> </w:t>
      </w:r>
      <w:r>
        <w:rPr/>
        <w:t>策的通知》（财税</w:t>
      </w:r>
      <w:r>
        <w:rPr>
          <w:rFonts w:ascii="Times New Roman" w:hAnsi="Times New Roman" w:cs="Times New Roman" w:eastAsia="Times New Roman" w:hint="default"/>
        </w:rPr>
        <w:t>[2012]27</w:t>
      </w:r>
      <w:r>
        <w:rPr>
          <w:rFonts w:ascii="Times New Roman" w:hAnsi="Times New Roman" w:cs="Times New Roman" w:eastAsia="Times New Roman" w:hint="default"/>
          <w:spacing w:val="-8"/>
        </w:rPr>
        <w:t> </w:t>
      </w:r>
      <w:r>
        <w:rPr/>
        <w:t>号）：国家规划布局内的重点软件企业和集成电路设计企业，如当年</w:t>
      </w:r>
      <w:r>
        <w:rPr>
          <w:spacing w:val="1"/>
          <w:w w:val="99"/>
        </w:rPr>
        <w:t> </w:t>
      </w:r>
      <w:r>
        <w:rPr/>
        <w:t>未享受免税优惠的，可减按</w:t>
      </w:r>
      <w:r>
        <w:rPr>
          <w:spacing w:val="-56"/>
        </w:rPr>
        <w:t> </w:t>
      </w:r>
      <w:r>
        <w:rPr>
          <w:rFonts w:ascii="Times New Roman" w:hAnsi="Times New Roman" w:cs="Times New Roman" w:eastAsia="Times New Roman" w:hint="default"/>
        </w:rPr>
        <w:t>10%</w:t>
      </w:r>
      <w:r>
        <w:rPr/>
        <w:t>的税率征收企业所得税。</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年度本公司按照</w:t>
      </w:r>
      <w:r>
        <w:rPr>
          <w:spacing w:val="-57"/>
        </w:rPr>
        <w:t> </w:t>
      </w:r>
      <w:r>
        <w:rPr>
          <w:rFonts w:ascii="Times New Roman" w:hAnsi="Times New Roman" w:cs="Times New Roman" w:eastAsia="Times New Roman" w:hint="default"/>
        </w:rPr>
        <w:t>10%</w:t>
      </w:r>
      <w:r>
        <w:rPr/>
        <w:t>计算缴纳企</w:t>
      </w:r>
      <w:r>
        <w:rPr>
          <w:w w:val="99"/>
        </w:rPr>
        <w:t> </w:t>
      </w:r>
      <w:r>
        <w:rPr/>
        <w:t>业所得税。</w:t>
      </w:r>
      <w:r>
        <w:rPr>
          <w:b w:val="0"/>
          <w:bCs w:val="0"/>
        </w:rPr>
      </w:r>
    </w:p>
    <w:p>
      <w:pPr>
        <w:pStyle w:val="Heading3"/>
        <w:spacing w:line="256" w:lineRule="auto" w:before="22"/>
        <w:ind w:right="114" w:firstLine="422"/>
        <w:jc w:val="left"/>
        <w:rPr>
          <w:b w:val="0"/>
          <w:bCs w:val="0"/>
        </w:rPr>
      </w:pPr>
      <w:r>
        <w:rPr>
          <w:rFonts w:ascii="Times New Roman" w:hAnsi="Times New Roman" w:cs="Times New Roman" w:eastAsia="Times New Roman" w:hint="default"/>
        </w:rPr>
        <w:t>2012</w:t>
      </w:r>
      <w:r>
        <w:rPr>
          <w:rFonts w:ascii="Times New Roman" w:hAnsi="Times New Roman" w:cs="Times New Roman" w:eastAsia="Times New Roman" w:hint="default"/>
          <w:spacing w:val="-15"/>
        </w:rPr>
        <w:t> </w:t>
      </w:r>
      <w:r>
        <w:rPr/>
        <w:t>年</w:t>
      </w:r>
      <w:r>
        <w:rPr>
          <w:spacing w:val="-69"/>
        </w:rPr>
        <w:t> </w:t>
      </w:r>
      <w:r>
        <w:rPr>
          <w:rFonts w:ascii="Times New Roman" w:hAnsi="Times New Roman" w:cs="Times New Roman" w:eastAsia="Times New Roman" w:hint="default"/>
        </w:rPr>
        <w:t>9</w:t>
      </w:r>
      <w:r>
        <w:rPr>
          <w:rFonts w:ascii="Times New Roman" w:hAnsi="Times New Roman" w:cs="Times New Roman" w:eastAsia="Times New Roman" w:hint="default"/>
          <w:spacing w:val="-15"/>
        </w:rPr>
        <w:t> </w:t>
      </w:r>
      <w:r>
        <w:rPr/>
        <w:t>月</w:t>
      </w:r>
      <w:r>
        <w:rPr>
          <w:spacing w:val="-69"/>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日，深圳市齐普生信息科技有限公司被深圳市科技和信息局、深圳市财政局、</w:t>
      </w:r>
      <w:r>
        <w:rPr>
          <w:spacing w:val="1"/>
          <w:w w:val="99"/>
        </w:rPr>
        <w:t> </w:t>
      </w:r>
      <w:r>
        <w:rPr/>
        <w:t>深圳市国家税务局、深圳市地方税务局认定（证书号</w:t>
      </w:r>
      <w:r>
        <w:rPr>
          <w:spacing w:val="-56"/>
        </w:rPr>
        <w:t> </w:t>
      </w:r>
      <w:r>
        <w:rPr>
          <w:rFonts w:ascii="Times New Roman" w:hAnsi="Times New Roman" w:cs="Times New Roman" w:eastAsia="Times New Roman" w:hint="default"/>
        </w:rPr>
        <w:t>GF201244200517</w:t>
      </w:r>
      <w:r>
        <w:rPr/>
        <w:t>）为高新技术企业，有效</w:t>
      </w:r>
      <w:r>
        <w:rPr>
          <w:w w:val="99"/>
        </w:rPr>
        <w:t> </w:t>
      </w:r>
      <w:r>
        <w:rPr/>
        <w:t>期为三年。深圳市齐普生信息科技有限公司</w:t>
      </w:r>
      <w:r>
        <w:rPr>
          <w:spacing w:val="-5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年度减按</w:t>
      </w:r>
      <w:r>
        <w:rPr>
          <w:spacing w:val="-57"/>
        </w:rPr>
        <w:t> </w:t>
      </w:r>
      <w:r>
        <w:rPr>
          <w:rFonts w:ascii="Times New Roman" w:hAnsi="Times New Roman" w:cs="Times New Roman" w:eastAsia="Times New Roman" w:hint="default"/>
        </w:rPr>
        <w:t>15%</w:t>
      </w:r>
      <w:r>
        <w:rPr/>
        <w:t>计算缴纳企业所得税。</w:t>
      </w:r>
      <w:r>
        <w:rPr>
          <w:b w:val="0"/>
          <w:bCs w:val="0"/>
        </w:rPr>
      </w:r>
    </w:p>
    <w:p>
      <w:pPr>
        <w:spacing w:line="240" w:lineRule="auto" w:before="11"/>
        <w:rPr>
          <w:rFonts w:ascii="宋体" w:hAnsi="宋体" w:cs="宋体" w:eastAsia="宋体" w:hint="default"/>
          <w:b/>
          <w:bCs/>
          <w:sz w:val="28"/>
          <w:szCs w:val="28"/>
        </w:rPr>
      </w:pPr>
    </w:p>
    <w:p>
      <w:pPr>
        <w:pStyle w:val="Heading3"/>
        <w:tabs>
          <w:tab w:pos="763" w:val="left" w:leader="none"/>
        </w:tabs>
        <w:spacing w:line="240" w:lineRule="auto" w:before="0"/>
        <w:ind w:right="114"/>
        <w:jc w:val="left"/>
        <w:rPr>
          <w:b w:val="0"/>
          <w:bCs w:val="0"/>
        </w:rPr>
      </w:pPr>
      <w:r>
        <w:rPr>
          <w:w w:val="95"/>
        </w:rPr>
        <w:t>3.</w:t>
        <w:tab/>
      </w:r>
      <w:r>
        <w:rPr/>
        <w:t>其他</w:t>
      </w:r>
      <w:r>
        <w:rPr>
          <w:b w:val="0"/>
          <w:bCs w:val="0"/>
        </w:rPr>
      </w:r>
    </w:p>
    <w:p>
      <w:pPr>
        <w:spacing w:after="0" w:line="240" w:lineRule="auto"/>
        <w:jc w:val="left"/>
        <w:sectPr>
          <w:pgSz w:w="11910" w:h="16840"/>
          <w:pgMar w:header="882" w:footer="1197" w:top="1120" w:bottom="1380" w:left="1580" w:right="1040"/>
        </w:sectPr>
      </w:pPr>
    </w:p>
    <w:p>
      <w:pPr>
        <w:spacing w:line="240" w:lineRule="auto" w:before="10"/>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pgSz w:w="11910" w:h="16840"/>
          <w:pgMar w:header="882" w:footer="1197" w:top="1120" w:bottom="1380" w:left="1560" w:right="1040"/>
        </w:sectPr>
      </w:pPr>
    </w:p>
    <w:p>
      <w:pPr>
        <w:pStyle w:val="Heading3"/>
        <w:spacing w:line="324" w:lineRule="auto"/>
        <w:ind w:left="237" w:right="-17" w:hanging="1"/>
        <w:jc w:val="left"/>
        <w:rPr>
          <w:b w:val="0"/>
          <w:bCs w:val="0"/>
        </w:rPr>
      </w:pPr>
      <w:r>
        <w:rPr/>
        <w:t>五、合并财务报表项目注释</w:t>
      </w:r>
      <w:r>
        <w:rPr>
          <w:w w:val="99"/>
        </w:rPr>
        <w:t> </w:t>
      </w:r>
      <w:r>
        <w:rPr/>
        <w:t>1、</w:t>
      </w:r>
      <w:r>
        <w:rPr>
          <w:spacing w:val="-3"/>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7"/>
          <w:szCs w:val="17"/>
        </w:rPr>
      </w:pPr>
    </w:p>
    <w:p>
      <w:pPr>
        <w:pStyle w:val="BodyText"/>
        <w:tabs>
          <w:tab w:pos="1287" w:val="left" w:leader="none"/>
        </w:tabs>
        <w:spacing w:line="240" w:lineRule="auto"/>
        <w:ind w:left="237" w:right="0"/>
        <w:jc w:val="left"/>
      </w:pPr>
      <w:r>
        <w:rPr/>
        <w:t>单位：元</w:t>
        <w:tab/>
        <w:t>币种：人民币</w:t>
      </w:r>
    </w:p>
    <w:p>
      <w:pPr>
        <w:spacing w:after="0" w:line="240" w:lineRule="auto"/>
        <w:jc w:val="left"/>
        <w:sectPr>
          <w:type w:val="continuous"/>
          <w:pgSz w:w="11910" w:h="16840"/>
          <w:pgMar w:top="1080" w:bottom="1380" w:left="1560" w:right="1040"/>
          <w:cols w:num="2" w:equalWidth="0">
            <w:col w:w="2770" w:space="3753"/>
            <w:col w:w="2787"/>
          </w:cols>
        </w:sectPr>
      </w:pPr>
    </w:p>
    <w:p>
      <w:pPr>
        <w:spacing w:line="240" w:lineRule="auto" w:before="7"/>
        <w:rPr>
          <w:rFonts w:ascii="宋体" w:hAnsi="宋体" w:cs="宋体" w:eastAsia="宋体" w:hint="default"/>
          <w:sz w:val="2"/>
          <w:szCs w:val="2"/>
        </w:rPr>
      </w:pPr>
    </w:p>
    <w:tbl>
      <w:tblPr>
        <w:tblW w:w="0" w:type="auto"/>
        <w:jc w:val="left"/>
        <w:tblInd w:w="222" w:type="dxa"/>
        <w:tblLayout w:type="fixed"/>
        <w:tblCellMar>
          <w:top w:w="0" w:type="dxa"/>
          <w:left w:w="0" w:type="dxa"/>
          <w:bottom w:w="0" w:type="dxa"/>
          <w:right w:w="0" w:type="dxa"/>
        </w:tblCellMar>
        <w:tblLook w:val="01E0"/>
      </w:tblPr>
      <w:tblGrid>
        <w:gridCol w:w="2224"/>
        <w:gridCol w:w="3301"/>
        <w:gridCol w:w="3325"/>
      </w:tblGrid>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101,223.46</w:t>
            </w:r>
          </w:p>
        </w:tc>
        <w:tc>
          <w:tcPr>
            <w:tcW w:w="3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181,803.81</w:t>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right"/>
              <w:rPr>
                <w:rFonts w:ascii="宋体" w:hAnsi="宋体" w:cs="宋体" w:eastAsia="宋体" w:hint="default"/>
                <w:sz w:val="21"/>
                <w:szCs w:val="21"/>
              </w:rPr>
            </w:pPr>
            <w:r>
              <w:rPr>
                <w:rFonts w:ascii="宋体"/>
                <w:spacing w:val="-1"/>
                <w:sz w:val="21"/>
              </w:rPr>
              <w:t>242,015,945.05</w:t>
            </w:r>
            <w:r>
              <w:rPr>
                <w:rFonts w:ascii="宋体"/>
                <w:sz w:val="21"/>
              </w:rPr>
            </w:r>
          </w:p>
        </w:tc>
        <w:tc>
          <w:tcPr>
            <w:tcW w:w="3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299,518,835.06</w:t>
            </w:r>
            <w:r>
              <w:rPr>
                <w:rFonts w:ascii="宋体"/>
                <w:sz w:val="21"/>
              </w:rPr>
            </w: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9,898,242.30</w:t>
            </w:r>
            <w:r>
              <w:rPr>
                <w:rFonts w:ascii="宋体"/>
                <w:sz w:val="21"/>
              </w:rPr>
            </w:r>
          </w:p>
        </w:tc>
        <w:tc>
          <w:tcPr>
            <w:tcW w:w="3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6,578,773.38</w:t>
            </w:r>
            <w:r>
              <w:rPr>
                <w:rFonts w:ascii="宋体"/>
                <w:sz w:val="21"/>
              </w:rPr>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252,015,410.81</w:t>
            </w:r>
          </w:p>
        </w:tc>
        <w:tc>
          <w:tcPr>
            <w:tcW w:w="3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306,279,412.25</w:t>
            </w:r>
          </w:p>
        </w:tc>
      </w:tr>
      <w:tr>
        <w:trPr>
          <w:trHeight w:val="559"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2"/>
                <w:sz w:val="21"/>
                <w:szCs w:val="21"/>
              </w:rPr>
              <w:t>：</w:t>
            </w:r>
            <w:r>
              <w:rPr>
                <w:rFonts w:ascii="宋体" w:hAnsi="宋体" w:cs="宋体" w:eastAsia="宋体" w:hint="default"/>
                <w:sz w:val="21"/>
                <w:szCs w:val="21"/>
              </w:rPr>
              <w:t>存放在境外的款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项总额</w:t>
            </w:r>
          </w:p>
        </w:tc>
        <w:tc>
          <w:tcPr>
            <w:tcW w:w="3301" w:type="dxa"/>
            <w:tcBorders>
              <w:top w:val="single" w:sz="6" w:space="0" w:color="000000"/>
              <w:left w:val="single" w:sz="6" w:space="0" w:color="000000"/>
              <w:bottom w:val="single" w:sz="6" w:space="0" w:color="000000"/>
              <w:right w:val="single" w:sz="6" w:space="0" w:color="000000"/>
            </w:tcBorders>
          </w:tcPr>
          <w:p>
            <w:pPr/>
          </w:p>
        </w:tc>
        <w:tc>
          <w:tcPr>
            <w:tcW w:w="3325"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61" w:lineRule="exact"/>
        <w:ind w:left="237" w:right="113"/>
        <w:jc w:val="left"/>
      </w:pPr>
      <w:r>
        <w:rPr/>
        <w:t>其他说明</w:t>
      </w:r>
    </w:p>
    <w:p>
      <w:pPr>
        <w:pStyle w:val="BodyText"/>
        <w:spacing w:line="240" w:lineRule="auto" w:before="174"/>
        <w:ind w:left="1375" w:right="113"/>
        <w:jc w:val="left"/>
      </w:pPr>
      <w:r>
        <w:rPr/>
        <w:t>截至</w:t>
      </w:r>
      <w:r>
        <w:rPr>
          <w:spacing w:val="-59"/>
        </w:rPr>
        <w:t> </w:t>
      </w:r>
      <w:r>
        <w:rPr/>
        <w:t>2014</w:t>
      </w:r>
      <w:r>
        <w:rPr>
          <w:spacing w:val="-58"/>
        </w:rPr>
        <w:t> </w:t>
      </w:r>
      <w:r>
        <w:rPr/>
        <w:t>年</w:t>
      </w:r>
      <w:r>
        <w:rPr>
          <w:spacing w:val="-60"/>
        </w:rPr>
        <w:t> </w:t>
      </w:r>
      <w:r>
        <w:rPr/>
        <w:t>12</w:t>
      </w:r>
      <w:r>
        <w:rPr>
          <w:spacing w:val="-59"/>
        </w:rPr>
        <w:t> </w:t>
      </w:r>
      <w:r>
        <w:rPr/>
        <w:t>月</w:t>
      </w:r>
      <w:r>
        <w:rPr>
          <w:spacing w:val="-59"/>
        </w:rPr>
        <w:t> </w:t>
      </w:r>
      <w:r>
        <w:rPr/>
        <w:t>31</w:t>
      </w:r>
      <w:r>
        <w:rPr>
          <w:spacing w:val="-58"/>
        </w:rPr>
        <w:t> </w:t>
      </w:r>
      <w:r>
        <w:rPr/>
        <w:t>日止，本公司因向法院提出财产保全申请已冻结的银行存款合</w:t>
      </w:r>
    </w:p>
    <w:p>
      <w:pPr>
        <w:spacing w:before="133"/>
        <w:ind w:left="955" w:right="113" w:firstLine="0"/>
        <w:jc w:val="left"/>
        <w:rPr>
          <w:rFonts w:ascii="宋体" w:hAnsi="宋体" w:cs="宋体" w:eastAsia="宋体" w:hint="default"/>
          <w:sz w:val="21"/>
          <w:szCs w:val="21"/>
        </w:rPr>
      </w:pPr>
      <w:r>
        <w:rPr>
          <w:rFonts w:ascii="宋体" w:hAnsi="宋体" w:cs="宋体" w:eastAsia="宋体" w:hint="default"/>
          <w:w w:val="90"/>
          <w:sz w:val="21"/>
          <w:szCs w:val="21"/>
        </w:rPr>
        <w:t>计</w:t>
      </w:r>
      <w:r>
        <w:rPr>
          <w:rFonts w:ascii="宋体" w:hAnsi="宋体" w:cs="宋体" w:eastAsia="宋体" w:hint="default"/>
          <w:spacing w:val="-60"/>
          <w:w w:val="90"/>
          <w:sz w:val="21"/>
          <w:szCs w:val="21"/>
        </w:rPr>
        <w:t> </w:t>
      </w:r>
      <w:r>
        <w:rPr>
          <w:rFonts w:ascii="Arial" w:hAnsi="Arial" w:cs="Arial" w:eastAsia="Arial" w:hint="default"/>
          <w:w w:val="90"/>
          <w:sz w:val="18"/>
          <w:szCs w:val="18"/>
        </w:rPr>
        <w:t>4,025,215.43</w:t>
      </w:r>
      <w:r>
        <w:rPr>
          <w:rFonts w:ascii="Arial" w:hAnsi="Arial" w:cs="Arial" w:eastAsia="Arial" w:hint="default"/>
          <w:spacing w:val="-15"/>
          <w:w w:val="90"/>
          <w:sz w:val="18"/>
          <w:szCs w:val="18"/>
        </w:rPr>
        <w:t> </w:t>
      </w:r>
      <w:r>
        <w:rPr>
          <w:rFonts w:ascii="宋体" w:hAnsi="宋体" w:cs="宋体" w:eastAsia="宋体" w:hint="default"/>
          <w:w w:val="90"/>
          <w:sz w:val="18"/>
          <w:szCs w:val="18"/>
        </w:rPr>
        <w:t>元</w:t>
      </w:r>
      <w:r>
        <w:rPr>
          <w:rFonts w:ascii="宋体" w:hAnsi="宋体" w:cs="宋体" w:eastAsia="宋体" w:hint="default"/>
          <w:w w:val="90"/>
          <w:sz w:val="21"/>
          <w:szCs w:val="21"/>
        </w:rPr>
        <w:t>。</w:t>
      </w:r>
    </w:p>
    <w:p>
      <w:pPr>
        <w:pStyle w:val="BodyText"/>
        <w:spacing w:line="240" w:lineRule="auto" w:before="125"/>
        <w:ind w:left="657" w:right="113"/>
        <w:jc w:val="left"/>
      </w:pPr>
      <w:r>
        <w:rPr/>
        <w:pict>
          <v:group style="position:absolute;margin-left:83.040001pt;margin-top:28.773649pt;width:455pt;height:105.6pt;mso-position-horizontal-relative:page;mso-position-vertical-relative:paragraph;z-index:-1227568" coordorigin="1661,575" coordsize="9100,2112">
            <v:shape style="position:absolute;left:5538;top:575;width:2640;height:384" type="#_x0000_t75" stroked="false">
              <v:imagedata r:id="rId97" o:title=""/>
            </v:shape>
            <v:shape style="position:absolute;left:1661;top:918;width:9100;height:1769" type="#_x0000_t75" stroked="false">
              <v:imagedata r:id="rId98" o:title=""/>
            </v:shape>
            <w10:wrap type="none"/>
          </v:group>
        </w:pict>
      </w:r>
      <w:r>
        <w:rPr/>
        <w:t>其中受限制的货币资金明细如下：</w:t>
      </w:r>
    </w:p>
    <w:p>
      <w:pPr>
        <w:spacing w:line="240" w:lineRule="auto" w:before="12"/>
        <w:rPr>
          <w:rFonts w:ascii="宋体" w:hAnsi="宋体" w:cs="宋体" w:eastAsia="宋体" w:hint="default"/>
          <w:sz w:val="13"/>
          <w:szCs w:val="13"/>
        </w:rPr>
      </w:pPr>
    </w:p>
    <w:tbl>
      <w:tblPr>
        <w:tblW w:w="0" w:type="auto"/>
        <w:jc w:val="left"/>
        <w:tblInd w:w="202" w:type="dxa"/>
        <w:tblLayout w:type="fixed"/>
        <w:tblCellMar>
          <w:top w:w="0" w:type="dxa"/>
          <w:left w:w="0" w:type="dxa"/>
          <w:bottom w:w="0" w:type="dxa"/>
          <w:right w:w="0" w:type="dxa"/>
        </w:tblCellMar>
        <w:tblLook w:val="01E0"/>
      </w:tblPr>
      <w:tblGrid>
        <w:gridCol w:w="4095"/>
        <w:gridCol w:w="2706"/>
        <w:gridCol w:w="2101"/>
      </w:tblGrid>
      <w:tr>
        <w:trPr>
          <w:trHeight w:val="717" w:hRule="exact"/>
        </w:trPr>
        <w:tc>
          <w:tcPr>
            <w:tcW w:w="4095" w:type="dxa"/>
            <w:tcBorders>
              <w:top w:val="single" w:sz="12" w:space="0" w:color="000000"/>
              <w:left w:val="nil" w:sz="6" w:space="0" w:color="auto"/>
              <w:bottom w:val="nil" w:sz="6" w:space="0" w:color="auto"/>
              <w:right w:val="nil" w:sz="6" w:space="0" w:color="auto"/>
            </w:tcBorders>
          </w:tcPr>
          <w:p>
            <w:pPr>
              <w:pStyle w:val="TableParagraph"/>
              <w:tabs>
                <w:tab w:pos="1999" w:val="left" w:leader="none"/>
              </w:tabs>
              <w:spacing w:line="357" w:lineRule="auto" w:before="23"/>
              <w:ind w:left="35" w:right="638" w:firstLine="1514"/>
              <w:jc w:val="left"/>
              <w:rPr>
                <w:rFonts w:ascii="宋体" w:hAnsi="宋体" w:cs="宋体" w:eastAsia="宋体" w:hint="default"/>
                <w:sz w:val="18"/>
                <w:szCs w:val="18"/>
              </w:rPr>
            </w:pPr>
            <w:r>
              <w:rPr>
                <w:rFonts w:ascii="宋体" w:hAnsi="宋体" w:cs="宋体" w:eastAsia="宋体" w:hint="default"/>
                <w:sz w:val="18"/>
                <w:szCs w:val="18"/>
              </w:rPr>
              <w:t>项</w:t>
              <w:tab/>
              <w:t>目 向法院提出财产保全申请已冻结的银行存款</w:t>
            </w:r>
          </w:p>
        </w:tc>
        <w:tc>
          <w:tcPr>
            <w:tcW w:w="2706" w:type="dxa"/>
            <w:tcBorders>
              <w:top w:val="single" w:sz="12" w:space="0" w:color="000000"/>
              <w:left w:val="nil" w:sz="6" w:space="0" w:color="auto"/>
              <w:bottom w:val="nil" w:sz="6" w:space="0" w:color="auto"/>
              <w:right w:val="nil" w:sz="6" w:space="0" w:color="auto"/>
            </w:tcBorders>
          </w:tcPr>
          <w:p>
            <w:pPr>
              <w:pStyle w:val="TableParagraph"/>
              <w:spacing w:line="240" w:lineRule="auto" w:before="23"/>
              <w:ind w:left="640"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116"/>
              <w:ind w:left="1105" w:right="0"/>
              <w:jc w:val="left"/>
              <w:rPr>
                <w:rFonts w:ascii="宋体" w:hAnsi="宋体" w:cs="宋体" w:eastAsia="宋体" w:hint="default"/>
                <w:sz w:val="18"/>
                <w:szCs w:val="18"/>
              </w:rPr>
            </w:pPr>
            <w:r>
              <w:rPr>
                <w:rFonts w:ascii="宋体"/>
                <w:sz w:val="18"/>
              </w:rPr>
              <w:t>4,025,215.43</w:t>
            </w:r>
          </w:p>
        </w:tc>
        <w:tc>
          <w:tcPr>
            <w:tcW w:w="2101" w:type="dxa"/>
            <w:tcBorders>
              <w:top w:val="single" w:sz="12" w:space="0" w:color="000000"/>
              <w:left w:val="nil" w:sz="6" w:space="0" w:color="auto"/>
              <w:bottom w:val="nil" w:sz="6" w:space="0" w:color="auto"/>
              <w:right w:val="nil" w:sz="6" w:space="0" w:color="auto"/>
            </w:tcBorders>
          </w:tcPr>
          <w:p>
            <w:pPr>
              <w:pStyle w:val="TableParagraph"/>
              <w:spacing w:line="240" w:lineRule="auto" w:before="23"/>
              <w:ind w:left="520"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129"/>
              <w:ind w:left="985" w:right="0"/>
              <w:jc w:val="left"/>
              <w:rPr>
                <w:rFonts w:ascii="宋体" w:hAnsi="宋体" w:cs="宋体" w:eastAsia="宋体" w:hint="default"/>
                <w:sz w:val="18"/>
                <w:szCs w:val="18"/>
              </w:rPr>
            </w:pPr>
            <w:r>
              <w:rPr>
                <w:rFonts w:ascii="宋体"/>
                <w:sz w:val="18"/>
              </w:rPr>
              <w:t>1,889,224.86</w:t>
            </w:r>
          </w:p>
        </w:tc>
      </w:tr>
      <w:tr>
        <w:trPr>
          <w:trHeight w:val="350"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70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18"/>
              <w:jc w:val="right"/>
              <w:rPr>
                <w:rFonts w:ascii="宋体" w:hAnsi="宋体" w:cs="宋体" w:eastAsia="宋体" w:hint="default"/>
                <w:sz w:val="18"/>
                <w:szCs w:val="18"/>
              </w:rPr>
            </w:pPr>
            <w:r>
              <w:rPr>
                <w:rFonts w:ascii="宋体"/>
                <w:sz w:val="18"/>
              </w:rPr>
              <w:t>2,958,568.82</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宋体" w:hAnsi="宋体" w:cs="宋体" w:eastAsia="宋体" w:hint="default"/>
                <w:sz w:val="18"/>
                <w:szCs w:val="18"/>
              </w:rPr>
            </w:pPr>
            <w:r>
              <w:rPr>
                <w:rFonts w:ascii="宋体"/>
                <w:sz w:val="18"/>
              </w:rPr>
              <w:t>2,132,619.60</w:t>
            </w:r>
          </w:p>
        </w:tc>
      </w:tr>
      <w:tr>
        <w:trPr>
          <w:trHeight w:val="350"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履约及保函保证金</w:t>
            </w:r>
          </w:p>
        </w:tc>
        <w:tc>
          <w:tcPr>
            <w:tcW w:w="270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18"/>
              <w:jc w:val="right"/>
              <w:rPr>
                <w:rFonts w:ascii="宋体" w:hAnsi="宋体" w:cs="宋体" w:eastAsia="宋体" w:hint="default"/>
                <w:sz w:val="18"/>
                <w:szCs w:val="18"/>
              </w:rPr>
            </w:pPr>
            <w:r>
              <w:rPr>
                <w:rFonts w:ascii="宋体"/>
                <w:sz w:val="18"/>
              </w:rPr>
              <w:t>6,857,875.49</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宋体" w:hAnsi="宋体" w:cs="宋体" w:eastAsia="宋体" w:hint="default"/>
                <w:sz w:val="18"/>
                <w:szCs w:val="18"/>
              </w:rPr>
            </w:pPr>
            <w:r>
              <w:rPr>
                <w:rFonts w:ascii="宋体"/>
                <w:sz w:val="18"/>
              </w:rPr>
              <w:t>4,364,671.49</w:t>
            </w:r>
          </w:p>
        </w:tc>
      </w:tr>
      <w:tr>
        <w:trPr>
          <w:trHeight w:val="349"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支付宝保证金</w:t>
            </w:r>
          </w:p>
        </w:tc>
        <w:tc>
          <w:tcPr>
            <w:tcW w:w="270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18"/>
              <w:jc w:val="right"/>
              <w:rPr>
                <w:rFonts w:ascii="宋体" w:hAnsi="宋体" w:cs="宋体" w:eastAsia="宋体" w:hint="default"/>
                <w:sz w:val="18"/>
                <w:szCs w:val="18"/>
              </w:rPr>
            </w:pPr>
            <w:r>
              <w:rPr>
                <w:rFonts w:ascii="宋体"/>
                <w:sz w:val="18"/>
              </w:rPr>
              <w:t>50,000.00</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18"/>
                <w:szCs w:val="18"/>
              </w:rPr>
            </w:pPr>
            <w:r>
              <w:rPr>
                <w:rFonts w:ascii="宋体"/>
                <w:sz w:val="18"/>
              </w:rPr>
              <w:t>50,000.00</w:t>
            </w:r>
          </w:p>
        </w:tc>
      </w:tr>
      <w:tr>
        <w:trPr>
          <w:trHeight w:val="354" w:hRule="exact"/>
        </w:trPr>
        <w:tc>
          <w:tcPr>
            <w:tcW w:w="4095"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right="365"/>
              <w:jc w:val="center"/>
              <w:rPr>
                <w:rFonts w:ascii="宋体" w:hAnsi="宋体" w:cs="宋体" w:eastAsia="宋体" w:hint="default"/>
                <w:sz w:val="18"/>
                <w:szCs w:val="18"/>
              </w:rPr>
            </w:pPr>
            <w:r>
              <w:rPr>
                <w:rFonts w:ascii="宋体" w:hAnsi="宋体" w:cs="宋体" w:eastAsia="宋体" w:hint="default"/>
                <w:sz w:val="18"/>
                <w:szCs w:val="18"/>
              </w:rPr>
              <w:t>合计</w:t>
            </w:r>
          </w:p>
        </w:tc>
        <w:tc>
          <w:tcPr>
            <w:tcW w:w="2706" w:type="dxa"/>
            <w:tcBorders>
              <w:top w:val="nil" w:sz="6" w:space="0" w:color="auto"/>
              <w:left w:val="nil" w:sz="6" w:space="0" w:color="auto"/>
              <w:bottom w:val="single" w:sz="12" w:space="0" w:color="000000"/>
              <w:right w:val="nil" w:sz="6" w:space="0" w:color="auto"/>
            </w:tcBorders>
          </w:tcPr>
          <w:p>
            <w:pPr>
              <w:pStyle w:val="TableParagraph"/>
              <w:spacing w:line="240" w:lineRule="auto" w:before="23"/>
              <w:ind w:right="518"/>
              <w:jc w:val="right"/>
              <w:rPr>
                <w:rFonts w:ascii="宋体" w:hAnsi="宋体" w:cs="宋体" w:eastAsia="宋体" w:hint="default"/>
                <w:sz w:val="18"/>
                <w:szCs w:val="18"/>
              </w:rPr>
            </w:pPr>
            <w:r>
              <w:rPr>
                <w:rFonts w:ascii="宋体"/>
                <w:sz w:val="18"/>
              </w:rPr>
              <w:t>13,891,659.74</w:t>
            </w:r>
          </w:p>
        </w:tc>
        <w:tc>
          <w:tcPr>
            <w:tcW w:w="2101" w:type="dxa"/>
            <w:tcBorders>
              <w:top w:val="nil" w:sz="6" w:space="0" w:color="auto"/>
              <w:left w:val="nil" w:sz="6" w:space="0" w:color="auto"/>
              <w:bottom w:val="single" w:sz="12" w:space="0" w:color="000000"/>
              <w:right w:val="nil" w:sz="6" w:space="0" w:color="auto"/>
            </w:tcBorders>
          </w:tcPr>
          <w:p>
            <w:pPr>
              <w:pStyle w:val="TableParagraph"/>
              <w:spacing w:line="240" w:lineRule="auto" w:before="37"/>
              <w:ind w:right="33"/>
              <w:jc w:val="right"/>
              <w:rPr>
                <w:rFonts w:ascii="宋体" w:hAnsi="宋体" w:cs="宋体" w:eastAsia="宋体" w:hint="default"/>
                <w:sz w:val="18"/>
                <w:szCs w:val="18"/>
              </w:rPr>
            </w:pPr>
            <w:r>
              <w:rPr>
                <w:rFonts w:ascii="宋体"/>
                <w:sz w:val="18"/>
              </w:rPr>
              <w:t>8,436,515.95</w:t>
            </w:r>
          </w:p>
        </w:tc>
      </w:tr>
    </w:tbl>
    <w:p>
      <w:pPr>
        <w:spacing w:line="240" w:lineRule="auto" w:before="6"/>
        <w:rPr>
          <w:rFonts w:ascii="宋体" w:hAnsi="宋体" w:cs="宋体" w:eastAsia="宋体" w:hint="default"/>
          <w:sz w:val="23"/>
          <w:szCs w:val="23"/>
        </w:rPr>
      </w:pPr>
    </w:p>
    <w:p>
      <w:pPr>
        <w:pStyle w:val="Heading3"/>
        <w:spacing w:line="240" w:lineRule="auto"/>
        <w:ind w:left="237" w:right="113"/>
        <w:jc w:val="left"/>
        <w:rPr>
          <w:b w:val="0"/>
          <w:bCs w:val="0"/>
        </w:rPr>
      </w:pPr>
      <w:r>
        <w:rPr/>
        <w:t>2、</w:t>
      </w:r>
      <w:r>
        <w:rPr>
          <w:spacing w:val="-9"/>
        </w:rPr>
        <w:t> </w:t>
      </w:r>
      <w:r>
        <w:rPr/>
        <w:t>以公允价值计量且其变动计入当期损益的金融资产</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33"/>
        <w:gridCol w:w="2897"/>
        <w:gridCol w:w="3019"/>
      </w:tblGrid>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128"/>
              <w:jc w:val="right"/>
              <w:rPr>
                <w:rFonts w:ascii="宋体" w:hAnsi="宋体" w:cs="宋体" w:eastAsia="宋体" w:hint="default"/>
                <w:sz w:val="21"/>
                <w:szCs w:val="21"/>
              </w:rPr>
            </w:pPr>
            <w:r>
              <w:rPr>
                <w:rFonts w:ascii="宋体" w:hAnsi="宋体" w:cs="宋体" w:eastAsia="宋体" w:hint="default"/>
                <w:sz w:val="21"/>
                <w:szCs w:val="21"/>
              </w:rPr>
              <w:t>权益工具投资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128"/>
              <w:jc w:val="right"/>
              <w:rPr>
                <w:rFonts w:ascii="宋体" w:hAnsi="宋体" w:cs="宋体" w:eastAsia="宋体" w:hint="default"/>
                <w:sz w:val="21"/>
                <w:szCs w:val="21"/>
              </w:rPr>
            </w:pPr>
            <w:r>
              <w:rPr>
                <w:rFonts w:ascii="宋体" w:hAnsi="宋体" w:cs="宋体" w:eastAsia="宋体" w:hint="default"/>
                <w:sz w:val="21"/>
                <w:szCs w:val="21"/>
              </w:rPr>
              <w:t>衍生金融资产</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128"/>
              <w:jc w:val="right"/>
              <w:rPr>
                <w:rFonts w:ascii="宋体" w:hAnsi="宋体" w:cs="宋体" w:eastAsia="宋体" w:hint="default"/>
                <w:sz w:val="21"/>
                <w:szCs w:val="21"/>
              </w:rPr>
            </w:pPr>
            <w:r>
              <w:rPr>
                <w:rFonts w:ascii="宋体" w:hAnsi="宋体" w:cs="宋体" w:eastAsia="宋体" w:hint="default"/>
                <w:sz w:val="21"/>
                <w:szCs w:val="21"/>
              </w:rPr>
              <w:t>权益工具投资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left="237" w:right="113"/>
        <w:jc w:val="left"/>
      </w:pPr>
      <w:r>
        <w:rPr/>
        <w:t>其他说明：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58"/>
        <w:ind w:left="237" w:right="113"/>
        <w:jc w:val="left"/>
        <w:rPr>
          <w:b w:val="0"/>
          <w:bCs w:val="0"/>
        </w:rPr>
      </w:pPr>
      <w:r>
        <w:rPr/>
        <w:t>3、</w:t>
      </w:r>
      <w:r>
        <w:rPr>
          <w:spacing w:val="-6"/>
        </w:rPr>
        <w:t> </w:t>
      </w:r>
      <w:r>
        <w:rPr/>
        <w:t>衍生金融资产</w:t>
      </w:r>
      <w:r>
        <w:rPr>
          <w:b w:val="0"/>
          <w:bCs w:val="0"/>
        </w:rPr>
      </w:r>
    </w:p>
    <w:p>
      <w:pPr>
        <w:pStyle w:val="BodyText"/>
        <w:spacing w:line="240" w:lineRule="auto" w:before="97"/>
        <w:ind w:left="237" w:right="113"/>
        <w:jc w:val="left"/>
      </w:pPr>
      <w:r>
        <w:rPr/>
        <w:t>□适用</w:t>
      </w:r>
      <w:r>
        <w:rPr>
          <w:spacing w:val="-2"/>
        </w:rPr>
        <w:t> </w:t>
      </w:r>
      <w:r>
        <w:rPr/>
        <w:t>□不适用</w:t>
      </w:r>
    </w:p>
    <w:p>
      <w:pPr>
        <w:spacing w:after="0" w:line="240" w:lineRule="auto"/>
        <w:jc w:val="left"/>
        <w:sectPr>
          <w:type w:val="continuous"/>
          <w:pgSz w:w="11910" w:h="16840"/>
          <w:pgMar w:top="1080" w:bottom="1380" w:left="15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44" w:type="dxa"/>
        <w:tblLayout w:type="fixed"/>
        <w:tblCellMar>
          <w:top w:w="0" w:type="dxa"/>
          <w:left w:w="0" w:type="dxa"/>
          <w:bottom w:w="0" w:type="dxa"/>
          <w:right w:w="0" w:type="dxa"/>
        </w:tblCellMar>
        <w:tblLook w:val="01E0"/>
      </w:tblPr>
      <w:tblGrid>
        <w:gridCol w:w="3650"/>
        <w:gridCol w:w="2688"/>
        <w:gridCol w:w="2711"/>
      </w:tblGrid>
      <w:tr>
        <w:trPr>
          <w:trHeight w:val="324" w:hRule="exact"/>
        </w:trPr>
        <w:tc>
          <w:tcPr>
            <w:tcW w:w="3650" w:type="dxa"/>
            <w:tcBorders>
              <w:top w:val="single" w:sz="4" w:space="0" w:color="000000"/>
              <w:left w:val="single" w:sz="4" w:space="0" w:color="000000"/>
              <w:bottom w:val="single" w:sz="6" w:space="0" w:color="000000"/>
              <w:right w:val="single" w:sz="6"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11" w:type="dxa"/>
            <w:tcBorders>
              <w:top w:val="single" w:sz="4" w:space="0" w:color="000000"/>
              <w:left w:val="single" w:sz="6" w:space="0" w:color="000000"/>
              <w:bottom w:val="single" w:sz="6" w:space="0" w:color="000000"/>
              <w:right w:val="single" w:sz="4" w:space="0" w:color="000000"/>
            </w:tcBorders>
          </w:tcPr>
          <w:p>
            <w:pPr>
              <w:pStyle w:val="TableParagraph"/>
              <w:spacing w:line="260" w:lineRule="exact"/>
              <w:ind w:right="4"/>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8" w:hRule="exact"/>
        </w:trPr>
        <w:tc>
          <w:tcPr>
            <w:tcW w:w="3650" w:type="dxa"/>
            <w:tcBorders>
              <w:top w:val="single" w:sz="6" w:space="0" w:color="000000"/>
              <w:left w:val="single" w:sz="4" w:space="0" w:color="000000"/>
              <w:bottom w:val="single" w:sz="6" w:space="0" w:color="000000"/>
              <w:right w:val="single" w:sz="6" w:space="0" w:color="000000"/>
            </w:tcBorders>
          </w:tcPr>
          <w:p>
            <w:pPr/>
          </w:p>
        </w:tc>
        <w:tc>
          <w:tcPr>
            <w:tcW w:w="2688" w:type="dxa"/>
            <w:tcBorders>
              <w:top w:val="single" w:sz="6" w:space="0" w:color="000000"/>
              <w:left w:val="single" w:sz="6" w:space="0" w:color="000000"/>
              <w:bottom w:val="single" w:sz="6" w:space="0" w:color="000000"/>
              <w:right w:val="single" w:sz="6" w:space="0" w:color="000000"/>
            </w:tcBorders>
          </w:tcPr>
          <w:p>
            <w:pPr/>
          </w:p>
        </w:tc>
        <w:tc>
          <w:tcPr>
            <w:tcW w:w="2711"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3650" w:type="dxa"/>
            <w:tcBorders>
              <w:top w:val="single" w:sz="6" w:space="0" w:color="000000"/>
              <w:left w:val="single" w:sz="4" w:space="0" w:color="000000"/>
              <w:bottom w:val="single" w:sz="6" w:space="0" w:color="000000"/>
              <w:right w:val="single" w:sz="6" w:space="0" w:color="000000"/>
            </w:tcBorders>
          </w:tcPr>
          <w:p>
            <w:pPr/>
          </w:p>
        </w:tc>
        <w:tc>
          <w:tcPr>
            <w:tcW w:w="2688" w:type="dxa"/>
            <w:tcBorders>
              <w:top w:val="single" w:sz="6" w:space="0" w:color="000000"/>
              <w:left w:val="single" w:sz="6" w:space="0" w:color="000000"/>
              <w:bottom w:val="single" w:sz="6" w:space="0" w:color="000000"/>
              <w:right w:val="single" w:sz="6" w:space="0" w:color="000000"/>
            </w:tcBorders>
          </w:tcPr>
          <w:p>
            <w:pPr/>
          </w:p>
        </w:tc>
        <w:tc>
          <w:tcPr>
            <w:tcW w:w="2711" w:type="dxa"/>
            <w:tcBorders>
              <w:top w:val="single" w:sz="6" w:space="0" w:color="000000"/>
              <w:left w:val="single" w:sz="6" w:space="0" w:color="000000"/>
              <w:bottom w:val="single" w:sz="6" w:space="0" w:color="000000"/>
              <w:right w:val="single" w:sz="4" w:space="0" w:color="000000"/>
            </w:tcBorders>
          </w:tcPr>
          <w:p>
            <w:pPr/>
          </w:p>
        </w:tc>
      </w:tr>
      <w:tr>
        <w:trPr>
          <w:trHeight w:val="325" w:hRule="exact"/>
        </w:trPr>
        <w:tc>
          <w:tcPr>
            <w:tcW w:w="3650" w:type="dxa"/>
            <w:tcBorders>
              <w:top w:val="single" w:sz="6" w:space="0" w:color="000000"/>
              <w:left w:val="single" w:sz="4" w:space="0" w:color="000000"/>
              <w:bottom w:val="single" w:sz="4" w:space="0" w:color="000000"/>
              <w:right w:val="single" w:sz="6"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88" w:type="dxa"/>
            <w:tcBorders>
              <w:top w:val="single" w:sz="6" w:space="0" w:color="000000"/>
              <w:left w:val="single" w:sz="6" w:space="0" w:color="000000"/>
              <w:bottom w:val="single" w:sz="4" w:space="0" w:color="000000"/>
              <w:right w:val="single" w:sz="6" w:space="0" w:color="000000"/>
            </w:tcBorders>
          </w:tcPr>
          <w:p>
            <w:pPr/>
          </w:p>
        </w:tc>
        <w:tc>
          <w:tcPr>
            <w:tcW w:w="2711"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60" w:lineRule="exact"/>
        <w:ind w:left="257" w:right="240"/>
        <w:jc w:val="left"/>
      </w:pPr>
      <w:r>
        <w:rPr/>
        <w:t>其他说明：</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7" w:top="1120" w:bottom="1380" w:left="1540" w:right="1040"/>
        </w:sectPr>
      </w:pPr>
    </w:p>
    <w:p>
      <w:pPr>
        <w:pStyle w:val="Heading3"/>
        <w:spacing w:line="240" w:lineRule="auto"/>
        <w:ind w:left="257" w:right="-19"/>
        <w:jc w:val="left"/>
        <w:rPr>
          <w:b w:val="0"/>
          <w:bCs w:val="0"/>
        </w:rPr>
      </w:pPr>
      <w:r>
        <w:rPr/>
        <w:t>4、</w:t>
      </w:r>
      <w:r>
        <w:rPr>
          <w:spacing w:val="-3"/>
        </w:rPr>
        <w:t> </w:t>
      </w:r>
      <w:r>
        <w:rPr/>
        <w:t>应收票据</w:t>
      </w:r>
      <w:r>
        <w:rPr>
          <w:b w:val="0"/>
          <w:bCs w:val="0"/>
        </w:rPr>
      </w:r>
    </w:p>
    <w:p>
      <w:pPr>
        <w:pStyle w:val="Heading3"/>
        <w:spacing w:line="240" w:lineRule="auto" w:before="97"/>
        <w:ind w:left="257" w:right="-19"/>
        <w:jc w:val="left"/>
        <w:rPr>
          <w:b w:val="0"/>
          <w:bCs w:val="0"/>
        </w:rPr>
      </w:pPr>
      <w:r>
        <w:rPr/>
        <w:t>(1). 应收票据分类列示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7"/>
          <w:szCs w:val="17"/>
        </w:rPr>
      </w:pPr>
    </w:p>
    <w:p>
      <w:pPr>
        <w:pStyle w:val="BodyText"/>
        <w:tabs>
          <w:tab w:pos="1307" w:val="left" w:leader="none"/>
        </w:tabs>
        <w:spacing w:line="240" w:lineRule="auto"/>
        <w:ind w:left="257" w:right="0"/>
        <w:jc w:val="left"/>
      </w:pPr>
      <w:r>
        <w:rPr/>
        <w:t>单位：元</w:t>
        <w:tab/>
        <w:t>币种：人民币</w:t>
      </w:r>
    </w:p>
    <w:p>
      <w:pPr>
        <w:spacing w:after="0" w:line="240" w:lineRule="auto"/>
        <w:jc w:val="left"/>
        <w:sectPr>
          <w:type w:val="continuous"/>
          <w:pgSz w:w="11910" w:h="16840"/>
          <w:pgMar w:top="1080" w:bottom="1380" w:left="1540" w:right="1040"/>
          <w:cols w:num="2" w:equalWidth="0">
            <w:col w:w="2474" w:space="4049"/>
            <w:col w:w="2807"/>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965"/>
        <w:gridCol w:w="3145"/>
        <w:gridCol w:w="2894"/>
      </w:tblGrid>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3"/>
              <w:jc w:val="right"/>
              <w:rPr>
                <w:rFonts w:ascii="宋体" w:hAnsi="宋体" w:cs="宋体" w:eastAsia="宋体" w:hint="default"/>
                <w:sz w:val="21"/>
                <w:szCs w:val="21"/>
              </w:rPr>
            </w:pPr>
            <w:r>
              <w:rPr>
                <w:rFonts w:ascii="宋体"/>
                <w:spacing w:val="-1"/>
                <w:sz w:val="21"/>
              </w:rPr>
              <w:t>45,048,580.82</w:t>
            </w:r>
          </w:p>
        </w:tc>
        <w:tc>
          <w:tcPr>
            <w:tcW w:w="28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3"/>
              <w:jc w:val="right"/>
              <w:rPr>
                <w:rFonts w:ascii="宋体" w:hAnsi="宋体" w:cs="宋体" w:eastAsia="宋体" w:hint="default"/>
                <w:sz w:val="21"/>
                <w:szCs w:val="21"/>
              </w:rPr>
            </w:pPr>
            <w:r>
              <w:rPr>
                <w:rFonts w:ascii="宋体"/>
                <w:spacing w:val="-1"/>
                <w:sz w:val="21"/>
              </w:rPr>
              <w:t>23,575,484.78</w:t>
            </w:r>
          </w:p>
        </w:tc>
      </w:tr>
      <w:tr>
        <w:trPr>
          <w:trHeight w:val="326"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2"/>
              <w:jc w:val="right"/>
              <w:rPr>
                <w:rFonts w:ascii="宋体" w:hAnsi="宋体" w:cs="宋体" w:eastAsia="宋体" w:hint="default"/>
                <w:sz w:val="21"/>
                <w:szCs w:val="21"/>
              </w:rPr>
            </w:pPr>
            <w:r>
              <w:rPr>
                <w:rFonts w:ascii="宋体"/>
                <w:spacing w:val="-1"/>
                <w:sz w:val="21"/>
              </w:rPr>
              <w:t>835,012.50</w:t>
            </w:r>
          </w:p>
        </w:tc>
        <w:tc>
          <w:tcPr>
            <w:tcW w:w="289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3"/>
              <w:jc w:val="right"/>
              <w:rPr>
                <w:rFonts w:ascii="宋体" w:hAnsi="宋体" w:cs="宋体" w:eastAsia="宋体" w:hint="default"/>
                <w:sz w:val="21"/>
                <w:szCs w:val="21"/>
              </w:rPr>
            </w:pPr>
            <w:r>
              <w:rPr>
                <w:rFonts w:ascii="宋体"/>
                <w:spacing w:val="-1"/>
                <w:sz w:val="21"/>
              </w:rPr>
              <w:t>3,785,492.50</w:t>
            </w:r>
          </w:p>
        </w:tc>
      </w:tr>
      <w:tr>
        <w:trPr>
          <w:trHeight w:val="328" w:hRule="exact"/>
        </w:trPr>
        <w:tc>
          <w:tcPr>
            <w:tcW w:w="2965" w:type="dxa"/>
            <w:tcBorders>
              <w:top w:val="single" w:sz="6" w:space="0" w:color="000000"/>
              <w:left w:val="single" w:sz="6" w:space="0" w:color="000000"/>
              <w:bottom w:val="single" w:sz="6" w:space="0" w:color="000000"/>
              <w:right w:val="single" w:sz="6" w:space="0" w:color="000000"/>
            </w:tcBorders>
          </w:tcPr>
          <w:p>
            <w:pPr/>
          </w:p>
        </w:tc>
        <w:tc>
          <w:tcPr>
            <w:tcW w:w="3145" w:type="dxa"/>
            <w:tcBorders>
              <w:top w:val="single" w:sz="6" w:space="0" w:color="000000"/>
              <w:left w:val="single" w:sz="6" w:space="0" w:color="000000"/>
              <w:bottom w:val="single" w:sz="6" w:space="0" w:color="000000"/>
              <w:right w:val="single" w:sz="6" w:space="0" w:color="000000"/>
            </w:tcBorders>
          </w:tcPr>
          <w:p>
            <w:pPr/>
          </w:p>
        </w:tc>
        <w:tc>
          <w:tcPr>
            <w:tcW w:w="28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965" w:type="dxa"/>
            <w:tcBorders>
              <w:top w:val="single" w:sz="6" w:space="0" w:color="000000"/>
              <w:left w:val="single" w:sz="6" w:space="0" w:color="000000"/>
              <w:bottom w:val="single" w:sz="6" w:space="0" w:color="000000"/>
              <w:right w:val="single" w:sz="6" w:space="0" w:color="000000"/>
            </w:tcBorders>
          </w:tcPr>
          <w:p>
            <w:pPr/>
          </w:p>
        </w:tc>
        <w:tc>
          <w:tcPr>
            <w:tcW w:w="3145" w:type="dxa"/>
            <w:tcBorders>
              <w:top w:val="single" w:sz="6" w:space="0" w:color="000000"/>
              <w:left w:val="single" w:sz="6" w:space="0" w:color="000000"/>
              <w:bottom w:val="single" w:sz="6" w:space="0" w:color="000000"/>
              <w:right w:val="single" w:sz="6" w:space="0" w:color="000000"/>
            </w:tcBorders>
          </w:tcPr>
          <w:p>
            <w:pPr/>
          </w:p>
        </w:tc>
        <w:tc>
          <w:tcPr>
            <w:tcW w:w="28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
              <w:jc w:val="right"/>
              <w:rPr>
                <w:rFonts w:ascii="宋体" w:hAnsi="宋体" w:cs="宋体" w:eastAsia="宋体" w:hint="default"/>
                <w:sz w:val="21"/>
                <w:szCs w:val="21"/>
              </w:rPr>
            </w:pPr>
            <w:r>
              <w:rPr>
                <w:rFonts w:ascii="宋体"/>
                <w:spacing w:val="-1"/>
                <w:sz w:val="21"/>
              </w:rPr>
              <w:t>45,883,593.32</w:t>
            </w:r>
          </w:p>
        </w:tc>
        <w:tc>
          <w:tcPr>
            <w:tcW w:w="28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
              <w:jc w:val="right"/>
              <w:rPr>
                <w:rFonts w:ascii="宋体" w:hAnsi="宋体" w:cs="宋体" w:eastAsia="宋体" w:hint="default"/>
                <w:sz w:val="21"/>
                <w:szCs w:val="21"/>
              </w:rPr>
            </w:pPr>
            <w:r>
              <w:rPr>
                <w:rFonts w:ascii="宋体"/>
                <w:spacing w:val="-1"/>
                <w:sz w:val="21"/>
              </w:rPr>
              <w:t>27,360,977.28</w:t>
            </w:r>
          </w:p>
        </w:tc>
      </w:tr>
    </w:tbl>
    <w:p>
      <w:pPr>
        <w:spacing w:line="240" w:lineRule="auto" w:before="9"/>
        <w:rPr>
          <w:rFonts w:ascii="宋体" w:hAnsi="宋体" w:cs="宋体" w:eastAsia="宋体" w:hint="default"/>
          <w:sz w:val="21"/>
          <w:szCs w:val="21"/>
        </w:rPr>
      </w:pPr>
    </w:p>
    <w:p>
      <w:pPr>
        <w:pStyle w:val="Heading3"/>
        <w:spacing w:line="240" w:lineRule="auto"/>
        <w:ind w:left="257" w:right="240"/>
        <w:jc w:val="left"/>
        <w:rPr>
          <w:b w:val="0"/>
          <w:bCs w:val="0"/>
        </w:rPr>
      </w:pPr>
      <w:r>
        <w:rPr/>
        <w:t>(2).</w:t>
      </w:r>
      <w:r>
        <w:rPr>
          <w:spacing w:val="-3"/>
        </w:rPr>
        <w:t> </w:t>
      </w:r>
      <w:r>
        <w:rPr/>
        <w:t>期末公司已质押的应收票据</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44" w:type="dxa"/>
        <w:tblLayout w:type="fixed"/>
        <w:tblCellMar>
          <w:top w:w="0" w:type="dxa"/>
          <w:left w:w="0" w:type="dxa"/>
          <w:bottom w:w="0" w:type="dxa"/>
          <w:right w:w="0" w:type="dxa"/>
        </w:tblCellMar>
        <w:tblLook w:val="01E0"/>
      </w:tblPr>
      <w:tblGrid>
        <w:gridCol w:w="4390"/>
        <w:gridCol w:w="4660"/>
      </w:tblGrid>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9"/>
              <w:jc w:val="right"/>
              <w:rPr>
                <w:rFonts w:ascii="宋体" w:hAnsi="宋体" w:cs="宋体" w:eastAsia="宋体" w:hint="default"/>
                <w:sz w:val="21"/>
                <w:szCs w:val="21"/>
              </w:rPr>
            </w:pPr>
            <w:r>
              <w:rPr>
                <w:rFonts w:ascii="宋体" w:hAnsi="宋体" w:cs="宋体" w:eastAsia="宋体" w:hint="default"/>
                <w:sz w:val="21"/>
                <w:szCs w:val="21"/>
              </w:rPr>
              <w:t>项目</w:t>
            </w:r>
          </w:p>
        </w:tc>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期末已质押金额</w:t>
            </w:r>
          </w:p>
        </w:tc>
      </w:tr>
      <w:tr>
        <w:trPr>
          <w:trHeight w:val="28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466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466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0" w:type="dxa"/>
            <w:tcBorders>
              <w:top w:val="single" w:sz="4" w:space="0" w:color="000000"/>
              <w:left w:val="single" w:sz="4" w:space="0" w:color="000000"/>
              <w:bottom w:val="single" w:sz="4" w:space="0" w:color="000000"/>
              <w:right w:val="single" w:sz="4" w:space="0" w:color="000000"/>
            </w:tcBorders>
          </w:tcPr>
          <w:p>
            <w:pPr/>
          </w:p>
        </w:tc>
        <w:tc>
          <w:tcPr>
            <w:tcW w:w="46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
        </w:tc>
        <w:tc>
          <w:tcPr>
            <w:tcW w:w="46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79"/>
              <w:jc w:val="right"/>
              <w:rPr>
                <w:rFonts w:ascii="宋体" w:hAnsi="宋体" w:cs="宋体" w:eastAsia="宋体" w:hint="default"/>
                <w:sz w:val="21"/>
                <w:szCs w:val="21"/>
              </w:rPr>
            </w:pPr>
            <w:r>
              <w:rPr>
                <w:rFonts w:ascii="宋体" w:hAnsi="宋体" w:cs="宋体" w:eastAsia="宋体" w:hint="default"/>
                <w:sz w:val="21"/>
                <w:szCs w:val="21"/>
              </w:rPr>
              <w:t>合计</w:t>
            </w:r>
          </w:p>
        </w:tc>
        <w:tc>
          <w:tcPr>
            <w:tcW w:w="46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24"/>
          <w:szCs w:val="24"/>
        </w:rPr>
      </w:pPr>
    </w:p>
    <w:p>
      <w:pPr>
        <w:pStyle w:val="Heading3"/>
        <w:spacing w:line="240" w:lineRule="auto"/>
        <w:ind w:left="257" w:right="240"/>
        <w:jc w:val="left"/>
        <w:rPr>
          <w:b w:val="0"/>
          <w:bCs w:val="0"/>
        </w:rPr>
      </w:pPr>
      <w:r>
        <w:rPr/>
        <w:t>(3).</w:t>
      </w:r>
      <w:r>
        <w:rPr>
          <w:spacing w:val="-5"/>
        </w:rPr>
        <w:t> </w:t>
      </w:r>
      <w:r>
        <w:rPr/>
        <w:t>期末公司已背书或贴现且在资产负债表日尚未到期的应收票据：</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44" w:type="dxa"/>
        <w:tblLayout w:type="fixed"/>
        <w:tblCellMar>
          <w:top w:w="0" w:type="dxa"/>
          <w:left w:w="0" w:type="dxa"/>
          <w:bottom w:w="0" w:type="dxa"/>
          <w:right w:w="0" w:type="dxa"/>
        </w:tblCellMar>
        <w:tblLook w:val="01E0"/>
      </w:tblPr>
      <w:tblGrid>
        <w:gridCol w:w="2878"/>
        <w:gridCol w:w="3049"/>
        <w:gridCol w:w="3122"/>
      </w:tblGrid>
      <w:tr>
        <w:trPr>
          <w:trHeight w:val="325" w:hRule="exact"/>
        </w:trPr>
        <w:tc>
          <w:tcPr>
            <w:tcW w:w="2878" w:type="dxa"/>
            <w:tcBorders>
              <w:top w:val="single" w:sz="4" w:space="0" w:color="000000"/>
              <w:left w:val="single" w:sz="4" w:space="0" w:color="000000"/>
              <w:bottom w:val="single" w:sz="6" w:space="0" w:color="000000"/>
              <w:right w:val="single" w:sz="6" w:space="0" w:color="000000"/>
            </w:tcBorders>
          </w:tcPr>
          <w:p>
            <w:pPr>
              <w:pStyle w:val="TableParagraph"/>
              <w:spacing w:line="261" w:lineRule="exact"/>
              <w:ind w:right="1219"/>
              <w:jc w:val="right"/>
              <w:rPr>
                <w:rFonts w:ascii="宋体" w:hAnsi="宋体" w:cs="宋体" w:eastAsia="宋体" w:hint="default"/>
                <w:sz w:val="21"/>
                <w:szCs w:val="21"/>
              </w:rPr>
            </w:pPr>
            <w:r>
              <w:rPr>
                <w:rFonts w:ascii="宋体" w:hAnsi="宋体" w:cs="宋体" w:eastAsia="宋体" w:hint="default"/>
                <w:sz w:val="21"/>
                <w:szCs w:val="21"/>
              </w:rPr>
              <w:t>项目</w:t>
            </w:r>
          </w:p>
        </w:tc>
        <w:tc>
          <w:tcPr>
            <w:tcW w:w="3049" w:type="dxa"/>
            <w:tcBorders>
              <w:top w:val="single" w:sz="4" w:space="0" w:color="000000"/>
              <w:left w:val="single" w:sz="6" w:space="0" w:color="000000"/>
              <w:bottom w:val="single" w:sz="6" w:space="0" w:color="000000"/>
              <w:right w:val="single" w:sz="6" w:space="0" w:color="000000"/>
            </w:tcBorders>
          </w:tcPr>
          <w:p>
            <w:pPr>
              <w:pStyle w:val="TableParagraph"/>
              <w:spacing w:line="26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2" w:type="dxa"/>
            <w:tcBorders>
              <w:top w:val="single" w:sz="4" w:space="0" w:color="000000"/>
              <w:left w:val="single" w:sz="6" w:space="0" w:color="000000"/>
              <w:bottom w:val="single" w:sz="6" w:space="0" w:color="000000"/>
              <w:right w:val="single" w:sz="4" w:space="0" w:color="000000"/>
            </w:tcBorders>
          </w:tcPr>
          <w:p>
            <w:pPr>
              <w:pStyle w:val="TableParagraph"/>
              <w:spacing w:line="261" w:lineRule="exact"/>
              <w:ind w:left="608"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326"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8"/>
              <w:jc w:val="right"/>
              <w:rPr>
                <w:rFonts w:ascii="宋体" w:hAnsi="宋体" w:cs="宋体" w:eastAsia="宋体" w:hint="default"/>
                <w:sz w:val="21"/>
                <w:szCs w:val="21"/>
              </w:rPr>
            </w:pPr>
            <w:r>
              <w:rPr>
                <w:rFonts w:ascii="宋体"/>
                <w:sz w:val="21"/>
              </w:rPr>
              <w:t>52,495,251.04</w:t>
            </w:r>
          </w:p>
        </w:tc>
        <w:tc>
          <w:tcPr>
            <w:tcW w:w="3122" w:type="dxa"/>
            <w:tcBorders>
              <w:top w:val="single" w:sz="6" w:space="0" w:color="000000"/>
              <w:left w:val="single" w:sz="6" w:space="0" w:color="000000"/>
              <w:bottom w:val="single" w:sz="6" w:space="0" w:color="000000"/>
              <w:right w:val="single" w:sz="4" w:space="0" w:color="000000"/>
            </w:tcBorders>
          </w:tcPr>
          <w:p>
            <w:pPr/>
          </w:p>
        </w:tc>
      </w:tr>
      <w:tr>
        <w:trPr>
          <w:trHeight w:val="328"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49" w:type="dxa"/>
            <w:tcBorders>
              <w:top w:val="single" w:sz="6" w:space="0" w:color="000000"/>
              <w:left w:val="single" w:sz="6" w:space="0" w:color="000000"/>
              <w:bottom w:val="single" w:sz="6" w:space="0" w:color="000000"/>
              <w:right w:val="single" w:sz="6" w:space="0" w:color="000000"/>
            </w:tcBorders>
          </w:tcPr>
          <w:p>
            <w:pPr/>
          </w:p>
        </w:tc>
        <w:tc>
          <w:tcPr>
            <w:tcW w:w="3122"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2878" w:type="dxa"/>
            <w:tcBorders>
              <w:top w:val="single" w:sz="6" w:space="0" w:color="000000"/>
              <w:left w:val="single" w:sz="4"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c>
          <w:tcPr>
            <w:tcW w:w="3122" w:type="dxa"/>
            <w:tcBorders>
              <w:top w:val="single" w:sz="6" w:space="0" w:color="000000"/>
              <w:left w:val="single" w:sz="6" w:space="0" w:color="000000"/>
              <w:bottom w:val="single" w:sz="6" w:space="0" w:color="000000"/>
              <w:right w:val="single" w:sz="4" w:space="0" w:color="000000"/>
            </w:tcBorders>
          </w:tcPr>
          <w:p>
            <w:pPr/>
          </w:p>
        </w:tc>
      </w:tr>
      <w:tr>
        <w:trPr>
          <w:trHeight w:val="328" w:hRule="exact"/>
        </w:trPr>
        <w:tc>
          <w:tcPr>
            <w:tcW w:w="2878" w:type="dxa"/>
            <w:tcBorders>
              <w:top w:val="single" w:sz="6" w:space="0" w:color="000000"/>
              <w:left w:val="single" w:sz="4"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c>
          <w:tcPr>
            <w:tcW w:w="3122"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right="1218"/>
              <w:jc w:val="right"/>
              <w:rPr>
                <w:rFonts w:ascii="宋体" w:hAnsi="宋体" w:cs="宋体" w:eastAsia="宋体" w:hint="default"/>
                <w:sz w:val="21"/>
                <w:szCs w:val="21"/>
              </w:rPr>
            </w:pPr>
            <w:r>
              <w:rPr>
                <w:rFonts w:ascii="宋体" w:hAnsi="宋体" w:cs="宋体" w:eastAsia="宋体" w:hint="default"/>
                <w:sz w:val="21"/>
                <w:szCs w:val="21"/>
              </w:rPr>
              <w:t>合计</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52,495,251.04</w:t>
            </w:r>
          </w:p>
        </w:tc>
        <w:tc>
          <w:tcPr>
            <w:tcW w:w="3122" w:type="dxa"/>
            <w:tcBorders>
              <w:top w:val="single" w:sz="6" w:space="0" w:color="000000"/>
              <w:left w:val="single" w:sz="6" w:space="0" w:color="000000"/>
              <w:bottom w:val="single" w:sz="6"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Heading3"/>
        <w:spacing w:line="240" w:lineRule="auto"/>
        <w:ind w:left="257" w:right="240"/>
        <w:jc w:val="left"/>
        <w:rPr>
          <w:b w:val="0"/>
          <w:bCs w:val="0"/>
        </w:rPr>
      </w:pPr>
      <w:r>
        <w:rPr/>
        <w:t>(4).</w:t>
      </w:r>
      <w:r>
        <w:rPr>
          <w:spacing w:val="-5"/>
        </w:rPr>
        <w:t> </w:t>
      </w:r>
      <w:r>
        <w:rPr/>
        <w:t>期末公司因出票人未履约而将其转应收账款的票据</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44" w:type="dxa"/>
        <w:tblLayout w:type="fixed"/>
        <w:tblCellMar>
          <w:top w:w="0" w:type="dxa"/>
          <w:left w:w="0" w:type="dxa"/>
          <w:bottom w:w="0" w:type="dxa"/>
          <w:right w:w="0" w:type="dxa"/>
        </w:tblCellMar>
        <w:tblLook w:val="01E0"/>
      </w:tblPr>
      <w:tblGrid>
        <w:gridCol w:w="4264"/>
        <w:gridCol w:w="4786"/>
      </w:tblGrid>
      <w:tr>
        <w:trPr>
          <w:trHeight w:val="324" w:hRule="exact"/>
        </w:trPr>
        <w:tc>
          <w:tcPr>
            <w:tcW w:w="4264" w:type="dxa"/>
            <w:tcBorders>
              <w:top w:val="single" w:sz="4" w:space="0" w:color="000000"/>
              <w:left w:val="single" w:sz="4" w:space="0" w:color="000000"/>
              <w:bottom w:val="single" w:sz="6" w:space="0" w:color="000000"/>
              <w:right w:val="single" w:sz="6" w:space="0" w:color="000000"/>
            </w:tcBorders>
          </w:tcPr>
          <w:p>
            <w:pPr>
              <w:pStyle w:val="TableParagraph"/>
              <w:spacing w:line="260" w:lineRule="exact"/>
              <w:ind w:right="1913"/>
              <w:jc w:val="right"/>
              <w:rPr>
                <w:rFonts w:ascii="宋体" w:hAnsi="宋体" w:cs="宋体" w:eastAsia="宋体" w:hint="default"/>
                <w:sz w:val="21"/>
                <w:szCs w:val="21"/>
              </w:rPr>
            </w:pPr>
            <w:r>
              <w:rPr>
                <w:rFonts w:ascii="宋体" w:hAnsi="宋体" w:cs="宋体" w:eastAsia="宋体" w:hint="default"/>
                <w:sz w:val="21"/>
                <w:szCs w:val="21"/>
              </w:rPr>
              <w:t>项目</w:t>
            </w:r>
          </w:p>
        </w:tc>
        <w:tc>
          <w:tcPr>
            <w:tcW w:w="4786" w:type="dxa"/>
            <w:tcBorders>
              <w:top w:val="single" w:sz="4" w:space="0" w:color="000000"/>
              <w:left w:val="single" w:sz="6" w:space="0" w:color="000000"/>
              <w:bottom w:val="single" w:sz="6" w:space="0" w:color="000000"/>
              <w:right w:val="single" w:sz="4" w:space="0" w:color="000000"/>
            </w:tcBorders>
          </w:tcPr>
          <w:p>
            <w:pPr>
              <w:pStyle w:val="TableParagraph"/>
              <w:spacing w:line="260" w:lineRule="exact"/>
              <w:ind w:left="1440" w:right="0"/>
              <w:jc w:val="left"/>
              <w:rPr>
                <w:rFonts w:ascii="宋体" w:hAnsi="宋体" w:cs="宋体" w:eastAsia="宋体" w:hint="default"/>
                <w:sz w:val="21"/>
                <w:szCs w:val="21"/>
              </w:rPr>
            </w:pPr>
            <w:r>
              <w:rPr>
                <w:rFonts w:ascii="宋体" w:hAnsi="宋体" w:cs="宋体" w:eastAsia="宋体" w:hint="default"/>
                <w:sz w:val="21"/>
                <w:szCs w:val="21"/>
              </w:rPr>
              <w:t>期末转应收账款金额</w:t>
            </w:r>
          </w:p>
        </w:tc>
      </w:tr>
      <w:tr>
        <w:trPr>
          <w:trHeight w:val="326" w:hRule="exact"/>
        </w:trPr>
        <w:tc>
          <w:tcPr>
            <w:tcW w:w="4264"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4786" w:type="dxa"/>
            <w:tcBorders>
              <w:top w:val="single" w:sz="6" w:space="0" w:color="000000"/>
              <w:left w:val="single" w:sz="6" w:space="0" w:color="000000"/>
              <w:bottom w:val="single" w:sz="6" w:space="0" w:color="000000"/>
              <w:right w:val="single" w:sz="4" w:space="0" w:color="000000"/>
            </w:tcBorders>
          </w:tcPr>
          <w:p>
            <w:pPr/>
          </w:p>
        </w:tc>
      </w:tr>
      <w:tr>
        <w:trPr>
          <w:trHeight w:val="328" w:hRule="exact"/>
        </w:trPr>
        <w:tc>
          <w:tcPr>
            <w:tcW w:w="4264" w:type="dxa"/>
            <w:tcBorders>
              <w:top w:val="single" w:sz="6" w:space="0" w:color="000000"/>
              <w:left w:val="single" w:sz="4" w:space="0" w:color="000000"/>
              <w:bottom w:val="single" w:sz="6" w:space="0" w:color="000000"/>
              <w:right w:val="single" w:sz="6" w:space="0" w:color="000000"/>
            </w:tcBorders>
          </w:tcPr>
          <w:p>
            <w:pPr/>
          </w:p>
        </w:tc>
        <w:tc>
          <w:tcPr>
            <w:tcW w:w="4786"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4264" w:type="dxa"/>
            <w:tcBorders>
              <w:top w:val="single" w:sz="6" w:space="0" w:color="000000"/>
              <w:left w:val="single" w:sz="4" w:space="0" w:color="000000"/>
              <w:bottom w:val="single" w:sz="6" w:space="0" w:color="000000"/>
              <w:right w:val="single" w:sz="6" w:space="0" w:color="000000"/>
            </w:tcBorders>
          </w:tcPr>
          <w:p>
            <w:pPr/>
          </w:p>
        </w:tc>
        <w:tc>
          <w:tcPr>
            <w:tcW w:w="4786" w:type="dxa"/>
            <w:tcBorders>
              <w:top w:val="single" w:sz="6" w:space="0" w:color="000000"/>
              <w:left w:val="single" w:sz="6" w:space="0" w:color="000000"/>
              <w:bottom w:val="single" w:sz="6" w:space="0" w:color="000000"/>
              <w:right w:val="single" w:sz="4" w:space="0" w:color="000000"/>
            </w:tcBorders>
          </w:tcPr>
          <w:p>
            <w:pPr/>
          </w:p>
        </w:tc>
      </w:tr>
      <w:tr>
        <w:trPr>
          <w:trHeight w:val="325" w:hRule="exact"/>
        </w:trPr>
        <w:tc>
          <w:tcPr>
            <w:tcW w:w="4264" w:type="dxa"/>
            <w:tcBorders>
              <w:top w:val="single" w:sz="6" w:space="0" w:color="000000"/>
              <w:left w:val="single" w:sz="4" w:space="0" w:color="000000"/>
              <w:bottom w:val="single" w:sz="4" w:space="0" w:color="000000"/>
              <w:right w:val="single" w:sz="6" w:space="0" w:color="000000"/>
            </w:tcBorders>
          </w:tcPr>
          <w:p>
            <w:pPr>
              <w:pStyle w:val="TableParagraph"/>
              <w:spacing w:line="261" w:lineRule="exact"/>
              <w:ind w:right="1913"/>
              <w:jc w:val="right"/>
              <w:rPr>
                <w:rFonts w:ascii="宋体" w:hAnsi="宋体" w:cs="宋体" w:eastAsia="宋体" w:hint="default"/>
                <w:sz w:val="21"/>
                <w:szCs w:val="21"/>
              </w:rPr>
            </w:pPr>
            <w:r>
              <w:rPr>
                <w:rFonts w:ascii="宋体" w:hAnsi="宋体" w:cs="宋体" w:eastAsia="宋体" w:hint="default"/>
                <w:sz w:val="21"/>
                <w:szCs w:val="21"/>
              </w:rPr>
              <w:t>合计</w:t>
            </w:r>
          </w:p>
        </w:tc>
        <w:tc>
          <w:tcPr>
            <w:tcW w:w="4786" w:type="dxa"/>
            <w:tcBorders>
              <w:top w:val="single" w:sz="6" w:space="0" w:color="000000"/>
              <w:left w:val="single" w:sz="6" w:space="0" w:color="000000"/>
              <w:bottom w:val="single" w:sz="4" w:space="0" w:color="000000"/>
              <w:right w:val="single" w:sz="4" w:space="0" w:color="000000"/>
            </w:tcBorders>
          </w:tcPr>
          <w:p>
            <w:pPr/>
          </w:p>
        </w:tc>
      </w:tr>
    </w:tbl>
    <w:p>
      <w:pPr>
        <w:spacing w:after="0"/>
        <w:sectPr>
          <w:type w:val="continuous"/>
          <w:pgSz w:w="11910" w:h="16840"/>
          <w:pgMar w:top="1080" w:bottom="1380" w:left="154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4"/>
        <w:ind w:left="137" w:right="4941"/>
        <w:jc w:val="left"/>
      </w:pPr>
      <w:r>
        <w:rPr/>
        <w:t>其他说明</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footerReference w:type="default" r:id="rId99"/>
          <w:pgSz w:w="11910" w:h="16840"/>
          <w:pgMar w:footer="1197" w:header="882" w:top="1120" w:bottom="1380" w:left="1660" w:right="1120"/>
        </w:sectPr>
      </w:pPr>
    </w:p>
    <w:p>
      <w:pPr>
        <w:pStyle w:val="Heading3"/>
        <w:spacing w:line="240" w:lineRule="auto"/>
        <w:ind w:left="137" w:right="-16"/>
        <w:jc w:val="left"/>
        <w:rPr>
          <w:b w:val="0"/>
          <w:bCs w:val="0"/>
        </w:rPr>
      </w:pPr>
      <w:r>
        <w:rPr/>
        <w:t>5、</w:t>
      </w:r>
      <w:r>
        <w:rPr>
          <w:spacing w:val="-3"/>
        </w:rPr>
        <w:t> </w:t>
      </w:r>
      <w:r>
        <w:rPr/>
        <w:t>应收账款</w:t>
      </w:r>
      <w:r>
        <w:rPr>
          <w:b w:val="0"/>
          <w:bCs w:val="0"/>
        </w:rPr>
      </w:r>
    </w:p>
    <w:p>
      <w:pPr>
        <w:pStyle w:val="Heading3"/>
        <w:spacing w:line="240" w:lineRule="auto" w:before="97"/>
        <w:ind w:left="137" w:right="-16"/>
        <w:jc w:val="left"/>
        <w:rPr>
          <w:b w:val="0"/>
          <w:bCs w:val="0"/>
        </w:rPr>
      </w:pPr>
      <w:r>
        <w:rPr/>
        <w:t>(1).</w:t>
      </w:r>
      <w:r>
        <w:rPr>
          <w:spacing w:val="41"/>
        </w:rPr>
        <w:t> </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tabs>
          <w:tab w:pos="1187" w:val="left" w:leader="none"/>
        </w:tabs>
        <w:spacing w:line="240" w:lineRule="auto"/>
        <w:ind w:left="137" w:right="0"/>
        <w:jc w:val="left"/>
      </w:pPr>
      <w:r>
        <w:rPr/>
        <w:t>单位：元</w:t>
        <w:tab/>
        <w:t>币种：人民币</w:t>
      </w:r>
    </w:p>
    <w:p>
      <w:pPr>
        <w:spacing w:after="0" w:line="240" w:lineRule="auto"/>
        <w:jc w:val="left"/>
        <w:sectPr>
          <w:type w:val="continuous"/>
          <w:pgSz w:w="11910" w:h="16840"/>
          <w:pgMar w:top="1080" w:bottom="1380" w:left="1660" w:right="1120"/>
          <w:cols w:num="2" w:equalWidth="0">
            <w:col w:w="2399" w:space="4019"/>
            <w:col w:w="2712"/>
          </w:cols>
        </w:sectPr>
      </w:pP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381"/>
        <w:gridCol w:w="748"/>
        <w:gridCol w:w="738"/>
        <w:gridCol w:w="734"/>
        <w:gridCol w:w="756"/>
        <w:gridCol w:w="736"/>
        <w:gridCol w:w="775"/>
        <w:gridCol w:w="756"/>
        <w:gridCol w:w="770"/>
        <w:gridCol w:w="770"/>
        <w:gridCol w:w="731"/>
      </w:tblGrid>
      <w:tr>
        <w:trPr>
          <w:trHeight w:val="322" w:hRule="exact"/>
        </w:trPr>
        <w:tc>
          <w:tcPr>
            <w:tcW w:w="13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7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1381" w:type="dxa"/>
            <w:vMerge/>
            <w:tcBorders>
              <w:left w:val="single" w:sz="4" w:space="0" w:color="000000"/>
              <w:right w:val="single" w:sz="4" w:space="0" w:color="000000"/>
            </w:tcBorders>
          </w:tcPr>
          <w:p>
            <w:pP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3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81" w:right="182"/>
              <w:jc w:val="left"/>
              <w:rPr>
                <w:rFonts w:ascii="宋体" w:hAnsi="宋体" w:cs="宋体" w:eastAsia="宋体" w:hint="default"/>
                <w:sz w:val="18"/>
                <w:szCs w:val="18"/>
              </w:rPr>
            </w:pPr>
            <w:r>
              <w:rPr>
                <w:rFonts w:ascii="宋体" w:hAnsi="宋体" w:cs="宋体" w:eastAsia="宋体" w:hint="default"/>
                <w:sz w:val="18"/>
                <w:szCs w:val="18"/>
              </w:rPr>
              <w:t>账面 价值</w:t>
            </w:r>
          </w:p>
        </w:tc>
        <w:tc>
          <w:tcPr>
            <w:tcW w:w="1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3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78" w:right="180"/>
              <w:jc w:val="left"/>
              <w:rPr>
                <w:rFonts w:ascii="宋体" w:hAnsi="宋体" w:cs="宋体" w:eastAsia="宋体" w:hint="default"/>
                <w:sz w:val="18"/>
                <w:szCs w:val="18"/>
              </w:rPr>
            </w:pPr>
            <w:r>
              <w:rPr>
                <w:rFonts w:ascii="宋体" w:hAnsi="宋体" w:cs="宋体" w:eastAsia="宋体" w:hint="default"/>
                <w:sz w:val="18"/>
                <w:szCs w:val="18"/>
              </w:rPr>
              <w:t>账面 价值</w:t>
            </w:r>
          </w:p>
        </w:tc>
      </w:tr>
      <w:tr>
        <w:trPr>
          <w:trHeight w:val="635" w:hRule="exact"/>
        </w:trPr>
        <w:tc>
          <w:tcPr>
            <w:tcW w:w="1381" w:type="dxa"/>
            <w:vMerge/>
            <w:tcBorders>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比例(%)</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46" w:right="102" w:hanging="45"/>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36" w:type="dxa"/>
            <w:vMerge/>
            <w:tcBorders>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6"/>
              <w:jc w:val="right"/>
              <w:rPr>
                <w:rFonts w:ascii="宋体" w:hAnsi="宋体" w:cs="宋体" w:eastAsia="宋体" w:hint="default"/>
                <w:sz w:val="18"/>
                <w:szCs w:val="18"/>
              </w:rPr>
            </w:pPr>
            <w:r>
              <w:rPr>
                <w:rFonts w:ascii="宋体" w:hAnsi="宋体" w:cs="宋体" w:eastAsia="宋体" w:hint="default"/>
                <w:sz w:val="18"/>
                <w:szCs w:val="18"/>
              </w:rPr>
              <w:t>比例(%)</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53" w:right="109" w:hanging="45"/>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31" w:type="dxa"/>
            <w:vMerge/>
            <w:tcBorders>
              <w:left w:val="single" w:sz="4" w:space="0" w:color="000000"/>
              <w:bottom w:val="single" w:sz="4" w:space="0" w:color="000000"/>
              <w:right w:val="single" w:sz="4" w:space="0" w:color="000000"/>
            </w:tcBorders>
          </w:tcPr>
          <w:p>
            <w:pPr/>
          </w:p>
        </w:tc>
      </w:tr>
      <w:tr>
        <w:trPr>
          <w:trHeight w:val="946" w:hRule="exac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24"/>
              <w:jc w:val="both"/>
              <w:rPr>
                <w:rFonts w:ascii="宋体" w:hAnsi="宋体" w:cs="宋体" w:eastAsia="宋体" w:hint="default"/>
                <w:sz w:val="18"/>
                <w:szCs w:val="18"/>
              </w:rPr>
            </w:pPr>
            <w:r>
              <w:rPr>
                <w:rFonts w:ascii="宋体" w:hAnsi="宋体" w:cs="宋体" w:eastAsia="宋体" w:hint="default"/>
                <w:spacing w:val="7"/>
                <w:sz w:val="18"/>
                <w:szCs w:val="18"/>
              </w:rPr>
              <w:t>单项金额重大并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单独计提坏账准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备的应收账款</w:t>
            </w:r>
          </w:p>
        </w:tc>
        <w:tc>
          <w:tcPr>
            <w:tcW w:w="748"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24"/>
              <w:jc w:val="both"/>
              <w:rPr>
                <w:rFonts w:ascii="宋体" w:hAnsi="宋体" w:cs="宋体" w:eastAsia="宋体" w:hint="default"/>
                <w:sz w:val="18"/>
                <w:szCs w:val="18"/>
              </w:rPr>
            </w:pPr>
            <w:r>
              <w:rPr>
                <w:rFonts w:ascii="宋体" w:hAnsi="宋体" w:cs="宋体" w:eastAsia="宋体" w:hint="default"/>
                <w:spacing w:val="7"/>
                <w:sz w:val="18"/>
                <w:szCs w:val="18"/>
              </w:rPr>
              <w:t>按信用风险特征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组合计提坏账准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备的应收账款</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0" w:right="0"/>
              <w:jc w:val="left"/>
              <w:rPr>
                <w:rFonts w:ascii="宋体" w:hAnsi="宋体" w:cs="宋体" w:eastAsia="宋体" w:hint="default"/>
                <w:sz w:val="18"/>
                <w:szCs w:val="18"/>
              </w:rPr>
            </w:pPr>
            <w:r>
              <w:rPr>
                <w:rFonts w:ascii="宋体"/>
                <w:sz w:val="18"/>
              </w:rPr>
              <w:t>218,920</w:t>
            </w:r>
          </w:p>
          <w:p>
            <w:pPr>
              <w:pStyle w:val="TableParagraph"/>
              <w:spacing w:line="240" w:lineRule="auto" w:before="76"/>
              <w:ind w:left="80" w:right="0"/>
              <w:jc w:val="left"/>
              <w:rPr>
                <w:rFonts w:ascii="宋体" w:hAnsi="宋体" w:cs="宋体" w:eastAsia="宋体" w:hint="default"/>
                <w:sz w:val="18"/>
                <w:szCs w:val="18"/>
              </w:rPr>
            </w:pPr>
            <w:r>
              <w:rPr>
                <w:rFonts w:ascii="宋体"/>
                <w:sz w:val="18"/>
              </w:rPr>
              <w:t>,535.47</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5"/>
              <w:jc w:val="right"/>
              <w:rPr>
                <w:rFonts w:ascii="宋体" w:hAnsi="宋体" w:cs="宋体" w:eastAsia="宋体" w:hint="default"/>
                <w:sz w:val="18"/>
                <w:szCs w:val="18"/>
              </w:rPr>
            </w:pPr>
            <w:r>
              <w:rPr>
                <w:rFonts w:ascii="宋体"/>
                <w:sz w:val="18"/>
              </w:rPr>
              <w:t>97.15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8" w:right="0"/>
              <w:jc w:val="left"/>
              <w:rPr>
                <w:rFonts w:ascii="宋体" w:hAnsi="宋体" w:cs="宋体" w:eastAsia="宋体" w:hint="default"/>
                <w:sz w:val="18"/>
                <w:szCs w:val="18"/>
              </w:rPr>
            </w:pPr>
            <w:r>
              <w:rPr>
                <w:rFonts w:ascii="宋体"/>
                <w:sz w:val="18"/>
              </w:rPr>
              <w:t>15,108,</w:t>
            </w:r>
          </w:p>
          <w:p>
            <w:pPr>
              <w:pStyle w:val="TableParagraph"/>
              <w:spacing w:line="240" w:lineRule="auto" w:before="76"/>
              <w:ind w:left="158" w:right="0"/>
              <w:jc w:val="left"/>
              <w:rPr>
                <w:rFonts w:ascii="宋体" w:hAnsi="宋体" w:cs="宋体" w:eastAsia="宋体" w:hint="default"/>
                <w:sz w:val="18"/>
                <w:szCs w:val="18"/>
              </w:rPr>
            </w:pPr>
            <w:r>
              <w:rPr>
                <w:rFonts w:ascii="宋体"/>
                <w:sz w:val="18"/>
              </w:rPr>
              <w:t>918.81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5"/>
              <w:jc w:val="right"/>
              <w:rPr>
                <w:rFonts w:ascii="宋体" w:hAnsi="宋体" w:cs="宋体" w:eastAsia="宋体" w:hint="default"/>
                <w:sz w:val="18"/>
                <w:szCs w:val="18"/>
              </w:rPr>
            </w:pPr>
            <w:r>
              <w:rPr>
                <w:rFonts w:ascii="宋体"/>
                <w:sz w:val="18"/>
              </w:rPr>
              <w:t>6.90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8" w:right="0"/>
              <w:jc w:val="left"/>
              <w:rPr>
                <w:rFonts w:ascii="宋体" w:hAnsi="宋体" w:cs="宋体" w:eastAsia="宋体" w:hint="default"/>
                <w:sz w:val="18"/>
                <w:szCs w:val="18"/>
              </w:rPr>
            </w:pPr>
            <w:r>
              <w:rPr>
                <w:rFonts w:ascii="宋体"/>
                <w:sz w:val="18"/>
              </w:rPr>
              <w:t>203,811</w:t>
            </w:r>
          </w:p>
          <w:p>
            <w:pPr>
              <w:pStyle w:val="TableParagraph"/>
              <w:spacing w:line="240" w:lineRule="auto" w:before="76"/>
              <w:ind w:left="68" w:right="0"/>
              <w:jc w:val="left"/>
              <w:rPr>
                <w:rFonts w:ascii="宋体" w:hAnsi="宋体" w:cs="宋体" w:eastAsia="宋体" w:hint="default"/>
                <w:sz w:val="18"/>
                <w:szCs w:val="18"/>
              </w:rPr>
            </w:pPr>
            <w:r>
              <w:rPr>
                <w:rFonts w:ascii="宋体"/>
                <w:sz w:val="18"/>
              </w:rPr>
              <w:t>,616.66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9" w:right="0"/>
              <w:jc w:val="left"/>
              <w:rPr>
                <w:rFonts w:ascii="宋体" w:hAnsi="宋体" w:cs="宋体" w:eastAsia="宋体" w:hint="default"/>
                <w:sz w:val="18"/>
                <w:szCs w:val="18"/>
              </w:rPr>
            </w:pPr>
            <w:r>
              <w:rPr>
                <w:rFonts w:ascii="宋体"/>
                <w:sz w:val="18"/>
              </w:rPr>
              <w:t>235,540</w:t>
            </w:r>
          </w:p>
          <w:p>
            <w:pPr>
              <w:pStyle w:val="TableParagraph"/>
              <w:spacing w:line="240" w:lineRule="auto" w:before="76"/>
              <w:ind w:left="109" w:right="0"/>
              <w:jc w:val="left"/>
              <w:rPr>
                <w:rFonts w:ascii="宋体" w:hAnsi="宋体" w:cs="宋体" w:eastAsia="宋体" w:hint="default"/>
                <w:sz w:val="18"/>
                <w:szCs w:val="18"/>
              </w:rPr>
            </w:pPr>
            <w:r>
              <w:rPr>
                <w:rFonts w:ascii="宋体"/>
                <w:sz w:val="18"/>
              </w:rPr>
              <w:t>,479.00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4"/>
              <w:jc w:val="right"/>
              <w:rPr>
                <w:rFonts w:ascii="宋体" w:hAnsi="宋体" w:cs="宋体" w:eastAsia="宋体" w:hint="default"/>
                <w:sz w:val="18"/>
                <w:szCs w:val="18"/>
              </w:rPr>
            </w:pPr>
            <w:r>
              <w:rPr>
                <w:rFonts w:ascii="宋体"/>
                <w:sz w:val="18"/>
              </w:rPr>
              <w:t>99.05</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sz w:val="18"/>
              </w:rPr>
              <w:t>16,241,</w:t>
            </w:r>
          </w:p>
          <w:p>
            <w:pPr>
              <w:pStyle w:val="TableParagraph"/>
              <w:spacing w:line="240" w:lineRule="auto" w:before="76"/>
              <w:ind w:left="194" w:right="0"/>
              <w:jc w:val="left"/>
              <w:rPr>
                <w:rFonts w:ascii="宋体" w:hAnsi="宋体" w:cs="宋体" w:eastAsia="宋体" w:hint="default"/>
                <w:sz w:val="18"/>
                <w:szCs w:val="18"/>
              </w:rPr>
            </w:pPr>
            <w:r>
              <w:rPr>
                <w:rFonts w:ascii="宋体"/>
                <w:sz w:val="18"/>
              </w:rPr>
              <w:t>165.97</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5"/>
              <w:jc w:val="right"/>
              <w:rPr>
                <w:rFonts w:ascii="宋体" w:hAnsi="宋体" w:cs="宋体" w:eastAsia="宋体" w:hint="default"/>
                <w:sz w:val="18"/>
                <w:szCs w:val="18"/>
              </w:rPr>
            </w:pPr>
            <w:r>
              <w:rPr>
                <w:rFonts w:ascii="宋体"/>
                <w:sz w:val="18"/>
              </w:rPr>
              <w:t>6.90</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3" w:right="0"/>
              <w:jc w:val="left"/>
              <w:rPr>
                <w:rFonts w:ascii="宋体" w:hAnsi="宋体" w:cs="宋体" w:eastAsia="宋体" w:hint="default"/>
                <w:sz w:val="18"/>
                <w:szCs w:val="18"/>
              </w:rPr>
            </w:pPr>
            <w:r>
              <w:rPr>
                <w:rFonts w:ascii="宋体"/>
                <w:sz w:val="18"/>
              </w:rPr>
              <w:t>219,299</w:t>
            </w:r>
          </w:p>
          <w:p>
            <w:pPr>
              <w:pStyle w:val="TableParagraph"/>
              <w:spacing w:line="240" w:lineRule="auto" w:before="76"/>
              <w:ind w:left="63" w:right="0"/>
              <w:jc w:val="left"/>
              <w:rPr>
                <w:rFonts w:ascii="宋体" w:hAnsi="宋体" w:cs="宋体" w:eastAsia="宋体" w:hint="default"/>
                <w:sz w:val="18"/>
                <w:szCs w:val="18"/>
              </w:rPr>
            </w:pPr>
            <w:r>
              <w:rPr>
                <w:rFonts w:ascii="宋体"/>
                <w:sz w:val="18"/>
              </w:rPr>
              <w:t>,313.03</w:t>
            </w:r>
          </w:p>
        </w:tc>
      </w:tr>
      <w:tr>
        <w:trPr>
          <w:trHeight w:val="947" w:hRule="exac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6" w:right="24"/>
              <w:jc w:val="both"/>
              <w:rPr>
                <w:rFonts w:ascii="宋体" w:hAnsi="宋体" w:cs="宋体" w:eastAsia="宋体" w:hint="default"/>
                <w:sz w:val="18"/>
                <w:szCs w:val="18"/>
              </w:rPr>
            </w:pPr>
            <w:r>
              <w:rPr>
                <w:rFonts w:ascii="宋体" w:hAnsi="宋体" w:cs="宋体" w:eastAsia="宋体" w:hint="default"/>
                <w:spacing w:val="7"/>
                <w:sz w:val="18"/>
                <w:szCs w:val="18"/>
              </w:rPr>
              <w:t>单项金额不重大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但单独计提坏账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准备的应收账款</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center"/>
              <w:rPr>
                <w:rFonts w:ascii="宋体" w:hAnsi="宋体" w:cs="宋体" w:eastAsia="宋体" w:hint="default"/>
                <w:sz w:val="18"/>
                <w:szCs w:val="18"/>
              </w:rPr>
            </w:pPr>
            <w:r>
              <w:rPr>
                <w:rFonts w:ascii="宋体"/>
                <w:sz w:val="18"/>
              </w:rPr>
              <w:t>6,413,0</w:t>
            </w:r>
          </w:p>
          <w:p>
            <w:pPr>
              <w:pStyle w:val="TableParagraph"/>
              <w:spacing w:line="240" w:lineRule="auto" w:before="76"/>
              <w:ind w:left="232" w:right="0"/>
              <w:jc w:val="center"/>
              <w:rPr>
                <w:rFonts w:ascii="宋体" w:hAnsi="宋体" w:cs="宋体" w:eastAsia="宋体" w:hint="default"/>
                <w:sz w:val="18"/>
                <w:szCs w:val="18"/>
              </w:rPr>
            </w:pPr>
            <w:r>
              <w:rPr>
                <w:rFonts w:ascii="宋体"/>
                <w:sz w:val="18"/>
              </w:rPr>
              <w:t>45.38</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5"/>
              <w:jc w:val="right"/>
              <w:rPr>
                <w:rFonts w:ascii="宋体" w:hAnsi="宋体" w:cs="宋体" w:eastAsia="宋体" w:hint="default"/>
                <w:sz w:val="18"/>
                <w:szCs w:val="18"/>
              </w:rPr>
            </w:pPr>
            <w:r>
              <w:rPr>
                <w:rFonts w:ascii="宋体"/>
                <w:sz w:val="18"/>
              </w:rPr>
              <w:t>2.85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 w:right="0"/>
              <w:jc w:val="center"/>
              <w:rPr>
                <w:rFonts w:ascii="宋体" w:hAnsi="宋体" w:cs="宋体" w:eastAsia="宋体" w:hint="default"/>
                <w:sz w:val="18"/>
                <w:szCs w:val="18"/>
              </w:rPr>
            </w:pPr>
            <w:r>
              <w:rPr>
                <w:rFonts w:ascii="宋体"/>
                <w:sz w:val="18"/>
              </w:rPr>
              <w:t>6,413,0</w:t>
            </w:r>
          </w:p>
          <w:p>
            <w:pPr>
              <w:pStyle w:val="TableParagraph"/>
              <w:spacing w:line="240" w:lineRule="auto" w:before="76"/>
              <w:ind w:left="221" w:right="0"/>
              <w:jc w:val="center"/>
              <w:rPr>
                <w:rFonts w:ascii="宋体" w:hAnsi="宋体" w:cs="宋体" w:eastAsia="宋体" w:hint="default"/>
                <w:sz w:val="18"/>
                <w:szCs w:val="18"/>
              </w:rPr>
            </w:pPr>
            <w:r>
              <w:rPr>
                <w:rFonts w:ascii="宋体"/>
                <w:sz w:val="18"/>
              </w:rPr>
              <w:t>45.38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5"/>
              <w:jc w:val="right"/>
              <w:rPr>
                <w:rFonts w:ascii="宋体" w:hAnsi="宋体" w:cs="宋体" w:eastAsia="宋体" w:hint="default"/>
                <w:sz w:val="18"/>
                <w:szCs w:val="18"/>
              </w:rPr>
            </w:pPr>
            <w:r>
              <w:rPr>
                <w:rFonts w:ascii="宋体"/>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center"/>
              <w:rPr>
                <w:rFonts w:ascii="宋体" w:hAnsi="宋体" w:cs="宋体" w:eastAsia="宋体" w:hint="default"/>
                <w:sz w:val="18"/>
                <w:szCs w:val="18"/>
              </w:rPr>
            </w:pPr>
            <w:r>
              <w:rPr>
                <w:rFonts w:ascii="宋体"/>
                <w:sz w:val="18"/>
              </w:rPr>
              <w:t>2,258,2</w:t>
            </w:r>
          </w:p>
          <w:p>
            <w:pPr>
              <w:pStyle w:val="TableParagraph"/>
              <w:spacing w:line="240" w:lineRule="auto" w:before="76"/>
              <w:ind w:left="262" w:right="0"/>
              <w:jc w:val="center"/>
              <w:rPr>
                <w:rFonts w:ascii="宋体" w:hAnsi="宋体" w:cs="宋体" w:eastAsia="宋体" w:hint="default"/>
                <w:sz w:val="18"/>
                <w:szCs w:val="18"/>
              </w:rPr>
            </w:pPr>
            <w:r>
              <w:rPr>
                <w:rFonts w:ascii="宋体"/>
                <w:sz w:val="18"/>
              </w:rPr>
              <w:t>76.24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4"/>
              <w:jc w:val="right"/>
              <w:rPr>
                <w:rFonts w:ascii="宋体" w:hAnsi="宋体" w:cs="宋体" w:eastAsia="宋体" w:hint="default"/>
                <w:sz w:val="18"/>
                <w:szCs w:val="18"/>
              </w:rPr>
            </w:pPr>
            <w:r>
              <w:rPr>
                <w:rFonts w:ascii="宋体"/>
                <w:sz w:val="18"/>
              </w:rPr>
              <w:t>0.95</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7" w:right="0"/>
              <w:jc w:val="center"/>
              <w:rPr>
                <w:rFonts w:ascii="宋体" w:hAnsi="宋体" w:cs="宋体" w:eastAsia="宋体" w:hint="default"/>
                <w:sz w:val="18"/>
                <w:szCs w:val="18"/>
              </w:rPr>
            </w:pPr>
            <w:r>
              <w:rPr>
                <w:rFonts w:ascii="宋体"/>
                <w:sz w:val="18"/>
              </w:rPr>
              <w:t>2,258,2</w:t>
            </w:r>
          </w:p>
          <w:p>
            <w:pPr>
              <w:pStyle w:val="TableParagraph"/>
              <w:spacing w:line="240" w:lineRule="auto" w:before="76"/>
              <w:ind w:left="257" w:right="0"/>
              <w:jc w:val="center"/>
              <w:rPr>
                <w:rFonts w:ascii="宋体" w:hAnsi="宋体" w:cs="宋体" w:eastAsia="宋体" w:hint="default"/>
                <w:sz w:val="18"/>
                <w:szCs w:val="18"/>
              </w:rPr>
            </w:pPr>
            <w:r>
              <w:rPr>
                <w:rFonts w:ascii="宋体"/>
                <w:sz w:val="18"/>
              </w:rPr>
              <w:t>76.24</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5"/>
              <w:jc w:val="right"/>
              <w:rPr>
                <w:rFonts w:ascii="宋体" w:hAnsi="宋体" w:cs="宋体" w:eastAsia="宋体" w:hint="default"/>
                <w:sz w:val="18"/>
                <w:szCs w:val="18"/>
              </w:rPr>
            </w:pPr>
            <w:r>
              <w:rPr>
                <w:rFonts w:ascii="宋体"/>
                <w:sz w:val="18"/>
              </w:rPr>
              <w:t>100.00</w:t>
            </w:r>
          </w:p>
        </w:tc>
        <w:tc>
          <w:tcPr>
            <w:tcW w:w="73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0" w:right="0"/>
              <w:jc w:val="left"/>
              <w:rPr>
                <w:rFonts w:ascii="宋体" w:hAnsi="宋体" w:cs="宋体" w:eastAsia="宋体" w:hint="default"/>
                <w:sz w:val="18"/>
                <w:szCs w:val="18"/>
              </w:rPr>
            </w:pPr>
            <w:r>
              <w:rPr>
                <w:rFonts w:ascii="宋体"/>
                <w:sz w:val="18"/>
              </w:rPr>
              <w:t>225,333</w:t>
            </w:r>
          </w:p>
          <w:p>
            <w:pPr>
              <w:pStyle w:val="TableParagraph"/>
              <w:spacing w:line="240" w:lineRule="auto" w:before="76"/>
              <w:ind w:left="80" w:right="0"/>
              <w:jc w:val="left"/>
              <w:rPr>
                <w:rFonts w:ascii="宋体" w:hAnsi="宋体" w:cs="宋体" w:eastAsia="宋体" w:hint="default"/>
                <w:sz w:val="18"/>
                <w:szCs w:val="18"/>
              </w:rPr>
            </w:pPr>
            <w:r>
              <w:rPr>
                <w:rFonts w:ascii="宋体"/>
                <w:sz w:val="18"/>
              </w:rPr>
              <w:t>,580.85</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8" w:right="0"/>
              <w:jc w:val="left"/>
              <w:rPr>
                <w:rFonts w:ascii="宋体" w:hAnsi="宋体" w:cs="宋体" w:eastAsia="宋体" w:hint="default"/>
                <w:sz w:val="18"/>
                <w:szCs w:val="18"/>
              </w:rPr>
            </w:pPr>
            <w:r>
              <w:rPr>
                <w:rFonts w:ascii="宋体"/>
                <w:sz w:val="18"/>
              </w:rPr>
              <w:t>21,521,</w:t>
            </w:r>
          </w:p>
          <w:p>
            <w:pPr>
              <w:pStyle w:val="TableParagraph"/>
              <w:spacing w:line="240" w:lineRule="auto" w:before="76"/>
              <w:ind w:left="158" w:right="0"/>
              <w:jc w:val="left"/>
              <w:rPr>
                <w:rFonts w:ascii="宋体" w:hAnsi="宋体" w:cs="宋体" w:eastAsia="宋体" w:hint="default"/>
                <w:sz w:val="18"/>
                <w:szCs w:val="18"/>
              </w:rPr>
            </w:pPr>
            <w:r>
              <w:rPr>
                <w:rFonts w:ascii="宋体"/>
                <w:sz w:val="18"/>
              </w:rPr>
              <w:t>964.19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8" w:right="0"/>
              <w:jc w:val="left"/>
              <w:rPr>
                <w:rFonts w:ascii="宋体" w:hAnsi="宋体" w:cs="宋体" w:eastAsia="宋体" w:hint="default"/>
                <w:sz w:val="18"/>
                <w:szCs w:val="18"/>
              </w:rPr>
            </w:pPr>
            <w:r>
              <w:rPr>
                <w:rFonts w:ascii="宋体"/>
                <w:sz w:val="18"/>
              </w:rPr>
              <w:t>203,811</w:t>
            </w:r>
          </w:p>
          <w:p>
            <w:pPr>
              <w:pStyle w:val="TableParagraph"/>
              <w:spacing w:line="240" w:lineRule="auto" w:before="76"/>
              <w:ind w:left="68" w:right="0"/>
              <w:jc w:val="left"/>
              <w:rPr>
                <w:rFonts w:ascii="宋体" w:hAnsi="宋体" w:cs="宋体" w:eastAsia="宋体" w:hint="default"/>
                <w:sz w:val="18"/>
                <w:szCs w:val="18"/>
              </w:rPr>
            </w:pPr>
            <w:r>
              <w:rPr>
                <w:rFonts w:ascii="宋体"/>
                <w:sz w:val="18"/>
              </w:rPr>
              <w:t>,616.66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9" w:right="0"/>
              <w:jc w:val="left"/>
              <w:rPr>
                <w:rFonts w:ascii="宋体" w:hAnsi="宋体" w:cs="宋体" w:eastAsia="宋体" w:hint="default"/>
                <w:sz w:val="18"/>
                <w:szCs w:val="18"/>
              </w:rPr>
            </w:pPr>
            <w:r>
              <w:rPr>
                <w:rFonts w:ascii="宋体"/>
                <w:sz w:val="18"/>
              </w:rPr>
              <w:t>237,798</w:t>
            </w:r>
          </w:p>
          <w:p>
            <w:pPr>
              <w:pStyle w:val="TableParagraph"/>
              <w:spacing w:line="240" w:lineRule="auto" w:before="76"/>
              <w:ind w:left="109" w:right="0"/>
              <w:jc w:val="left"/>
              <w:rPr>
                <w:rFonts w:ascii="宋体" w:hAnsi="宋体" w:cs="宋体" w:eastAsia="宋体" w:hint="default"/>
                <w:sz w:val="18"/>
                <w:szCs w:val="18"/>
              </w:rPr>
            </w:pPr>
            <w:r>
              <w:rPr>
                <w:rFonts w:ascii="宋体"/>
                <w:sz w:val="18"/>
              </w:rPr>
              <w:t>,755.24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z w:val="18"/>
              </w:rPr>
              <w:t>/</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sz w:val="18"/>
              </w:rPr>
              <w:t>18,499,</w:t>
            </w:r>
          </w:p>
          <w:p>
            <w:pPr>
              <w:pStyle w:val="TableParagraph"/>
              <w:spacing w:line="240" w:lineRule="auto" w:before="76"/>
              <w:ind w:left="194" w:right="0"/>
              <w:jc w:val="left"/>
              <w:rPr>
                <w:rFonts w:ascii="宋体" w:hAnsi="宋体" w:cs="宋体" w:eastAsia="宋体" w:hint="default"/>
                <w:sz w:val="18"/>
                <w:szCs w:val="18"/>
              </w:rPr>
            </w:pPr>
            <w:r>
              <w:rPr>
                <w:rFonts w:ascii="宋体"/>
                <w:sz w:val="18"/>
              </w:rPr>
              <w:t>442.21</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3" w:right="0"/>
              <w:jc w:val="left"/>
              <w:rPr>
                <w:rFonts w:ascii="宋体" w:hAnsi="宋体" w:cs="宋体" w:eastAsia="宋体" w:hint="default"/>
                <w:sz w:val="18"/>
                <w:szCs w:val="18"/>
              </w:rPr>
            </w:pPr>
            <w:r>
              <w:rPr>
                <w:rFonts w:ascii="宋体"/>
                <w:sz w:val="18"/>
              </w:rPr>
              <w:t>219,299</w:t>
            </w:r>
          </w:p>
          <w:p>
            <w:pPr>
              <w:pStyle w:val="TableParagraph"/>
              <w:spacing w:line="240" w:lineRule="auto" w:before="76"/>
              <w:ind w:left="63" w:right="0"/>
              <w:jc w:val="left"/>
              <w:rPr>
                <w:rFonts w:ascii="宋体" w:hAnsi="宋体" w:cs="宋体" w:eastAsia="宋体" w:hint="default"/>
                <w:sz w:val="18"/>
                <w:szCs w:val="18"/>
              </w:rPr>
            </w:pPr>
            <w:r>
              <w:rPr>
                <w:rFonts w:ascii="宋体"/>
                <w:sz w:val="18"/>
              </w:rPr>
              <w:t>,313.03</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1660" w:right="1120"/>
        </w:sectPr>
      </w:pPr>
    </w:p>
    <w:p>
      <w:pPr>
        <w:pStyle w:val="BodyText"/>
        <w:spacing w:line="240" w:lineRule="auto" w:before="35"/>
        <w:ind w:left="137" w:right="-20"/>
        <w:jc w:val="left"/>
      </w:pPr>
      <w:r>
        <w:rPr/>
        <w:t>期末单项金额重大并单项计提坏帐准备的应收账款</w:t>
      </w:r>
    </w:p>
    <w:p>
      <w:pPr>
        <w:pStyle w:val="BodyText"/>
        <w:spacing w:line="240" w:lineRule="auto" w:before="37"/>
        <w:ind w:left="137"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187" w:val="left" w:leader="none"/>
        </w:tabs>
        <w:spacing w:line="240" w:lineRule="auto" w:before="135"/>
        <w:ind w:left="137" w:right="0"/>
        <w:jc w:val="left"/>
      </w:pPr>
      <w:r>
        <w:rPr/>
        <w:t>单位：元</w:t>
        <w:tab/>
        <w:t>币种：人民币</w:t>
      </w:r>
    </w:p>
    <w:p>
      <w:pPr>
        <w:spacing w:after="0" w:line="240" w:lineRule="auto"/>
        <w:jc w:val="left"/>
        <w:sectPr>
          <w:type w:val="continuous"/>
          <w:pgSz w:w="11910" w:h="16840"/>
          <w:pgMar w:top="1080" w:bottom="1380" w:left="1660" w:right="1120"/>
          <w:cols w:num="2" w:equalWidth="0">
            <w:col w:w="4758" w:space="1765"/>
            <w:col w:w="2607"/>
          </w:cols>
        </w:sectPr>
      </w:pPr>
    </w:p>
    <w:p>
      <w:pPr>
        <w:spacing w:line="240" w:lineRule="auto" w:before="1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936"/>
        <w:gridCol w:w="1676"/>
        <w:gridCol w:w="1865"/>
        <w:gridCol w:w="1717"/>
        <w:gridCol w:w="1681"/>
      </w:tblGrid>
      <w:tr>
        <w:trPr>
          <w:trHeight w:val="323" w:hRule="exact"/>
        </w:trPr>
        <w:tc>
          <w:tcPr>
            <w:tcW w:w="1936" w:type="dxa"/>
            <w:vMerge w:val="restart"/>
            <w:tcBorders>
              <w:top w:val="single" w:sz="4" w:space="0" w:color="000000"/>
              <w:left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（按单位）</w:t>
            </w:r>
          </w:p>
        </w:tc>
        <w:tc>
          <w:tcPr>
            <w:tcW w:w="69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2" w:hRule="exact"/>
        </w:trPr>
        <w:tc>
          <w:tcPr>
            <w:tcW w:w="1936" w:type="dxa"/>
            <w:vMerge/>
            <w:tcBorders>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1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0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322" w:hRule="exact"/>
        </w:trPr>
        <w:tc>
          <w:tcPr>
            <w:tcW w:w="1936"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36"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76"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1660" w:right="1120"/>
        </w:sectPr>
      </w:pPr>
    </w:p>
    <w:p>
      <w:pPr>
        <w:pStyle w:val="BodyText"/>
        <w:spacing w:line="240" w:lineRule="auto" w:before="35"/>
        <w:ind w:left="137" w:right="-20"/>
        <w:jc w:val="left"/>
      </w:pPr>
      <w:r>
        <w:rPr/>
        <w:t>组合中，按账龄分析法计提坏账准备的应收账款：</w:t>
      </w:r>
    </w:p>
    <w:p>
      <w:pPr>
        <w:pStyle w:val="BodyText"/>
        <w:spacing w:line="240" w:lineRule="auto" w:before="37"/>
        <w:ind w:left="137"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187" w:val="left" w:leader="none"/>
        </w:tabs>
        <w:spacing w:line="240" w:lineRule="auto" w:before="135"/>
        <w:ind w:left="137" w:right="0"/>
        <w:jc w:val="left"/>
      </w:pPr>
      <w:r>
        <w:rPr/>
        <w:t>单位：元</w:t>
        <w:tab/>
        <w:t>币种：人民币</w:t>
      </w:r>
    </w:p>
    <w:p>
      <w:pPr>
        <w:spacing w:after="0" w:line="240" w:lineRule="auto"/>
        <w:jc w:val="left"/>
        <w:sectPr>
          <w:type w:val="continuous"/>
          <w:pgSz w:w="11910" w:h="16840"/>
          <w:pgMar w:top="1080" w:bottom="1380" w:left="1660" w:right="1120"/>
          <w:cols w:num="2" w:equalWidth="0">
            <w:col w:w="4758" w:space="1765"/>
            <w:col w:w="2607"/>
          </w:cols>
        </w:sectPr>
      </w:pP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2048"/>
        <w:gridCol w:w="2282"/>
        <w:gridCol w:w="2316"/>
        <w:gridCol w:w="2249"/>
      </w:tblGrid>
      <w:tr>
        <w:trPr>
          <w:trHeight w:val="323"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68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2"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98"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847" w:type="dxa"/>
            <w:gridSpan w:val="3"/>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6847" w:type="dxa"/>
            <w:gridSpan w:val="3"/>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文本:1</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文本:1</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pacing w:val="-1"/>
                <w:sz w:val="21"/>
              </w:rPr>
              <w:t>186,771,728.53</w:t>
            </w:r>
            <w:r>
              <w:rPr>
                <w:rFonts w:ascii="宋体"/>
                <w:sz w:val="21"/>
              </w:rPr>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7"/>
              <w:jc w:val="right"/>
              <w:rPr>
                <w:rFonts w:ascii="宋体" w:hAnsi="宋体" w:cs="宋体" w:eastAsia="宋体" w:hint="default"/>
                <w:sz w:val="21"/>
                <w:szCs w:val="21"/>
              </w:rPr>
            </w:pPr>
            <w:r>
              <w:rPr>
                <w:rFonts w:ascii="宋体"/>
                <w:spacing w:val="-1"/>
                <w:sz w:val="21"/>
              </w:rPr>
              <w:t>9,338,586.44</w:t>
            </w:r>
            <w:r>
              <w:rPr>
                <w:rFonts w:ascii="宋体"/>
                <w:sz w:val="21"/>
              </w:rPr>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z w:val="21"/>
              </w:rPr>
              <w:t>5</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6"/>
              <w:jc w:val="right"/>
              <w:rPr>
                <w:rFonts w:ascii="宋体" w:hAnsi="宋体" w:cs="宋体" w:eastAsia="宋体" w:hint="default"/>
                <w:sz w:val="21"/>
                <w:szCs w:val="21"/>
              </w:rPr>
            </w:pPr>
            <w:r>
              <w:rPr>
                <w:rFonts w:ascii="宋体"/>
                <w:spacing w:val="-1"/>
                <w:sz w:val="21"/>
              </w:rPr>
              <w:t>19,273,410.75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5"/>
              <w:jc w:val="right"/>
              <w:rPr>
                <w:rFonts w:ascii="宋体" w:hAnsi="宋体" w:cs="宋体" w:eastAsia="宋体" w:hint="default"/>
                <w:sz w:val="21"/>
                <w:szCs w:val="21"/>
              </w:rPr>
            </w:pPr>
            <w:r>
              <w:rPr>
                <w:rFonts w:ascii="宋体"/>
                <w:spacing w:val="-1"/>
                <w:sz w:val="21"/>
              </w:rPr>
              <w:t>1,541,872.86</w:t>
            </w:r>
            <w:r>
              <w:rPr>
                <w:rFonts w:ascii="宋体"/>
                <w:sz w:val="21"/>
              </w:rPr>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z w:val="21"/>
              </w:rPr>
              <w:t>8</w:t>
            </w:r>
          </w:p>
        </w:tc>
      </w:tr>
    </w:tbl>
    <w:p>
      <w:pPr>
        <w:spacing w:after="0" w:line="260" w:lineRule="exact"/>
        <w:jc w:val="right"/>
        <w:rPr>
          <w:rFonts w:ascii="宋体" w:hAnsi="宋体" w:cs="宋体" w:eastAsia="宋体" w:hint="default"/>
          <w:sz w:val="21"/>
          <w:szCs w:val="21"/>
        </w:rPr>
        <w:sectPr>
          <w:type w:val="continuous"/>
          <w:pgSz w:w="11910" w:h="16840"/>
          <w:pgMar w:top="108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1" w:type="dxa"/>
        <w:tblLayout w:type="fixed"/>
        <w:tblCellMar>
          <w:top w:w="0" w:type="dxa"/>
          <w:left w:w="0" w:type="dxa"/>
          <w:bottom w:w="0" w:type="dxa"/>
          <w:right w:w="0" w:type="dxa"/>
        </w:tblCellMar>
        <w:tblLook w:val="01E0"/>
      </w:tblPr>
      <w:tblGrid>
        <w:gridCol w:w="2048"/>
        <w:gridCol w:w="2282"/>
        <w:gridCol w:w="2316"/>
        <w:gridCol w:w="2249"/>
      </w:tblGrid>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5"/>
              <w:jc w:val="right"/>
              <w:rPr>
                <w:rFonts w:ascii="宋体" w:hAnsi="宋体" w:cs="宋体" w:eastAsia="宋体" w:hint="default"/>
                <w:sz w:val="21"/>
                <w:szCs w:val="21"/>
              </w:rPr>
            </w:pPr>
            <w:r>
              <w:rPr>
                <w:rFonts w:ascii="宋体"/>
                <w:spacing w:val="-1"/>
                <w:sz w:val="21"/>
              </w:rPr>
              <w:t>7,364,128.59</w:t>
            </w:r>
            <w:r>
              <w:rPr>
                <w:rFonts w:ascii="宋体"/>
                <w:sz w:val="21"/>
              </w:rPr>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5"/>
              <w:jc w:val="right"/>
              <w:rPr>
                <w:rFonts w:ascii="宋体" w:hAnsi="宋体" w:cs="宋体" w:eastAsia="宋体" w:hint="default"/>
                <w:sz w:val="21"/>
                <w:szCs w:val="21"/>
              </w:rPr>
            </w:pPr>
            <w:r>
              <w:rPr>
                <w:rFonts w:ascii="宋体"/>
                <w:spacing w:val="-1"/>
                <w:sz w:val="21"/>
              </w:rPr>
              <w:t>1,472,825.71</w:t>
            </w:r>
            <w:r>
              <w:rPr>
                <w:rFonts w:ascii="宋体"/>
                <w:sz w:val="21"/>
              </w:rPr>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z w:val="21"/>
              </w:rPr>
              <w:t>20</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5"/>
              <w:jc w:val="right"/>
              <w:rPr>
                <w:rFonts w:ascii="宋体" w:hAnsi="宋体" w:cs="宋体" w:eastAsia="宋体" w:hint="default"/>
                <w:sz w:val="21"/>
                <w:szCs w:val="21"/>
              </w:rPr>
            </w:pPr>
            <w:r>
              <w:rPr>
                <w:rFonts w:ascii="宋体"/>
                <w:spacing w:val="-1"/>
                <w:sz w:val="21"/>
              </w:rPr>
              <w:t>5,511,267.60</w:t>
            </w:r>
            <w:r>
              <w:rPr>
                <w:rFonts w:ascii="宋体"/>
                <w:sz w:val="21"/>
              </w:rPr>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5"/>
              <w:jc w:val="right"/>
              <w:rPr>
                <w:rFonts w:ascii="宋体" w:hAnsi="宋体" w:cs="宋体" w:eastAsia="宋体" w:hint="default"/>
                <w:sz w:val="21"/>
                <w:szCs w:val="21"/>
              </w:rPr>
            </w:pPr>
            <w:r>
              <w:rPr>
                <w:rFonts w:ascii="宋体"/>
                <w:spacing w:val="-1"/>
                <w:sz w:val="21"/>
              </w:rPr>
              <w:t>2,755,633.80</w:t>
            </w:r>
            <w:r>
              <w:rPr>
                <w:rFonts w:ascii="宋体"/>
                <w:sz w:val="21"/>
              </w:rPr>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5"/>
              <w:jc w:val="right"/>
              <w:rPr>
                <w:rFonts w:ascii="宋体" w:hAnsi="宋体" w:cs="宋体" w:eastAsia="宋体" w:hint="default"/>
                <w:sz w:val="21"/>
                <w:szCs w:val="21"/>
              </w:rPr>
            </w:pPr>
            <w:r>
              <w:rPr>
                <w:rFonts w:ascii="宋体"/>
                <w:sz w:val="21"/>
              </w:rPr>
              <w:t>50</w:t>
            </w:r>
          </w:p>
        </w:tc>
      </w:tr>
      <w:tr>
        <w:trPr>
          <w:trHeight w:val="32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pacing w:val="26"/>
                <w:sz w:val="21"/>
                <w:szCs w:val="21"/>
              </w:rPr>
              <w:t>3至</w:t>
            </w:r>
            <w:r>
              <w:rPr>
                <w:rFonts w:ascii="宋体" w:hAnsi="宋体" w:cs="宋体" w:eastAsia="宋体" w:hint="default"/>
                <w:spacing w:val="-52"/>
                <w:sz w:val="21"/>
                <w:szCs w:val="21"/>
              </w:rPr>
              <w:t> </w:t>
            </w:r>
            <w:r>
              <w:rPr>
                <w:rFonts w:ascii="宋体" w:hAnsi="宋体" w:cs="宋体" w:eastAsia="宋体" w:hint="default"/>
                <w:spacing w:val="26"/>
                <w:sz w:val="21"/>
                <w:szCs w:val="21"/>
              </w:rPr>
              <w:t>4年</w:t>
            </w:r>
            <w:r>
              <w:rPr>
                <w:rFonts w:ascii="宋体" w:hAnsi="宋体" w:cs="宋体" w:eastAsia="宋体" w:hint="default"/>
                <w:spacing w:val="-52"/>
                <w:sz w:val="21"/>
                <w:szCs w:val="21"/>
              </w:rPr>
              <w:t> </w:t>
            </w:r>
            <w:r>
              <w:rPr>
                <w:rFonts w:ascii="宋体" w:hAnsi="宋体" w:cs="宋体" w:eastAsia="宋体" w:hint="default"/>
                <w:sz w:val="21"/>
                <w:szCs w:val="21"/>
              </w:rPr>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pacing w:val="26"/>
                <w:sz w:val="21"/>
                <w:szCs w:val="21"/>
              </w:rPr>
              <w:t>4至</w:t>
            </w:r>
            <w:r>
              <w:rPr>
                <w:rFonts w:ascii="宋体" w:hAnsi="宋体" w:cs="宋体" w:eastAsia="宋体" w:hint="default"/>
                <w:spacing w:val="-52"/>
                <w:sz w:val="21"/>
                <w:szCs w:val="21"/>
              </w:rPr>
              <w:t> </w:t>
            </w:r>
            <w:r>
              <w:rPr>
                <w:rFonts w:ascii="宋体" w:hAnsi="宋体" w:cs="宋体" w:eastAsia="宋体" w:hint="default"/>
                <w:spacing w:val="26"/>
                <w:sz w:val="21"/>
                <w:szCs w:val="21"/>
              </w:rPr>
              <w:t>5年</w:t>
            </w:r>
            <w:r>
              <w:rPr>
                <w:rFonts w:ascii="宋体" w:hAnsi="宋体" w:cs="宋体" w:eastAsia="宋体" w:hint="default"/>
                <w:spacing w:val="-52"/>
                <w:sz w:val="21"/>
                <w:szCs w:val="21"/>
              </w:rPr>
              <w:t> </w:t>
            </w:r>
            <w:r>
              <w:rPr>
                <w:rFonts w:ascii="宋体" w:hAnsi="宋体" w:cs="宋体" w:eastAsia="宋体" w:hint="default"/>
                <w:sz w:val="21"/>
                <w:szCs w:val="21"/>
              </w:rPr>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pacing w:val="-1"/>
                <w:sz w:val="21"/>
              </w:rPr>
              <w:t>218,920,535.47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pacing w:val="-1"/>
                <w:sz w:val="21"/>
              </w:rPr>
              <w:t>15,108,918.81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3"/>
              <w:jc w:val="right"/>
              <w:rPr>
                <w:rFonts w:ascii="宋体" w:hAnsi="宋体" w:cs="宋体" w:eastAsia="宋体" w:hint="default"/>
                <w:sz w:val="21"/>
                <w:szCs w:val="21"/>
              </w:rPr>
            </w:pPr>
            <w:r>
              <w:rPr>
                <w:rFonts w:ascii="宋体"/>
                <w:spacing w:val="-1"/>
                <w:sz w:val="21"/>
              </w:rPr>
              <w:t>6.90</w:t>
            </w:r>
          </w:p>
        </w:tc>
      </w:tr>
    </w:tbl>
    <w:p>
      <w:pPr>
        <w:pStyle w:val="BodyText"/>
        <w:spacing w:line="260" w:lineRule="exact"/>
        <w:ind w:right="114"/>
        <w:jc w:val="left"/>
      </w:pPr>
      <w:r>
        <w:rPr/>
        <w:t>确定该组合依据的说明：</w:t>
      </w:r>
    </w:p>
    <w:p>
      <w:pPr>
        <w:pStyle w:val="BodyText"/>
        <w:spacing w:line="272" w:lineRule="exact" w:before="44"/>
        <w:ind w:right="227"/>
        <w:jc w:val="left"/>
      </w:pPr>
      <w:r>
        <w:rPr/>
        <w:t>已单独计提减值准备的应收账款除外，公司根据以前年度与之具有类似信用风险特征的应收账款 组合的实际损失率为基础，结合现时情况确定坏账准备计提比例。</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00"/>
          <w:pgSz w:w="11910" w:h="16840"/>
          <w:pgMar w:footer="1197" w:header="882" w:top="1120" w:bottom="1380" w:left="1580" w:right="1040"/>
        </w:sectPr>
      </w:pPr>
    </w:p>
    <w:p>
      <w:pPr>
        <w:pStyle w:val="BodyText"/>
        <w:spacing w:line="240" w:lineRule="auto" w:before="35"/>
        <w:ind w:right="-20"/>
        <w:jc w:val="left"/>
      </w:pPr>
      <w:r>
        <w:rPr/>
        <w:t>组合中，采用余额百分比法计提坏账准备的应收账款：</w:t>
      </w:r>
    </w:p>
    <w:p>
      <w:pPr>
        <w:pStyle w:val="BodyText"/>
        <w:spacing w:line="240" w:lineRule="auto" w:before="37"/>
        <w:ind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7" w:val="left" w:leader="none"/>
        </w:tabs>
        <w:spacing w:line="240" w:lineRule="auto" w:before="135"/>
        <w:ind w:right="0"/>
        <w:jc w:val="left"/>
      </w:pPr>
      <w:r>
        <w:rPr/>
        <w:t>单位：元</w:t>
        <w:tab/>
        <w:t>币种：人民币</w:t>
      </w:r>
    </w:p>
    <w:p>
      <w:pPr>
        <w:spacing w:after="0" w:line="240" w:lineRule="auto"/>
        <w:jc w:val="left"/>
        <w:sectPr>
          <w:type w:val="continuous"/>
          <w:pgSz w:w="11910" w:h="16840"/>
          <w:pgMar w:top="1080" w:bottom="1380" w:left="1580" w:right="1040"/>
          <w:cols w:num="2" w:equalWidth="0">
            <w:col w:w="5258" w:space="1240"/>
            <w:col w:w="2792"/>
          </w:cols>
        </w:sectPr>
      </w:pP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096"/>
        <w:gridCol w:w="2309"/>
        <w:gridCol w:w="2351"/>
        <w:gridCol w:w="2293"/>
      </w:tblGrid>
      <w:tr>
        <w:trPr>
          <w:trHeight w:val="328" w:hRule="exact"/>
        </w:trPr>
        <w:tc>
          <w:tcPr>
            <w:tcW w:w="2096" w:type="dxa"/>
            <w:vMerge w:val="restart"/>
            <w:tcBorders>
              <w:top w:val="single" w:sz="6" w:space="0" w:color="000000"/>
              <w:left w:val="single" w:sz="4" w:space="0" w:color="000000"/>
              <w:right w:val="single" w:sz="6" w:space="0" w:color="000000"/>
            </w:tcBorders>
          </w:tcPr>
          <w:p>
            <w:pPr>
              <w:pStyle w:val="TableParagraph"/>
              <w:spacing w:line="240" w:lineRule="auto" w:before="149"/>
              <w:ind w:left="518" w:right="0"/>
              <w:jc w:val="left"/>
              <w:rPr>
                <w:rFonts w:ascii="宋体" w:hAnsi="宋体" w:cs="宋体" w:eastAsia="宋体" w:hint="default"/>
                <w:sz w:val="21"/>
                <w:szCs w:val="21"/>
              </w:rPr>
            </w:pPr>
            <w:r>
              <w:rPr>
                <w:rFonts w:ascii="宋体" w:hAnsi="宋体" w:cs="宋体" w:eastAsia="宋体" w:hint="default"/>
                <w:sz w:val="21"/>
                <w:szCs w:val="21"/>
              </w:rPr>
              <w:t>余额百分比</w:t>
            </w:r>
          </w:p>
        </w:tc>
        <w:tc>
          <w:tcPr>
            <w:tcW w:w="6953" w:type="dxa"/>
            <w:gridSpan w:val="3"/>
            <w:tcBorders>
              <w:top w:val="single" w:sz="6" w:space="0" w:color="000000"/>
              <w:left w:val="single" w:sz="6" w:space="0" w:color="000000"/>
              <w:bottom w:val="single" w:sz="6" w:space="0" w:color="000000"/>
              <w:right w:val="single" w:sz="4" w:space="0" w:color="000000"/>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6" w:hRule="exact"/>
        </w:trPr>
        <w:tc>
          <w:tcPr>
            <w:tcW w:w="2096" w:type="dxa"/>
            <w:vMerge/>
            <w:tcBorders>
              <w:left w:val="single" w:sz="4" w:space="0" w:color="000000"/>
              <w:bottom w:val="single" w:sz="6" w:space="0" w:color="000000"/>
              <w:right w:val="single" w:sz="6" w:space="0" w:color="000000"/>
            </w:tcBorders>
          </w:tcPr>
          <w:p>
            <w:pP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7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5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74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6" w:space="0" w:color="000000"/>
              <w:left w:val="single" w:sz="6" w:space="0" w:color="000000"/>
              <w:bottom w:val="single" w:sz="6" w:space="0" w:color="000000"/>
              <w:right w:val="single" w:sz="4" w:space="0" w:color="000000"/>
            </w:tcBorders>
          </w:tcPr>
          <w:p>
            <w:pPr>
              <w:pStyle w:val="TableParagraph"/>
              <w:spacing w:line="260" w:lineRule="exact"/>
              <w:ind w:left="718"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328" w:hRule="exact"/>
        </w:trPr>
        <w:tc>
          <w:tcPr>
            <w:tcW w:w="2096" w:type="dxa"/>
            <w:tcBorders>
              <w:top w:val="single" w:sz="6" w:space="0" w:color="000000"/>
              <w:left w:val="single" w:sz="4" w:space="0" w:color="000000"/>
              <w:bottom w:val="single" w:sz="6" w:space="0" w:color="000000"/>
              <w:right w:val="single" w:sz="6" w:space="0" w:color="000000"/>
            </w:tcBorders>
          </w:tcPr>
          <w:p>
            <w:pPr/>
          </w:p>
        </w:tc>
        <w:tc>
          <w:tcPr>
            <w:tcW w:w="2309" w:type="dxa"/>
            <w:tcBorders>
              <w:top w:val="single" w:sz="6" w:space="0" w:color="000000"/>
              <w:left w:val="single" w:sz="6" w:space="0" w:color="000000"/>
              <w:bottom w:val="single" w:sz="6" w:space="0" w:color="000000"/>
              <w:right w:val="single" w:sz="6" w:space="0" w:color="000000"/>
            </w:tcBorders>
          </w:tcPr>
          <w:p>
            <w:pPr/>
          </w:p>
        </w:tc>
        <w:tc>
          <w:tcPr>
            <w:tcW w:w="2351" w:type="dxa"/>
            <w:tcBorders>
              <w:top w:val="single" w:sz="6" w:space="0" w:color="000000"/>
              <w:left w:val="single" w:sz="6" w:space="0" w:color="000000"/>
              <w:bottom w:val="single" w:sz="6" w:space="0" w:color="000000"/>
              <w:right w:val="single" w:sz="6" w:space="0" w:color="000000"/>
            </w:tcBorders>
          </w:tcPr>
          <w:p>
            <w:pPr/>
          </w:p>
        </w:tc>
        <w:tc>
          <w:tcPr>
            <w:tcW w:w="2293"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2096" w:type="dxa"/>
            <w:tcBorders>
              <w:top w:val="single" w:sz="6" w:space="0" w:color="000000"/>
              <w:left w:val="single" w:sz="4" w:space="0" w:color="000000"/>
              <w:bottom w:val="single" w:sz="6" w:space="0" w:color="000000"/>
              <w:right w:val="single" w:sz="6" w:space="0" w:color="000000"/>
            </w:tcBorders>
          </w:tcPr>
          <w:p>
            <w:pPr/>
          </w:p>
        </w:tc>
        <w:tc>
          <w:tcPr>
            <w:tcW w:w="2309" w:type="dxa"/>
            <w:tcBorders>
              <w:top w:val="single" w:sz="6" w:space="0" w:color="000000"/>
              <w:left w:val="single" w:sz="6" w:space="0" w:color="000000"/>
              <w:bottom w:val="single" w:sz="6" w:space="0" w:color="000000"/>
              <w:right w:val="single" w:sz="6" w:space="0" w:color="000000"/>
            </w:tcBorders>
          </w:tcPr>
          <w:p>
            <w:pPr/>
          </w:p>
        </w:tc>
        <w:tc>
          <w:tcPr>
            <w:tcW w:w="2351" w:type="dxa"/>
            <w:tcBorders>
              <w:top w:val="single" w:sz="6" w:space="0" w:color="000000"/>
              <w:left w:val="single" w:sz="6" w:space="0" w:color="000000"/>
              <w:bottom w:val="single" w:sz="6" w:space="0" w:color="000000"/>
              <w:right w:val="single" w:sz="6" w:space="0" w:color="000000"/>
            </w:tcBorders>
          </w:tcPr>
          <w:p>
            <w:pPr/>
          </w:p>
        </w:tc>
        <w:tc>
          <w:tcPr>
            <w:tcW w:w="2293" w:type="dxa"/>
            <w:tcBorders>
              <w:top w:val="single" w:sz="6" w:space="0" w:color="000000"/>
              <w:left w:val="single" w:sz="6" w:space="0" w:color="000000"/>
              <w:bottom w:val="single" w:sz="6" w:space="0" w:color="000000"/>
              <w:right w:val="single" w:sz="4" w:space="0" w:color="000000"/>
            </w:tcBorders>
          </w:tcPr>
          <w:p>
            <w:pPr/>
          </w:p>
        </w:tc>
      </w:tr>
      <w:tr>
        <w:trPr>
          <w:trHeight w:val="328" w:hRule="exact"/>
        </w:trPr>
        <w:tc>
          <w:tcPr>
            <w:tcW w:w="2096"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9" w:type="dxa"/>
            <w:tcBorders>
              <w:top w:val="single" w:sz="6" w:space="0" w:color="000000"/>
              <w:left w:val="single" w:sz="6" w:space="0" w:color="000000"/>
              <w:bottom w:val="single" w:sz="4" w:space="0" w:color="000000"/>
              <w:right w:val="single" w:sz="6" w:space="0" w:color="000000"/>
            </w:tcBorders>
          </w:tcPr>
          <w:p>
            <w:pPr/>
          </w:p>
        </w:tc>
        <w:tc>
          <w:tcPr>
            <w:tcW w:w="2351" w:type="dxa"/>
            <w:tcBorders>
              <w:top w:val="single" w:sz="6" w:space="0" w:color="000000"/>
              <w:left w:val="single" w:sz="6" w:space="0" w:color="000000"/>
              <w:bottom w:val="single" w:sz="4" w:space="0" w:color="000000"/>
              <w:right w:val="single" w:sz="6" w:space="0" w:color="000000"/>
            </w:tcBorders>
          </w:tcPr>
          <w:p>
            <w:pPr/>
          </w:p>
        </w:tc>
        <w:tc>
          <w:tcPr>
            <w:tcW w:w="2293"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60" w:lineRule="exact"/>
        <w:ind w:right="114"/>
        <w:jc w:val="left"/>
      </w:pPr>
      <w:r>
        <w:rPr/>
        <w:t>确定该组合依据的说明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right="114"/>
        <w:jc w:val="left"/>
      </w:pPr>
      <w:r>
        <w:rPr/>
        <w:t>组合中，采用其他方法计提坏账准备的应收账款：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3"/>
        <w:spacing w:line="240" w:lineRule="auto" w:before="0"/>
        <w:ind w:right="114"/>
        <w:jc w:val="left"/>
        <w:rPr>
          <w:b w:val="0"/>
          <w:bCs w:val="0"/>
        </w:rPr>
      </w:pPr>
      <w:r>
        <w:rPr/>
        <w:t>(2).</w:t>
      </w:r>
      <w:r>
        <w:rPr>
          <w:spacing w:val="38"/>
        </w:rPr>
        <w:t> </w:t>
      </w:r>
      <w:r>
        <w:rPr/>
        <w:t>本期计提、收回或转回的坏账准备情况：</w:t>
      </w:r>
      <w:r>
        <w:rPr>
          <w:b w:val="0"/>
          <w:bCs w:val="0"/>
        </w:rPr>
      </w:r>
    </w:p>
    <w:p>
      <w:pPr>
        <w:spacing w:before="97"/>
        <w:ind w:left="217" w:right="114" w:firstLine="0"/>
        <w:jc w:val="left"/>
        <w:rPr>
          <w:rFonts w:ascii="宋体" w:hAnsi="宋体" w:cs="宋体" w:eastAsia="宋体" w:hint="default"/>
          <w:sz w:val="21"/>
          <w:szCs w:val="21"/>
        </w:rPr>
      </w:pPr>
      <w:r>
        <w:rPr>
          <w:rFonts w:ascii="宋体" w:hAnsi="宋体" w:cs="宋体" w:eastAsia="宋体" w:hint="default"/>
          <w:w w:val="95"/>
          <w:sz w:val="21"/>
          <w:szCs w:val="21"/>
        </w:rPr>
        <w:t>本期计提坏账准备金额</w:t>
      </w:r>
      <w:r>
        <w:rPr>
          <w:rFonts w:ascii="宋体" w:hAnsi="宋体" w:cs="宋体" w:eastAsia="宋体" w:hint="default"/>
          <w:spacing w:val="-40"/>
          <w:w w:val="95"/>
          <w:sz w:val="21"/>
          <w:szCs w:val="21"/>
        </w:rPr>
        <w:t> </w:t>
      </w:r>
      <w:r>
        <w:rPr>
          <w:rFonts w:ascii="Arial" w:hAnsi="Arial" w:cs="Arial" w:eastAsia="Arial" w:hint="default"/>
          <w:w w:val="95"/>
          <w:sz w:val="18"/>
          <w:szCs w:val="18"/>
        </w:rPr>
        <w:t>3,537,576.98</w:t>
      </w:r>
      <w:r>
        <w:rPr>
          <w:rFonts w:ascii="Arial" w:hAnsi="Arial" w:cs="Arial" w:eastAsia="Arial" w:hint="default"/>
          <w:spacing w:val="3"/>
          <w:w w:val="95"/>
          <w:sz w:val="18"/>
          <w:szCs w:val="18"/>
        </w:rPr>
        <w:t> </w:t>
      </w:r>
      <w:r>
        <w:rPr>
          <w:rFonts w:ascii="宋体" w:hAnsi="宋体" w:cs="宋体" w:eastAsia="宋体" w:hint="default"/>
          <w:w w:val="95"/>
          <w:sz w:val="21"/>
          <w:szCs w:val="21"/>
        </w:rPr>
        <w:t>元；本期收回或转回坏账准备金额</w:t>
      </w:r>
      <w:r>
        <w:rPr>
          <w:rFonts w:ascii="宋体" w:hAnsi="宋体" w:cs="宋体" w:eastAsia="宋体" w:hint="default"/>
          <w:spacing w:val="-40"/>
          <w:w w:val="95"/>
          <w:sz w:val="21"/>
          <w:szCs w:val="21"/>
        </w:rPr>
        <w:t> </w:t>
      </w:r>
      <w:r>
        <w:rPr>
          <w:rFonts w:ascii="Arial" w:hAnsi="Arial" w:cs="Arial" w:eastAsia="Arial" w:hint="default"/>
          <w:w w:val="95"/>
          <w:sz w:val="18"/>
          <w:szCs w:val="18"/>
        </w:rPr>
        <w:t>24,945.00</w:t>
      </w:r>
      <w:r>
        <w:rPr>
          <w:rFonts w:ascii="Arial" w:hAnsi="Arial" w:cs="Arial" w:eastAsia="Arial" w:hint="default"/>
          <w:spacing w:val="3"/>
          <w:w w:val="95"/>
          <w:sz w:val="18"/>
          <w:szCs w:val="18"/>
        </w:rPr>
        <w:t> </w:t>
      </w:r>
      <w:r>
        <w:rPr>
          <w:rFonts w:ascii="宋体" w:hAnsi="宋体" w:cs="宋体" w:eastAsia="宋体" w:hint="default"/>
          <w:w w:val="95"/>
          <w:sz w:val="21"/>
          <w:szCs w:val="21"/>
        </w:rPr>
        <w:t>元。</w:t>
      </w:r>
    </w:p>
    <w:p>
      <w:pPr>
        <w:spacing w:line="240" w:lineRule="auto" w:before="4"/>
        <w:rPr>
          <w:rFonts w:ascii="宋体" w:hAnsi="宋体" w:cs="宋体" w:eastAsia="宋体" w:hint="default"/>
          <w:sz w:val="23"/>
          <w:szCs w:val="23"/>
        </w:rPr>
      </w:pPr>
    </w:p>
    <w:p>
      <w:pPr>
        <w:pStyle w:val="BodyText"/>
        <w:spacing w:line="240" w:lineRule="auto" w:before="35"/>
        <w:ind w:right="114"/>
        <w:jc w:val="left"/>
      </w:pPr>
      <w:r>
        <w:rPr/>
        <w:t>其中本期坏账准备收回或转回金额重要的：</w:t>
      </w:r>
    </w:p>
    <w:p>
      <w:pPr>
        <w:pStyle w:val="BodyText"/>
        <w:tabs>
          <w:tab w:pos="1049" w:val="left" w:leader="none"/>
        </w:tabs>
        <w:spacing w:line="240" w:lineRule="auto" w:before="3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189"/>
        <w:gridCol w:w="3431"/>
        <w:gridCol w:w="3430"/>
      </w:tblGrid>
      <w:tr>
        <w:trPr>
          <w:trHeight w:val="322"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74" w:right="0"/>
              <w:jc w:val="left"/>
              <w:rPr>
                <w:rFonts w:ascii="宋体" w:hAnsi="宋体" w:cs="宋体" w:eastAsia="宋体" w:hint="default"/>
                <w:sz w:val="21"/>
                <w:szCs w:val="21"/>
              </w:rPr>
            </w:pPr>
            <w:r>
              <w:rPr>
                <w:rFonts w:ascii="宋体" w:hAnsi="宋体" w:cs="宋体" w:eastAsia="宋体" w:hint="default"/>
                <w:sz w:val="21"/>
                <w:szCs w:val="21"/>
              </w:rPr>
              <w:t>收回或转回金额</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323" w:hRule="exact"/>
        </w:trPr>
        <w:tc>
          <w:tcPr>
            <w:tcW w:w="2189" w:type="dxa"/>
            <w:tcBorders>
              <w:top w:val="single" w:sz="4" w:space="0" w:color="000000"/>
              <w:left w:val="single" w:sz="4" w:space="0" w:color="000000"/>
              <w:bottom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89" w:type="dxa"/>
            <w:tcBorders>
              <w:top w:val="single" w:sz="4" w:space="0" w:color="000000"/>
              <w:left w:val="single" w:sz="4" w:space="0" w:color="000000"/>
              <w:bottom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431"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right="114"/>
        <w:jc w:val="left"/>
      </w:pPr>
      <w:r>
        <w:rPr/>
        <w:t>其他说明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3"/>
        <w:spacing w:line="240" w:lineRule="auto" w:before="0"/>
        <w:ind w:right="114"/>
        <w:jc w:val="left"/>
        <w:rPr>
          <w:b w:val="0"/>
          <w:bCs w:val="0"/>
        </w:rPr>
      </w:pPr>
      <w:r>
        <w:rPr/>
        <w:t>(3).</w:t>
      </w:r>
      <w:r>
        <w:rPr>
          <w:spacing w:val="40"/>
        </w:rPr>
        <w:t> </w:t>
      </w:r>
      <w:r>
        <w:rPr/>
        <w:t>本期实际核销的应收账款情况</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4273"/>
        <w:gridCol w:w="4776"/>
      </w:tblGrid>
      <w:tr>
        <w:trPr>
          <w:trHeight w:val="322"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32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Arial" w:hAnsi="Arial" w:cs="Arial" w:eastAsia="Arial" w:hint="default"/>
                <w:sz w:val="18"/>
                <w:szCs w:val="18"/>
              </w:rPr>
            </w:pPr>
            <w:r>
              <w:rPr>
                <w:rFonts w:ascii="Arial"/>
                <w:spacing w:val="-1"/>
                <w:w w:val="80"/>
                <w:sz w:val="18"/>
              </w:rPr>
              <w:t>540,000.00</w:t>
            </w:r>
            <w:r>
              <w:rPr>
                <w:rFonts w:ascii="Arial"/>
                <w:spacing w:val="-1"/>
                <w:sz w:val="18"/>
              </w:rPr>
            </w:r>
          </w:p>
        </w:tc>
      </w:tr>
    </w:tbl>
    <w:p>
      <w:pPr>
        <w:spacing w:line="240" w:lineRule="auto" w:before="0"/>
        <w:rPr>
          <w:rFonts w:ascii="宋体" w:hAnsi="宋体" w:cs="宋体" w:eastAsia="宋体" w:hint="default"/>
          <w:sz w:val="20"/>
          <w:szCs w:val="20"/>
        </w:rPr>
      </w:pPr>
    </w:p>
    <w:p>
      <w:pPr>
        <w:pStyle w:val="BodyText"/>
        <w:spacing w:line="240" w:lineRule="auto" w:before="35"/>
        <w:ind w:right="114"/>
        <w:jc w:val="left"/>
      </w:pPr>
      <w:r>
        <w:rPr/>
        <w:t>其中重要的应收账款核销情况</w:t>
      </w:r>
    </w:p>
    <w:p>
      <w:pPr>
        <w:spacing w:after="0" w:line="240" w:lineRule="auto"/>
        <w:jc w:val="left"/>
        <w:sectPr>
          <w:type w:val="continuous"/>
          <w:pgSz w:w="11910" w:h="16840"/>
          <w:pgMar w:top="1080" w:bottom="1380" w:left="1580" w:right="1040"/>
        </w:sectPr>
      </w:pPr>
    </w:p>
    <w:p>
      <w:pPr>
        <w:spacing w:line="240" w:lineRule="auto" w:before="10"/>
        <w:rPr>
          <w:rFonts w:ascii="宋体" w:hAnsi="宋体" w:cs="宋体" w:eastAsia="宋体" w:hint="default"/>
          <w:sz w:val="26"/>
          <w:szCs w:val="26"/>
        </w:rPr>
      </w:pPr>
    </w:p>
    <w:p>
      <w:pPr>
        <w:pStyle w:val="BodyText"/>
        <w:tabs>
          <w:tab w:pos="1049" w:val="left" w:leader="none"/>
        </w:tabs>
        <w:spacing w:line="240" w:lineRule="auto" w:before="35"/>
        <w:ind w:left="0" w:right="17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99" w:type="dxa"/>
        <w:tblLayout w:type="fixed"/>
        <w:tblCellMar>
          <w:top w:w="0" w:type="dxa"/>
          <w:left w:w="0" w:type="dxa"/>
          <w:bottom w:w="0" w:type="dxa"/>
          <w:right w:w="0" w:type="dxa"/>
        </w:tblCellMar>
        <w:tblLook w:val="01E0"/>
      </w:tblPr>
      <w:tblGrid>
        <w:gridCol w:w="1361"/>
        <w:gridCol w:w="1361"/>
        <w:gridCol w:w="1358"/>
        <w:gridCol w:w="1361"/>
        <w:gridCol w:w="1728"/>
        <w:gridCol w:w="1727"/>
      </w:tblGrid>
      <w:tr>
        <w:trPr>
          <w:trHeight w:val="638"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72"/>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73"/>
              <w:jc w:val="center"/>
              <w:rPr>
                <w:rFonts w:ascii="宋体" w:hAnsi="宋体" w:cs="宋体" w:eastAsia="宋体" w:hint="default"/>
                <w:sz w:val="21"/>
                <w:szCs w:val="21"/>
              </w:rPr>
            </w:pPr>
            <w:r>
              <w:rPr>
                <w:rFonts w:ascii="宋体" w:hAnsi="宋体" w:cs="宋体" w:eastAsia="宋体" w:hint="default"/>
                <w:sz w:val="21"/>
                <w:szCs w:val="21"/>
              </w:rPr>
              <w:t>应收账款性</w:t>
            </w:r>
          </w:p>
          <w:p>
            <w:pPr>
              <w:pStyle w:val="TableParagraph"/>
              <w:spacing w:line="240" w:lineRule="auto" w:before="37"/>
              <w:ind w:right="73"/>
              <w:jc w:val="center"/>
              <w:rPr>
                <w:rFonts w:ascii="宋体" w:hAnsi="宋体" w:cs="宋体" w:eastAsia="宋体" w:hint="default"/>
                <w:sz w:val="21"/>
                <w:szCs w:val="21"/>
              </w:rPr>
            </w:pPr>
            <w:r>
              <w:rPr>
                <w:rFonts w:ascii="宋体" w:hAnsi="宋体" w:cs="宋体" w:eastAsia="宋体" w:hint="default"/>
                <w:sz w:val="21"/>
                <w:szCs w:val="21"/>
              </w:rPr>
              <w:t>质</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14"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履行的核销程序</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328" w:hRule="exact"/>
        </w:trPr>
        <w:tc>
          <w:tcPr>
            <w:tcW w:w="1361"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61"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3"/>
              <w:jc w:val="center"/>
              <w:rPr>
                <w:rFonts w:ascii="宋体" w:hAnsi="宋体" w:cs="宋体" w:eastAsia="宋体" w:hint="default"/>
                <w:sz w:val="21"/>
                <w:szCs w:val="21"/>
              </w:rPr>
            </w:pPr>
            <w:r>
              <w:rPr>
                <w:rFonts w:ascii="宋体" w:hAnsi="宋体" w:cs="宋体" w:eastAsia="宋体" w:hint="default"/>
                <w:sz w:val="21"/>
                <w:szCs w:val="21"/>
              </w:rPr>
              <w:t>合计</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61" w:right="0"/>
              <w:jc w:val="left"/>
              <w:rPr>
                <w:rFonts w:ascii="宋体" w:hAnsi="宋体" w:cs="宋体" w:eastAsia="宋体" w:hint="default"/>
                <w:sz w:val="21"/>
                <w:szCs w:val="21"/>
              </w:rPr>
            </w:pPr>
            <w:r>
              <w:rPr>
                <w:rFonts w:ascii="宋体"/>
                <w:sz w:val="21"/>
              </w:rPr>
              <w:t>/</w:t>
            </w:r>
          </w:p>
        </w:tc>
        <w:tc>
          <w:tcPr>
            <w:tcW w:w="1358"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w:t>
            </w:r>
          </w:p>
        </w:tc>
      </w:tr>
    </w:tbl>
    <w:p>
      <w:pPr>
        <w:spacing w:line="240" w:lineRule="auto" w:before="7"/>
        <w:rPr>
          <w:rFonts w:ascii="宋体" w:hAnsi="宋体" w:cs="宋体" w:eastAsia="宋体" w:hint="default"/>
          <w:sz w:val="15"/>
          <w:szCs w:val="15"/>
        </w:rPr>
      </w:pPr>
    </w:p>
    <w:p>
      <w:pPr>
        <w:pStyle w:val="BodyText"/>
        <w:spacing w:line="240" w:lineRule="auto" w:before="35"/>
        <w:ind w:left="237" w:right="0"/>
        <w:jc w:val="left"/>
      </w:pPr>
      <w:r>
        <w:rPr/>
        <w:t>应收账款核销说明：</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3"/>
        <w:spacing w:line="240" w:lineRule="auto" w:before="0"/>
        <w:ind w:left="237" w:right="0"/>
        <w:jc w:val="left"/>
        <w:rPr>
          <w:b w:val="0"/>
          <w:bCs w:val="0"/>
        </w:rPr>
      </w:pPr>
      <w:r>
        <w:rPr/>
        <w:pict>
          <v:group style="position:absolute;margin-left:83.040001pt;margin-top:32.965302pt;width:452.05pt;height:129.85pt;mso-position-horizontal-relative:page;mso-position-vertical-relative:paragraph;z-index:-1227448" coordorigin="1661,659" coordsize="9041,2597">
            <v:group style="position:absolute;left:1690;top:674;width:8990;height:2" coordorigin="1690,674" coordsize="8990,2">
              <v:shape style="position:absolute;left:1690;top:674;width:8990;height:2" coordorigin="1690,674" coordsize="8990,0" path="m1690,674l10679,674e" filled="false" stroked="true" strokeweight="1.5pt" strokecolor="#000000">
                <v:path arrowok="t"/>
              </v:shape>
              <v:shape style="position:absolute;left:4780;top:661;width:3827;height:524" type="#_x0000_t75" stroked="false">
                <v:imagedata r:id="rId102" o:title=""/>
              </v:shape>
              <v:shape style="position:absolute;left:1661;top:1135;width:9041;height:2122" type="#_x0000_t75" stroked="false">
                <v:imagedata r:id="rId103" o:title=""/>
              </v:shape>
              <v:shape style="position:absolute;left:2891;top:83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单位名称</w:t>
                      </w:r>
                    </w:p>
                  </w:txbxContent>
                </v:textbox>
                <w10:wrap type="none"/>
              </v:shape>
              <v:shape style="position:absolute;left:5504;top:83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7115;top:715;width:1260;height:423" type="#_x0000_t202" filled="false" stroked="false">
                <v:textbox inset="0,0,0,0">
                  <w:txbxContent>
                    <w:p>
                      <w:pPr>
                        <w:spacing w:line="179" w:lineRule="exact" w:before="0"/>
                        <w:ind w:left="64" w:right="0" w:hanging="65"/>
                        <w:jc w:val="left"/>
                        <w:rPr>
                          <w:rFonts w:ascii="宋体" w:hAnsi="宋体" w:cs="宋体" w:eastAsia="宋体" w:hint="default"/>
                          <w:sz w:val="18"/>
                          <w:szCs w:val="18"/>
                        </w:rPr>
                      </w:pPr>
                      <w:r>
                        <w:rPr>
                          <w:rFonts w:ascii="宋体" w:hAnsi="宋体" w:cs="宋体" w:eastAsia="宋体" w:hint="default"/>
                          <w:sz w:val="18"/>
                          <w:szCs w:val="18"/>
                        </w:rPr>
                        <w:t>占应收账款期末</w:t>
                      </w:r>
                    </w:p>
                    <w:p>
                      <w:pPr>
                        <w:spacing w:line="244" w:lineRule="exact" w:before="0"/>
                        <w:ind w:left="64" w:right="0" w:firstLine="0"/>
                        <w:jc w:val="left"/>
                        <w:rPr>
                          <w:rFonts w:ascii="Arial" w:hAnsi="Arial" w:cs="Arial" w:eastAsia="Arial" w:hint="default"/>
                          <w:sz w:val="18"/>
                          <w:szCs w:val="18"/>
                        </w:rPr>
                      </w:pPr>
                      <w:r>
                        <w:rPr>
                          <w:rFonts w:ascii="宋体" w:hAnsi="宋体" w:cs="宋体" w:eastAsia="宋体" w:hint="default"/>
                          <w:w w:val="95"/>
                          <w:sz w:val="18"/>
                          <w:szCs w:val="18"/>
                        </w:rPr>
                        <w:t>余额的比例</w:t>
                      </w:r>
                      <w:r>
                        <w:rPr>
                          <w:rFonts w:ascii="Arial" w:hAnsi="Arial" w:cs="Arial" w:eastAsia="Arial" w:hint="default"/>
                          <w:w w:val="95"/>
                          <w:sz w:val="18"/>
                          <w:szCs w:val="18"/>
                        </w:rPr>
                        <w:t>(%)</w:t>
                      </w:r>
                      <w:r>
                        <w:rPr>
                          <w:rFonts w:ascii="Arial" w:hAnsi="Arial" w:cs="Arial" w:eastAsia="Arial" w:hint="default"/>
                          <w:sz w:val="18"/>
                          <w:szCs w:val="18"/>
                        </w:rPr>
                      </w:r>
                    </w:p>
                  </w:txbxContent>
                </v:textbox>
                <w10:wrap type="none"/>
              </v:shape>
              <v:shape style="position:absolute;left:8994;top:831;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已计提坏账准备</w:t>
                      </w:r>
                    </w:p>
                  </w:txbxContent>
                </v:textbox>
                <w10:wrap type="none"/>
              </v:shape>
            </v:group>
            <w10:wrap type="none"/>
          </v:group>
        </w:pict>
      </w:r>
      <w:r>
        <w:rPr/>
        <w:t>(4).</w:t>
      </w:r>
      <w:r>
        <w:rPr>
          <w:spacing w:val="36"/>
        </w:rPr>
        <w:t> </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8"/>
          <w:szCs w:val="28"/>
        </w:rPr>
      </w:pPr>
    </w:p>
    <w:tbl>
      <w:tblPr>
        <w:tblW w:w="0" w:type="auto"/>
        <w:jc w:val="left"/>
        <w:tblInd w:w="202" w:type="dxa"/>
        <w:tblLayout w:type="fixed"/>
        <w:tblCellMar>
          <w:top w:w="0" w:type="dxa"/>
          <w:left w:w="0" w:type="dxa"/>
          <w:bottom w:w="0" w:type="dxa"/>
          <w:right w:w="0" w:type="dxa"/>
        </w:tblCellMar>
        <w:tblLook w:val="01E0"/>
      </w:tblPr>
      <w:tblGrid>
        <w:gridCol w:w="3216"/>
        <w:gridCol w:w="2433"/>
        <w:gridCol w:w="1565"/>
        <w:gridCol w:w="1628"/>
      </w:tblGrid>
      <w:tr>
        <w:trPr>
          <w:trHeight w:val="334"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深圳市建筑工务署</w:t>
            </w:r>
          </w:p>
        </w:tc>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9" w:right="0"/>
              <w:jc w:val="center"/>
              <w:rPr>
                <w:rFonts w:ascii="宋体" w:hAnsi="宋体" w:cs="宋体" w:eastAsia="宋体" w:hint="default"/>
                <w:sz w:val="18"/>
                <w:szCs w:val="18"/>
              </w:rPr>
            </w:pPr>
            <w:r>
              <w:rPr>
                <w:rFonts w:ascii="宋体"/>
                <w:sz w:val="18"/>
              </w:rPr>
              <w:t>11,907,351.08</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12"/>
              <w:jc w:val="right"/>
              <w:rPr>
                <w:rFonts w:ascii="宋体" w:hAnsi="宋体" w:cs="宋体" w:eastAsia="宋体" w:hint="default"/>
                <w:sz w:val="18"/>
                <w:szCs w:val="18"/>
              </w:rPr>
            </w:pPr>
            <w:r>
              <w:rPr>
                <w:rFonts w:ascii="宋体"/>
                <w:sz w:val="18"/>
              </w:rPr>
              <w:t>5.28</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宋体" w:hAnsi="宋体" w:cs="宋体" w:eastAsia="宋体" w:hint="default"/>
                <w:sz w:val="18"/>
                <w:szCs w:val="18"/>
              </w:rPr>
            </w:pPr>
            <w:r>
              <w:rPr>
                <w:rFonts w:ascii="宋体"/>
                <w:sz w:val="18"/>
              </w:rPr>
              <w:t>595,367.55</w:t>
            </w:r>
          </w:p>
        </w:tc>
      </w:tr>
      <w:tr>
        <w:trPr>
          <w:trHeight w:val="350"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深圳市机场股份有限公司</w:t>
            </w:r>
          </w:p>
        </w:tc>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49" w:right="0"/>
              <w:jc w:val="center"/>
              <w:rPr>
                <w:rFonts w:ascii="宋体" w:hAnsi="宋体" w:cs="宋体" w:eastAsia="宋体" w:hint="default"/>
                <w:sz w:val="18"/>
                <w:szCs w:val="18"/>
              </w:rPr>
            </w:pPr>
            <w:r>
              <w:rPr>
                <w:rFonts w:ascii="宋体"/>
                <w:sz w:val="18"/>
              </w:rPr>
              <w:t>7,487,151.13</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12"/>
              <w:jc w:val="right"/>
              <w:rPr>
                <w:rFonts w:ascii="宋体" w:hAnsi="宋体" w:cs="宋体" w:eastAsia="宋体" w:hint="default"/>
                <w:sz w:val="18"/>
                <w:szCs w:val="18"/>
              </w:rPr>
            </w:pPr>
            <w:r>
              <w:rPr>
                <w:rFonts w:ascii="宋体"/>
                <w:sz w:val="18"/>
              </w:rPr>
              <w:t>3.32</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374,357.56</w:t>
            </w:r>
          </w:p>
        </w:tc>
      </w:tr>
      <w:tr>
        <w:trPr>
          <w:trHeight w:val="350"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深圳市龙岗区卫生局</w:t>
            </w:r>
          </w:p>
        </w:tc>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49" w:right="0"/>
              <w:jc w:val="center"/>
              <w:rPr>
                <w:rFonts w:ascii="宋体" w:hAnsi="宋体" w:cs="宋体" w:eastAsia="宋体" w:hint="default"/>
                <w:sz w:val="18"/>
                <w:szCs w:val="18"/>
              </w:rPr>
            </w:pPr>
            <w:r>
              <w:rPr>
                <w:rFonts w:ascii="宋体"/>
                <w:sz w:val="18"/>
              </w:rPr>
              <w:t>5,463,750.00</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12"/>
              <w:jc w:val="right"/>
              <w:rPr>
                <w:rFonts w:ascii="宋体" w:hAnsi="宋体" w:cs="宋体" w:eastAsia="宋体" w:hint="default"/>
                <w:sz w:val="18"/>
                <w:szCs w:val="18"/>
              </w:rPr>
            </w:pPr>
            <w:r>
              <w:rPr>
                <w:rFonts w:ascii="宋体"/>
                <w:sz w:val="18"/>
              </w:rPr>
              <w:t>2.42</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273,187.50</w:t>
            </w:r>
          </w:p>
        </w:tc>
      </w:tr>
      <w:tr>
        <w:trPr>
          <w:trHeight w:val="350"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深圳市南山区教育科学研究中心</w:t>
            </w:r>
          </w:p>
        </w:tc>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49" w:right="0"/>
              <w:jc w:val="center"/>
              <w:rPr>
                <w:rFonts w:ascii="宋体" w:hAnsi="宋体" w:cs="宋体" w:eastAsia="宋体" w:hint="default"/>
                <w:sz w:val="18"/>
                <w:szCs w:val="18"/>
              </w:rPr>
            </w:pPr>
            <w:r>
              <w:rPr>
                <w:rFonts w:ascii="宋体"/>
                <w:sz w:val="18"/>
              </w:rPr>
              <w:t>4,585,654.80</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12"/>
              <w:jc w:val="right"/>
              <w:rPr>
                <w:rFonts w:ascii="宋体" w:hAnsi="宋体" w:cs="宋体" w:eastAsia="宋体" w:hint="default"/>
                <w:sz w:val="18"/>
                <w:szCs w:val="18"/>
              </w:rPr>
            </w:pPr>
            <w:r>
              <w:rPr>
                <w:rFonts w:ascii="宋体"/>
                <w:sz w:val="18"/>
              </w:rPr>
              <w:t>2.04</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229,282.74</w:t>
            </w:r>
          </w:p>
        </w:tc>
      </w:tr>
      <w:tr>
        <w:trPr>
          <w:trHeight w:val="350"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北信瑞丰基金管理有限公司</w:t>
            </w:r>
          </w:p>
        </w:tc>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49" w:right="0"/>
              <w:jc w:val="center"/>
              <w:rPr>
                <w:rFonts w:ascii="宋体" w:hAnsi="宋体" w:cs="宋体" w:eastAsia="宋体" w:hint="default"/>
                <w:sz w:val="18"/>
                <w:szCs w:val="18"/>
              </w:rPr>
            </w:pPr>
            <w:r>
              <w:rPr>
                <w:rFonts w:ascii="宋体"/>
                <w:sz w:val="18"/>
              </w:rPr>
              <w:t>4,220,000.00</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12"/>
              <w:jc w:val="right"/>
              <w:rPr>
                <w:rFonts w:ascii="宋体" w:hAnsi="宋体" w:cs="宋体" w:eastAsia="宋体" w:hint="default"/>
                <w:sz w:val="18"/>
                <w:szCs w:val="18"/>
              </w:rPr>
            </w:pPr>
            <w:r>
              <w:rPr>
                <w:rFonts w:ascii="宋体"/>
                <w:sz w:val="18"/>
              </w:rPr>
              <w:t>1.87</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211,000.00</w:t>
            </w:r>
          </w:p>
        </w:tc>
      </w:tr>
      <w:tr>
        <w:trPr>
          <w:trHeight w:val="360" w:hRule="exact"/>
        </w:trPr>
        <w:tc>
          <w:tcPr>
            <w:tcW w:w="3216" w:type="dxa"/>
            <w:tcBorders>
              <w:top w:val="nil" w:sz="6" w:space="0" w:color="auto"/>
              <w:left w:val="nil" w:sz="6" w:space="0" w:color="auto"/>
              <w:bottom w:val="single" w:sz="12" w:space="0" w:color="000000"/>
              <w:right w:val="nil" w:sz="6" w:space="0" w:color="auto"/>
            </w:tcBorders>
          </w:tcPr>
          <w:p>
            <w:pPr>
              <w:pStyle w:val="TableParagraph"/>
              <w:spacing w:line="240" w:lineRule="auto" w:before="29"/>
              <w:ind w:right="237"/>
              <w:jc w:val="center"/>
              <w:rPr>
                <w:rFonts w:ascii="宋体" w:hAnsi="宋体" w:cs="宋体" w:eastAsia="宋体" w:hint="default"/>
                <w:sz w:val="18"/>
                <w:szCs w:val="18"/>
              </w:rPr>
            </w:pPr>
            <w:r>
              <w:rPr>
                <w:rFonts w:ascii="宋体" w:hAnsi="宋体" w:cs="宋体" w:eastAsia="宋体" w:hint="default"/>
                <w:sz w:val="18"/>
                <w:szCs w:val="18"/>
              </w:rPr>
              <w:t>合计</w:t>
            </w:r>
          </w:p>
        </w:tc>
        <w:tc>
          <w:tcPr>
            <w:tcW w:w="2433" w:type="dxa"/>
            <w:tcBorders>
              <w:top w:val="nil" w:sz="6" w:space="0" w:color="auto"/>
              <w:left w:val="nil" w:sz="6" w:space="0" w:color="auto"/>
              <w:bottom w:val="single" w:sz="12" w:space="0" w:color="000000"/>
              <w:right w:val="nil" w:sz="6" w:space="0" w:color="auto"/>
            </w:tcBorders>
          </w:tcPr>
          <w:p>
            <w:pPr>
              <w:pStyle w:val="TableParagraph"/>
              <w:spacing w:line="240" w:lineRule="auto" w:before="29"/>
              <w:ind w:left="59" w:right="0"/>
              <w:jc w:val="center"/>
              <w:rPr>
                <w:rFonts w:ascii="宋体" w:hAnsi="宋体" w:cs="宋体" w:eastAsia="宋体" w:hint="default"/>
                <w:sz w:val="18"/>
                <w:szCs w:val="18"/>
              </w:rPr>
            </w:pPr>
            <w:r>
              <w:rPr>
                <w:rFonts w:ascii="宋体"/>
                <w:sz w:val="18"/>
              </w:rPr>
              <w:t>33,663,907.01</w:t>
            </w:r>
          </w:p>
        </w:tc>
        <w:tc>
          <w:tcPr>
            <w:tcW w:w="1565" w:type="dxa"/>
            <w:tcBorders>
              <w:top w:val="nil" w:sz="6" w:space="0" w:color="auto"/>
              <w:left w:val="nil" w:sz="6" w:space="0" w:color="auto"/>
              <w:bottom w:val="single" w:sz="12" w:space="0" w:color="000000"/>
              <w:right w:val="nil" w:sz="6" w:space="0" w:color="auto"/>
            </w:tcBorders>
          </w:tcPr>
          <w:p>
            <w:pPr>
              <w:pStyle w:val="TableParagraph"/>
              <w:spacing w:line="240" w:lineRule="auto" w:before="29"/>
              <w:ind w:right="511"/>
              <w:jc w:val="right"/>
              <w:rPr>
                <w:rFonts w:ascii="宋体" w:hAnsi="宋体" w:cs="宋体" w:eastAsia="宋体" w:hint="default"/>
                <w:sz w:val="18"/>
                <w:szCs w:val="18"/>
              </w:rPr>
            </w:pPr>
            <w:r>
              <w:rPr>
                <w:rFonts w:ascii="宋体"/>
                <w:sz w:val="18"/>
              </w:rPr>
              <w:t>14.93</w:t>
            </w:r>
          </w:p>
        </w:tc>
        <w:tc>
          <w:tcPr>
            <w:tcW w:w="1628" w:type="dxa"/>
            <w:tcBorders>
              <w:top w:val="nil" w:sz="6" w:space="0" w:color="auto"/>
              <w:left w:val="nil" w:sz="6" w:space="0" w:color="auto"/>
              <w:bottom w:val="single" w:sz="12" w:space="0" w:color="000000"/>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1,683,195.35</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1"/>
          <w:szCs w:val="21"/>
        </w:rPr>
      </w:pPr>
    </w:p>
    <w:p>
      <w:pPr>
        <w:pStyle w:val="Heading3"/>
        <w:spacing w:line="240" w:lineRule="auto"/>
        <w:ind w:left="237" w:right="0"/>
        <w:jc w:val="left"/>
        <w:rPr>
          <w:b w:val="0"/>
          <w:bCs w:val="0"/>
        </w:rPr>
      </w:pPr>
      <w:r>
        <w:rPr/>
        <w:t>(5).</w:t>
      </w:r>
      <w:r>
        <w:rPr>
          <w:spacing w:val="38"/>
        </w:rPr>
        <w:t> </w:t>
      </w:r>
      <w:r>
        <w:rPr/>
        <w:t>因金融资产转移而终止确认的应收账款：</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40" w:lineRule="auto" w:before="147"/>
        <w:ind w:left="237" w:right="0"/>
        <w:jc w:val="left"/>
        <w:rPr>
          <w:b w:val="0"/>
          <w:bCs w:val="0"/>
        </w:rPr>
      </w:pPr>
      <w:r>
        <w:rPr/>
        <w:t>(6).</w:t>
      </w:r>
      <w:r>
        <w:rPr>
          <w:spacing w:val="36"/>
        </w:rPr>
        <w:t> </w:t>
      </w:r>
      <w:r>
        <w:rPr/>
        <w:t>转移应收账款且继续涉入形成的资产、负债金额：</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2"/>
          <w:szCs w:val="22"/>
        </w:rPr>
      </w:pPr>
    </w:p>
    <w:p>
      <w:pPr>
        <w:pStyle w:val="BodyText"/>
        <w:spacing w:line="240" w:lineRule="auto"/>
        <w:ind w:left="132" w:right="0"/>
        <w:jc w:val="left"/>
      </w:pPr>
      <w:r>
        <w:rPr/>
        <w:t>其他说明：</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101"/>
          <w:pgSz w:w="11910" w:h="16840"/>
          <w:pgMar w:footer="1197" w:header="882" w:top="1120" w:bottom="1380" w:left="1560" w:right="1100"/>
          <w:pgNumType w:start="102"/>
        </w:sectPr>
      </w:pPr>
    </w:p>
    <w:p>
      <w:pPr>
        <w:pStyle w:val="Heading3"/>
        <w:spacing w:line="240" w:lineRule="auto"/>
        <w:ind w:left="237" w:right="-15"/>
        <w:jc w:val="left"/>
        <w:rPr>
          <w:b w:val="0"/>
          <w:bCs w:val="0"/>
        </w:rPr>
      </w:pPr>
      <w:r>
        <w:rPr/>
        <w:t>6、</w:t>
      </w:r>
      <w:r>
        <w:rPr>
          <w:spacing w:val="-3"/>
        </w:rPr>
        <w:t> </w:t>
      </w:r>
      <w:r>
        <w:rPr/>
        <w:t>预付款项</w:t>
      </w:r>
      <w:r>
        <w:rPr>
          <w:b w:val="0"/>
          <w:bCs w:val="0"/>
        </w:rPr>
      </w:r>
    </w:p>
    <w:p>
      <w:pPr>
        <w:pStyle w:val="Heading3"/>
        <w:spacing w:line="240" w:lineRule="auto" w:before="97"/>
        <w:ind w:left="237" w:right="-15"/>
        <w:jc w:val="left"/>
        <w:rPr>
          <w:b w:val="0"/>
          <w:bCs w:val="0"/>
        </w:rPr>
      </w:pPr>
      <w:r>
        <w:rPr/>
        <w:t>(1).</w:t>
      </w:r>
      <w:r>
        <w:rPr>
          <w:spacing w:val="83"/>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tabs>
          <w:tab w:pos="1287" w:val="left" w:leader="none"/>
        </w:tabs>
        <w:spacing w:line="240" w:lineRule="auto"/>
        <w:ind w:left="237" w:right="0"/>
        <w:jc w:val="left"/>
      </w:pPr>
      <w:r>
        <w:rPr/>
        <w:t>单位：元</w:t>
        <w:tab/>
        <w:t>币种：人民币</w:t>
      </w:r>
    </w:p>
    <w:p>
      <w:pPr>
        <w:spacing w:after="0" w:line="240" w:lineRule="auto"/>
        <w:jc w:val="left"/>
        <w:sectPr>
          <w:type w:val="continuous"/>
          <w:pgSz w:w="11910" w:h="16840"/>
          <w:pgMar w:top="1080" w:bottom="1380" w:left="1560" w:right="1100"/>
          <w:cols w:num="2" w:equalWidth="0">
            <w:col w:w="2752" w:space="3771"/>
            <w:col w:w="2727"/>
          </w:cols>
        </w:sectPr>
      </w:pPr>
    </w:p>
    <w:p>
      <w:pPr>
        <w:spacing w:line="240" w:lineRule="auto" w:before="13"/>
        <w:rPr>
          <w:rFonts w:ascii="宋体" w:hAnsi="宋体" w:cs="宋体" w:eastAsia="宋体" w:hint="default"/>
          <w:sz w:val="3"/>
          <w:szCs w:val="3"/>
        </w:rPr>
      </w:pPr>
    </w:p>
    <w:tbl>
      <w:tblPr>
        <w:tblW w:w="0" w:type="auto"/>
        <w:jc w:val="left"/>
        <w:tblInd w:w="199" w:type="dxa"/>
        <w:tblLayout w:type="fixed"/>
        <w:tblCellMar>
          <w:top w:w="0" w:type="dxa"/>
          <w:left w:w="0" w:type="dxa"/>
          <w:bottom w:w="0" w:type="dxa"/>
          <w:right w:w="0" w:type="dxa"/>
        </w:tblCellMar>
        <w:tblLook w:val="01E0"/>
      </w:tblPr>
      <w:tblGrid>
        <w:gridCol w:w="1361"/>
        <w:gridCol w:w="1891"/>
        <w:gridCol w:w="1877"/>
        <w:gridCol w:w="1876"/>
        <w:gridCol w:w="1891"/>
      </w:tblGrid>
      <w:tr>
        <w:trPr>
          <w:trHeight w:val="326"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148"/>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3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8" w:hRule="exact"/>
        </w:trPr>
        <w:tc>
          <w:tcPr>
            <w:tcW w:w="1361" w:type="dxa"/>
            <w:vMerge/>
            <w:tcBorders>
              <w:left w:val="single" w:sz="6" w:space="0" w:color="000000"/>
              <w:bottom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6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4"/>
              <w:jc w:val="center"/>
              <w:rPr>
                <w:rFonts w:ascii="宋体" w:hAnsi="宋体" w:cs="宋体" w:eastAsia="宋体" w:hint="default"/>
                <w:sz w:val="21"/>
                <w:szCs w:val="21"/>
              </w:rPr>
            </w:pPr>
            <w:r>
              <w:rPr>
                <w:rFonts w:ascii="宋体" w:hAnsi="宋体" w:cs="宋体" w:eastAsia="宋体" w:hint="default"/>
                <w:sz w:val="21"/>
                <w:szCs w:val="21"/>
              </w:rPr>
              <w:t>金额</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67"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pacing w:val="-1"/>
                <w:sz w:val="21"/>
              </w:rPr>
              <w:t>27,413,823.76</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pacing w:val="-1"/>
                <w:sz w:val="21"/>
              </w:rPr>
              <w:t>89.59</w:t>
            </w:r>
            <w:r>
              <w:rPr>
                <w:rFonts w:ascii="宋体"/>
                <w:sz w:val="21"/>
              </w:rPr>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pacing w:val="-1"/>
                <w:sz w:val="21"/>
              </w:rPr>
              <w:t>31,420,686.75</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pacing w:val="-1"/>
                <w:sz w:val="21"/>
              </w:rPr>
              <w:t>74.36</w:t>
            </w: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pacing w:val="-1"/>
                <w:sz w:val="21"/>
              </w:rPr>
              <w:t>2,042,752.29</w:t>
            </w:r>
            <w:r>
              <w:rPr>
                <w:rFonts w:ascii="宋体"/>
                <w:sz w:val="21"/>
              </w:rPr>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pacing w:val="-1"/>
                <w:sz w:val="21"/>
              </w:rPr>
              <w:t>6.68</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pacing w:val="-1"/>
                <w:sz w:val="21"/>
              </w:rPr>
              <w:t>9,780,126.58</w:t>
            </w:r>
            <w:r>
              <w:rPr>
                <w:rFonts w:ascii="宋体"/>
                <w:sz w:val="21"/>
              </w:rPr>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pacing w:val="-1"/>
                <w:sz w:val="21"/>
              </w:rPr>
              <w:t>23.15</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pacing w:val="-1"/>
                <w:sz w:val="21"/>
              </w:rPr>
              <w:t>333,034.99</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pacing w:val="-1"/>
                <w:sz w:val="21"/>
              </w:rPr>
              <w:t>1.09</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pacing w:val="-1"/>
                <w:sz w:val="21"/>
              </w:rPr>
              <w:t>328,487.67</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pacing w:val="-1"/>
                <w:sz w:val="21"/>
              </w:rPr>
              <w:t>0.78</w:t>
            </w: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pacing w:val="-1"/>
                <w:sz w:val="21"/>
              </w:rPr>
              <w:t>809,608.65</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pacing w:val="-1"/>
                <w:sz w:val="21"/>
              </w:rPr>
              <w:t>2.64</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pacing w:val="-1"/>
                <w:sz w:val="21"/>
              </w:rPr>
              <w:t>724,520.98</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pacing w:val="-1"/>
                <w:sz w:val="21"/>
              </w:rPr>
              <w:t>1.71</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pacing w:val="-1"/>
                <w:sz w:val="21"/>
              </w:rPr>
              <w:t>30,599,219.69</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pacing w:val="-1"/>
                <w:sz w:val="21"/>
              </w:rPr>
              <w:t>100.00</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pacing w:val="-1"/>
                <w:sz w:val="21"/>
              </w:rPr>
              <w:t>42,253,821.98</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pacing w:val="-1"/>
                <w:sz w:val="21"/>
              </w:rPr>
              <w:t>100.00</w:t>
            </w:r>
          </w:p>
        </w:tc>
      </w:tr>
    </w:tbl>
    <w:p>
      <w:pPr>
        <w:spacing w:line="240" w:lineRule="auto" w:before="1"/>
        <w:rPr>
          <w:rFonts w:ascii="宋体" w:hAnsi="宋体" w:cs="宋体" w:eastAsia="宋体" w:hint="default"/>
          <w:sz w:val="17"/>
          <w:szCs w:val="17"/>
        </w:rPr>
      </w:pPr>
    </w:p>
    <w:p>
      <w:pPr>
        <w:pStyle w:val="BodyText"/>
        <w:spacing w:line="240" w:lineRule="auto" w:before="35"/>
        <w:ind w:left="237" w:right="0"/>
        <w:jc w:val="left"/>
      </w:pPr>
      <w:r>
        <w:rPr/>
        <w:t>账龄超过</w:t>
      </w:r>
      <w:r>
        <w:rPr>
          <w:spacing w:val="-53"/>
        </w:rPr>
        <w:t> </w:t>
      </w:r>
      <w:r>
        <w:rPr/>
        <w:t>1</w:t>
      </w:r>
      <w:r>
        <w:rPr>
          <w:spacing w:val="-53"/>
        </w:rPr>
        <w:t> </w:t>
      </w:r>
      <w:r>
        <w:rPr/>
        <w:t>年且金额重要的预付款项未及时结算原因的说明：</w:t>
      </w:r>
    </w:p>
    <w:p>
      <w:pPr>
        <w:spacing w:after="0" w:line="240" w:lineRule="auto"/>
        <w:jc w:val="left"/>
        <w:sectPr>
          <w:type w:val="continuous"/>
          <w:pgSz w:w="11910" w:h="16840"/>
          <w:pgMar w:top="1080" w:bottom="1380" w:left="1560" w:right="11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p>
      <w:pPr>
        <w:spacing w:line="1099" w:lineRule="exact"/>
        <w:ind w:left="100" w:right="0" w:firstLine="0"/>
        <w:rPr>
          <w:rFonts w:ascii="宋体" w:hAnsi="宋体" w:cs="宋体" w:eastAsia="宋体" w:hint="default"/>
          <w:sz w:val="20"/>
          <w:szCs w:val="20"/>
        </w:rPr>
      </w:pPr>
      <w:r>
        <w:rPr>
          <w:rFonts w:ascii="宋体" w:hAnsi="宋体" w:cs="宋体" w:eastAsia="宋体" w:hint="default"/>
          <w:position w:val="-21"/>
          <w:sz w:val="20"/>
          <w:szCs w:val="20"/>
        </w:rPr>
        <w:pict>
          <v:group style="width:455.2pt;height:55pt;mso-position-horizontal-relative:char;mso-position-vertical-relative:line" coordorigin="0,0" coordsize="9104,1100">
            <v:group style="position:absolute;left:29;top:15;width:9050;height:2" coordorigin="29,15" coordsize="9050,2">
              <v:shape style="position:absolute;left:29;top:15;width:9050;height:2" coordorigin="29,15" coordsize="9050,0" path="m29,15l9079,15e" filled="false" stroked="true" strokeweight="1.5pt" strokecolor="#000000">
                <v:path arrowok="t"/>
              </v:shape>
              <v:shape style="position:absolute;left:2676;top:10;width:3287;height:379" type="#_x0000_t75" stroked="false">
                <v:imagedata r:id="rId104" o:title=""/>
              </v:shape>
            </v:group>
            <v:group style="position:absolute;left:15;top:1084;width:2681;height:2" coordorigin="15,1084" coordsize="2681,2">
              <v:shape style="position:absolute;left:15;top:1084;width:2681;height:2" coordorigin="15,1084" coordsize="2681,0" path="m15,1084l2696,1084e" filled="false" stroked="true" strokeweight="1.5pt" strokecolor="#000000">
                <v:path arrowok="t"/>
              </v:shape>
            </v:group>
            <v:group style="position:absolute;left:2696;top:1084;width:2048;height:2" coordorigin="2696,1084" coordsize="2048,2">
              <v:shape style="position:absolute;left:2696;top:1084;width:2048;height:2" coordorigin="2696,1084" coordsize="2048,0" path="m2696,1084l4743,1084e" filled="false" stroked="true" strokeweight="1.5pt" strokecolor="#000000">
                <v:path arrowok="t"/>
              </v:shape>
            </v:group>
            <v:group style="position:absolute;left:4743;top:1084;width:1191;height:2" coordorigin="4743,1084" coordsize="1191,2">
              <v:shape style="position:absolute;left:4743;top:1084;width:1191;height:2" coordorigin="4743,1084" coordsize="1191,0" path="m4743,1084l5933,1084e" filled="false" stroked="true" strokeweight="1.5pt" strokecolor="#000000">
                <v:path arrowok="t"/>
              </v:shape>
              <v:shape style="position:absolute;left:1;top:348;width:9103;height:721" type="#_x0000_t75" stroked="false">
                <v:imagedata r:id="rId105" o:title=""/>
              </v:shape>
            </v:group>
            <v:group style="position:absolute;left:5933;top:1084;width:3146;height:2" coordorigin="5933,1084" coordsize="3146,2">
              <v:shape style="position:absolute;left:5933;top:1084;width:3146;height:2" coordorigin="5933,1084" coordsize="3146,0" path="m5933,1084l9079,1084e" filled="false" stroked="true" strokeweight="1.5pt" strokecolor="#000000">
                <v:path arrowok="t"/>
              </v:shape>
              <v:shape style="position:absolute;left:137;top:108;width:2160;height:881" type="#_x0000_t202" filled="false" stroked="false">
                <v:textbox inset="0,0,0,0">
                  <w:txbxContent>
                    <w:p>
                      <w:pPr>
                        <w:spacing w:line="180" w:lineRule="exact" w:before="0"/>
                        <w:ind w:left="867" w:right="0" w:firstLine="0"/>
                        <w:jc w:val="left"/>
                        <w:rPr>
                          <w:rFonts w:ascii="宋体" w:hAnsi="宋体" w:cs="宋体" w:eastAsia="宋体" w:hint="default"/>
                          <w:sz w:val="18"/>
                          <w:szCs w:val="18"/>
                        </w:rPr>
                      </w:pPr>
                      <w:r>
                        <w:rPr>
                          <w:rFonts w:ascii="宋体" w:hAnsi="宋体" w:cs="宋体" w:eastAsia="宋体" w:hint="default"/>
                          <w:sz w:val="18"/>
                          <w:szCs w:val="18"/>
                        </w:rPr>
                        <w:t>单位名称</w:t>
                      </w:r>
                    </w:p>
                    <w:p>
                      <w:pPr>
                        <w:spacing w:before="116"/>
                        <w:ind w:left="0" w:right="0" w:firstLine="0"/>
                        <w:jc w:val="left"/>
                        <w:rPr>
                          <w:rFonts w:ascii="宋体" w:hAnsi="宋体" w:cs="宋体" w:eastAsia="宋体" w:hint="default"/>
                          <w:sz w:val="18"/>
                          <w:szCs w:val="18"/>
                        </w:rPr>
                      </w:pPr>
                      <w:r>
                        <w:rPr>
                          <w:rFonts w:ascii="宋体" w:hAnsi="宋体" w:cs="宋体" w:eastAsia="宋体" w:hint="default"/>
                          <w:sz w:val="18"/>
                          <w:szCs w:val="18"/>
                        </w:rPr>
                        <w:t>南京比特瑞旺电脑有限公司</w:t>
                      </w:r>
                    </w:p>
                    <w:p>
                      <w:pPr>
                        <w:spacing w:before="113"/>
                        <w:ind w:left="957" w:right="0" w:firstLine="0"/>
                        <w:jc w:val="left"/>
                        <w:rPr>
                          <w:rFonts w:ascii="宋体" w:hAnsi="宋体" w:cs="宋体" w:eastAsia="宋体" w:hint="default"/>
                          <w:sz w:val="18"/>
                          <w:szCs w:val="18"/>
                        </w:rPr>
                      </w:pPr>
                      <w:r>
                        <w:rPr>
                          <w:rFonts w:ascii="宋体" w:hAnsi="宋体" w:cs="宋体" w:eastAsia="宋体" w:hint="default"/>
                          <w:sz w:val="18"/>
                          <w:szCs w:val="18"/>
                        </w:rPr>
                        <w:t>合  计</w:t>
                      </w:r>
                    </w:p>
                  </w:txbxContent>
                </v:textbox>
                <w10:wrap type="none"/>
              </v:shape>
              <v:shape style="position:absolute;left:3363;top:108;width:1276;height:88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p>
                      <w:pPr>
                        <w:spacing w:before="116"/>
                        <w:ind w:left="195" w:right="0" w:firstLine="0"/>
                        <w:jc w:val="left"/>
                        <w:rPr>
                          <w:rFonts w:ascii="宋体" w:hAnsi="宋体" w:cs="宋体" w:eastAsia="宋体" w:hint="default"/>
                          <w:sz w:val="18"/>
                          <w:szCs w:val="18"/>
                        </w:rPr>
                      </w:pPr>
                      <w:r>
                        <w:rPr>
                          <w:rFonts w:ascii="宋体"/>
                          <w:sz w:val="18"/>
                        </w:rPr>
                        <w:t>1,157,038.87</w:t>
                      </w:r>
                    </w:p>
                    <w:p>
                      <w:pPr>
                        <w:spacing w:before="113"/>
                        <w:ind w:left="195" w:right="0" w:firstLine="0"/>
                        <w:jc w:val="left"/>
                        <w:rPr>
                          <w:rFonts w:ascii="宋体" w:hAnsi="宋体" w:cs="宋体" w:eastAsia="宋体" w:hint="default"/>
                          <w:sz w:val="18"/>
                          <w:szCs w:val="18"/>
                        </w:rPr>
                      </w:pPr>
                      <w:r>
                        <w:rPr>
                          <w:rFonts w:ascii="宋体"/>
                          <w:sz w:val="18"/>
                        </w:rPr>
                        <w:t>1,157,038.87</w:t>
                      </w:r>
                    </w:p>
                  </w:txbxContent>
                </v:textbox>
                <w10:wrap type="none"/>
              </v:shape>
              <v:shape style="position:absolute;left:5095;top:108;width:495;height:532" type="#_x0000_t202" filled="false" stroked="false">
                <v:textbox inset="0,0,0,0">
                  <w:txbxContent>
                    <w:p>
                      <w:pPr>
                        <w:spacing w:line="180" w:lineRule="exact" w:before="0"/>
                        <w:ind w:left="67" w:right="0" w:firstLine="0"/>
                        <w:jc w:val="left"/>
                        <w:rPr>
                          <w:rFonts w:ascii="宋体" w:hAnsi="宋体" w:cs="宋体" w:eastAsia="宋体" w:hint="default"/>
                          <w:sz w:val="18"/>
                          <w:szCs w:val="18"/>
                        </w:rPr>
                      </w:pPr>
                      <w:r>
                        <w:rPr>
                          <w:rFonts w:ascii="宋体" w:hAnsi="宋体" w:cs="宋体" w:eastAsia="宋体" w:hint="default"/>
                          <w:sz w:val="18"/>
                          <w:szCs w:val="18"/>
                        </w:rPr>
                        <w:t>账龄</w:t>
                      </w:r>
                    </w:p>
                    <w:p>
                      <w:pPr>
                        <w:spacing w:before="116"/>
                        <w:ind w:left="0" w:right="0" w:firstLine="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xbxContent>
                </v:textbox>
                <w10:wrap type="none"/>
              </v:shape>
              <v:shape style="position:absolute;left:6878;top:108;width:1260;height:532"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未及时结算原因</w:t>
                      </w:r>
                    </w:p>
                    <w:p>
                      <w:pPr>
                        <w:spacing w:before="116"/>
                        <w:ind w:left="0" w:right="0" w:firstLine="0"/>
                        <w:jc w:val="center"/>
                        <w:rPr>
                          <w:rFonts w:ascii="宋体" w:hAnsi="宋体" w:cs="宋体" w:eastAsia="宋体" w:hint="default"/>
                          <w:sz w:val="18"/>
                          <w:szCs w:val="18"/>
                        </w:rPr>
                      </w:pPr>
                      <w:r>
                        <w:rPr>
                          <w:rFonts w:ascii="宋体" w:hAnsi="宋体" w:cs="宋体" w:eastAsia="宋体" w:hint="default"/>
                          <w:sz w:val="18"/>
                          <w:szCs w:val="18"/>
                        </w:rPr>
                        <w:t>未到结算期</w:t>
                      </w:r>
                    </w:p>
                  </w:txbxContent>
                </v:textbox>
                <w10:wrap type="none"/>
              </v:shape>
            </v:group>
          </v:group>
        </w:pict>
      </w:r>
      <w:r>
        <w:rPr>
          <w:rFonts w:ascii="宋体" w:hAnsi="宋体" w:cs="宋体" w:eastAsia="宋体" w:hint="default"/>
          <w:position w:val="-21"/>
          <w:sz w:val="20"/>
          <w:szCs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3"/>
        <w:spacing w:line="240" w:lineRule="auto"/>
        <w:ind w:left="237" w:right="113"/>
        <w:jc w:val="left"/>
        <w:rPr>
          <w:b w:val="0"/>
          <w:bCs w:val="0"/>
        </w:rPr>
      </w:pPr>
      <w:r>
        <w:rPr/>
        <w:t>(2).</w:t>
      </w:r>
      <w:r>
        <w:rPr>
          <w:spacing w:val="78"/>
        </w:rPr>
        <w:t> </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7"/>
          <w:szCs w:val="27"/>
        </w:rPr>
      </w:pPr>
    </w:p>
    <w:p>
      <w:pPr>
        <w:pStyle w:val="BodyText"/>
        <w:spacing w:line="240" w:lineRule="auto"/>
        <w:ind w:left="237" w:right="113"/>
        <w:jc w:val="left"/>
      </w:pPr>
      <w:r>
        <w:rPr/>
        <w:t>其他说明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7" w:top="1120" w:bottom="1380" w:left="1560" w:right="1040"/>
        </w:sectPr>
      </w:pPr>
    </w:p>
    <w:p>
      <w:pPr>
        <w:spacing w:line="240" w:lineRule="auto" w:before="1"/>
        <w:rPr>
          <w:rFonts w:ascii="宋体" w:hAnsi="宋体" w:cs="宋体" w:eastAsia="宋体" w:hint="default"/>
          <w:sz w:val="15"/>
          <w:szCs w:val="15"/>
        </w:rPr>
      </w:pPr>
    </w:p>
    <w:p>
      <w:pPr>
        <w:pStyle w:val="Heading3"/>
        <w:spacing w:line="240" w:lineRule="auto" w:before="0"/>
        <w:ind w:left="237" w:right="-16"/>
        <w:jc w:val="left"/>
        <w:rPr>
          <w:b w:val="0"/>
          <w:bCs w:val="0"/>
        </w:rPr>
      </w:pPr>
      <w:r>
        <w:rPr/>
        <w:t>7、</w:t>
      </w:r>
      <w:r>
        <w:rPr>
          <w:spacing w:val="-3"/>
        </w:rPr>
        <w:t> </w:t>
      </w:r>
      <w:r>
        <w:rPr/>
        <w:t>应收利息</w:t>
      </w:r>
      <w:r>
        <w:rPr>
          <w:b w:val="0"/>
          <w:bCs w:val="0"/>
        </w:rPr>
      </w:r>
    </w:p>
    <w:p>
      <w:pPr>
        <w:pStyle w:val="Heading3"/>
        <w:spacing w:line="240" w:lineRule="auto" w:before="97"/>
        <w:ind w:left="237" w:right="-16"/>
        <w:jc w:val="left"/>
        <w:rPr>
          <w:b w:val="0"/>
          <w:bCs w:val="0"/>
        </w:rPr>
      </w:pPr>
      <w:r>
        <w:rPr/>
        <w:t>(1).</w:t>
      </w:r>
      <w:r>
        <w:rPr>
          <w:spacing w:val="12"/>
        </w:rPr>
        <w:t> </w:t>
      </w:r>
      <w:r>
        <w:rPr/>
        <w:t>应收利息分类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tabs>
          <w:tab w:pos="1287" w:val="left" w:leader="none"/>
        </w:tabs>
        <w:spacing w:line="240" w:lineRule="auto" w:before="156"/>
        <w:ind w:left="237" w:right="0"/>
        <w:jc w:val="left"/>
      </w:pPr>
      <w:r>
        <w:rPr/>
        <w:t>单位：元</w:t>
        <w:tab/>
        <w:t>币种：人民币</w:t>
      </w:r>
    </w:p>
    <w:p>
      <w:pPr>
        <w:spacing w:after="0" w:line="240" w:lineRule="auto"/>
        <w:jc w:val="left"/>
        <w:sectPr>
          <w:type w:val="continuous"/>
          <w:pgSz w:w="11910" w:h="16840"/>
          <w:pgMar w:top="1080" w:bottom="1380" w:left="1560" w:right="1040"/>
          <w:cols w:num="2" w:equalWidth="0">
            <w:col w:w="2048" w:space="4476"/>
            <w:col w:w="2786"/>
          </w:cols>
        </w:sectPr>
      </w:pPr>
    </w:p>
    <w:p>
      <w:pPr>
        <w:spacing w:line="240" w:lineRule="auto" w:before="13"/>
        <w:rPr>
          <w:rFonts w:ascii="宋体" w:hAnsi="宋体" w:cs="宋体" w:eastAsia="宋体" w:hint="default"/>
          <w:sz w:val="3"/>
          <w:szCs w:val="3"/>
        </w:rPr>
      </w:pPr>
    </w:p>
    <w:tbl>
      <w:tblPr>
        <w:tblW w:w="0" w:type="auto"/>
        <w:jc w:val="left"/>
        <w:tblInd w:w="200" w:type="dxa"/>
        <w:tblLayout w:type="fixed"/>
        <w:tblCellMar>
          <w:top w:w="0" w:type="dxa"/>
          <w:left w:w="0" w:type="dxa"/>
          <w:bottom w:w="0" w:type="dxa"/>
          <w:right w:w="0" w:type="dxa"/>
        </w:tblCellMar>
        <w:tblLook w:val="01E0"/>
      </w:tblPr>
      <w:tblGrid>
        <w:gridCol w:w="2778"/>
        <w:gridCol w:w="3049"/>
        <w:gridCol w:w="3066"/>
      </w:tblGrid>
      <w:tr>
        <w:trPr>
          <w:trHeight w:val="288"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70"/>
              <w:jc w:val="right"/>
              <w:rPr>
                <w:rFonts w:ascii="宋体" w:hAnsi="宋体" w:cs="宋体" w:eastAsia="宋体" w:hint="default"/>
                <w:sz w:val="21"/>
                <w:szCs w:val="21"/>
              </w:rPr>
            </w:pPr>
            <w:r>
              <w:rPr>
                <w:rFonts w:ascii="宋体" w:hAnsi="宋体" w:cs="宋体" w:eastAsia="宋体" w:hint="default"/>
                <w:sz w:val="21"/>
                <w:szCs w:val="21"/>
              </w:rPr>
              <w:t>项目</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6"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49" w:type="dxa"/>
            <w:tcBorders>
              <w:top w:val="single" w:sz="6" w:space="0" w:color="000000"/>
              <w:left w:val="single" w:sz="6" w:space="0" w:color="000000"/>
              <w:bottom w:val="single" w:sz="6" w:space="0" w:color="000000"/>
              <w:right w:val="single" w:sz="6" w:space="0" w:color="000000"/>
            </w:tcBorders>
          </w:tcPr>
          <w:p>
            <w:pPr/>
          </w:p>
        </w:tc>
        <w:tc>
          <w:tcPr>
            <w:tcW w:w="306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49" w:type="dxa"/>
            <w:tcBorders>
              <w:top w:val="single" w:sz="6" w:space="0" w:color="000000"/>
              <w:left w:val="single" w:sz="6" w:space="0" w:color="000000"/>
              <w:bottom w:val="single" w:sz="6" w:space="0" w:color="000000"/>
              <w:right w:val="single" w:sz="6" w:space="0" w:color="000000"/>
            </w:tcBorders>
          </w:tcPr>
          <w:p>
            <w:pPr/>
          </w:p>
        </w:tc>
        <w:tc>
          <w:tcPr>
            <w:tcW w:w="306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债券投资</w:t>
            </w:r>
          </w:p>
        </w:tc>
        <w:tc>
          <w:tcPr>
            <w:tcW w:w="3049" w:type="dxa"/>
            <w:tcBorders>
              <w:top w:val="single" w:sz="6" w:space="0" w:color="000000"/>
              <w:left w:val="single" w:sz="6" w:space="0" w:color="000000"/>
              <w:bottom w:val="single" w:sz="6" w:space="0" w:color="000000"/>
              <w:right w:val="single" w:sz="6" w:space="0" w:color="000000"/>
            </w:tcBorders>
          </w:tcPr>
          <w:p>
            <w:pPr/>
          </w:p>
        </w:tc>
        <w:tc>
          <w:tcPr>
            <w:tcW w:w="306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778"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c>
          <w:tcPr>
            <w:tcW w:w="306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778"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c>
          <w:tcPr>
            <w:tcW w:w="306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70"/>
              <w:jc w:val="right"/>
              <w:rPr>
                <w:rFonts w:ascii="宋体" w:hAnsi="宋体" w:cs="宋体" w:eastAsia="宋体" w:hint="default"/>
                <w:sz w:val="21"/>
                <w:szCs w:val="21"/>
              </w:rPr>
            </w:pPr>
            <w:r>
              <w:rPr>
                <w:rFonts w:ascii="宋体" w:hAnsi="宋体" w:cs="宋体" w:eastAsia="宋体" w:hint="default"/>
                <w:sz w:val="21"/>
                <w:szCs w:val="21"/>
              </w:rPr>
              <w:t>合计</w:t>
            </w:r>
          </w:p>
        </w:tc>
        <w:tc>
          <w:tcPr>
            <w:tcW w:w="3049" w:type="dxa"/>
            <w:tcBorders>
              <w:top w:val="single" w:sz="6" w:space="0" w:color="000000"/>
              <w:left w:val="single" w:sz="6" w:space="0" w:color="000000"/>
              <w:bottom w:val="single" w:sz="6" w:space="0" w:color="000000"/>
              <w:right w:val="single" w:sz="6" w:space="0" w:color="000000"/>
            </w:tcBorders>
          </w:tcPr>
          <w:p>
            <w:pPr/>
          </w:p>
        </w:tc>
        <w:tc>
          <w:tcPr>
            <w:tcW w:w="306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9"/>
        <w:rPr>
          <w:rFonts w:ascii="宋体" w:hAnsi="宋体" w:cs="宋体" w:eastAsia="宋体" w:hint="default"/>
          <w:sz w:val="24"/>
          <w:szCs w:val="24"/>
        </w:rPr>
      </w:pPr>
    </w:p>
    <w:p>
      <w:pPr>
        <w:pStyle w:val="Heading3"/>
        <w:spacing w:line="240" w:lineRule="auto"/>
        <w:ind w:left="237" w:right="113"/>
        <w:jc w:val="left"/>
        <w:rPr>
          <w:b w:val="0"/>
          <w:bCs w:val="0"/>
        </w:rPr>
      </w:pPr>
      <w:r>
        <w:rPr/>
        <w:t>(2).</w:t>
      </w:r>
      <w:r>
        <w:rPr>
          <w:spacing w:val="12"/>
        </w:rPr>
        <w:t> </w:t>
      </w:r>
      <w:r>
        <w:rPr/>
        <w:t>重要逾期利息</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480"/>
        <w:gridCol w:w="1554"/>
        <w:gridCol w:w="1638"/>
        <w:gridCol w:w="1667"/>
        <w:gridCol w:w="1710"/>
      </w:tblGrid>
      <w:tr>
        <w:trPr>
          <w:trHeight w:val="635"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借款单位</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5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逾期时间</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逾期原因</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是否发生减值及</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其判断依据</w:t>
            </w:r>
          </w:p>
        </w:tc>
      </w:tr>
      <w:tr>
        <w:trPr>
          <w:trHeight w:val="322" w:hRule="exact"/>
        </w:trPr>
        <w:tc>
          <w:tcPr>
            <w:tcW w:w="2480"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80"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54"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
              <w:jc w:val="center"/>
              <w:rPr>
                <w:rFonts w:ascii="宋体" w:hAnsi="宋体" w:cs="宋体" w:eastAsia="宋体" w:hint="default"/>
                <w:sz w:val="21"/>
                <w:szCs w:val="21"/>
              </w:rPr>
            </w:pPr>
            <w:r>
              <w:rPr>
                <w:rFonts w:ascii="宋体"/>
                <w:sz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left="237" w:right="113"/>
        <w:jc w:val="left"/>
      </w:pPr>
      <w:r>
        <w:rPr/>
        <w:t>其他说明：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1560" w:right="1040"/>
        </w:sectPr>
      </w:pPr>
    </w:p>
    <w:p>
      <w:pPr>
        <w:spacing w:line="240" w:lineRule="auto" w:before="1"/>
        <w:rPr>
          <w:rFonts w:ascii="宋体" w:hAnsi="宋体" w:cs="宋体" w:eastAsia="宋体" w:hint="default"/>
          <w:sz w:val="15"/>
          <w:szCs w:val="15"/>
        </w:rPr>
      </w:pPr>
    </w:p>
    <w:p>
      <w:pPr>
        <w:pStyle w:val="Heading3"/>
        <w:tabs>
          <w:tab w:pos="805" w:val="left" w:leader="none"/>
        </w:tabs>
        <w:spacing w:line="324" w:lineRule="auto" w:before="0"/>
        <w:ind w:left="237" w:right="0"/>
        <w:jc w:val="left"/>
        <w:rPr>
          <w:b w:val="0"/>
          <w:bCs w:val="0"/>
        </w:rPr>
      </w:pPr>
      <w:r>
        <w:rPr>
          <w:w w:val="95"/>
        </w:rPr>
        <w:t>8、</w:t>
        <w:tab/>
      </w:r>
      <w:r>
        <w:rPr/>
        <w:t>应收股利</w:t>
      </w:r>
      <w:r>
        <w:rPr>
          <w:spacing w:val="1"/>
          <w:w w:val="99"/>
        </w:rPr>
        <w:t> </w:t>
      </w:r>
      <w:r>
        <w:rPr/>
        <w:t>(1).</w:t>
      </w:r>
      <w:r>
        <w:rPr>
          <w:spacing w:val="29"/>
        </w:rPr>
        <w:t> </w:t>
      </w:r>
      <w:r>
        <w:rPr/>
        <w:t>应收股利</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tabs>
          <w:tab w:pos="1287" w:val="left" w:leader="none"/>
        </w:tabs>
        <w:spacing w:line="240" w:lineRule="auto" w:before="156"/>
        <w:ind w:left="237" w:right="0"/>
        <w:jc w:val="left"/>
      </w:pPr>
      <w:r>
        <w:rPr/>
        <w:t>单位：元</w:t>
        <w:tab/>
        <w:t>币种：人民币</w:t>
      </w:r>
    </w:p>
    <w:p>
      <w:pPr>
        <w:spacing w:after="0" w:line="240" w:lineRule="auto"/>
        <w:jc w:val="left"/>
        <w:sectPr>
          <w:type w:val="continuous"/>
          <w:pgSz w:w="11910" w:h="16840"/>
          <w:pgMar w:top="1080" w:bottom="1380" w:left="1560" w:right="1040"/>
          <w:cols w:num="2" w:equalWidth="0">
            <w:col w:w="1650" w:space="4873"/>
            <w:col w:w="2787"/>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413"/>
        <w:gridCol w:w="2812"/>
        <w:gridCol w:w="2825"/>
      </w:tblGrid>
      <w:tr>
        <w:trPr>
          <w:trHeight w:val="322"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项目(或被投资单位)</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413" w:type="dxa"/>
            <w:tcBorders>
              <w:top w:val="single" w:sz="4" w:space="0" w:color="000000"/>
              <w:left w:val="single" w:sz="4" w:space="0" w:color="000000"/>
              <w:bottom w:val="single" w:sz="4" w:space="0" w:color="000000"/>
              <w:right w:val="single" w:sz="4" w:space="0" w:color="000000"/>
            </w:tcBorders>
          </w:tcPr>
          <w:p>
            <w:pPr/>
          </w:p>
        </w:tc>
        <w:tc>
          <w:tcPr>
            <w:tcW w:w="2812"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413" w:type="dxa"/>
            <w:tcBorders>
              <w:top w:val="single" w:sz="4" w:space="0" w:color="000000"/>
              <w:left w:val="single" w:sz="4" w:space="0" w:color="000000"/>
              <w:bottom w:val="single" w:sz="4" w:space="0" w:color="000000"/>
              <w:right w:val="single" w:sz="4" w:space="0" w:color="000000"/>
            </w:tcBorders>
          </w:tcPr>
          <w:p>
            <w:pPr/>
          </w:p>
        </w:tc>
        <w:tc>
          <w:tcPr>
            <w:tcW w:w="2812"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2"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80" w:bottom="1380" w:left="1560" w:right="1040"/>
        </w:sectPr>
      </w:pPr>
    </w:p>
    <w:p>
      <w:pPr>
        <w:spacing w:line="240" w:lineRule="auto" w:before="10"/>
        <w:rPr>
          <w:rFonts w:ascii="宋体" w:hAnsi="宋体" w:cs="宋体" w:eastAsia="宋体" w:hint="default"/>
          <w:sz w:val="26"/>
          <w:szCs w:val="26"/>
        </w:rPr>
      </w:pPr>
    </w:p>
    <w:p>
      <w:pPr>
        <w:pStyle w:val="Heading3"/>
        <w:spacing w:line="240" w:lineRule="auto"/>
        <w:ind w:left="137" w:right="4941"/>
        <w:jc w:val="left"/>
        <w:rPr>
          <w:b w:val="0"/>
          <w:bCs w:val="0"/>
        </w:rPr>
      </w:pPr>
      <w:r>
        <w:rPr/>
        <w:t>(2). 重要的账龄超过 </w:t>
      </w:r>
      <w:r>
        <w:rPr>
          <w:rFonts w:ascii="Cambria" w:hAnsi="Cambria" w:cs="Cambria" w:eastAsia="Cambria" w:hint="default"/>
        </w:rPr>
        <w:t>1</w:t>
      </w:r>
      <w:r>
        <w:rPr>
          <w:rFonts w:ascii="Cambria" w:hAnsi="Cambria" w:cs="Cambria" w:eastAsia="Cambria" w:hint="default"/>
          <w:spacing w:val="-22"/>
        </w:rPr>
        <w:t> </w:t>
      </w:r>
      <w:r>
        <w:rPr/>
        <w:t>年的应收股利：</w:t>
      </w:r>
      <w:r>
        <w:rPr>
          <w:b w:val="0"/>
          <w:bCs w:val="0"/>
        </w:rPr>
      </w:r>
    </w:p>
    <w:p>
      <w:pPr>
        <w:pStyle w:val="BodyText"/>
        <w:tabs>
          <w:tab w:pos="1049" w:val="left" w:leader="none"/>
        </w:tabs>
        <w:spacing w:line="240" w:lineRule="auto" w:before="80"/>
        <w:ind w:left="0" w:right="15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2096"/>
        <w:gridCol w:w="1486"/>
        <w:gridCol w:w="1428"/>
        <w:gridCol w:w="1597"/>
        <w:gridCol w:w="2286"/>
      </w:tblGrid>
      <w:tr>
        <w:trPr>
          <w:trHeight w:val="559"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项目(或被投资单位)</w:t>
            </w:r>
          </w:p>
        </w:tc>
        <w:tc>
          <w:tcPr>
            <w:tcW w:w="14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42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未收回的原因</w:t>
            </w:r>
          </w:p>
        </w:tc>
        <w:tc>
          <w:tcPr>
            <w:tcW w:w="22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是否发生减值及其判断</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328" w:hRule="exact"/>
        </w:trPr>
        <w:tc>
          <w:tcPr>
            <w:tcW w:w="209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4" w:space="0" w:color="000000"/>
            </w:tcBorders>
          </w:tcPr>
          <w:p>
            <w:pPr/>
          </w:p>
        </w:tc>
        <w:tc>
          <w:tcPr>
            <w:tcW w:w="1428" w:type="dxa"/>
            <w:tcBorders>
              <w:top w:val="single" w:sz="6" w:space="0" w:color="000000"/>
              <w:left w:val="single" w:sz="4"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22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09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4" w:space="0" w:color="000000"/>
            </w:tcBorders>
          </w:tcPr>
          <w:p>
            <w:pPr/>
          </w:p>
        </w:tc>
        <w:tc>
          <w:tcPr>
            <w:tcW w:w="1428" w:type="dxa"/>
            <w:tcBorders>
              <w:top w:val="single" w:sz="6" w:space="0" w:color="000000"/>
              <w:left w:val="single" w:sz="4"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22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86" w:type="dxa"/>
            <w:tcBorders>
              <w:top w:val="single" w:sz="6" w:space="0" w:color="000000"/>
              <w:left w:val="single" w:sz="6" w:space="0" w:color="000000"/>
              <w:bottom w:val="single" w:sz="6" w:space="0" w:color="000000"/>
              <w:right w:val="single" w:sz="4" w:space="0" w:color="000000"/>
            </w:tcBorders>
          </w:tcPr>
          <w:p>
            <w:pPr/>
          </w:p>
        </w:tc>
        <w:tc>
          <w:tcPr>
            <w:tcW w:w="1428"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sz w:val="21"/>
              </w:rPr>
              <w:t>/</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w:t>
            </w:r>
          </w:p>
        </w:tc>
        <w:tc>
          <w:tcPr>
            <w:tcW w:w="22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left="137" w:right="4941"/>
        <w:jc w:val="left"/>
      </w:pPr>
      <w:r>
        <w:rPr/>
        <w:t>其他说明：</w:t>
      </w:r>
    </w:p>
    <w:p>
      <w:pPr>
        <w:spacing w:line="240" w:lineRule="auto" w:before="13"/>
        <w:rPr>
          <w:rFonts w:ascii="宋体" w:hAnsi="宋体" w:cs="宋体" w:eastAsia="宋体" w:hint="default"/>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a">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7" w:top="1120" w:bottom="1380" w:left="1660" w:right="1120"/>
        </w:sectPr>
      </w:pPr>
    </w:p>
    <w:p>
      <w:pPr>
        <w:pStyle w:val="Heading3"/>
        <w:spacing w:line="240" w:lineRule="auto"/>
        <w:ind w:left="137" w:right="-16"/>
        <w:jc w:val="left"/>
        <w:rPr>
          <w:b w:val="0"/>
          <w:bCs w:val="0"/>
        </w:rPr>
      </w:pPr>
      <w:r>
        <w:rPr/>
        <w:t>9、</w:t>
      </w:r>
      <w:r>
        <w:rPr>
          <w:spacing w:val="-5"/>
        </w:rPr>
        <w:t> </w:t>
      </w:r>
      <w:r>
        <w:rPr/>
        <w:t>其他应收款</w:t>
      </w:r>
      <w:r>
        <w:rPr>
          <w:b w:val="0"/>
          <w:bCs w:val="0"/>
        </w:rPr>
      </w:r>
    </w:p>
    <w:p>
      <w:pPr>
        <w:pStyle w:val="Heading3"/>
        <w:spacing w:line="240" w:lineRule="auto" w:before="97"/>
        <w:ind w:left="137" w:right="-16"/>
        <w:jc w:val="left"/>
        <w:rPr>
          <w:b w:val="0"/>
          <w:bCs w:val="0"/>
        </w:rPr>
      </w:pPr>
      <w:r>
        <w:rPr/>
        <w:t>(1).</w:t>
      </w:r>
      <w:r>
        <w:rPr>
          <w:spacing w:val="56"/>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tabs>
          <w:tab w:pos="1187" w:val="left" w:leader="none"/>
        </w:tabs>
        <w:spacing w:line="240" w:lineRule="auto"/>
        <w:ind w:left="137" w:right="0"/>
        <w:jc w:val="left"/>
      </w:pPr>
      <w:r>
        <w:rPr/>
        <w:t>单位：元</w:t>
        <w:tab/>
        <w:t>币种：人民币</w:t>
      </w:r>
    </w:p>
    <w:p>
      <w:pPr>
        <w:spacing w:after="0" w:line="240" w:lineRule="auto"/>
        <w:jc w:val="left"/>
        <w:sectPr>
          <w:type w:val="continuous"/>
          <w:pgSz w:w="11910" w:h="16840"/>
          <w:pgMar w:top="1080" w:bottom="1380" w:left="1660" w:right="1120"/>
          <w:cols w:num="2" w:equalWidth="0">
            <w:col w:w="2624" w:space="3793"/>
            <w:col w:w="2713"/>
          </w:cols>
        </w:sectPr>
      </w:pPr>
    </w:p>
    <w:p>
      <w:pPr>
        <w:spacing w:before="22"/>
        <w:ind w:left="6393" w:right="6419"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696.3pt;height:.75pt;mso-position-horizontal-relative:char;mso-position-vertical-relative:line" coordorigin="0,0" coordsize="13926,15">
            <v:group style="position:absolute;left:7;top:7;width:13912;height:2" coordorigin="7,7" coordsize="13912,2">
              <v:shape style="position:absolute;left:7;top:7;width:13912;height:2" coordorigin="7,7" coordsize="13912,0" path="m7,7l1391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2441"/>
        <w:gridCol w:w="1556"/>
        <w:gridCol w:w="708"/>
        <w:gridCol w:w="1420"/>
        <w:gridCol w:w="708"/>
        <w:gridCol w:w="1564"/>
        <w:gridCol w:w="1418"/>
        <w:gridCol w:w="712"/>
        <w:gridCol w:w="1418"/>
        <w:gridCol w:w="769"/>
        <w:gridCol w:w="1222"/>
      </w:tblGrid>
      <w:tr>
        <w:trPr>
          <w:trHeight w:val="322" w:hRule="exact"/>
        </w:trPr>
        <w:tc>
          <w:tcPr>
            <w:tcW w:w="24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956" w:type="dxa"/>
            <w:gridSpan w:val="5"/>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5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441" w:type="dxa"/>
            <w:vMerge/>
            <w:tcBorders>
              <w:left w:val="single" w:sz="4" w:space="0" w:color="000000"/>
              <w:right w:val="single" w:sz="4" w:space="0" w:color="000000"/>
            </w:tcBorders>
          </w:tcPr>
          <w:p>
            <w:pPr/>
          </w:p>
        </w:tc>
        <w:tc>
          <w:tcPr>
            <w:tcW w:w="22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0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64" w:type="dxa"/>
            <w:vMerge w:val="restart"/>
            <w:tcBorders>
              <w:top w:val="single" w:sz="4" w:space="0" w:color="000000"/>
              <w:left w:val="single" w:sz="4" w:space="0" w:color="000000"/>
              <w:right w:val="single" w:sz="4" w:space="0" w:color="000000"/>
            </w:tcBorders>
          </w:tcPr>
          <w:p>
            <w:pPr>
              <w:pStyle w:val="TableParagraph"/>
              <w:spacing w:line="273" w:lineRule="auto" w:before="146"/>
              <w:ind w:left="566" w:right="565"/>
              <w:jc w:val="center"/>
              <w:rPr>
                <w:rFonts w:ascii="宋体" w:hAnsi="宋体" w:cs="宋体" w:eastAsia="宋体" w:hint="default"/>
                <w:sz w:val="21"/>
                <w:szCs w:val="21"/>
              </w:rPr>
            </w:pPr>
            <w:r>
              <w:rPr>
                <w:rFonts w:ascii="宋体" w:hAnsi="宋体" w:cs="宋体" w:eastAsia="宋体" w:hint="default"/>
                <w:sz w:val="21"/>
                <w:szCs w:val="21"/>
              </w:rPr>
              <w:t>账面 价值</w:t>
            </w:r>
          </w:p>
        </w:tc>
        <w:tc>
          <w:tcPr>
            <w:tcW w:w="2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6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22" w:type="dxa"/>
            <w:vMerge w:val="restart"/>
            <w:tcBorders>
              <w:top w:val="single" w:sz="4" w:space="0" w:color="000000"/>
              <w:left w:val="single" w:sz="4" w:space="0" w:color="000000"/>
              <w:right w:val="single" w:sz="4" w:space="0" w:color="000000"/>
            </w:tcBorders>
          </w:tcPr>
          <w:p>
            <w:pPr>
              <w:pStyle w:val="TableParagraph"/>
              <w:spacing w:line="273" w:lineRule="auto" w:before="146"/>
              <w:ind w:left="395" w:right="394"/>
              <w:jc w:val="left"/>
              <w:rPr>
                <w:rFonts w:ascii="宋体" w:hAnsi="宋体" w:cs="宋体" w:eastAsia="宋体" w:hint="default"/>
                <w:sz w:val="21"/>
                <w:szCs w:val="21"/>
              </w:rPr>
            </w:pPr>
            <w:r>
              <w:rPr>
                <w:rFonts w:ascii="宋体" w:hAnsi="宋体" w:cs="宋体" w:eastAsia="宋体" w:hint="default"/>
                <w:sz w:val="21"/>
                <w:szCs w:val="21"/>
              </w:rPr>
              <w:t>账面 价值</w:t>
            </w:r>
          </w:p>
        </w:tc>
      </w:tr>
      <w:tr>
        <w:trPr>
          <w:trHeight w:val="634" w:hRule="exact"/>
        </w:trPr>
        <w:tc>
          <w:tcPr>
            <w:tcW w:w="2441" w:type="dxa"/>
            <w:vMerge/>
            <w:tcBorders>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1"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7"/>
              <w:ind w:left="191" w:right="0"/>
              <w:jc w:val="left"/>
              <w:rPr>
                <w:rFonts w:ascii="宋体" w:hAnsi="宋体" w:cs="宋体" w:eastAsia="宋体" w:hint="default"/>
                <w:sz w:val="21"/>
                <w:szCs w:val="21"/>
              </w:rPr>
            </w:pPr>
            <w:r>
              <w:rPr>
                <w:rFonts w:ascii="宋体"/>
                <w:sz w:val="21"/>
              </w:rPr>
              <w:t>(%)</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5"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40" w:lineRule="auto" w:before="37"/>
              <w:ind w:left="85" w:right="0"/>
              <w:jc w:val="left"/>
              <w:rPr>
                <w:rFonts w:ascii="宋体" w:hAnsi="宋体" w:cs="宋体" w:eastAsia="宋体" w:hint="default"/>
                <w:sz w:val="21"/>
                <w:szCs w:val="21"/>
              </w:rPr>
            </w:pPr>
            <w:r>
              <w:rPr>
                <w:rFonts w:ascii="宋体" w:hAnsi="宋体" w:cs="宋体" w:eastAsia="宋体" w:hint="default"/>
                <w:sz w:val="21"/>
                <w:szCs w:val="21"/>
              </w:rPr>
              <w:t>例(%)</w:t>
            </w:r>
          </w:p>
        </w:tc>
        <w:tc>
          <w:tcPr>
            <w:tcW w:w="1564"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3"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7"/>
              <w:ind w:left="193" w:right="0"/>
              <w:jc w:val="left"/>
              <w:rPr>
                <w:rFonts w:ascii="宋体" w:hAnsi="宋体" w:cs="宋体" w:eastAsia="宋体" w:hint="default"/>
                <w:sz w:val="21"/>
                <w:szCs w:val="21"/>
              </w:rPr>
            </w:pPr>
            <w:r>
              <w:rPr>
                <w:rFonts w:ascii="宋体"/>
                <w:sz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7"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40" w:lineRule="auto" w:before="37"/>
              <w:ind w:left="117" w:right="0"/>
              <w:jc w:val="left"/>
              <w:rPr>
                <w:rFonts w:ascii="宋体" w:hAnsi="宋体" w:cs="宋体" w:eastAsia="宋体" w:hint="default"/>
                <w:sz w:val="21"/>
                <w:szCs w:val="21"/>
              </w:rPr>
            </w:pPr>
            <w:r>
              <w:rPr>
                <w:rFonts w:ascii="宋体" w:hAnsi="宋体" w:cs="宋体" w:eastAsia="宋体" w:hint="default"/>
                <w:sz w:val="21"/>
                <w:szCs w:val="21"/>
              </w:rPr>
              <w:t>例(%)</w:t>
            </w:r>
          </w:p>
        </w:tc>
        <w:tc>
          <w:tcPr>
            <w:tcW w:w="1222" w:type="dxa"/>
            <w:vMerge/>
            <w:tcBorders>
              <w:left w:val="single" w:sz="4" w:space="0" w:color="000000"/>
              <w:bottom w:val="single" w:sz="4" w:space="0" w:color="000000"/>
              <w:right w:val="single" w:sz="4" w:space="0" w:color="000000"/>
            </w:tcBorders>
          </w:tcPr>
          <w:p>
            <w:pPr/>
          </w:p>
        </w:tc>
      </w:tr>
      <w:tr>
        <w:trPr>
          <w:trHeight w:val="635"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单项金额重大并单独计提</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坏账准备的其他应收款</w:t>
            </w:r>
          </w:p>
        </w:tc>
        <w:tc>
          <w:tcPr>
            <w:tcW w:w="155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按信用风险特征组合计提</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坏账准备的其他应收款</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pacing w:val="-1"/>
                <w:sz w:val="21"/>
              </w:rPr>
              <w:t>36,821,591.14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pacing w:val="-1"/>
                <w:sz w:val="21"/>
              </w:rPr>
              <w:t>95.06</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8" w:right="0"/>
              <w:jc w:val="center"/>
              <w:rPr>
                <w:rFonts w:ascii="宋体" w:hAnsi="宋体" w:cs="宋体" w:eastAsia="宋体" w:hint="default"/>
                <w:sz w:val="21"/>
                <w:szCs w:val="21"/>
              </w:rPr>
            </w:pPr>
            <w:r>
              <w:rPr>
                <w:rFonts w:ascii="宋体"/>
                <w:sz w:val="21"/>
              </w:rPr>
              <w:t>3,759,045.10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5"/>
              <w:jc w:val="right"/>
              <w:rPr>
                <w:rFonts w:ascii="宋体" w:hAnsi="宋体" w:cs="宋体" w:eastAsia="宋体" w:hint="default"/>
                <w:sz w:val="21"/>
                <w:szCs w:val="21"/>
              </w:rPr>
            </w:pPr>
            <w:r>
              <w:rPr>
                <w:rFonts w:ascii="宋体"/>
                <w:spacing w:val="-1"/>
                <w:sz w:val="21"/>
              </w:rPr>
              <w:t>10.21</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pacing w:val="-1"/>
                <w:sz w:val="21"/>
              </w:rPr>
              <w:t>33,062,546.04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right"/>
              <w:rPr>
                <w:rFonts w:ascii="宋体" w:hAnsi="宋体" w:cs="宋体" w:eastAsia="宋体" w:hint="default"/>
                <w:sz w:val="21"/>
                <w:szCs w:val="21"/>
              </w:rPr>
            </w:pPr>
            <w:r>
              <w:rPr>
                <w:rFonts w:ascii="宋体"/>
                <w:spacing w:val="-1"/>
                <w:sz w:val="21"/>
              </w:rPr>
              <w:t>42,131,765.5</w:t>
            </w:r>
          </w:p>
          <w:p>
            <w:pPr>
              <w:pStyle w:val="TableParagraph"/>
              <w:spacing w:line="240" w:lineRule="auto" w:before="37"/>
              <w:ind w:right="22"/>
              <w:jc w:val="right"/>
              <w:rPr>
                <w:rFonts w:ascii="宋体" w:hAnsi="宋体" w:cs="宋体" w:eastAsia="宋体" w:hint="default"/>
                <w:sz w:val="21"/>
                <w:szCs w:val="21"/>
              </w:rPr>
            </w:pPr>
            <w:r>
              <w:rPr>
                <w:rFonts w:ascii="宋体"/>
                <w:sz w:val="21"/>
              </w:rPr>
              <w:t>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pacing w:val="-1"/>
                <w:sz w:val="21"/>
              </w:rPr>
              <w:t>92.19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center"/>
              <w:rPr>
                <w:rFonts w:ascii="宋体" w:hAnsi="宋体" w:cs="宋体" w:eastAsia="宋体" w:hint="default"/>
                <w:sz w:val="21"/>
                <w:szCs w:val="21"/>
              </w:rPr>
            </w:pPr>
            <w:r>
              <w:rPr>
                <w:rFonts w:ascii="宋体"/>
                <w:sz w:val="21"/>
              </w:rPr>
              <w:t>3,220,835.89</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pacing w:val="-1"/>
                <w:sz w:val="21"/>
              </w:rPr>
              <w:t>7.64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pacing w:val="-1"/>
                <w:sz w:val="21"/>
              </w:rPr>
              <w:t>38,910,929.</w:t>
            </w:r>
          </w:p>
          <w:p>
            <w:pPr>
              <w:pStyle w:val="TableParagraph"/>
              <w:spacing w:line="240" w:lineRule="auto" w:before="37"/>
              <w:ind w:right="23"/>
              <w:jc w:val="right"/>
              <w:rPr>
                <w:rFonts w:ascii="宋体" w:hAnsi="宋体" w:cs="宋体" w:eastAsia="宋体" w:hint="default"/>
                <w:sz w:val="21"/>
                <w:szCs w:val="21"/>
              </w:rPr>
            </w:pPr>
            <w:r>
              <w:rPr>
                <w:rFonts w:ascii="宋体"/>
                <w:sz w:val="21"/>
              </w:rPr>
              <w:t>61</w:t>
            </w:r>
          </w:p>
        </w:tc>
      </w:tr>
      <w:tr>
        <w:trPr>
          <w:trHeight w:val="634"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单项金额不重大但单独计</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提坏账准备的其他应收款</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pacing w:val="-1"/>
                <w:sz w:val="21"/>
              </w:rPr>
              <w:t>1,911,914.96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pacing w:val="-1"/>
                <w:sz w:val="21"/>
              </w:rPr>
              <w:t>4.94</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9" w:right="0"/>
              <w:jc w:val="center"/>
              <w:rPr>
                <w:rFonts w:ascii="宋体" w:hAnsi="宋体" w:cs="宋体" w:eastAsia="宋体" w:hint="default"/>
                <w:sz w:val="21"/>
                <w:szCs w:val="21"/>
              </w:rPr>
            </w:pPr>
            <w:r>
              <w:rPr>
                <w:rFonts w:ascii="宋体"/>
                <w:sz w:val="21"/>
              </w:rPr>
              <w:t>1,911,914.96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pacing w:val="-1"/>
                <w:sz w:val="21"/>
              </w:rPr>
              <w:t>100.00</w:t>
            </w:r>
          </w:p>
        </w:tc>
        <w:tc>
          <w:tcPr>
            <w:tcW w:w="156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sz w:val="21"/>
              </w:rPr>
              <w:t>3,570,460.33</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pacing w:val="-1"/>
                <w:sz w:val="21"/>
              </w:rPr>
              <w:t>7.81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center"/>
              <w:rPr>
                <w:rFonts w:ascii="宋体" w:hAnsi="宋体" w:cs="宋体" w:eastAsia="宋体" w:hint="default"/>
                <w:sz w:val="21"/>
                <w:szCs w:val="21"/>
              </w:rPr>
            </w:pPr>
            <w:r>
              <w:rPr>
                <w:rFonts w:ascii="宋体"/>
                <w:sz w:val="21"/>
              </w:rPr>
              <w:t>3,570,460.33</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pacing w:val="-1"/>
                <w:sz w:val="21"/>
              </w:rPr>
              <w:t>100.00</w:t>
            </w: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3"/>
              <w:jc w:val="right"/>
              <w:rPr>
                <w:rFonts w:ascii="宋体" w:hAnsi="宋体" w:cs="宋体" w:eastAsia="宋体" w:hint="default"/>
                <w:sz w:val="21"/>
                <w:szCs w:val="21"/>
              </w:rPr>
            </w:pPr>
            <w:r>
              <w:rPr>
                <w:rFonts w:ascii="宋体"/>
                <w:spacing w:val="-1"/>
                <w:sz w:val="21"/>
              </w:rPr>
              <w:t>38,733,506.10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98" w:right="0"/>
              <w:jc w:val="center"/>
              <w:rPr>
                <w:rFonts w:ascii="宋体" w:hAnsi="宋体" w:cs="宋体" w:eastAsia="宋体" w:hint="default"/>
                <w:sz w:val="21"/>
                <w:szCs w:val="21"/>
              </w:rPr>
            </w:pPr>
            <w:r>
              <w:rPr>
                <w:rFonts w:ascii="宋体"/>
                <w:sz w:val="21"/>
              </w:rPr>
              <w:t>5,670,960.06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3"/>
              <w:jc w:val="right"/>
              <w:rPr>
                <w:rFonts w:ascii="宋体" w:hAnsi="宋体" w:cs="宋体" w:eastAsia="宋体" w:hint="default"/>
                <w:sz w:val="21"/>
                <w:szCs w:val="21"/>
              </w:rPr>
            </w:pPr>
            <w:r>
              <w:rPr>
                <w:rFonts w:ascii="宋体"/>
                <w:spacing w:val="-1"/>
                <w:sz w:val="21"/>
              </w:rPr>
              <w:t>33,062,546.04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2"/>
              <w:jc w:val="right"/>
              <w:rPr>
                <w:rFonts w:ascii="宋体" w:hAnsi="宋体" w:cs="宋体" w:eastAsia="宋体" w:hint="default"/>
                <w:sz w:val="21"/>
                <w:szCs w:val="21"/>
              </w:rPr>
            </w:pPr>
            <w:r>
              <w:rPr>
                <w:rFonts w:ascii="宋体"/>
                <w:spacing w:val="-1"/>
                <w:sz w:val="21"/>
              </w:rPr>
              <w:t>45,702,225.8</w:t>
            </w:r>
          </w:p>
          <w:p>
            <w:pPr>
              <w:pStyle w:val="TableParagraph"/>
              <w:spacing w:line="240" w:lineRule="auto" w:before="37"/>
              <w:ind w:right="22"/>
              <w:jc w:val="right"/>
              <w:rPr>
                <w:rFonts w:ascii="宋体" w:hAnsi="宋体" w:cs="宋体" w:eastAsia="宋体" w:hint="default"/>
                <w:sz w:val="21"/>
                <w:szCs w:val="21"/>
              </w:rPr>
            </w:pPr>
            <w:r>
              <w:rPr>
                <w:rFonts w:ascii="宋体"/>
                <w:sz w:val="21"/>
              </w:rPr>
              <w:t>3</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center"/>
              <w:rPr>
                <w:rFonts w:ascii="宋体" w:hAnsi="宋体" w:cs="宋体" w:eastAsia="宋体" w:hint="default"/>
                <w:sz w:val="21"/>
                <w:szCs w:val="21"/>
              </w:rPr>
            </w:pPr>
            <w:r>
              <w:rPr>
                <w:rFonts w:ascii="宋体"/>
                <w:sz w:val="21"/>
              </w:rPr>
              <w:t>6,791,296.22</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3"/>
              <w:jc w:val="right"/>
              <w:rPr>
                <w:rFonts w:ascii="宋体" w:hAnsi="宋体" w:cs="宋体" w:eastAsia="宋体" w:hint="default"/>
                <w:sz w:val="21"/>
                <w:szCs w:val="21"/>
              </w:rPr>
            </w:pPr>
            <w:r>
              <w:rPr>
                <w:rFonts w:ascii="宋体"/>
                <w:spacing w:val="-1"/>
                <w:sz w:val="21"/>
              </w:rPr>
              <w:t>38,910,929.</w:t>
            </w:r>
          </w:p>
          <w:p>
            <w:pPr>
              <w:pStyle w:val="TableParagraph"/>
              <w:spacing w:line="240" w:lineRule="auto" w:before="37"/>
              <w:ind w:right="23"/>
              <w:jc w:val="right"/>
              <w:rPr>
                <w:rFonts w:ascii="宋体" w:hAnsi="宋体" w:cs="宋体" w:eastAsia="宋体" w:hint="default"/>
                <w:sz w:val="21"/>
                <w:szCs w:val="21"/>
              </w:rPr>
            </w:pPr>
            <w:r>
              <w:rPr>
                <w:rFonts w:ascii="宋体"/>
                <w:sz w:val="21"/>
              </w:rPr>
              <w:t>61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before="63"/>
        <w:ind w:left="6393" w:right="6398" w:firstLine="0"/>
        <w:jc w:val="center"/>
        <w:rPr>
          <w:rFonts w:ascii="Calibri" w:hAnsi="Calibri" w:cs="Calibri" w:eastAsia="Calibri" w:hint="default"/>
          <w:sz w:val="18"/>
          <w:szCs w:val="18"/>
        </w:rPr>
      </w:pPr>
      <w:r>
        <w:rPr>
          <w:rFonts w:ascii="Calibri"/>
          <w:b/>
          <w:sz w:val="18"/>
        </w:rPr>
        <w:t>105 </w:t>
      </w:r>
      <w:r>
        <w:rPr>
          <w:rFonts w:ascii="Calibri"/>
          <w:sz w:val="18"/>
        </w:rPr>
        <w:t>/</w:t>
      </w:r>
      <w:r>
        <w:rPr>
          <w:rFonts w:ascii="Calibri"/>
          <w:spacing w:val="-4"/>
          <w:sz w:val="18"/>
        </w:rPr>
        <w:t> </w:t>
      </w:r>
      <w:r>
        <w:rPr>
          <w:rFonts w:ascii="Calibri"/>
          <w:b/>
          <w:sz w:val="18"/>
        </w:rPr>
        <w:t>197</w:t>
      </w:r>
      <w:r>
        <w:rPr>
          <w:rFonts w:ascii="Calibri"/>
          <w:sz w:val="18"/>
        </w:rPr>
      </w:r>
    </w:p>
    <w:p>
      <w:pPr>
        <w:spacing w:after="0"/>
        <w:jc w:val="center"/>
        <w:rPr>
          <w:rFonts w:ascii="Calibri" w:hAnsi="Calibri" w:cs="Calibri" w:eastAsia="Calibri" w:hint="default"/>
          <w:sz w:val="18"/>
          <w:szCs w:val="18"/>
        </w:rPr>
        <w:sectPr>
          <w:headerReference w:type="default" r:id="rId106"/>
          <w:footerReference w:type="default" r:id="rId107"/>
          <w:pgSz w:w="16840" w:h="11910" w:orient="landscape"/>
          <w:pgMar w:header="0" w:footer="0" w:top="800" w:bottom="280" w:left="1300" w:right="13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108"/>
          <w:pgSz w:w="11910" w:h="16840"/>
          <w:pgMar w:footer="1197" w:header="0" w:top="1120" w:bottom="1380" w:left="1580" w:right="1040"/>
          <w:pgNumType w:start="106"/>
        </w:sectPr>
      </w:pPr>
    </w:p>
    <w:p>
      <w:pPr>
        <w:spacing w:line="240" w:lineRule="auto" w:before="2"/>
        <w:rPr>
          <w:rFonts w:ascii="Calibri" w:hAnsi="Calibri" w:cs="Calibri" w:eastAsia="Calibri" w:hint="default"/>
          <w:b/>
          <w:bCs/>
          <w:sz w:val="17"/>
          <w:szCs w:val="17"/>
        </w:rPr>
      </w:pPr>
    </w:p>
    <w:p>
      <w:pPr>
        <w:pStyle w:val="BodyText"/>
        <w:spacing w:line="240" w:lineRule="auto"/>
        <w:ind w:right="-20"/>
        <w:jc w:val="left"/>
      </w:pPr>
      <w:r>
        <w:rPr/>
        <w:t>期末单项金额重大并单项计提坏帐准备的其他应收款</w:t>
      </w:r>
    </w:p>
    <w:p>
      <w:pPr>
        <w:pStyle w:val="BodyText"/>
        <w:spacing w:line="240" w:lineRule="auto" w:before="37"/>
        <w:ind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tabs>
          <w:tab w:pos="1267" w:val="left" w:leader="none"/>
        </w:tabs>
        <w:spacing w:line="240" w:lineRule="auto"/>
        <w:ind w:right="0"/>
        <w:jc w:val="left"/>
      </w:pPr>
      <w:r>
        <w:rPr/>
        <w:t>单位：元</w:t>
        <w:tab/>
        <w:t>币种：人民币</w:t>
      </w:r>
    </w:p>
    <w:p>
      <w:pPr>
        <w:spacing w:after="0" w:line="240" w:lineRule="auto"/>
        <w:jc w:val="left"/>
        <w:sectPr>
          <w:type w:val="continuous"/>
          <w:pgSz w:w="11910" w:h="16840"/>
          <w:pgMar w:top="1080" w:bottom="1380" w:left="1580" w:right="1040"/>
          <w:cols w:num="2" w:equalWidth="0">
            <w:col w:w="5048" w:space="1475"/>
            <w:col w:w="2767"/>
          </w:cols>
        </w:sectPr>
      </w:pP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927"/>
        <w:gridCol w:w="1517"/>
        <w:gridCol w:w="1723"/>
        <w:gridCol w:w="1962"/>
        <w:gridCol w:w="1920"/>
      </w:tblGrid>
      <w:tr>
        <w:trPr>
          <w:trHeight w:val="322" w:hRule="exact"/>
        </w:trPr>
        <w:tc>
          <w:tcPr>
            <w:tcW w:w="1927" w:type="dxa"/>
            <w:tcBorders>
              <w:top w:val="single" w:sz="4" w:space="0" w:color="000000"/>
              <w:left w:val="single" w:sz="4" w:space="0" w:color="000000"/>
              <w:bottom w:val="single" w:sz="4" w:space="0" w:color="000000"/>
              <w:right w:val="single" w:sz="4" w:space="0" w:color="000000"/>
            </w:tcBorders>
          </w:tcPr>
          <w:p>
            <w:pPr/>
          </w:p>
        </w:tc>
        <w:tc>
          <w:tcPr>
            <w:tcW w:w="7122" w:type="dxa"/>
            <w:gridSpan w:val="4"/>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634"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40" w:lineRule="auto" w:before="37"/>
              <w:ind w:left="433" w:right="0"/>
              <w:jc w:val="left"/>
              <w:rPr>
                <w:rFonts w:ascii="宋体" w:hAnsi="宋体" w:cs="宋体" w:eastAsia="宋体" w:hint="default"/>
                <w:sz w:val="21"/>
                <w:szCs w:val="21"/>
              </w:rPr>
            </w:pPr>
            <w:r>
              <w:rPr>
                <w:rFonts w:ascii="宋体" w:hAnsi="宋体" w:cs="宋体" w:eastAsia="宋体" w:hint="default"/>
                <w:sz w:val="21"/>
                <w:szCs w:val="21"/>
              </w:rPr>
              <w:t>（按单位）</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3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323" w:hRule="exact"/>
        </w:trPr>
        <w:tc>
          <w:tcPr>
            <w:tcW w:w="192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2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17"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1580" w:right="1040"/>
        </w:sectPr>
      </w:pPr>
    </w:p>
    <w:p>
      <w:pPr>
        <w:pStyle w:val="BodyText"/>
        <w:spacing w:line="240" w:lineRule="auto" w:before="35"/>
        <w:ind w:right="-20"/>
        <w:jc w:val="left"/>
      </w:pPr>
      <w:r>
        <w:rPr/>
        <w:t>组合中，按账龄分析法计提坏账准备的其他应收款：</w:t>
      </w:r>
    </w:p>
    <w:p>
      <w:pPr>
        <w:pStyle w:val="BodyText"/>
        <w:spacing w:line="240" w:lineRule="auto" w:before="37"/>
        <w:ind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7" w:val="left" w:leader="none"/>
        </w:tabs>
        <w:spacing w:line="240" w:lineRule="auto" w:before="135"/>
        <w:ind w:right="0"/>
        <w:jc w:val="left"/>
      </w:pPr>
      <w:r>
        <w:rPr/>
        <w:t>单位：元</w:t>
        <w:tab/>
        <w:t>币种：人民币</w:t>
      </w:r>
    </w:p>
    <w:p>
      <w:pPr>
        <w:spacing w:after="0" w:line="240" w:lineRule="auto"/>
        <w:jc w:val="left"/>
        <w:sectPr>
          <w:type w:val="continuous"/>
          <w:pgSz w:w="11910" w:h="16840"/>
          <w:pgMar w:top="1080" w:bottom="1380" w:left="1580" w:right="1040"/>
          <w:cols w:num="2" w:equalWidth="0">
            <w:col w:w="5048" w:space="1475"/>
            <w:col w:w="2767"/>
          </w:cols>
        </w:sectPr>
      </w:pPr>
    </w:p>
    <w:p>
      <w:pPr>
        <w:spacing w:line="240" w:lineRule="auto" w:before="13"/>
        <w:rPr>
          <w:rFonts w:ascii="宋体" w:hAnsi="宋体" w:cs="宋体" w:eastAsia="宋体" w:hint="default"/>
          <w:sz w:val="3"/>
          <w:szCs w:val="3"/>
        </w:rPr>
      </w:pPr>
    </w:p>
    <w:tbl>
      <w:tblPr>
        <w:tblW w:w="0" w:type="auto"/>
        <w:jc w:val="left"/>
        <w:tblInd w:w="181" w:type="dxa"/>
        <w:tblLayout w:type="fixed"/>
        <w:tblCellMar>
          <w:top w:w="0" w:type="dxa"/>
          <w:left w:w="0" w:type="dxa"/>
          <w:bottom w:w="0" w:type="dxa"/>
          <w:right w:w="0" w:type="dxa"/>
        </w:tblCellMar>
        <w:tblLook w:val="01E0"/>
      </w:tblPr>
      <w:tblGrid>
        <w:gridCol w:w="2375"/>
        <w:gridCol w:w="2202"/>
        <w:gridCol w:w="2130"/>
        <w:gridCol w:w="2189"/>
      </w:tblGrid>
      <w:tr>
        <w:trPr>
          <w:trHeight w:val="322" w:hRule="exact"/>
        </w:trPr>
        <w:tc>
          <w:tcPr>
            <w:tcW w:w="237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65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2" w:hRule="exact"/>
        </w:trPr>
        <w:tc>
          <w:tcPr>
            <w:tcW w:w="2375" w:type="dxa"/>
            <w:vMerge/>
            <w:tcBorders>
              <w:left w:val="single" w:sz="4" w:space="0" w:color="000000"/>
              <w:bottom w:val="single" w:sz="4" w:space="0" w:color="000000"/>
              <w:right w:val="single" w:sz="4" w:space="0" w:color="000000"/>
            </w:tcBorders>
          </w:tcPr>
          <w:p>
            <w:pP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6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3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6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32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21" w:type="dxa"/>
            <w:gridSpan w:val="3"/>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r>
      <w:tr>
        <w:trPr>
          <w:trHeight w:val="322" w:hRule="exact"/>
        </w:trPr>
        <w:tc>
          <w:tcPr>
            <w:tcW w:w="2375" w:type="dxa"/>
            <w:tcBorders>
              <w:top w:val="single" w:sz="4" w:space="0" w:color="000000"/>
              <w:left w:val="single" w:sz="4" w:space="0" w:color="000000"/>
              <w:bottom w:val="single" w:sz="4" w:space="0" w:color="000000"/>
              <w:right w:val="single" w:sz="4" w:space="0" w:color="000000"/>
            </w:tcBorders>
          </w:tcPr>
          <w:p>
            <w:pP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75" w:type="dxa"/>
            <w:tcBorders>
              <w:top w:val="single" w:sz="4" w:space="0" w:color="000000"/>
              <w:left w:val="single" w:sz="4" w:space="0" w:color="000000"/>
              <w:bottom w:val="single" w:sz="4" w:space="0" w:color="000000"/>
              <w:right w:val="single" w:sz="4" w:space="0" w:color="000000"/>
            </w:tcBorders>
          </w:tcPr>
          <w:p>
            <w:pP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年以内小计</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pacing w:val="-1"/>
                <w:sz w:val="21"/>
              </w:rPr>
              <w:t>7,267,436.99</w:t>
            </w:r>
            <w:r>
              <w:rPr>
                <w:rFonts w:ascii="宋体"/>
                <w:sz w:val="21"/>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pacing w:val="-1"/>
                <w:sz w:val="21"/>
              </w:rPr>
              <w:t>363,371.86</w:t>
            </w:r>
            <w:r>
              <w:rPr>
                <w:rFonts w:ascii="宋体"/>
                <w:sz w:val="21"/>
              </w:rPr>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pacing w:val="-1"/>
                <w:sz w:val="21"/>
              </w:rPr>
              <w:t>5.00</w:t>
            </w:r>
          </w:p>
        </w:tc>
      </w:tr>
      <w:tr>
        <w:trPr>
          <w:trHeight w:val="32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6"/>
              <w:jc w:val="right"/>
              <w:rPr>
                <w:rFonts w:ascii="宋体" w:hAnsi="宋体" w:cs="宋体" w:eastAsia="宋体" w:hint="default"/>
                <w:sz w:val="21"/>
                <w:szCs w:val="21"/>
              </w:rPr>
            </w:pPr>
            <w:r>
              <w:rPr>
                <w:rFonts w:ascii="宋体"/>
                <w:spacing w:val="-1"/>
                <w:sz w:val="21"/>
              </w:rPr>
              <w:t>26,091,887.28</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pacing w:val="-1"/>
                <w:sz w:val="21"/>
              </w:rPr>
              <w:t>2,087,350.98</w:t>
            </w:r>
            <w:r>
              <w:rPr>
                <w:rFonts w:ascii="宋体"/>
                <w:sz w:val="21"/>
              </w:rPr>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pacing w:val="-1"/>
                <w:sz w:val="21"/>
              </w:rPr>
              <w:t>8.00</w:t>
            </w:r>
          </w:p>
        </w:tc>
      </w:tr>
      <w:tr>
        <w:trPr>
          <w:trHeight w:val="32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5"/>
              <w:jc w:val="right"/>
              <w:rPr>
                <w:rFonts w:ascii="宋体" w:hAnsi="宋体" w:cs="宋体" w:eastAsia="宋体" w:hint="default"/>
                <w:sz w:val="21"/>
                <w:szCs w:val="21"/>
              </w:rPr>
            </w:pPr>
            <w:r>
              <w:rPr>
                <w:rFonts w:ascii="宋体"/>
                <w:spacing w:val="-1"/>
                <w:sz w:val="21"/>
              </w:rPr>
              <w:t>1,409,370.60</w:t>
            </w:r>
            <w:r>
              <w:rPr>
                <w:rFonts w:ascii="宋体"/>
                <w:sz w:val="21"/>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3"/>
              <w:jc w:val="right"/>
              <w:rPr>
                <w:rFonts w:ascii="宋体" w:hAnsi="宋体" w:cs="宋体" w:eastAsia="宋体" w:hint="default"/>
                <w:sz w:val="21"/>
                <w:szCs w:val="21"/>
              </w:rPr>
            </w:pPr>
            <w:r>
              <w:rPr>
                <w:rFonts w:ascii="宋体"/>
                <w:spacing w:val="-1"/>
                <w:sz w:val="21"/>
              </w:rPr>
              <w:t>281,874.12</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3"/>
              <w:jc w:val="right"/>
              <w:rPr>
                <w:rFonts w:ascii="宋体" w:hAnsi="宋体" w:cs="宋体" w:eastAsia="宋体" w:hint="default"/>
                <w:sz w:val="21"/>
                <w:szCs w:val="21"/>
              </w:rPr>
            </w:pPr>
            <w:r>
              <w:rPr>
                <w:rFonts w:ascii="宋体"/>
                <w:spacing w:val="-1"/>
                <w:sz w:val="21"/>
              </w:rPr>
              <w:t>20.00</w:t>
            </w:r>
          </w:p>
        </w:tc>
      </w:tr>
      <w:tr>
        <w:trPr>
          <w:trHeight w:val="32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5"/>
              <w:jc w:val="right"/>
              <w:rPr>
                <w:rFonts w:ascii="宋体" w:hAnsi="宋体" w:cs="宋体" w:eastAsia="宋体" w:hint="default"/>
                <w:sz w:val="21"/>
                <w:szCs w:val="21"/>
              </w:rPr>
            </w:pPr>
            <w:r>
              <w:rPr>
                <w:rFonts w:ascii="宋体"/>
                <w:spacing w:val="-1"/>
                <w:sz w:val="21"/>
              </w:rPr>
              <w:t>2,052,896.27</w:t>
            </w:r>
            <w:r>
              <w:rPr>
                <w:rFonts w:ascii="宋体"/>
                <w:sz w:val="21"/>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pacing w:val="-1"/>
                <w:sz w:val="21"/>
              </w:rPr>
              <w:t>1,026,448.14</w:t>
            </w:r>
            <w:r>
              <w:rPr>
                <w:rFonts w:ascii="宋体"/>
                <w:sz w:val="21"/>
              </w:rPr>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pacing w:val="-1"/>
                <w:sz w:val="21"/>
              </w:rPr>
              <w:t>50.00</w:t>
            </w:r>
          </w:p>
        </w:tc>
      </w:tr>
      <w:tr>
        <w:trPr>
          <w:trHeight w:val="32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pacing w:val="26"/>
                <w:sz w:val="21"/>
                <w:szCs w:val="21"/>
              </w:rPr>
              <w:t>3至</w:t>
            </w:r>
            <w:r>
              <w:rPr>
                <w:rFonts w:ascii="宋体" w:hAnsi="宋体" w:cs="宋体" w:eastAsia="宋体" w:hint="default"/>
                <w:spacing w:val="-52"/>
                <w:sz w:val="21"/>
                <w:szCs w:val="21"/>
              </w:rPr>
              <w:t> </w:t>
            </w:r>
            <w:r>
              <w:rPr>
                <w:rFonts w:ascii="宋体" w:hAnsi="宋体" w:cs="宋体" w:eastAsia="宋体" w:hint="default"/>
                <w:spacing w:val="26"/>
                <w:sz w:val="21"/>
                <w:szCs w:val="21"/>
              </w:rPr>
              <w:t>4年</w:t>
            </w:r>
            <w:r>
              <w:rPr>
                <w:rFonts w:ascii="宋体" w:hAnsi="宋体" w:cs="宋体" w:eastAsia="宋体" w:hint="default"/>
                <w:spacing w:val="-52"/>
                <w:sz w:val="21"/>
                <w:szCs w:val="21"/>
              </w:rPr>
              <w:t> </w:t>
            </w:r>
            <w:r>
              <w:rPr>
                <w:rFonts w:ascii="宋体" w:hAnsi="宋体" w:cs="宋体" w:eastAsia="宋体" w:hint="default"/>
                <w:sz w:val="21"/>
                <w:szCs w:val="21"/>
              </w:rPr>
            </w: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pacing w:val="26"/>
                <w:sz w:val="21"/>
                <w:szCs w:val="21"/>
              </w:rPr>
              <w:t>4至</w:t>
            </w:r>
            <w:r>
              <w:rPr>
                <w:rFonts w:ascii="宋体" w:hAnsi="宋体" w:cs="宋体" w:eastAsia="宋体" w:hint="default"/>
                <w:spacing w:val="-52"/>
                <w:sz w:val="21"/>
                <w:szCs w:val="21"/>
              </w:rPr>
              <w:t> </w:t>
            </w:r>
            <w:r>
              <w:rPr>
                <w:rFonts w:ascii="宋体" w:hAnsi="宋体" w:cs="宋体" w:eastAsia="宋体" w:hint="default"/>
                <w:spacing w:val="26"/>
                <w:sz w:val="21"/>
                <w:szCs w:val="21"/>
              </w:rPr>
              <w:t>5年</w:t>
            </w:r>
            <w:r>
              <w:rPr>
                <w:rFonts w:ascii="宋体" w:hAnsi="宋体" w:cs="宋体" w:eastAsia="宋体" w:hint="default"/>
                <w:spacing w:val="-52"/>
                <w:sz w:val="21"/>
                <w:szCs w:val="21"/>
              </w:rPr>
              <w:t> </w:t>
            </w:r>
            <w:r>
              <w:rPr>
                <w:rFonts w:ascii="宋体" w:hAnsi="宋体" w:cs="宋体" w:eastAsia="宋体" w:hint="default"/>
                <w:sz w:val="21"/>
                <w:szCs w:val="21"/>
              </w:rPr>
            </w: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5"/>
              <w:jc w:val="right"/>
              <w:rPr>
                <w:rFonts w:ascii="宋体" w:hAnsi="宋体" w:cs="宋体" w:eastAsia="宋体" w:hint="default"/>
                <w:sz w:val="21"/>
                <w:szCs w:val="21"/>
              </w:rPr>
            </w:pPr>
            <w:r>
              <w:rPr>
                <w:rFonts w:ascii="宋体"/>
                <w:spacing w:val="-1"/>
                <w:sz w:val="21"/>
              </w:rPr>
              <w:t>36,821,591.14</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pacing w:val="-1"/>
                <w:sz w:val="21"/>
              </w:rPr>
              <w:t>3,759,045.10</w:t>
            </w:r>
            <w:r>
              <w:rPr>
                <w:rFonts w:ascii="宋体"/>
                <w:sz w:val="21"/>
              </w:rPr>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pacing w:val="-1"/>
                <w:sz w:val="21"/>
              </w:rPr>
              <w:t>10.21</w:t>
            </w:r>
          </w:p>
        </w:tc>
      </w:tr>
    </w:tbl>
    <w:p>
      <w:pPr>
        <w:pStyle w:val="BodyText"/>
        <w:spacing w:line="260" w:lineRule="exact"/>
        <w:ind w:right="114"/>
        <w:jc w:val="left"/>
      </w:pPr>
      <w:r>
        <w:rPr/>
        <w:t>确定该组合依据的说明：</w:t>
      </w:r>
    </w:p>
    <w:p>
      <w:pPr>
        <w:pStyle w:val="BodyText"/>
        <w:spacing w:line="273" w:lineRule="auto" w:before="37"/>
        <w:ind w:right="227"/>
        <w:jc w:val="left"/>
      </w:pPr>
      <w:r>
        <w:rPr/>
        <w:t>已单独计提减值准备的其它应收款除外，公司根据以前年度与之具有类似信用风险特征的应收账 款组合的实际损失率为基础，结合现时情况确定坏账准备计提比例。</w:t>
      </w: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080" w:bottom="1380" w:left="1580" w:right="1040"/>
        </w:sectPr>
      </w:pPr>
    </w:p>
    <w:p>
      <w:pPr>
        <w:pStyle w:val="BodyText"/>
        <w:spacing w:line="240" w:lineRule="auto" w:before="35"/>
        <w:ind w:right="-20"/>
        <w:jc w:val="left"/>
      </w:pPr>
      <w:r>
        <w:rPr/>
        <w:t>组合中，采用余额百分比法计提坏账准备的其他应收款：</w:t>
      </w:r>
    </w:p>
    <w:p>
      <w:pPr>
        <w:pStyle w:val="BodyText"/>
        <w:spacing w:line="240" w:lineRule="auto" w:before="37"/>
        <w:ind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7" w:val="left" w:leader="none"/>
        </w:tabs>
        <w:spacing w:line="240" w:lineRule="auto" w:before="135"/>
        <w:ind w:right="0"/>
        <w:jc w:val="left"/>
      </w:pPr>
      <w:r>
        <w:rPr/>
        <w:t>单位：元</w:t>
        <w:tab/>
        <w:t>币种：人民币</w:t>
      </w:r>
    </w:p>
    <w:p>
      <w:pPr>
        <w:spacing w:after="0" w:line="240" w:lineRule="auto"/>
        <w:jc w:val="left"/>
        <w:sectPr>
          <w:type w:val="continuous"/>
          <w:pgSz w:w="11910" w:h="16840"/>
          <w:pgMar w:top="1080" w:bottom="1380" w:left="1580" w:right="1040"/>
          <w:cols w:num="2" w:equalWidth="0">
            <w:col w:w="5468" w:space="1030"/>
            <w:col w:w="2792"/>
          </w:cols>
        </w:sectPr>
      </w:pP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423"/>
        <w:gridCol w:w="2237"/>
        <w:gridCol w:w="2166"/>
        <w:gridCol w:w="2224"/>
      </w:tblGrid>
      <w:tr>
        <w:trPr>
          <w:trHeight w:val="326" w:hRule="exact"/>
        </w:trPr>
        <w:tc>
          <w:tcPr>
            <w:tcW w:w="2423" w:type="dxa"/>
            <w:vMerge w:val="restart"/>
            <w:tcBorders>
              <w:top w:val="single" w:sz="6" w:space="0" w:color="000000"/>
              <w:left w:val="single" w:sz="4" w:space="0" w:color="000000"/>
              <w:right w:val="single" w:sz="6" w:space="0" w:color="000000"/>
            </w:tcBorders>
          </w:tcPr>
          <w:p>
            <w:pPr>
              <w:pStyle w:val="TableParagraph"/>
              <w:spacing w:line="240" w:lineRule="auto" w:before="148"/>
              <w:ind w:left="681" w:right="0"/>
              <w:jc w:val="left"/>
              <w:rPr>
                <w:rFonts w:ascii="宋体" w:hAnsi="宋体" w:cs="宋体" w:eastAsia="宋体" w:hint="default"/>
                <w:sz w:val="21"/>
                <w:szCs w:val="21"/>
              </w:rPr>
            </w:pPr>
            <w:r>
              <w:rPr>
                <w:rFonts w:ascii="宋体" w:hAnsi="宋体" w:cs="宋体" w:eastAsia="宋体" w:hint="default"/>
                <w:sz w:val="21"/>
                <w:szCs w:val="21"/>
              </w:rPr>
              <w:t>余额百分比</w:t>
            </w:r>
          </w:p>
        </w:tc>
        <w:tc>
          <w:tcPr>
            <w:tcW w:w="6626" w:type="dxa"/>
            <w:gridSpan w:val="3"/>
            <w:tcBorders>
              <w:top w:val="single" w:sz="6" w:space="0" w:color="000000"/>
              <w:left w:val="single" w:sz="6" w:space="0" w:color="000000"/>
              <w:bottom w:val="single" w:sz="6"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8" w:hRule="exact"/>
        </w:trPr>
        <w:tc>
          <w:tcPr>
            <w:tcW w:w="2423" w:type="dxa"/>
            <w:vMerge/>
            <w:tcBorders>
              <w:left w:val="single" w:sz="4"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8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5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24" w:type="dxa"/>
            <w:tcBorders>
              <w:top w:val="single" w:sz="6" w:space="0" w:color="000000"/>
              <w:left w:val="single" w:sz="6" w:space="0" w:color="000000"/>
              <w:bottom w:val="single" w:sz="6" w:space="0" w:color="000000"/>
              <w:right w:val="single" w:sz="4" w:space="0" w:color="000000"/>
            </w:tcBorders>
          </w:tcPr>
          <w:p>
            <w:pPr>
              <w:pStyle w:val="TableParagraph"/>
              <w:spacing w:line="261" w:lineRule="exact"/>
              <w:ind w:left="682"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326" w:hRule="exact"/>
        </w:trPr>
        <w:tc>
          <w:tcPr>
            <w:tcW w:w="2423" w:type="dxa"/>
            <w:tcBorders>
              <w:top w:val="single" w:sz="6" w:space="0" w:color="000000"/>
              <w:left w:val="single" w:sz="4"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c>
          <w:tcPr>
            <w:tcW w:w="2166"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4" w:space="0" w:color="000000"/>
            </w:tcBorders>
          </w:tcPr>
          <w:p>
            <w:pPr/>
          </w:p>
        </w:tc>
      </w:tr>
      <w:tr>
        <w:trPr>
          <w:trHeight w:val="328" w:hRule="exact"/>
        </w:trPr>
        <w:tc>
          <w:tcPr>
            <w:tcW w:w="2423" w:type="dxa"/>
            <w:tcBorders>
              <w:top w:val="single" w:sz="6" w:space="0" w:color="000000"/>
              <w:left w:val="single" w:sz="4"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c>
          <w:tcPr>
            <w:tcW w:w="2166"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4" w:space="0" w:color="000000"/>
            </w:tcBorders>
          </w:tcPr>
          <w:p>
            <w:pPr/>
          </w:p>
        </w:tc>
      </w:tr>
      <w:tr>
        <w:trPr>
          <w:trHeight w:val="328" w:hRule="exact"/>
        </w:trPr>
        <w:tc>
          <w:tcPr>
            <w:tcW w:w="2423"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37" w:type="dxa"/>
            <w:tcBorders>
              <w:top w:val="single" w:sz="6" w:space="0" w:color="000000"/>
              <w:left w:val="single" w:sz="6" w:space="0" w:color="000000"/>
              <w:bottom w:val="single" w:sz="4" w:space="0" w:color="000000"/>
              <w:right w:val="single" w:sz="6" w:space="0" w:color="000000"/>
            </w:tcBorders>
          </w:tcPr>
          <w:p>
            <w:pPr/>
          </w:p>
        </w:tc>
        <w:tc>
          <w:tcPr>
            <w:tcW w:w="2166" w:type="dxa"/>
            <w:tcBorders>
              <w:top w:val="single" w:sz="6" w:space="0" w:color="000000"/>
              <w:left w:val="single" w:sz="6" w:space="0" w:color="000000"/>
              <w:bottom w:val="single" w:sz="4" w:space="0" w:color="000000"/>
              <w:right w:val="single" w:sz="6" w:space="0" w:color="000000"/>
            </w:tcBorders>
          </w:tcPr>
          <w:p>
            <w:pPr/>
          </w:p>
        </w:tc>
        <w:tc>
          <w:tcPr>
            <w:tcW w:w="2224"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60" w:lineRule="exact"/>
        <w:ind w:right="114"/>
        <w:jc w:val="left"/>
      </w:pPr>
      <w:r>
        <w:rPr/>
        <w:t>确定该组合依据的说明：</w:t>
      </w:r>
    </w:p>
    <w:p>
      <w:pPr>
        <w:spacing w:line="240" w:lineRule="auto" w:before="13"/>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80" w:bottom="1380" w:left="1580" w:right="1040"/>
        </w:sectPr>
      </w:pPr>
    </w:p>
    <w:p>
      <w:pPr>
        <w:spacing w:line="240" w:lineRule="auto" w:before="10"/>
        <w:rPr>
          <w:rFonts w:ascii="宋体" w:hAnsi="宋体" w:cs="宋体" w:eastAsia="宋体" w:hint="default"/>
          <w:sz w:val="26"/>
          <w:szCs w:val="26"/>
        </w:rPr>
      </w:pPr>
    </w:p>
    <w:p>
      <w:pPr>
        <w:pStyle w:val="BodyText"/>
        <w:spacing w:line="240" w:lineRule="auto" w:before="35"/>
        <w:ind w:right="114"/>
        <w:jc w:val="left"/>
      </w:pPr>
      <w:r>
        <w:rPr/>
        <w:t>组合中，采用其他方法计提坏账准备的其他应收款：</w:t>
      </w:r>
    </w:p>
    <w:p>
      <w:pPr>
        <w:pStyle w:val="BodyText"/>
        <w:spacing w:line="240" w:lineRule="auto" w:before="37"/>
        <w:ind w:right="114"/>
        <w:jc w:val="left"/>
      </w:pPr>
      <w:r>
        <w:rPr/>
        <w:t>□适用</w:t>
      </w:r>
      <w:r>
        <w:rPr>
          <w:spacing w:val="-2"/>
        </w:rPr>
        <w:t> </w:t>
      </w:r>
      <w:r>
        <w:rPr/>
        <w:t>□不适用</w:t>
      </w:r>
    </w:p>
    <w:p>
      <w:pPr>
        <w:spacing w:line="240" w:lineRule="auto" w:before="13"/>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a">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pStyle w:val="Heading3"/>
        <w:spacing w:line="240" w:lineRule="auto"/>
        <w:ind w:right="114"/>
        <w:jc w:val="left"/>
        <w:rPr>
          <w:b w:val="0"/>
          <w:bCs w:val="0"/>
        </w:rPr>
      </w:pPr>
      <w:r>
        <w:rPr/>
        <w:t>(2).</w:t>
      </w:r>
      <w:r>
        <w:rPr>
          <w:spacing w:val="53"/>
        </w:rPr>
        <w:t> </w:t>
      </w:r>
      <w:r>
        <w:rPr/>
        <w:t>本期计提、收回或转回的坏账准备情况：</w:t>
      </w:r>
      <w:r>
        <w:rPr>
          <w:b w:val="0"/>
          <w:bCs w:val="0"/>
        </w:rPr>
      </w:r>
    </w:p>
    <w:p>
      <w:pPr>
        <w:spacing w:line="264" w:lineRule="auto" w:before="97"/>
        <w:ind w:left="217" w:right="114" w:firstLine="0"/>
        <w:jc w:val="left"/>
        <w:rPr>
          <w:rFonts w:ascii="宋体" w:hAnsi="宋体" w:cs="宋体" w:eastAsia="宋体" w:hint="default"/>
          <w:sz w:val="21"/>
          <w:szCs w:val="21"/>
        </w:rPr>
      </w:pPr>
      <w:r>
        <w:rPr>
          <w:rFonts w:ascii="宋体" w:hAnsi="宋体" w:cs="宋体" w:eastAsia="宋体" w:hint="default"/>
          <w:w w:val="95"/>
          <w:sz w:val="21"/>
          <w:szCs w:val="21"/>
        </w:rPr>
        <w:t>本期计提坏账准备金额</w:t>
      </w:r>
      <w:r>
        <w:rPr>
          <w:rFonts w:ascii="宋体" w:hAnsi="宋体" w:cs="宋体" w:eastAsia="宋体" w:hint="default"/>
          <w:spacing w:val="-44"/>
          <w:w w:val="95"/>
          <w:sz w:val="21"/>
          <w:szCs w:val="21"/>
        </w:rPr>
        <w:t> </w:t>
      </w:r>
      <w:r>
        <w:rPr>
          <w:rFonts w:ascii="Arial" w:hAnsi="Arial" w:cs="Arial" w:eastAsia="Arial" w:hint="default"/>
          <w:w w:val="95"/>
          <w:sz w:val="18"/>
          <w:szCs w:val="18"/>
        </w:rPr>
        <w:t>529,709.21</w:t>
      </w:r>
      <w:r>
        <w:rPr>
          <w:rFonts w:ascii="Arial" w:hAnsi="Arial" w:cs="Arial" w:eastAsia="Arial" w:hint="default"/>
          <w:spacing w:val="-1"/>
          <w:w w:val="95"/>
          <w:sz w:val="18"/>
          <w:szCs w:val="18"/>
        </w:rPr>
        <w:t> </w:t>
      </w:r>
      <w:r>
        <w:rPr>
          <w:rFonts w:ascii="宋体" w:hAnsi="宋体" w:cs="宋体" w:eastAsia="宋体" w:hint="default"/>
          <w:w w:val="95"/>
          <w:sz w:val="21"/>
          <w:szCs w:val="21"/>
        </w:rPr>
        <w:t>元；本期收回或转回坏账准备金额</w:t>
      </w:r>
      <w:r>
        <w:rPr>
          <w:rFonts w:ascii="宋体" w:hAnsi="宋体" w:cs="宋体" w:eastAsia="宋体" w:hint="default"/>
          <w:spacing w:val="-44"/>
          <w:w w:val="95"/>
          <w:sz w:val="21"/>
          <w:szCs w:val="21"/>
        </w:rPr>
        <w:t> </w:t>
      </w:r>
      <w:r>
        <w:rPr>
          <w:rFonts w:ascii="Arial" w:hAnsi="Arial" w:cs="Arial" w:eastAsia="Arial" w:hint="default"/>
          <w:w w:val="95"/>
          <w:sz w:val="18"/>
          <w:szCs w:val="18"/>
        </w:rPr>
        <w:t>1,629,545.37</w:t>
      </w:r>
      <w:r>
        <w:rPr>
          <w:rFonts w:ascii="Arial" w:hAnsi="Arial" w:cs="Arial" w:eastAsia="Arial" w:hint="default"/>
          <w:spacing w:val="-1"/>
          <w:w w:val="95"/>
          <w:sz w:val="18"/>
          <w:szCs w:val="18"/>
        </w:rPr>
        <w:t> </w:t>
      </w:r>
      <w:r>
        <w:rPr>
          <w:rFonts w:ascii="宋体" w:hAnsi="宋体" w:cs="宋体" w:eastAsia="宋体" w:hint="default"/>
          <w:w w:val="95"/>
          <w:sz w:val="21"/>
          <w:szCs w:val="21"/>
        </w:rPr>
        <w:t>元。</w:t>
      </w:r>
      <w:r>
        <w:rPr>
          <w:rFonts w:ascii="宋体" w:hAnsi="宋体" w:cs="宋体" w:eastAsia="宋体" w:hint="default"/>
          <w:sz w:val="21"/>
          <w:szCs w:val="21"/>
        </w:rPr>
        <w:t> 其中本期坏账准备转回或收回金额重要的：</w:t>
      </w:r>
    </w:p>
    <w:p>
      <w:pPr>
        <w:pStyle w:val="BodyText"/>
        <w:tabs>
          <w:tab w:pos="1049" w:val="left" w:leader="none"/>
        </w:tabs>
        <w:spacing w:line="240" w:lineRule="auto" w:before="16"/>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941"/>
        <w:gridCol w:w="3055"/>
        <w:gridCol w:w="3053"/>
      </w:tblGrid>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86"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天一证券有限责任公司</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1,629,545.37</w:t>
            </w:r>
            <w:r>
              <w:rPr>
                <w:rFonts w:ascii="宋体"/>
                <w:sz w:val="21"/>
              </w:rPr>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收到该其他应收款</w:t>
            </w:r>
          </w:p>
        </w:tc>
      </w:tr>
      <w:tr>
        <w:trPr>
          <w:trHeight w:val="323"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1,629,545.37</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Heading3"/>
        <w:spacing w:line="240" w:lineRule="auto"/>
        <w:ind w:right="114"/>
        <w:jc w:val="left"/>
        <w:rPr>
          <w:b w:val="0"/>
          <w:bCs w:val="0"/>
        </w:rPr>
      </w:pPr>
      <w:r>
        <w:rPr/>
        <w:t>(3).</w:t>
      </w:r>
      <w:r>
        <w:rPr>
          <w:spacing w:val="55"/>
        </w:rPr>
        <w:t> </w:t>
      </w:r>
      <w:r>
        <w:rPr/>
        <w:t>本期实际核销的其他应收款情况</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4430"/>
        <w:gridCol w:w="4465"/>
      </w:tblGrid>
      <w:tr>
        <w:trPr>
          <w:trHeight w:val="328" w:hRule="exact"/>
        </w:trPr>
        <w:tc>
          <w:tcPr>
            <w:tcW w:w="44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2"/>
              <w:jc w:val="center"/>
              <w:rPr>
                <w:rFonts w:ascii="宋体" w:hAnsi="宋体" w:cs="宋体" w:eastAsia="宋体" w:hint="default"/>
                <w:sz w:val="21"/>
                <w:szCs w:val="21"/>
              </w:rPr>
            </w:pPr>
            <w:r>
              <w:rPr>
                <w:rFonts w:ascii="宋体" w:hAnsi="宋体" w:cs="宋体" w:eastAsia="宋体" w:hint="default"/>
                <w:sz w:val="21"/>
                <w:szCs w:val="21"/>
              </w:rPr>
              <w:t>项目</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3"/>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326" w:hRule="exact"/>
        </w:trPr>
        <w:tc>
          <w:tcPr>
            <w:tcW w:w="443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5"/>
              <w:jc w:val="right"/>
              <w:rPr>
                <w:rFonts w:ascii="宋体" w:hAnsi="宋体" w:cs="宋体" w:eastAsia="宋体" w:hint="default"/>
                <w:sz w:val="21"/>
                <w:szCs w:val="21"/>
              </w:rPr>
            </w:pPr>
            <w:r>
              <w:rPr>
                <w:rFonts w:ascii="宋体"/>
                <w:sz w:val="21"/>
              </w:rPr>
              <w:t>20,500.00</w:t>
            </w:r>
          </w:p>
        </w:tc>
      </w:tr>
    </w:tbl>
    <w:p>
      <w:pPr>
        <w:spacing w:line="240" w:lineRule="auto" w:before="1"/>
        <w:rPr>
          <w:rFonts w:ascii="宋体" w:hAnsi="宋体" w:cs="宋体" w:eastAsia="宋体" w:hint="default"/>
          <w:sz w:val="20"/>
          <w:szCs w:val="20"/>
        </w:rPr>
      </w:pPr>
    </w:p>
    <w:p>
      <w:pPr>
        <w:pStyle w:val="BodyText"/>
        <w:spacing w:line="240" w:lineRule="auto" w:before="35"/>
        <w:ind w:right="114"/>
        <w:jc w:val="left"/>
      </w:pPr>
      <w:r>
        <w:rPr/>
        <w:t>其中重要的其他应收款核销情况：</w:t>
      </w:r>
    </w:p>
    <w:p>
      <w:pPr>
        <w:pStyle w:val="BodyText"/>
        <w:tabs>
          <w:tab w:pos="1049" w:val="left" w:leader="none"/>
        </w:tabs>
        <w:spacing w:line="240" w:lineRule="auto" w:before="3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618"/>
        <w:gridCol w:w="1466"/>
        <w:gridCol w:w="1384"/>
        <w:gridCol w:w="1352"/>
        <w:gridCol w:w="1480"/>
        <w:gridCol w:w="1750"/>
      </w:tblGrid>
      <w:tr>
        <w:trPr>
          <w:trHeight w:val="634"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性质</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66"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履行的核销程</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序</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323" w:hRule="exact"/>
        </w:trPr>
        <w:tc>
          <w:tcPr>
            <w:tcW w:w="1618"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18"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8"/>
          <w:szCs w:val="18"/>
        </w:rPr>
      </w:pPr>
    </w:p>
    <w:p>
      <w:pPr>
        <w:pStyle w:val="BodyText"/>
        <w:spacing w:line="240" w:lineRule="auto" w:before="35"/>
        <w:ind w:right="114"/>
        <w:jc w:val="left"/>
      </w:pPr>
      <w:r>
        <w:rPr/>
        <w:t>其他应收款核销说明：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5"/>
          <w:szCs w:val="25"/>
        </w:rPr>
      </w:pPr>
    </w:p>
    <w:p>
      <w:pPr>
        <w:pStyle w:val="Heading3"/>
        <w:spacing w:line="240" w:lineRule="auto"/>
        <w:ind w:right="114"/>
        <w:jc w:val="left"/>
        <w:rPr>
          <w:b w:val="0"/>
          <w:bCs w:val="0"/>
        </w:rPr>
      </w:pPr>
      <w:r>
        <w:rPr/>
        <w:t>(4).</w:t>
      </w:r>
      <w:r>
        <w:rPr>
          <w:spacing w:val="55"/>
        </w:rPr>
        <w:t> </w:t>
      </w:r>
      <w:r>
        <w:rPr/>
        <w:t>其他应收款按款项性质分类情况</w:t>
      </w:r>
      <w:r>
        <w:rPr>
          <w:b w:val="0"/>
          <w:bCs w:val="0"/>
        </w:rPr>
      </w:r>
    </w:p>
    <w:p>
      <w:pPr>
        <w:spacing w:line="240" w:lineRule="auto" w:before="7"/>
        <w:rPr>
          <w:rFonts w:ascii="宋体" w:hAnsi="宋体" w:cs="宋体" w:eastAsia="宋体" w:hint="default"/>
          <w:b/>
          <w:bCs/>
          <w:sz w:val="8"/>
          <w:szCs w:val="8"/>
        </w:rPr>
      </w:pPr>
    </w:p>
    <w:tbl>
      <w:tblPr>
        <w:tblW w:w="0" w:type="auto"/>
        <w:jc w:val="left"/>
        <w:tblInd w:w="104" w:type="dxa"/>
        <w:tblLayout w:type="fixed"/>
        <w:tblCellMar>
          <w:top w:w="0" w:type="dxa"/>
          <w:left w:w="0" w:type="dxa"/>
          <w:bottom w:w="0" w:type="dxa"/>
          <w:right w:w="0" w:type="dxa"/>
        </w:tblCellMar>
        <w:tblLook w:val="01E0"/>
      </w:tblPr>
      <w:tblGrid>
        <w:gridCol w:w="3076"/>
        <w:gridCol w:w="2982"/>
        <w:gridCol w:w="2992"/>
      </w:tblGrid>
      <w:tr>
        <w:trPr>
          <w:trHeight w:val="32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85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2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30,336,329.37</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34,687,938.15</w:t>
            </w:r>
            <w:r>
              <w:rPr>
                <w:rFonts w:ascii="宋体"/>
                <w:sz w:val="21"/>
              </w:rPr>
            </w:r>
          </w:p>
        </w:tc>
      </w:tr>
      <w:tr>
        <w:trPr>
          <w:trHeight w:val="32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2,645,256.82</w:t>
            </w:r>
            <w:r>
              <w:rPr>
                <w:rFonts w:ascii="宋体"/>
                <w:sz w:val="21"/>
              </w:rPr>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3,163,403.99</w:t>
            </w:r>
            <w:r>
              <w:rPr>
                <w:rFonts w:ascii="宋体"/>
                <w:sz w:val="21"/>
              </w:rPr>
            </w:r>
          </w:p>
        </w:tc>
      </w:tr>
      <w:tr>
        <w:trPr>
          <w:trHeight w:val="32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代垫运杂费</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387,677.87</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266,956.79</w:t>
            </w:r>
          </w:p>
        </w:tc>
      </w:tr>
      <w:tr>
        <w:trPr>
          <w:trHeight w:val="32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4,860,544.64</w:t>
            </w:r>
            <w:r>
              <w:rPr>
                <w:rFonts w:ascii="宋体"/>
                <w:sz w:val="21"/>
              </w:rPr>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7,545,982.96</w:t>
            </w:r>
            <w:r>
              <w:rPr>
                <w:rFonts w:ascii="宋体"/>
                <w:sz w:val="21"/>
              </w:rPr>
            </w:r>
          </w:p>
        </w:tc>
      </w:tr>
      <w:tr>
        <w:trPr>
          <w:trHeight w:val="32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503,697.40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37,943.94</w:t>
            </w:r>
          </w:p>
        </w:tc>
      </w:tr>
      <w:tr>
        <w:trPr>
          <w:trHeight w:val="32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38,733,506.10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45,702,225.83</w:t>
            </w:r>
          </w:p>
        </w:tc>
      </w:tr>
    </w:tbl>
    <w:p>
      <w:pPr>
        <w:spacing w:line="240" w:lineRule="auto" w:before="8"/>
        <w:rPr>
          <w:rFonts w:ascii="宋体" w:hAnsi="宋体" w:cs="宋体" w:eastAsia="宋体" w:hint="default"/>
          <w:b/>
          <w:bCs/>
          <w:sz w:val="24"/>
          <w:szCs w:val="24"/>
        </w:rPr>
      </w:pPr>
    </w:p>
    <w:p>
      <w:pPr>
        <w:pStyle w:val="Heading3"/>
        <w:spacing w:line="240" w:lineRule="auto"/>
        <w:ind w:right="114"/>
        <w:jc w:val="left"/>
        <w:rPr>
          <w:b w:val="0"/>
          <w:bCs w:val="0"/>
        </w:rPr>
      </w:pPr>
      <w:r>
        <w:rPr/>
        <w:t>(5).</w:t>
      </w:r>
      <w:r>
        <w:rPr>
          <w:spacing w:val="52"/>
        </w:rPr>
        <w:t> </w:t>
      </w:r>
      <w:r>
        <w:rPr/>
        <w:t>按欠款方归集的期末余额前五名的其他应收款情况：</w:t>
      </w:r>
      <w:r>
        <w:rPr>
          <w:b w:val="0"/>
          <w:bCs w:val="0"/>
        </w:rPr>
      </w:r>
    </w:p>
    <w:p>
      <w:pPr>
        <w:pStyle w:val="BodyText"/>
        <w:tabs>
          <w:tab w:pos="1049" w:val="left" w:leader="none"/>
        </w:tabs>
        <w:spacing w:line="240" w:lineRule="auto" w:before="97"/>
        <w:ind w:left="0" w:right="231"/>
        <w:jc w:val="right"/>
      </w:pPr>
      <w:r>
        <w:rPr/>
        <w:t>单位：元</w:t>
        <w:tab/>
        <w:t>币种：人民币</w:t>
      </w:r>
    </w:p>
    <w:p>
      <w:pPr>
        <w:spacing w:after="0" w:line="240" w:lineRule="auto"/>
        <w:jc w:val="right"/>
        <w:sectPr>
          <w:pgSz w:w="11910" w:h="16840"/>
          <w:pgMar w:header="0" w:footer="1197"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1486"/>
        <w:gridCol w:w="1300"/>
        <w:gridCol w:w="1500"/>
        <w:gridCol w:w="1276"/>
        <w:gridCol w:w="1710"/>
        <w:gridCol w:w="1625"/>
      </w:tblGrid>
      <w:tr>
        <w:trPr>
          <w:trHeight w:val="950" w:hRule="exact"/>
        </w:trPr>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80"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8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3" w:lineRule="auto" w:before="37"/>
              <w:ind w:left="480" w:right="110" w:hanging="368"/>
              <w:jc w:val="left"/>
              <w:rPr>
                <w:rFonts w:ascii="宋体" w:hAnsi="宋体" w:cs="宋体" w:eastAsia="宋体" w:hint="default"/>
                <w:sz w:val="21"/>
                <w:szCs w:val="21"/>
              </w:rPr>
            </w:pPr>
            <w:r>
              <w:rPr>
                <w:rFonts w:ascii="宋体" w:hAnsi="宋体" w:cs="宋体" w:eastAsia="宋体" w:hint="default"/>
                <w:sz w:val="21"/>
                <w:szCs w:val="21"/>
              </w:rPr>
              <w:t>末余额合计数的 比例(%)</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85" w:right="383"/>
              <w:jc w:val="left"/>
              <w:rPr>
                <w:rFonts w:ascii="宋体" w:hAnsi="宋体" w:cs="宋体" w:eastAsia="宋体" w:hint="default"/>
                <w:sz w:val="21"/>
                <w:szCs w:val="21"/>
              </w:rPr>
            </w:pPr>
            <w:r>
              <w:rPr>
                <w:rFonts w:ascii="宋体" w:hAnsi="宋体" w:cs="宋体" w:eastAsia="宋体" w:hint="default"/>
                <w:sz w:val="21"/>
                <w:szCs w:val="21"/>
              </w:rPr>
              <w:t>坏账准备 期末余额</w:t>
            </w:r>
          </w:p>
        </w:tc>
      </w:tr>
      <w:tr>
        <w:trPr>
          <w:trHeight w:val="952" w:hRule="exact"/>
        </w:trPr>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中国（南京）</w:t>
            </w:r>
          </w:p>
          <w:p>
            <w:pPr>
              <w:pStyle w:val="TableParagraph"/>
              <w:spacing w:line="273" w:lineRule="auto" w:before="37"/>
              <w:ind w:left="24" w:right="185"/>
              <w:jc w:val="left"/>
              <w:rPr>
                <w:rFonts w:ascii="宋体" w:hAnsi="宋体" w:cs="宋体" w:eastAsia="宋体" w:hint="default"/>
                <w:sz w:val="21"/>
                <w:szCs w:val="21"/>
              </w:rPr>
            </w:pPr>
            <w:r>
              <w:rPr>
                <w:rFonts w:ascii="宋体" w:hAnsi="宋体" w:cs="宋体" w:eastAsia="宋体" w:hint="default"/>
                <w:sz w:val="21"/>
                <w:szCs w:val="21"/>
              </w:rPr>
              <w:t>软件谷管理委 员会</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5"/>
              <w:jc w:val="right"/>
              <w:rPr>
                <w:rFonts w:ascii="宋体" w:hAnsi="宋体" w:cs="宋体" w:eastAsia="宋体" w:hint="default"/>
                <w:sz w:val="21"/>
                <w:szCs w:val="21"/>
              </w:rPr>
            </w:pPr>
            <w:r>
              <w:rPr>
                <w:rFonts w:ascii="宋体"/>
                <w:spacing w:val="-1"/>
                <w:sz w:val="21"/>
              </w:rPr>
              <w:t>20,000,000.00</w:t>
            </w:r>
            <w:r>
              <w:rPr>
                <w:rFonts w:ascii="宋体"/>
                <w:sz w:val="21"/>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2"/>
              <w:jc w:val="right"/>
              <w:rPr>
                <w:rFonts w:ascii="宋体" w:hAnsi="宋体" w:cs="宋体" w:eastAsia="宋体" w:hint="default"/>
                <w:sz w:val="21"/>
                <w:szCs w:val="21"/>
              </w:rPr>
            </w:pPr>
            <w:r>
              <w:rPr>
                <w:rFonts w:ascii="宋体"/>
                <w:spacing w:val="-1"/>
                <w:w w:val="95"/>
                <w:sz w:val="21"/>
              </w:rPr>
              <w:t>51.63</w:t>
            </w:r>
            <w:r>
              <w:rPr>
                <w:rFonts w:ascii="宋体"/>
                <w:w w:val="95"/>
                <w:sz w:val="21"/>
              </w:rPr>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2"/>
              <w:jc w:val="right"/>
              <w:rPr>
                <w:rFonts w:ascii="宋体" w:hAnsi="宋体" w:cs="宋体" w:eastAsia="宋体" w:hint="default"/>
                <w:sz w:val="21"/>
                <w:szCs w:val="21"/>
              </w:rPr>
            </w:pPr>
            <w:r>
              <w:rPr>
                <w:rFonts w:ascii="宋体"/>
                <w:spacing w:val="-1"/>
                <w:sz w:val="21"/>
              </w:rPr>
              <w:t>4,000,000.00</w:t>
            </w:r>
            <w:r>
              <w:rPr>
                <w:rFonts w:ascii="宋体"/>
                <w:sz w:val="21"/>
              </w:rPr>
            </w:r>
          </w:p>
        </w:tc>
      </w:tr>
      <w:tr>
        <w:trPr>
          <w:trHeight w:val="638" w:hRule="exact"/>
        </w:trPr>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天一证券有限</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委托理财保</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证金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5"/>
              <w:jc w:val="right"/>
              <w:rPr>
                <w:rFonts w:ascii="宋体" w:hAnsi="宋体" w:cs="宋体" w:eastAsia="宋体" w:hint="default"/>
                <w:sz w:val="21"/>
                <w:szCs w:val="21"/>
              </w:rPr>
            </w:pPr>
            <w:r>
              <w:rPr>
                <w:rFonts w:ascii="宋体"/>
                <w:spacing w:val="-1"/>
                <w:sz w:val="21"/>
              </w:rPr>
              <w:t>1,911,914.96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4.94</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1,911,914.96</w:t>
            </w:r>
          </w:p>
        </w:tc>
      </w:tr>
      <w:tr>
        <w:trPr>
          <w:trHeight w:val="640" w:hRule="exact"/>
        </w:trPr>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长江海事局信</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息中心</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质量保证金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5"/>
              <w:jc w:val="right"/>
              <w:rPr>
                <w:rFonts w:ascii="宋体" w:hAnsi="宋体" w:cs="宋体" w:eastAsia="宋体" w:hint="default"/>
                <w:sz w:val="21"/>
                <w:szCs w:val="21"/>
              </w:rPr>
            </w:pPr>
            <w:r>
              <w:rPr>
                <w:rFonts w:ascii="宋体"/>
                <w:spacing w:val="-1"/>
                <w:sz w:val="21"/>
              </w:rPr>
              <w:t>1,092,298.94</w:t>
            </w:r>
            <w:r>
              <w:rPr>
                <w:rFonts w:ascii="宋体"/>
                <w:sz w:val="21"/>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
              <w:jc w:val="right"/>
              <w:rPr>
                <w:rFonts w:ascii="宋体" w:hAnsi="宋体" w:cs="宋体" w:eastAsia="宋体" w:hint="default"/>
                <w:sz w:val="21"/>
                <w:szCs w:val="21"/>
              </w:rPr>
            </w:pPr>
            <w:r>
              <w:rPr>
                <w:rFonts w:ascii="宋体"/>
                <w:sz w:val="21"/>
              </w:rPr>
              <w:t>2.82</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
              <w:jc w:val="right"/>
              <w:rPr>
                <w:rFonts w:ascii="宋体" w:hAnsi="宋体" w:cs="宋体" w:eastAsia="宋体" w:hint="default"/>
                <w:sz w:val="21"/>
                <w:szCs w:val="21"/>
              </w:rPr>
            </w:pPr>
            <w:r>
              <w:rPr>
                <w:rFonts w:ascii="宋体"/>
                <w:sz w:val="21"/>
              </w:rPr>
              <w:t>218,459.79</w:t>
            </w:r>
          </w:p>
        </w:tc>
      </w:tr>
      <w:tr>
        <w:trPr>
          <w:trHeight w:val="950" w:hRule="exact"/>
        </w:trPr>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深圳市建设工</w:t>
            </w:r>
          </w:p>
          <w:p>
            <w:pPr>
              <w:pStyle w:val="TableParagraph"/>
              <w:spacing w:line="273" w:lineRule="auto" w:before="37"/>
              <w:ind w:left="24" w:right="185"/>
              <w:jc w:val="left"/>
              <w:rPr>
                <w:rFonts w:ascii="宋体" w:hAnsi="宋体" w:cs="宋体" w:eastAsia="宋体" w:hint="default"/>
                <w:sz w:val="21"/>
                <w:szCs w:val="21"/>
              </w:rPr>
            </w:pPr>
            <w:r>
              <w:rPr>
                <w:rFonts w:ascii="宋体" w:hAnsi="宋体" w:cs="宋体" w:eastAsia="宋体" w:hint="default"/>
                <w:sz w:val="21"/>
                <w:szCs w:val="21"/>
              </w:rPr>
              <w:t>程交易服务中 心</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4"/>
              <w:jc w:val="right"/>
              <w:rPr>
                <w:rFonts w:ascii="宋体" w:hAnsi="宋体" w:cs="宋体" w:eastAsia="宋体" w:hint="default"/>
                <w:sz w:val="21"/>
                <w:szCs w:val="21"/>
              </w:rPr>
            </w:pPr>
            <w:r>
              <w:rPr>
                <w:rFonts w:ascii="宋体"/>
                <w:sz w:val="21"/>
              </w:rPr>
              <w:t>800,000.00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2.07</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400,000.00</w:t>
            </w:r>
          </w:p>
        </w:tc>
      </w:tr>
      <w:tr>
        <w:trPr>
          <w:trHeight w:val="640" w:hRule="exact"/>
        </w:trPr>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深圳市地铁集</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4"/>
              <w:jc w:val="right"/>
              <w:rPr>
                <w:rFonts w:ascii="宋体" w:hAnsi="宋体" w:cs="宋体" w:eastAsia="宋体" w:hint="default"/>
                <w:sz w:val="21"/>
                <w:szCs w:val="21"/>
              </w:rPr>
            </w:pPr>
            <w:r>
              <w:rPr>
                <w:rFonts w:ascii="宋体"/>
                <w:sz w:val="21"/>
              </w:rPr>
              <w:t>800,000.00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
              <w:jc w:val="right"/>
              <w:rPr>
                <w:rFonts w:ascii="宋体" w:hAnsi="宋体" w:cs="宋体" w:eastAsia="宋体" w:hint="default"/>
                <w:sz w:val="21"/>
                <w:szCs w:val="21"/>
              </w:rPr>
            </w:pPr>
            <w:r>
              <w:rPr>
                <w:rFonts w:ascii="宋体"/>
                <w:color w:val="33339A"/>
                <w:spacing w:val="-1"/>
                <w:sz w:val="21"/>
              </w:rPr>
              <w:t>2.07</w:t>
            </w:r>
            <w:r>
              <w:rPr>
                <w:rFonts w:ascii="宋体"/>
                <w:spacing w:val="-1"/>
                <w:sz w:val="21"/>
              </w:rPr>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2"/>
              <w:jc w:val="right"/>
              <w:rPr>
                <w:rFonts w:ascii="宋体" w:hAnsi="宋体" w:cs="宋体" w:eastAsia="宋体" w:hint="default"/>
                <w:sz w:val="21"/>
                <w:szCs w:val="21"/>
              </w:rPr>
            </w:pPr>
            <w:r>
              <w:rPr>
                <w:rFonts w:ascii="宋体"/>
                <w:spacing w:val="-1"/>
                <w:sz w:val="21"/>
              </w:rPr>
              <w:t>40,000.00</w:t>
            </w:r>
            <w:r>
              <w:rPr>
                <w:rFonts w:ascii="宋体"/>
                <w:sz w:val="21"/>
              </w:rPr>
            </w:r>
          </w:p>
        </w:tc>
      </w:tr>
      <w:tr>
        <w:trPr>
          <w:trHeight w:val="326" w:hRule="exact"/>
        </w:trPr>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02"/>
              <w:jc w:val="center"/>
              <w:rPr>
                <w:rFonts w:ascii="宋体" w:hAnsi="宋体" w:cs="宋体" w:eastAsia="宋体" w:hint="default"/>
                <w:sz w:val="21"/>
                <w:szCs w:val="21"/>
              </w:rPr>
            </w:pPr>
            <w:r>
              <w:rPr>
                <w:rFonts w:ascii="宋体" w:hAnsi="宋体" w:cs="宋体" w:eastAsia="宋体" w:hint="default"/>
                <w:sz w:val="21"/>
                <w:szCs w:val="21"/>
              </w:rPr>
              <w:t>合计</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69"/>
              <w:jc w:val="center"/>
              <w:rPr>
                <w:rFonts w:ascii="宋体" w:hAnsi="宋体" w:cs="宋体" w:eastAsia="宋体" w:hint="default"/>
                <w:sz w:val="21"/>
                <w:szCs w:val="21"/>
              </w:rPr>
            </w:pPr>
            <w:r>
              <w:rPr>
                <w:rFonts w:ascii="宋体"/>
                <w:sz w:val="21"/>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5"/>
              <w:jc w:val="right"/>
              <w:rPr>
                <w:rFonts w:ascii="宋体" w:hAnsi="宋体" w:cs="宋体" w:eastAsia="宋体" w:hint="default"/>
                <w:sz w:val="21"/>
                <w:szCs w:val="21"/>
              </w:rPr>
            </w:pPr>
            <w:r>
              <w:rPr>
                <w:rFonts w:ascii="宋体"/>
                <w:spacing w:val="-1"/>
                <w:sz w:val="21"/>
              </w:rPr>
              <w:t>24,604,213.90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70"/>
              <w:jc w:val="center"/>
              <w:rPr>
                <w:rFonts w:ascii="宋体" w:hAnsi="宋体" w:cs="宋体" w:eastAsia="宋体" w:hint="default"/>
                <w:sz w:val="21"/>
                <w:szCs w:val="21"/>
              </w:rPr>
            </w:pPr>
            <w:r>
              <w:rPr>
                <w:rFonts w:ascii="宋体"/>
                <w:sz w:val="21"/>
              </w:rPr>
              <w:t>/</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63.53</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6,570,374.75</w:t>
            </w:r>
          </w:p>
        </w:tc>
      </w:tr>
    </w:tbl>
    <w:p>
      <w:pPr>
        <w:spacing w:line="240" w:lineRule="auto" w:before="9"/>
        <w:rPr>
          <w:rFonts w:ascii="宋体" w:hAnsi="宋体" w:cs="宋体" w:eastAsia="宋体" w:hint="default"/>
          <w:sz w:val="21"/>
          <w:szCs w:val="21"/>
        </w:rPr>
      </w:pPr>
    </w:p>
    <w:p>
      <w:pPr>
        <w:pStyle w:val="Heading3"/>
        <w:spacing w:line="240" w:lineRule="auto"/>
        <w:ind w:right="114"/>
        <w:jc w:val="left"/>
        <w:rPr>
          <w:b w:val="0"/>
          <w:bCs w:val="0"/>
        </w:rPr>
      </w:pPr>
      <w:r>
        <w:rPr/>
        <w:t>(6).</w:t>
      </w:r>
      <w:r>
        <w:rPr>
          <w:spacing w:val="53"/>
        </w:rPr>
        <w:t> </w:t>
      </w:r>
      <w:r>
        <w:rPr/>
        <w:t>涉及政府补助的应收款项</w:t>
      </w:r>
      <w:r>
        <w:rPr>
          <w:b w:val="0"/>
          <w:bCs w:val="0"/>
        </w:rPr>
      </w:r>
    </w:p>
    <w:p>
      <w:pPr>
        <w:pStyle w:val="BodyText"/>
        <w:tabs>
          <w:tab w:pos="1049" w:val="left" w:leader="none"/>
        </w:tabs>
        <w:spacing w:line="240" w:lineRule="auto" w:before="76"/>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114"/>
        <w:gridCol w:w="1600"/>
        <w:gridCol w:w="1784"/>
        <w:gridCol w:w="1639"/>
        <w:gridCol w:w="1912"/>
      </w:tblGrid>
      <w:tr>
        <w:trPr>
          <w:trHeight w:val="634"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630"/>
              <w:jc w:val="right"/>
              <w:rPr>
                <w:rFonts w:ascii="宋体" w:hAnsi="宋体" w:cs="宋体" w:eastAsia="宋体" w:hint="default"/>
                <w:sz w:val="21"/>
                <w:szCs w:val="21"/>
              </w:rPr>
            </w:pPr>
            <w:r>
              <w:rPr>
                <w:rFonts w:ascii="宋体" w:hAnsi="宋体" w:cs="宋体" w:eastAsia="宋体" w:hint="default"/>
                <w:sz w:val="21"/>
                <w:szCs w:val="21"/>
              </w:rPr>
              <w:t>单位名称</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政府补助项目</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6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期末账龄</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预计收取的时间、</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金额及依据</w:t>
            </w:r>
          </w:p>
        </w:tc>
      </w:tr>
      <w:tr>
        <w:trPr>
          <w:trHeight w:val="322" w:hRule="exact"/>
        </w:trPr>
        <w:tc>
          <w:tcPr>
            <w:tcW w:w="2114"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91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14"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91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685"/>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w:t>
            </w:r>
          </w:p>
        </w:tc>
        <w:tc>
          <w:tcPr>
            <w:tcW w:w="1784"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w:t>
            </w:r>
          </w:p>
        </w:tc>
      </w:tr>
    </w:tbl>
    <w:p>
      <w:pPr>
        <w:pStyle w:val="BodyText"/>
        <w:spacing w:line="240" w:lineRule="exact"/>
        <w:ind w:right="114"/>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a">
                <v:path arrowok="t"/>
              </v:shape>
            </v:group>
          </v:group>
        </w:pict>
      </w:r>
      <w:r>
        <w:rPr>
          <w:rFonts w:ascii="宋体" w:hAnsi="宋体" w:cs="宋体" w:eastAsia="宋体" w:hint="default"/>
          <w:sz w:val="2"/>
          <w:szCs w:val="2"/>
        </w:rPr>
      </w:r>
    </w:p>
    <w:p>
      <w:pPr>
        <w:pStyle w:val="Heading3"/>
        <w:spacing w:line="240" w:lineRule="auto" w:before="56"/>
        <w:ind w:right="114"/>
        <w:jc w:val="left"/>
        <w:rPr>
          <w:b w:val="0"/>
          <w:bCs w:val="0"/>
        </w:rPr>
      </w:pPr>
      <w:r>
        <w:rPr/>
        <w:t>(7).</w:t>
      </w:r>
      <w:r>
        <w:rPr>
          <w:spacing w:val="53"/>
        </w:rPr>
        <w:t> </w:t>
      </w:r>
      <w:r>
        <w:rPr/>
        <w:t>因金融资产转移而终止确认的其他应收款：</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p>
      <w:pPr>
        <w:pStyle w:val="Heading3"/>
        <w:spacing w:line="240" w:lineRule="auto" w:before="0"/>
        <w:ind w:right="114"/>
        <w:jc w:val="left"/>
        <w:rPr>
          <w:b w:val="0"/>
          <w:bCs w:val="0"/>
        </w:rPr>
      </w:pPr>
      <w:r>
        <w:rPr/>
        <w:t>(8).</w:t>
      </w:r>
      <w:r>
        <w:rPr>
          <w:spacing w:val="52"/>
        </w:rPr>
        <w:t> </w:t>
      </w:r>
      <w:r>
        <w:rPr/>
        <w:t>转移其他应收款且继续涉入形成的资产、负债的金额：</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ind w:right="114"/>
        <w:jc w:val="left"/>
      </w:pPr>
      <w:r>
        <w:rPr/>
        <w:t>其他说明：</w:t>
      </w:r>
    </w:p>
    <w:p>
      <w:pPr>
        <w:spacing w:line="240" w:lineRule="auto" w:before="8"/>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0" w:footer="1197" w:top="1120" w:bottom="1380" w:left="1580" w:right="1040"/>
        </w:sectPr>
      </w:pPr>
    </w:p>
    <w:p>
      <w:pPr>
        <w:pStyle w:val="Heading3"/>
        <w:tabs>
          <w:tab w:pos="847" w:val="left" w:leader="none"/>
          <w:tab w:pos="1057" w:val="left" w:leader="none"/>
        </w:tabs>
        <w:spacing w:line="324" w:lineRule="auto"/>
        <w:ind w:right="0"/>
        <w:jc w:val="left"/>
        <w:rPr>
          <w:b w:val="0"/>
          <w:bCs w:val="0"/>
        </w:rPr>
      </w:pPr>
      <w:r>
        <w:rPr>
          <w:w w:val="95"/>
        </w:rPr>
        <w:t>10、</w:t>
        <w:tab/>
        <w:tab/>
      </w:r>
      <w:r>
        <w:rPr/>
        <w:t>存货</w:t>
      </w:r>
      <w:r>
        <w:rPr>
          <w:spacing w:val="1"/>
          <w:w w:val="99"/>
        </w:rPr>
        <w:t> </w:t>
      </w:r>
      <w:r>
        <w:rPr>
          <w:w w:val="95"/>
        </w:rPr>
        <w:t>(1).</w:t>
        <w:tab/>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tabs>
          <w:tab w:pos="1267" w:val="left" w:leader="none"/>
        </w:tabs>
        <w:spacing w:line="240" w:lineRule="auto"/>
        <w:ind w:right="0"/>
        <w:jc w:val="left"/>
      </w:pPr>
      <w:r>
        <w:rPr/>
        <w:t>单位：元</w:t>
        <w:tab/>
        <w:t>币种：人民币</w:t>
      </w:r>
    </w:p>
    <w:p>
      <w:pPr>
        <w:spacing w:after="0" w:line="240" w:lineRule="auto"/>
        <w:jc w:val="left"/>
        <w:sectPr>
          <w:type w:val="continuous"/>
          <w:pgSz w:w="11910" w:h="16840"/>
          <w:pgMar w:top="1080" w:bottom="1380" w:left="1580" w:right="1040"/>
          <w:cols w:num="2" w:equalWidth="0">
            <w:col w:w="1693" w:space="4830"/>
            <w:col w:w="2767"/>
          </w:cols>
        </w:sectPr>
      </w:pPr>
    </w:p>
    <w:p>
      <w:pPr>
        <w:spacing w:line="240" w:lineRule="auto" w:before="13"/>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514"/>
        <w:gridCol w:w="1537"/>
        <w:gridCol w:w="1116"/>
        <w:gridCol w:w="1537"/>
        <w:gridCol w:w="1537"/>
        <w:gridCol w:w="1117"/>
        <w:gridCol w:w="1537"/>
      </w:tblGrid>
      <w:tr>
        <w:trPr>
          <w:trHeight w:val="328" w:hRule="exact"/>
        </w:trPr>
        <w:tc>
          <w:tcPr>
            <w:tcW w:w="514" w:type="dxa"/>
            <w:vMerge w:val="restart"/>
            <w:tcBorders>
              <w:top w:val="single" w:sz="6" w:space="0" w:color="000000"/>
              <w:left w:val="single" w:sz="6" w:space="0" w:color="000000"/>
              <w:right w:val="single" w:sz="6" w:space="0" w:color="000000"/>
            </w:tcBorders>
          </w:tcPr>
          <w:p>
            <w:pPr>
              <w:pStyle w:val="TableParagraph"/>
              <w:spacing w:line="240" w:lineRule="auto" w:before="149"/>
              <w:ind w:left="3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190"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92"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6" w:hRule="exact"/>
        </w:trPr>
        <w:tc>
          <w:tcPr>
            <w:tcW w:w="514" w:type="dxa"/>
            <w:vMerge/>
            <w:tcBorders>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27"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3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27"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3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638"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原材</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料</w:t>
            </w:r>
          </w:p>
        </w:tc>
        <w:tc>
          <w:tcPr>
            <w:tcW w:w="1537"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
        </w:tc>
        <w:tc>
          <w:tcPr>
            <w:tcW w:w="1117"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514"/>
        <w:gridCol w:w="1537"/>
        <w:gridCol w:w="1116"/>
        <w:gridCol w:w="1537"/>
        <w:gridCol w:w="1537"/>
        <w:gridCol w:w="1117"/>
        <w:gridCol w:w="1537"/>
      </w:tblGrid>
      <w:tr>
        <w:trPr>
          <w:trHeight w:val="638"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在产</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品</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7"/>
              <w:jc w:val="right"/>
              <w:rPr>
                <w:rFonts w:ascii="宋体" w:hAnsi="宋体" w:cs="宋体" w:eastAsia="宋体" w:hint="default"/>
                <w:sz w:val="21"/>
                <w:szCs w:val="21"/>
              </w:rPr>
            </w:pPr>
            <w:r>
              <w:rPr>
                <w:rFonts w:ascii="宋体"/>
                <w:spacing w:val="-1"/>
                <w:sz w:val="21"/>
              </w:rPr>
              <w:t>122,177,081.73</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5"/>
              <w:jc w:val="right"/>
              <w:rPr>
                <w:rFonts w:ascii="宋体" w:hAnsi="宋体" w:cs="宋体" w:eastAsia="宋体" w:hint="default"/>
                <w:sz w:val="21"/>
                <w:szCs w:val="21"/>
              </w:rPr>
            </w:pPr>
            <w:r>
              <w:rPr>
                <w:rFonts w:ascii="宋体"/>
                <w:sz w:val="21"/>
              </w:rPr>
              <w:t>--</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6"/>
              <w:jc w:val="right"/>
              <w:rPr>
                <w:rFonts w:ascii="宋体" w:hAnsi="宋体" w:cs="宋体" w:eastAsia="宋体" w:hint="default"/>
                <w:sz w:val="21"/>
                <w:szCs w:val="21"/>
              </w:rPr>
            </w:pPr>
            <w:r>
              <w:rPr>
                <w:rFonts w:ascii="宋体"/>
                <w:spacing w:val="-1"/>
                <w:sz w:val="21"/>
              </w:rPr>
              <w:t>122,177,081.73</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6"/>
              <w:jc w:val="right"/>
              <w:rPr>
                <w:rFonts w:ascii="宋体" w:hAnsi="宋体" w:cs="宋体" w:eastAsia="宋体" w:hint="default"/>
                <w:sz w:val="21"/>
                <w:szCs w:val="21"/>
              </w:rPr>
            </w:pPr>
            <w:r>
              <w:rPr>
                <w:rFonts w:ascii="宋体"/>
                <w:spacing w:val="-1"/>
                <w:sz w:val="21"/>
              </w:rPr>
              <w:t>186,452,462.85</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6"/>
              <w:jc w:val="right"/>
              <w:rPr>
                <w:rFonts w:ascii="宋体" w:hAnsi="宋体" w:cs="宋体" w:eastAsia="宋体" w:hint="default"/>
                <w:sz w:val="21"/>
                <w:szCs w:val="21"/>
              </w:rPr>
            </w:pPr>
            <w:r>
              <w:rPr>
                <w:rFonts w:ascii="宋体"/>
                <w:sz w:val="21"/>
              </w:rPr>
              <w:t>--</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center"/>
              <w:rPr>
                <w:rFonts w:ascii="宋体" w:hAnsi="宋体" w:cs="宋体" w:eastAsia="宋体" w:hint="default"/>
                <w:sz w:val="21"/>
                <w:szCs w:val="21"/>
              </w:rPr>
            </w:pPr>
            <w:r>
              <w:rPr>
                <w:rFonts w:ascii="宋体"/>
                <w:sz w:val="21"/>
              </w:rPr>
              <w:t>186,452,462.85</w:t>
            </w:r>
          </w:p>
        </w:tc>
      </w:tr>
      <w:tr>
        <w:trPr>
          <w:trHeight w:val="640"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库存</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7"/>
              <w:jc w:val="right"/>
              <w:rPr>
                <w:rFonts w:ascii="宋体" w:hAnsi="宋体" w:cs="宋体" w:eastAsia="宋体" w:hint="default"/>
                <w:sz w:val="21"/>
                <w:szCs w:val="21"/>
              </w:rPr>
            </w:pPr>
            <w:r>
              <w:rPr>
                <w:rFonts w:ascii="宋体"/>
                <w:spacing w:val="-1"/>
                <w:sz w:val="21"/>
              </w:rPr>
              <w:t>30,240,968.23</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5"/>
              <w:jc w:val="right"/>
              <w:rPr>
                <w:rFonts w:ascii="宋体" w:hAnsi="宋体" w:cs="宋体" w:eastAsia="宋体" w:hint="default"/>
                <w:sz w:val="21"/>
                <w:szCs w:val="21"/>
              </w:rPr>
            </w:pPr>
            <w:r>
              <w:rPr>
                <w:rFonts w:ascii="宋体"/>
                <w:spacing w:val="-1"/>
                <w:sz w:val="21"/>
              </w:rPr>
              <w:t>637,126.00</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6"/>
              <w:jc w:val="right"/>
              <w:rPr>
                <w:rFonts w:ascii="宋体" w:hAnsi="宋体" w:cs="宋体" w:eastAsia="宋体" w:hint="default"/>
                <w:sz w:val="21"/>
                <w:szCs w:val="21"/>
              </w:rPr>
            </w:pPr>
            <w:r>
              <w:rPr>
                <w:rFonts w:ascii="宋体"/>
                <w:spacing w:val="-1"/>
                <w:sz w:val="21"/>
              </w:rPr>
              <w:t>29,603,842.23</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6"/>
              <w:jc w:val="right"/>
              <w:rPr>
                <w:rFonts w:ascii="宋体" w:hAnsi="宋体" w:cs="宋体" w:eastAsia="宋体" w:hint="default"/>
                <w:sz w:val="21"/>
                <w:szCs w:val="21"/>
              </w:rPr>
            </w:pPr>
            <w:r>
              <w:rPr>
                <w:rFonts w:ascii="宋体"/>
                <w:spacing w:val="-1"/>
                <w:sz w:val="21"/>
              </w:rPr>
              <w:t>73,128,081.37</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7"/>
              <w:jc w:val="right"/>
              <w:rPr>
                <w:rFonts w:ascii="宋体" w:hAnsi="宋体" w:cs="宋体" w:eastAsia="宋体" w:hint="default"/>
                <w:sz w:val="21"/>
                <w:szCs w:val="21"/>
              </w:rPr>
            </w:pPr>
            <w:r>
              <w:rPr>
                <w:rFonts w:ascii="宋体"/>
                <w:spacing w:val="-1"/>
                <w:sz w:val="21"/>
              </w:rPr>
              <w:t>108,498.79</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center"/>
              <w:rPr>
                <w:rFonts w:ascii="宋体" w:hAnsi="宋体" w:cs="宋体" w:eastAsia="宋体" w:hint="default"/>
                <w:sz w:val="21"/>
                <w:szCs w:val="21"/>
              </w:rPr>
            </w:pPr>
            <w:r>
              <w:rPr>
                <w:rFonts w:ascii="宋体"/>
                <w:sz w:val="21"/>
              </w:rPr>
              <w:t>73,019,582.58</w:t>
            </w:r>
          </w:p>
        </w:tc>
      </w:tr>
      <w:tr>
        <w:trPr>
          <w:trHeight w:val="638"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周转</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材料</w:t>
            </w:r>
          </w:p>
        </w:tc>
        <w:tc>
          <w:tcPr>
            <w:tcW w:w="1537"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
        </w:tc>
        <w:tc>
          <w:tcPr>
            <w:tcW w:w="1117"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
        </w:tc>
      </w:tr>
      <w:tr>
        <w:trPr>
          <w:trHeight w:val="1264"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 w:right="0"/>
              <w:jc w:val="both"/>
              <w:rPr>
                <w:rFonts w:ascii="宋体" w:hAnsi="宋体" w:cs="宋体" w:eastAsia="宋体" w:hint="default"/>
                <w:sz w:val="21"/>
                <w:szCs w:val="21"/>
              </w:rPr>
            </w:pPr>
            <w:r>
              <w:rPr>
                <w:rFonts w:ascii="宋体" w:hAnsi="宋体" w:cs="宋体" w:eastAsia="宋体" w:hint="default"/>
                <w:sz w:val="21"/>
                <w:szCs w:val="21"/>
              </w:rPr>
              <w:t>消耗</w:t>
            </w:r>
          </w:p>
          <w:p>
            <w:pPr>
              <w:pStyle w:val="TableParagraph"/>
              <w:spacing w:line="273" w:lineRule="auto" w:before="37"/>
              <w:ind w:left="24" w:right="53"/>
              <w:jc w:val="both"/>
              <w:rPr>
                <w:rFonts w:ascii="宋体" w:hAnsi="宋体" w:cs="宋体" w:eastAsia="宋体" w:hint="default"/>
                <w:sz w:val="21"/>
                <w:szCs w:val="21"/>
              </w:rPr>
            </w:pPr>
            <w:r>
              <w:rPr>
                <w:rFonts w:ascii="宋体" w:hAnsi="宋体" w:cs="宋体" w:eastAsia="宋体" w:hint="default"/>
                <w:sz w:val="21"/>
                <w:szCs w:val="21"/>
              </w:rPr>
              <w:t>性生 物资 产</w:t>
            </w:r>
          </w:p>
        </w:tc>
        <w:tc>
          <w:tcPr>
            <w:tcW w:w="1537"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
        </w:tc>
        <w:tc>
          <w:tcPr>
            <w:tcW w:w="1117"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
        </w:tc>
      </w:tr>
      <w:tr>
        <w:trPr>
          <w:trHeight w:val="2510"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both"/>
              <w:rPr>
                <w:rFonts w:ascii="宋体" w:hAnsi="宋体" w:cs="宋体" w:eastAsia="宋体" w:hint="default"/>
                <w:sz w:val="21"/>
                <w:szCs w:val="21"/>
              </w:rPr>
            </w:pPr>
            <w:r>
              <w:rPr>
                <w:rFonts w:ascii="宋体" w:hAnsi="宋体" w:cs="宋体" w:eastAsia="宋体" w:hint="default"/>
                <w:sz w:val="21"/>
                <w:szCs w:val="21"/>
              </w:rPr>
              <w:t>建造</w:t>
            </w:r>
          </w:p>
          <w:p>
            <w:pPr>
              <w:pStyle w:val="TableParagraph"/>
              <w:spacing w:line="273" w:lineRule="auto" w:before="37"/>
              <w:ind w:left="24" w:right="53"/>
              <w:jc w:val="both"/>
              <w:rPr>
                <w:rFonts w:ascii="宋体" w:hAnsi="宋体" w:cs="宋体" w:eastAsia="宋体" w:hint="default"/>
                <w:sz w:val="21"/>
                <w:szCs w:val="21"/>
              </w:rPr>
            </w:pPr>
            <w:r>
              <w:rPr>
                <w:rFonts w:ascii="宋体" w:hAnsi="宋体" w:cs="宋体" w:eastAsia="宋体" w:hint="default"/>
                <w:sz w:val="21"/>
                <w:szCs w:val="21"/>
              </w:rPr>
              <w:t>合同 形成 的已 完工 未结 算资 产</w:t>
            </w:r>
          </w:p>
        </w:tc>
        <w:tc>
          <w:tcPr>
            <w:tcW w:w="1537"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
        </w:tc>
        <w:tc>
          <w:tcPr>
            <w:tcW w:w="1117"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4"/>
              <w:ind w:left="24" w:right="173"/>
              <w:jc w:val="left"/>
              <w:rPr>
                <w:rFonts w:ascii="宋体" w:hAnsi="宋体" w:cs="宋体" w:eastAsia="宋体" w:hint="default"/>
                <w:sz w:val="15"/>
                <w:szCs w:val="15"/>
              </w:rPr>
            </w:pPr>
            <w:r>
              <w:rPr>
                <w:rFonts w:ascii="宋体" w:hAnsi="宋体" w:cs="宋体" w:eastAsia="宋体" w:hint="default"/>
                <w:sz w:val="15"/>
                <w:szCs w:val="15"/>
              </w:rPr>
              <w:t>发出 商品</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8"/>
              <w:jc w:val="right"/>
              <w:rPr>
                <w:rFonts w:ascii="宋体" w:hAnsi="宋体" w:cs="宋体" w:eastAsia="宋体" w:hint="default"/>
                <w:sz w:val="21"/>
                <w:szCs w:val="21"/>
              </w:rPr>
            </w:pPr>
            <w:r>
              <w:rPr>
                <w:rFonts w:ascii="宋体"/>
                <w:spacing w:val="-1"/>
                <w:sz w:val="21"/>
              </w:rPr>
              <w:t>368,929,466.15</w:t>
            </w:r>
            <w:r>
              <w:rPr>
                <w:rFonts w:ascii="宋体"/>
                <w:sz w:val="21"/>
              </w:rPr>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6"/>
              <w:jc w:val="right"/>
              <w:rPr>
                <w:rFonts w:ascii="宋体" w:hAnsi="宋体" w:cs="宋体" w:eastAsia="宋体" w:hint="default"/>
                <w:sz w:val="21"/>
                <w:szCs w:val="21"/>
              </w:rPr>
            </w:pPr>
            <w:r>
              <w:rPr>
                <w:rFonts w:ascii="宋体"/>
                <w:sz w:val="21"/>
              </w:rPr>
              <w:t>--</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6"/>
              <w:jc w:val="right"/>
              <w:rPr>
                <w:rFonts w:ascii="宋体" w:hAnsi="宋体" w:cs="宋体" w:eastAsia="宋体" w:hint="default"/>
                <w:sz w:val="21"/>
                <w:szCs w:val="21"/>
              </w:rPr>
            </w:pPr>
            <w:r>
              <w:rPr>
                <w:rFonts w:ascii="宋体"/>
                <w:spacing w:val="-1"/>
                <w:sz w:val="21"/>
              </w:rPr>
              <w:t>368,929,466.15</w:t>
            </w:r>
            <w:r>
              <w:rPr>
                <w:rFonts w:ascii="宋体"/>
                <w:sz w:val="21"/>
              </w:rPr>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6"/>
              <w:jc w:val="right"/>
              <w:rPr>
                <w:rFonts w:ascii="宋体" w:hAnsi="宋体" w:cs="宋体" w:eastAsia="宋体" w:hint="default"/>
                <w:sz w:val="21"/>
                <w:szCs w:val="21"/>
              </w:rPr>
            </w:pPr>
            <w:r>
              <w:rPr>
                <w:rFonts w:ascii="宋体"/>
                <w:spacing w:val="-1"/>
                <w:sz w:val="21"/>
              </w:rPr>
              <w:t>201,696,455.77</w:t>
            </w:r>
            <w:r>
              <w:rPr>
                <w:rFonts w:ascii="宋体"/>
                <w:sz w:val="21"/>
              </w:rPr>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7"/>
              <w:jc w:val="right"/>
              <w:rPr>
                <w:rFonts w:ascii="宋体" w:hAnsi="宋体" w:cs="宋体" w:eastAsia="宋体" w:hint="default"/>
                <w:sz w:val="21"/>
                <w:szCs w:val="21"/>
              </w:rPr>
            </w:pPr>
            <w:r>
              <w:rPr>
                <w:rFonts w:ascii="宋体"/>
                <w:sz w:val="21"/>
              </w:rPr>
              <w:t>--</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4"/>
              <w:jc w:val="center"/>
              <w:rPr>
                <w:rFonts w:ascii="宋体" w:hAnsi="宋体" w:cs="宋体" w:eastAsia="宋体" w:hint="default"/>
                <w:sz w:val="21"/>
                <w:szCs w:val="21"/>
              </w:rPr>
            </w:pPr>
            <w:r>
              <w:rPr>
                <w:rFonts w:ascii="宋体"/>
                <w:sz w:val="21"/>
              </w:rPr>
              <w:t>201,696,455.77</w:t>
            </w:r>
          </w:p>
        </w:tc>
      </w:tr>
      <w:tr>
        <w:trPr>
          <w:trHeight w:val="326" w:hRule="exact"/>
        </w:trPr>
        <w:tc>
          <w:tcPr>
            <w:tcW w:w="514"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
        </w:tc>
        <w:tc>
          <w:tcPr>
            <w:tcW w:w="1117"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14"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
        </w:tc>
        <w:tc>
          <w:tcPr>
            <w:tcW w:w="1117"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7"/>
              <w:jc w:val="right"/>
              <w:rPr>
                <w:rFonts w:ascii="宋体" w:hAnsi="宋体" w:cs="宋体" w:eastAsia="宋体" w:hint="default"/>
                <w:sz w:val="21"/>
                <w:szCs w:val="21"/>
              </w:rPr>
            </w:pPr>
            <w:r>
              <w:rPr>
                <w:rFonts w:ascii="宋体"/>
                <w:spacing w:val="-1"/>
                <w:sz w:val="21"/>
              </w:rPr>
              <w:t>521,347,516.11</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5"/>
              <w:jc w:val="right"/>
              <w:rPr>
                <w:rFonts w:ascii="宋体" w:hAnsi="宋体" w:cs="宋体" w:eastAsia="宋体" w:hint="default"/>
                <w:sz w:val="21"/>
                <w:szCs w:val="21"/>
              </w:rPr>
            </w:pPr>
            <w:r>
              <w:rPr>
                <w:rFonts w:ascii="宋体"/>
                <w:spacing w:val="-1"/>
                <w:sz w:val="21"/>
              </w:rPr>
              <w:t>637,126.00</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6"/>
              <w:jc w:val="right"/>
              <w:rPr>
                <w:rFonts w:ascii="宋体" w:hAnsi="宋体" w:cs="宋体" w:eastAsia="宋体" w:hint="default"/>
                <w:sz w:val="21"/>
                <w:szCs w:val="21"/>
              </w:rPr>
            </w:pPr>
            <w:r>
              <w:rPr>
                <w:rFonts w:ascii="宋体"/>
                <w:spacing w:val="-1"/>
                <w:sz w:val="21"/>
              </w:rPr>
              <w:t>520,710,390.11</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6"/>
              <w:jc w:val="right"/>
              <w:rPr>
                <w:rFonts w:ascii="宋体" w:hAnsi="宋体" w:cs="宋体" w:eastAsia="宋体" w:hint="default"/>
                <w:sz w:val="21"/>
                <w:szCs w:val="21"/>
              </w:rPr>
            </w:pPr>
            <w:r>
              <w:rPr>
                <w:rFonts w:ascii="宋体"/>
                <w:spacing w:val="-1"/>
                <w:sz w:val="21"/>
              </w:rPr>
              <w:t>461,276,999.99</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6"/>
              <w:jc w:val="right"/>
              <w:rPr>
                <w:rFonts w:ascii="宋体" w:hAnsi="宋体" w:cs="宋体" w:eastAsia="宋体" w:hint="default"/>
                <w:sz w:val="21"/>
                <w:szCs w:val="21"/>
              </w:rPr>
            </w:pPr>
            <w:r>
              <w:rPr>
                <w:rFonts w:ascii="宋体"/>
                <w:spacing w:val="-1"/>
                <w:sz w:val="21"/>
              </w:rPr>
              <w:t>108,498.79</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center"/>
              <w:rPr>
                <w:rFonts w:ascii="宋体" w:hAnsi="宋体" w:cs="宋体" w:eastAsia="宋体" w:hint="default"/>
                <w:sz w:val="21"/>
                <w:szCs w:val="21"/>
              </w:rPr>
            </w:pPr>
            <w:r>
              <w:rPr>
                <w:rFonts w:ascii="宋体"/>
                <w:sz w:val="21"/>
              </w:rPr>
              <w:t>461,168,501.20</w:t>
            </w:r>
          </w:p>
        </w:tc>
      </w:tr>
    </w:tbl>
    <w:p>
      <w:pPr>
        <w:spacing w:line="240" w:lineRule="auto" w:before="9"/>
        <w:rPr>
          <w:rFonts w:ascii="宋体" w:hAnsi="宋体" w:cs="宋体" w:eastAsia="宋体" w:hint="default"/>
          <w:sz w:val="21"/>
          <w:szCs w:val="21"/>
        </w:rPr>
      </w:pPr>
    </w:p>
    <w:p>
      <w:pPr>
        <w:pStyle w:val="Heading3"/>
        <w:tabs>
          <w:tab w:pos="847" w:val="left" w:leader="none"/>
        </w:tabs>
        <w:spacing w:line="240" w:lineRule="auto"/>
        <w:ind w:right="205"/>
        <w:jc w:val="left"/>
        <w:rPr>
          <w:b w:val="0"/>
          <w:bCs w:val="0"/>
        </w:rPr>
      </w:pPr>
      <w:r>
        <w:rPr>
          <w:w w:val="95"/>
        </w:rPr>
        <w:t>(2).</w:t>
        <w:tab/>
      </w:r>
      <w:r>
        <w:rPr/>
        <w:t>存货跌价准备</w:t>
      </w:r>
      <w:r>
        <w:rPr>
          <w:b w:val="0"/>
          <w:bCs w:val="0"/>
        </w:rPr>
      </w:r>
    </w:p>
    <w:p>
      <w:pPr>
        <w:pStyle w:val="BodyText"/>
        <w:tabs>
          <w:tab w:pos="1049" w:val="left" w:leader="none"/>
        </w:tabs>
        <w:spacing w:line="240" w:lineRule="auto" w:before="97"/>
        <w:ind w:left="0" w:right="21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810"/>
        <w:gridCol w:w="1313"/>
        <w:gridCol w:w="1558"/>
        <w:gridCol w:w="685"/>
        <w:gridCol w:w="1202"/>
        <w:gridCol w:w="1193"/>
        <w:gridCol w:w="1278"/>
      </w:tblGrid>
      <w:tr>
        <w:trPr>
          <w:trHeight w:val="322"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1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84"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61"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27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1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634" w:hRule="exact"/>
        </w:trPr>
        <w:tc>
          <w:tcPr>
            <w:tcW w:w="1810" w:type="dxa"/>
            <w:vMerge/>
            <w:tcBorders>
              <w:left w:val="single" w:sz="4" w:space="0" w:color="000000"/>
              <w:bottom w:val="single" w:sz="4" w:space="0" w:color="000000"/>
              <w:right w:val="single" w:sz="4" w:space="0" w:color="000000"/>
            </w:tcBorders>
          </w:tcPr>
          <w:p>
            <w:pPr/>
          </w:p>
        </w:tc>
        <w:tc>
          <w:tcPr>
            <w:tcW w:w="1313"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2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转回或转</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销</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278" w:type="dxa"/>
            <w:vMerge/>
            <w:tcBorders>
              <w:left w:val="single" w:sz="4" w:space="0" w:color="000000"/>
              <w:bottom w:val="single" w:sz="4" w:space="0" w:color="000000"/>
              <w:right w:val="single" w:sz="4" w:space="0" w:color="000000"/>
            </w:tcBorders>
          </w:tcPr>
          <w:p>
            <w:pPr/>
          </w:p>
        </w:tc>
      </w:tr>
      <w:tr>
        <w:trPr>
          <w:trHeight w:val="32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1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31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6"/>
              <w:jc w:val="right"/>
              <w:rPr>
                <w:rFonts w:ascii="宋体" w:hAnsi="宋体" w:cs="宋体" w:eastAsia="宋体" w:hint="default"/>
                <w:sz w:val="21"/>
                <w:szCs w:val="21"/>
              </w:rPr>
            </w:pPr>
            <w:r>
              <w:rPr>
                <w:rFonts w:ascii="宋体"/>
                <w:sz w:val="21"/>
              </w:rPr>
              <w:t>108,498.79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606,256.36</w:t>
            </w:r>
          </w:p>
        </w:tc>
        <w:tc>
          <w:tcPr>
            <w:tcW w:w="68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0" w:right="0"/>
              <w:jc w:val="center"/>
              <w:rPr>
                <w:rFonts w:ascii="宋体" w:hAnsi="宋体" w:cs="宋体" w:eastAsia="宋体" w:hint="default"/>
                <w:sz w:val="21"/>
                <w:szCs w:val="21"/>
              </w:rPr>
            </w:pPr>
            <w:r>
              <w:rPr>
                <w:rFonts w:ascii="宋体"/>
                <w:sz w:val="21"/>
              </w:rPr>
              <w:t>77,629.15</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5"/>
              <w:jc w:val="right"/>
              <w:rPr>
                <w:rFonts w:ascii="宋体" w:hAnsi="宋体" w:cs="宋体" w:eastAsia="宋体" w:hint="default"/>
                <w:sz w:val="21"/>
                <w:szCs w:val="21"/>
              </w:rPr>
            </w:pPr>
            <w:r>
              <w:rPr>
                <w:rFonts w:ascii="宋体"/>
                <w:spacing w:val="-1"/>
                <w:sz w:val="21"/>
              </w:rPr>
              <w:t>637,126.00</w:t>
            </w:r>
          </w:p>
        </w:tc>
      </w:tr>
      <w:tr>
        <w:trPr>
          <w:trHeight w:val="32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31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31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建造合同形成的</w:t>
            </w:r>
          </w:p>
          <w:p>
            <w:pPr>
              <w:pStyle w:val="TableParagraph"/>
              <w:spacing w:line="273" w:lineRule="auto" w:before="37"/>
              <w:ind w:left="103" w:right="224"/>
              <w:jc w:val="left"/>
              <w:rPr>
                <w:rFonts w:ascii="宋体" w:hAnsi="宋体" w:cs="宋体" w:eastAsia="宋体" w:hint="default"/>
                <w:sz w:val="21"/>
                <w:szCs w:val="21"/>
              </w:rPr>
            </w:pPr>
            <w:r>
              <w:rPr>
                <w:rFonts w:ascii="宋体" w:hAnsi="宋体" w:cs="宋体" w:eastAsia="宋体" w:hint="default"/>
                <w:sz w:val="21"/>
                <w:szCs w:val="21"/>
              </w:rPr>
              <w:t>已完工未结算资 产</w:t>
            </w:r>
          </w:p>
        </w:tc>
        <w:tc>
          <w:tcPr>
            <w:tcW w:w="131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1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5"/>
              <w:jc w:val="right"/>
              <w:rPr>
                <w:rFonts w:ascii="宋体" w:hAnsi="宋体" w:cs="宋体" w:eastAsia="宋体" w:hint="default"/>
                <w:sz w:val="21"/>
                <w:szCs w:val="21"/>
              </w:rPr>
            </w:pPr>
            <w:r>
              <w:rPr>
                <w:rFonts w:ascii="宋体"/>
                <w:spacing w:val="-1"/>
                <w:sz w:val="21"/>
              </w:rPr>
              <w:t>108,498.79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606,256.36</w:t>
            </w:r>
          </w:p>
        </w:tc>
        <w:tc>
          <w:tcPr>
            <w:tcW w:w="68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0" w:right="0"/>
              <w:jc w:val="center"/>
              <w:rPr>
                <w:rFonts w:ascii="宋体" w:hAnsi="宋体" w:cs="宋体" w:eastAsia="宋体" w:hint="default"/>
                <w:sz w:val="21"/>
                <w:szCs w:val="21"/>
              </w:rPr>
            </w:pPr>
            <w:r>
              <w:rPr>
                <w:rFonts w:ascii="宋体"/>
                <w:sz w:val="21"/>
              </w:rPr>
              <w:t>77,629.15</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5"/>
              <w:jc w:val="right"/>
              <w:rPr>
                <w:rFonts w:ascii="宋体" w:hAnsi="宋体" w:cs="宋体" w:eastAsia="宋体" w:hint="default"/>
                <w:sz w:val="21"/>
                <w:szCs w:val="21"/>
              </w:rPr>
            </w:pPr>
            <w:r>
              <w:rPr>
                <w:rFonts w:ascii="宋体"/>
                <w:spacing w:val="-1"/>
                <w:sz w:val="21"/>
              </w:rPr>
              <w:t>637,126.00</w:t>
            </w:r>
          </w:p>
        </w:tc>
      </w:tr>
    </w:tbl>
    <w:p>
      <w:pPr>
        <w:spacing w:line="240" w:lineRule="auto" w:before="8"/>
        <w:rPr>
          <w:rFonts w:ascii="宋体" w:hAnsi="宋体" w:cs="宋体" w:eastAsia="宋体" w:hint="default"/>
          <w:sz w:val="24"/>
          <w:szCs w:val="24"/>
        </w:rPr>
      </w:pPr>
    </w:p>
    <w:p>
      <w:pPr>
        <w:pStyle w:val="Heading3"/>
        <w:tabs>
          <w:tab w:pos="847" w:val="left" w:leader="none"/>
        </w:tabs>
        <w:spacing w:line="240" w:lineRule="auto"/>
        <w:ind w:right="205"/>
        <w:jc w:val="left"/>
        <w:rPr>
          <w:b w:val="0"/>
          <w:bCs w:val="0"/>
        </w:rPr>
      </w:pPr>
      <w:r>
        <w:rPr>
          <w:w w:val="95"/>
        </w:rPr>
        <w:t>(3).</w:t>
        <w:tab/>
      </w:r>
      <w:r>
        <w:rPr/>
        <w:t>存货期末余额含有借款费用资本化金额的说明：</w:t>
      </w:r>
      <w:r>
        <w:rPr>
          <w:b w:val="0"/>
          <w:bCs w:val="0"/>
        </w:rPr>
      </w:r>
    </w:p>
    <w:p>
      <w:pPr>
        <w:spacing w:after="0" w:line="240" w:lineRule="auto"/>
        <w:jc w:val="left"/>
        <w:sectPr>
          <w:pgSz w:w="11910" w:h="16840"/>
          <w:pgMar w:header="0" w:footer="1197" w:top="1120" w:bottom="1380" w:left="1580" w:right="10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Heading3"/>
        <w:tabs>
          <w:tab w:pos="847" w:val="left" w:leader="none"/>
        </w:tabs>
        <w:spacing w:line="240" w:lineRule="auto"/>
        <w:ind w:right="114"/>
        <w:jc w:val="left"/>
        <w:rPr>
          <w:b w:val="0"/>
          <w:bCs w:val="0"/>
        </w:rPr>
      </w:pPr>
      <w:r>
        <w:rPr>
          <w:w w:val="95"/>
        </w:rPr>
        <w:t>(4).</w:t>
        <w:tab/>
      </w:r>
      <w:r>
        <w:rPr/>
        <w:t>期末建造合同形成的已完工未结算资产情况：</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4295"/>
        <w:gridCol w:w="4601"/>
      </w:tblGrid>
      <w:tr>
        <w:trPr>
          <w:trHeight w:val="326"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0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累计已发生成本</w:t>
            </w:r>
          </w:p>
        </w:tc>
        <w:tc>
          <w:tcPr>
            <w:tcW w:w="460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累计已确认毛利</w:t>
            </w:r>
          </w:p>
        </w:tc>
        <w:tc>
          <w:tcPr>
            <w:tcW w:w="4601"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减：预计损失</w:t>
            </w:r>
          </w:p>
        </w:tc>
        <w:tc>
          <w:tcPr>
            <w:tcW w:w="4601"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44" w:right="0"/>
              <w:jc w:val="left"/>
              <w:rPr>
                <w:rFonts w:ascii="宋体" w:hAnsi="宋体" w:cs="宋体" w:eastAsia="宋体" w:hint="default"/>
                <w:sz w:val="21"/>
                <w:szCs w:val="21"/>
              </w:rPr>
            </w:pPr>
            <w:r>
              <w:rPr>
                <w:rFonts w:ascii="宋体" w:hAnsi="宋体" w:cs="宋体" w:eastAsia="宋体" w:hint="default"/>
                <w:sz w:val="21"/>
                <w:szCs w:val="21"/>
              </w:rPr>
              <w:t>已办理结算的金额</w:t>
            </w:r>
          </w:p>
        </w:tc>
        <w:tc>
          <w:tcPr>
            <w:tcW w:w="4601"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建造合同形成的已完工未结算资产</w:t>
            </w:r>
          </w:p>
        </w:tc>
        <w:tc>
          <w:tcPr>
            <w:tcW w:w="460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61" w:lineRule="exact"/>
        <w:ind w:right="114"/>
        <w:jc w:val="left"/>
      </w:pPr>
      <w:r>
        <w:rPr/>
        <w:t>其他说明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3"/>
        <w:spacing w:line="240" w:lineRule="auto" w:before="0"/>
        <w:ind w:right="114"/>
        <w:jc w:val="left"/>
        <w:rPr>
          <w:b w:val="0"/>
          <w:bCs w:val="0"/>
        </w:rPr>
      </w:pPr>
      <w:r>
        <w:rPr/>
        <w:t>11、</w:t>
      </w:r>
      <w:r>
        <w:rPr>
          <w:spacing w:val="-29"/>
        </w:rPr>
        <w:t> </w:t>
      </w:r>
      <w:r>
        <w:rPr/>
        <w:t>划分为持有待售的资产</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260"/>
        <w:gridCol w:w="1699"/>
        <w:gridCol w:w="1661"/>
        <w:gridCol w:w="1673"/>
        <w:gridCol w:w="1757"/>
      </w:tblGrid>
      <w:tr>
        <w:trPr>
          <w:trHeight w:val="322"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13"/>
              <w:jc w:val="right"/>
              <w:rPr>
                <w:rFonts w:ascii="宋体" w:hAnsi="宋体" w:cs="宋体" w:eastAsia="宋体" w:hint="default"/>
                <w:sz w:val="21"/>
                <w:szCs w:val="21"/>
              </w:rPr>
            </w:pPr>
            <w:r>
              <w:rPr>
                <w:rFonts w:ascii="宋体" w:hAnsi="宋体" w:cs="宋体" w:eastAsia="宋体" w:hint="default"/>
                <w:sz w:val="21"/>
                <w:szCs w:val="21"/>
              </w:rPr>
              <w:t>项目</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4"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05"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0" w:right="0"/>
              <w:jc w:val="left"/>
              <w:rPr>
                <w:rFonts w:ascii="宋体" w:hAnsi="宋体" w:cs="宋体" w:eastAsia="宋体" w:hint="default"/>
                <w:sz w:val="21"/>
                <w:szCs w:val="21"/>
              </w:rPr>
            </w:pPr>
            <w:r>
              <w:rPr>
                <w:rFonts w:ascii="宋体" w:hAnsi="宋体" w:cs="宋体" w:eastAsia="宋体" w:hint="default"/>
                <w:sz w:val="21"/>
                <w:szCs w:val="21"/>
              </w:rPr>
              <w:t>预计处置费用</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预计处置时间</w:t>
            </w:r>
          </w:p>
        </w:tc>
      </w:tr>
      <w:tr>
        <w:trPr>
          <w:trHeight w:val="322" w:hRule="exact"/>
        </w:trPr>
        <w:tc>
          <w:tcPr>
            <w:tcW w:w="22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966"/>
              <w:jc w:val="right"/>
              <w:rPr>
                <w:rFonts w:ascii="宋体" w:hAnsi="宋体" w:cs="宋体" w:eastAsia="宋体" w:hint="default"/>
                <w:sz w:val="21"/>
                <w:szCs w:val="21"/>
              </w:rPr>
            </w:pPr>
            <w:r>
              <w:rPr>
                <w:rFonts w:ascii="宋体" w:hAnsi="宋体" w:cs="宋体" w:eastAsia="宋体" w:hint="default"/>
                <w:sz w:val="21"/>
                <w:szCs w:val="21"/>
              </w:rPr>
              <w:t>合计</w:t>
            </w:r>
          </w:p>
        </w:tc>
        <w:tc>
          <w:tcPr>
            <w:tcW w:w="1699"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pStyle w:val="BodyText"/>
        <w:spacing w:line="260" w:lineRule="exact"/>
        <w:ind w:right="114"/>
        <w:jc w:val="left"/>
      </w:pPr>
      <w:r>
        <w:rPr/>
        <w:t>其他说明：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3"/>
        <w:spacing w:line="240" w:lineRule="auto" w:before="0"/>
        <w:ind w:right="114"/>
        <w:jc w:val="left"/>
        <w:rPr>
          <w:b w:val="0"/>
          <w:bCs w:val="0"/>
        </w:rPr>
      </w:pPr>
      <w:r>
        <w:rPr/>
        <w:t>12、</w:t>
      </w:r>
      <w:r>
        <w:rPr>
          <w:spacing w:val="-30"/>
        </w:rPr>
        <w:t> </w:t>
      </w:r>
      <w:r>
        <w:rPr/>
        <w:t>一年内到期的非流动资产</w:t>
      </w:r>
      <w:r>
        <w:rPr>
          <w:b w:val="0"/>
          <w:bCs w:val="0"/>
        </w:rPr>
      </w:r>
    </w:p>
    <w:p>
      <w:pPr>
        <w:pStyle w:val="BodyText"/>
        <w:tabs>
          <w:tab w:pos="1049" w:val="left" w:leader="none"/>
        </w:tabs>
        <w:spacing w:line="240" w:lineRule="auto" w:before="97"/>
        <w:ind w:left="0" w:right="44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3287"/>
        <w:gridCol w:w="2897"/>
        <w:gridCol w:w="2866"/>
      </w:tblGrid>
      <w:tr>
        <w:trPr>
          <w:trHeight w:val="32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427"/>
              <w:jc w:val="right"/>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6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1"/>
              <w:jc w:val="right"/>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0" w:lineRule="exact"/>
        <w:ind w:right="114"/>
        <w:jc w:val="left"/>
      </w:pPr>
      <w:r>
        <w:rPr/>
        <w:t>其他说明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3"/>
        <w:spacing w:line="240" w:lineRule="auto" w:before="0"/>
        <w:ind w:right="114"/>
        <w:jc w:val="left"/>
        <w:rPr>
          <w:b w:val="0"/>
          <w:bCs w:val="0"/>
        </w:rPr>
      </w:pPr>
      <w:r>
        <w:rPr/>
        <w:t>13、</w:t>
      </w:r>
      <w:r>
        <w:rPr>
          <w:spacing w:val="-29"/>
        </w:rPr>
        <w:t> </w:t>
      </w:r>
      <w:r>
        <w:rPr/>
        <w:t>其他流动资产</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3287"/>
        <w:gridCol w:w="2917"/>
        <w:gridCol w:w="2845"/>
      </w:tblGrid>
      <w:tr>
        <w:trPr>
          <w:trHeight w:val="32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427"/>
              <w:jc w:val="right"/>
              <w:rPr>
                <w:rFonts w:ascii="宋体" w:hAnsi="宋体" w:cs="宋体" w:eastAsia="宋体" w:hint="default"/>
                <w:sz w:val="21"/>
                <w:szCs w:val="21"/>
              </w:rPr>
            </w:pPr>
            <w:r>
              <w:rPr>
                <w:rFonts w:ascii="宋体" w:hAnsi="宋体" w:cs="宋体" w:eastAsia="宋体" w:hint="default"/>
                <w:sz w:val="21"/>
                <w:szCs w:val="21"/>
              </w:rPr>
              <w:t>项目</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待抵扣增值税</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31,520,877.70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33,006,477.96</w:t>
            </w:r>
            <w:r>
              <w:rPr>
                <w:rFonts w:ascii="宋体"/>
                <w:sz w:val="21"/>
              </w:rPr>
            </w: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短期金融理财产品</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10,000,000.00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28,000,000.00</w:t>
            </w:r>
            <w:r>
              <w:rPr>
                <w:rFonts w:ascii="宋体"/>
                <w:sz w:val="21"/>
              </w:rPr>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81"/>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41,520,877.70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61,006,477.96</w:t>
            </w:r>
          </w:p>
        </w:tc>
      </w:tr>
    </w:tbl>
    <w:p>
      <w:pPr>
        <w:pStyle w:val="BodyText"/>
        <w:spacing w:line="260" w:lineRule="exact"/>
        <w:ind w:right="114"/>
        <w:jc w:val="left"/>
      </w:pPr>
      <w:r>
        <w:rPr/>
        <w:t>其他说明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09"/>
          <w:pgSz w:w="11910" w:h="16840"/>
          <w:pgMar w:footer="1197" w:header="0" w:top="1120" w:bottom="1380" w:left="1580" w:right="1040"/>
          <w:pgNumType w:start="110"/>
        </w:sectPr>
      </w:pPr>
    </w:p>
    <w:p>
      <w:pPr>
        <w:spacing w:line="240" w:lineRule="auto" w:before="1"/>
        <w:rPr>
          <w:rFonts w:ascii="宋体" w:hAnsi="宋体" w:cs="宋体" w:eastAsia="宋体" w:hint="default"/>
          <w:sz w:val="15"/>
          <w:szCs w:val="15"/>
        </w:rPr>
      </w:pPr>
    </w:p>
    <w:p>
      <w:pPr>
        <w:pStyle w:val="Heading3"/>
        <w:spacing w:line="240" w:lineRule="auto" w:before="0"/>
        <w:ind w:right="0"/>
        <w:jc w:val="left"/>
        <w:rPr>
          <w:b w:val="0"/>
          <w:bCs w:val="0"/>
        </w:rPr>
      </w:pPr>
      <w:r>
        <w:rPr/>
        <w:t>14、</w:t>
      </w:r>
      <w:r>
        <w:rPr>
          <w:spacing w:val="-28"/>
        </w:rPr>
        <w:t> </w:t>
      </w:r>
      <w:r>
        <w:rPr/>
        <w:t>可供出售金融资产</w:t>
      </w:r>
      <w:r>
        <w:rPr>
          <w:b w:val="0"/>
          <w:bCs w:val="0"/>
        </w:rPr>
      </w:r>
    </w:p>
    <w:p>
      <w:pPr>
        <w:pStyle w:val="Heading3"/>
        <w:tabs>
          <w:tab w:pos="861" w:val="left" w:leader="none"/>
        </w:tabs>
        <w:spacing w:line="240" w:lineRule="auto" w:before="97"/>
        <w:ind w:right="0"/>
        <w:jc w:val="left"/>
        <w:rPr>
          <w:b w:val="0"/>
          <w:bCs w:val="0"/>
        </w:rPr>
      </w:pPr>
      <w:r>
        <w:rPr>
          <w:w w:val="95"/>
        </w:rPr>
        <w:t>(1).</w:t>
        <w:tab/>
        <w:t>可供出售金融资产情况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56"/>
        <w:ind w:right="0"/>
        <w:jc w:val="left"/>
      </w:pPr>
      <w:r>
        <w:rPr/>
        <w:t>单位：元</w:t>
        <w:tab/>
        <w:t>币种：人民币</w:t>
      </w:r>
    </w:p>
    <w:p>
      <w:pPr>
        <w:spacing w:after="0" w:line="240" w:lineRule="auto"/>
        <w:jc w:val="left"/>
        <w:sectPr>
          <w:type w:val="continuous"/>
          <w:pgSz w:w="11910" w:h="16840"/>
          <w:pgMar w:top="1080" w:bottom="1380" w:left="1580" w:right="1040"/>
          <w:cols w:num="2" w:equalWidth="0">
            <w:col w:w="2970" w:space="3554"/>
            <w:col w:w="2766"/>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1468"/>
        <w:gridCol w:w="1427"/>
        <w:gridCol w:w="1322"/>
        <w:gridCol w:w="1427"/>
        <w:gridCol w:w="1427"/>
        <w:gridCol w:w="398"/>
        <w:gridCol w:w="1427"/>
      </w:tblGrid>
      <w:tr>
        <w:trPr>
          <w:trHeight w:val="326" w:hRule="exact"/>
        </w:trPr>
        <w:tc>
          <w:tcPr>
            <w:tcW w:w="146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176" w:type="dxa"/>
            <w:gridSpan w:val="3"/>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52" w:type="dxa"/>
            <w:gridSpan w:val="3"/>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264" w:hRule="exact"/>
        </w:trPr>
        <w:tc>
          <w:tcPr>
            <w:tcW w:w="1468" w:type="dxa"/>
            <w:vMerge/>
            <w:tcBorders>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5"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3" w:lineRule="auto" w:before="37"/>
              <w:ind w:left="85" w:right="86"/>
              <w:jc w:val="both"/>
              <w:rPr>
                <w:rFonts w:ascii="宋体" w:hAnsi="宋体" w:cs="宋体" w:eastAsia="宋体" w:hint="default"/>
                <w:sz w:val="21"/>
                <w:szCs w:val="21"/>
              </w:rPr>
            </w:pPr>
            <w:r>
              <w:rPr>
                <w:rFonts w:ascii="宋体" w:hAnsi="宋体" w:cs="宋体" w:eastAsia="宋体" w:hint="default"/>
                <w:sz w:val="21"/>
                <w:szCs w:val="21"/>
              </w:rPr>
              <w:t>值 准 备</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638" w:hRule="exact"/>
        </w:trPr>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工具：</w:t>
            </w:r>
          </w:p>
        </w:tc>
        <w:tc>
          <w:tcPr>
            <w:tcW w:w="1427"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工具：</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40,400,000.00</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4,800,000.00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35,600,000.00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10,400,000.00</w:t>
            </w:r>
          </w:p>
        </w:tc>
        <w:tc>
          <w:tcPr>
            <w:tcW w:w="39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10,400,000.00</w:t>
            </w:r>
          </w:p>
        </w:tc>
      </w:tr>
      <w:tr>
        <w:trPr>
          <w:trHeight w:val="638" w:hRule="exact"/>
        </w:trPr>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39" w:right="0"/>
              <w:jc w:val="left"/>
              <w:rPr>
                <w:rFonts w:ascii="宋体" w:hAnsi="宋体" w:cs="宋体" w:eastAsia="宋体" w:hint="default"/>
                <w:sz w:val="21"/>
                <w:szCs w:val="21"/>
              </w:rPr>
            </w:pPr>
            <w:r>
              <w:rPr>
                <w:rFonts w:ascii="宋体" w:hAnsi="宋体" w:cs="宋体" w:eastAsia="宋体" w:hint="default"/>
                <w:sz w:val="21"/>
                <w:szCs w:val="21"/>
              </w:rPr>
              <w:t>按公允价值</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计量的</w:t>
            </w:r>
          </w:p>
        </w:tc>
        <w:tc>
          <w:tcPr>
            <w:tcW w:w="1427"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39" w:right="0"/>
              <w:jc w:val="left"/>
              <w:rPr>
                <w:rFonts w:ascii="宋体" w:hAnsi="宋体" w:cs="宋体" w:eastAsia="宋体" w:hint="default"/>
                <w:sz w:val="21"/>
                <w:szCs w:val="21"/>
              </w:rPr>
            </w:pPr>
            <w:r>
              <w:rPr>
                <w:rFonts w:ascii="宋体" w:hAnsi="宋体" w:cs="宋体" w:eastAsia="宋体" w:hint="default"/>
                <w:sz w:val="21"/>
                <w:szCs w:val="21"/>
              </w:rPr>
              <w:t>按成本计量</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的</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40,400,000.00</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4,800,000.00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35,600,000.00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10,400,000.00</w:t>
            </w:r>
          </w:p>
        </w:tc>
        <w:tc>
          <w:tcPr>
            <w:tcW w:w="39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10,400,000.00</w:t>
            </w:r>
          </w:p>
        </w:tc>
      </w:tr>
      <w:tr>
        <w:trPr>
          <w:trHeight w:val="326" w:hRule="exact"/>
        </w:trPr>
        <w:tc>
          <w:tcPr>
            <w:tcW w:w="146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46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40,400,000.00</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4,800,000.00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35,600,000.00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10,400,000.00</w:t>
            </w:r>
          </w:p>
        </w:tc>
        <w:tc>
          <w:tcPr>
            <w:tcW w:w="39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10,400,000.00</w:t>
            </w:r>
          </w:p>
        </w:tc>
      </w:tr>
    </w:tbl>
    <w:p>
      <w:pPr>
        <w:spacing w:line="240" w:lineRule="auto" w:before="9"/>
        <w:rPr>
          <w:rFonts w:ascii="宋体" w:hAnsi="宋体" w:cs="宋体" w:eastAsia="宋体" w:hint="default"/>
          <w:sz w:val="24"/>
          <w:szCs w:val="24"/>
        </w:rPr>
      </w:pPr>
    </w:p>
    <w:p>
      <w:pPr>
        <w:pStyle w:val="Heading3"/>
        <w:tabs>
          <w:tab w:pos="861" w:val="left" w:leader="none"/>
        </w:tabs>
        <w:spacing w:line="240" w:lineRule="auto"/>
        <w:ind w:right="114"/>
        <w:jc w:val="left"/>
        <w:rPr>
          <w:b w:val="0"/>
          <w:bCs w:val="0"/>
        </w:rPr>
      </w:pPr>
      <w:r>
        <w:rPr>
          <w:w w:val="95"/>
        </w:rPr>
        <w:t>(2).</w:t>
        <w:tab/>
      </w:r>
      <w:r>
        <w:rPr/>
        <w:t>期末按公允价值计量的可供出售金融资产</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718"/>
        <w:gridCol w:w="1631"/>
        <w:gridCol w:w="1580"/>
        <w:gridCol w:w="1560"/>
        <w:gridCol w:w="1560"/>
      </w:tblGrid>
      <w:tr>
        <w:trPr>
          <w:trHeight w:val="634" w:hRule="exact"/>
        </w:trPr>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03"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工具</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工具</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634" w:hRule="exact"/>
        </w:trPr>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权益工具的成本/债务工具</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的摊余成本</w:t>
            </w:r>
          </w:p>
        </w:tc>
        <w:tc>
          <w:tcPr>
            <w:tcW w:w="163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63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累计计入其他综合收益的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公允价值变动金额</w:t>
            </w:r>
          </w:p>
        </w:tc>
        <w:tc>
          <w:tcPr>
            <w:tcW w:w="163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163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24"/>
          <w:szCs w:val="24"/>
        </w:rPr>
      </w:pPr>
    </w:p>
    <w:p>
      <w:pPr>
        <w:pStyle w:val="Heading3"/>
        <w:tabs>
          <w:tab w:pos="861" w:val="left" w:leader="none"/>
        </w:tabs>
        <w:spacing w:line="240" w:lineRule="auto"/>
        <w:ind w:right="114"/>
        <w:jc w:val="left"/>
        <w:rPr>
          <w:b w:val="0"/>
          <w:bCs w:val="0"/>
        </w:rPr>
      </w:pPr>
      <w:r>
        <w:rPr>
          <w:w w:val="95"/>
        </w:rPr>
        <w:t>(3).</w:t>
        <w:tab/>
      </w:r>
      <w:r>
        <w:rPr/>
        <w:t>期末按成本计量的可供出售金融资产</w:t>
      </w:r>
      <w:r>
        <w:rPr>
          <w:b w:val="0"/>
          <w:bCs w:val="0"/>
        </w:rPr>
      </w:r>
    </w:p>
    <w:p>
      <w:pPr>
        <w:spacing w:line="240" w:lineRule="auto" w:before="7"/>
        <w:rPr>
          <w:rFonts w:ascii="宋体" w:hAnsi="宋体" w:cs="宋体" w:eastAsia="宋体" w:hint="default"/>
          <w:b/>
          <w:bCs/>
          <w:sz w:val="8"/>
          <w:szCs w:val="8"/>
        </w:rPr>
      </w:pPr>
    </w:p>
    <w:tbl>
      <w:tblPr>
        <w:tblW w:w="0" w:type="auto"/>
        <w:jc w:val="left"/>
        <w:tblInd w:w="104" w:type="dxa"/>
        <w:tblLayout w:type="fixed"/>
        <w:tblCellMar>
          <w:top w:w="0" w:type="dxa"/>
          <w:left w:w="0" w:type="dxa"/>
          <w:bottom w:w="0" w:type="dxa"/>
          <w:right w:w="0" w:type="dxa"/>
        </w:tblCellMar>
        <w:tblLook w:val="01E0"/>
      </w:tblPr>
      <w:tblGrid>
        <w:gridCol w:w="545"/>
        <w:gridCol w:w="1286"/>
        <w:gridCol w:w="1286"/>
        <w:gridCol w:w="382"/>
        <w:gridCol w:w="1286"/>
        <w:gridCol w:w="382"/>
        <w:gridCol w:w="1205"/>
        <w:gridCol w:w="382"/>
        <w:gridCol w:w="1205"/>
        <w:gridCol w:w="709"/>
        <w:gridCol w:w="382"/>
      </w:tblGrid>
      <w:tr>
        <w:trPr>
          <w:trHeight w:val="718" w:hRule="exact"/>
        </w:trPr>
        <w:tc>
          <w:tcPr>
            <w:tcW w:w="54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73" w:lineRule="auto"/>
              <w:ind w:left="161" w:right="161"/>
              <w:jc w:val="both"/>
              <w:rPr>
                <w:rFonts w:ascii="宋体" w:hAnsi="宋体" w:cs="宋体" w:eastAsia="宋体" w:hint="default"/>
                <w:sz w:val="21"/>
                <w:szCs w:val="21"/>
              </w:rPr>
            </w:pPr>
            <w:r>
              <w:rPr>
                <w:rFonts w:ascii="宋体" w:hAnsi="宋体" w:cs="宋体" w:eastAsia="宋体" w:hint="default"/>
                <w:sz w:val="21"/>
                <w:szCs w:val="21"/>
              </w:rPr>
              <w:t>被 投 资 单 位</w:t>
            </w:r>
          </w:p>
        </w:tc>
        <w:tc>
          <w:tcPr>
            <w:tcW w:w="424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1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08"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709" w:type="dxa"/>
            <w:vMerge w:val="restart"/>
            <w:tcBorders>
              <w:top w:val="single" w:sz="4" w:space="0" w:color="000000"/>
              <w:left w:val="single" w:sz="4" w:space="0" w:color="000000"/>
              <w:right w:val="single" w:sz="4" w:space="0" w:color="000000"/>
            </w:tcBorders>
          </w:tcPr>
          <w:p>
            <w:pPr>
              <w:pStyle w:val="TableParagraph"/>
              <w:spacing w:line="273" w:lineRule="auto" w:before="32"/>
              <w:ind w:left="139" w:right="138"/>
              <w:jc w:val="both"/>
              <w:rPr>
                <w:rFonts w:ascii="宋体" w:hAnsi="宋体" w:cs="宋体" w:eastAsia="宋体" w:hint="default"/>
                <w:sz w:val="21"/>
                <w:szCs w:val="21"/>
              </w:rPr>
            </w:pPr>
            <w:r>
              <w:rPr>
                <w:rFonts w:ascii="宋体" w:hAnsi="宋体" w:cs="宋体" w:eastAsia="宋体" w:hint="default"/>
                <w:sz w:val="21"/>
                <w:szCs w:val="21"/>
              </w:rPr>
              <w:t>在被 投资 单位 持股 比例 (%)</w:t>
            </w:r>
          </w:p>
        </w:tc>
        <w:tc>
          <w:tcPr>
            <w:tcW w:w="382" w:type="dxa"/>
            <w:vMerge w:val="restart"/>
            <w:tcBorders>
              <w:top w:val="single" w:sz="4" w:space="0" w:color="000000"/>
              <w:left w:val="single" w:sz="4" w:space="0" w:color="000000"/>
              <w:right w:val="single" w:sz="4" w:space="0" w:color="000000"/>
            </w:tcBorders>
          </w:tcPr>
          <w:p>
            <w:pPr>
              <w:pStyle w:val="TableParagraph"/>
              <w:spacing w:line="273" w:lineRule="auto" w:before="32"/>
              <w:ind w:left="103" w:right="56"/>
              <w:jc w:val="both"/>
              <w:rPr>
                <w:rFonts w:ascii="宋体" w:hAnsi="宋体" w:cs="宋体" w:eastAsia="宋体" w:hint="default"/>
                <w:sz w:val="21"/>
                <w:szCs w:val="21"/>
              </w:rPr>
            </w:pPr>
            <w:r>
              <w:rPr>
                <w:rFonts w:ascii="宋体" w:hAnsi="宋体" w:cs="宋体" w:eastAsia="宋体" w:hint="default"/>
                <w:sz w:val="21"/>
                <w:szCs w:val="21"/>
              </w:rPr>
              <w:t>本 期 现 金 红 利</w:t>
            </w:r>
          </w:p>
        </w:tc>
      </w:tr>
      <w:tr>
        <w:trPr>
          <w:trHeight w:val="1258" w:hRule="exact"/>
        </w:trPr>
        <w:tc>
          <w:tcPr>
            <w:tcW w:w="545" w:type="dxa"/>
            <w:vMerge/>
            <w:tcBorders>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73" w:lineRule="auto"/>
              <w:ind w:left="427" w:right="427"/>
              <w:jc w:val="center"/>
              <w:rPr>
                <w:rFonts w:ascii="宋体" w:hAnsi="宋体" w:cs="宋体" w:eastAsia="宋体" w:hint="default"/>
                <w:sz w:val="21"/>
                <w:szCs w:val="21"/>
              </w:rPr>
            </w:pPr>
            <w:r>
              <w:rPr>
                <w:rFonts w:ascii="宋体" w:hAnsi="宋体" w:cs="宋体" w:eastAsia="宋体" w:hint="default"/>
                <w:sz w:val="21"/>
                <w:szCs w:val="21"/>
              </w:rPr>
              <w:t>本期 增加</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z w:val="21"/>
                <w:szCs w:val="21"/>
              </w:rPr>
              <w:t>本</w:t>
            </w:r>
          </w:p>
          <w:p>
            <w:pPr>
              <w:pStyle w:val="TableParagraph"/>
              <w:spacing w:line="273" w:lineRule="auto" w:before="37"/>
              <w:ind w:left="103" w:right="56"/>
              <w:jc w:val="both"/>
              <w:rPr>
                <w:rFonts w:ascii="宋体" w:hAnsi="宋体" w:cs="宋体" w:eastAsia="宋体" w:hint="default"/>
                <w:sz w:val="21"/>
                <w:szCs w:val="21"/>
              </w:rPr>
            </w:pPr>
            <w:r>
              <w:rPr>
                <w:rFonts w:ascii="宋体" w:hAnsi="宋体" w:cs="宋体" w:eastAsia="宋体" w:hint="default"/>
                <w:sz w:val="21"/>
                <w:szCs w:val="21"/>
              </w:rPr>
              <w:t>期 减 少</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73" w:lineRule="auto"/>
              <w:ind w:left="103" w:right="56"/>
              <w:jc w:val="left"/>
              <w:rPr>
                <w:rFonts w:ascii="宋体" w:hAnsi="宋体" w:cs="宋体" w:eastAsia="宋体" w:hint="default"/>
                <w:sz w:val="21"/>
                <w:szCs w:val="21"/>
              </w:rPr>
            </w:pPr>
            <w:r>
              <w:rPr>
                <w:rFonts w:ascii="宋体" w:hAnsi="宋体" w:cs="宋体" w:eastAsia="宋体" w:hint="default"/>
                <w:sz w:val="21"/>
                <w:szCs w:val="21"/>
              </w:rPr>
              <w:t>期 初</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73" w:lineRule="auto"/>
              <w:ind w:left="386" w:right="386"/>
              <w:jc w:val="left"/>
              <w:rPr>
                <w:rFonts w:ascii="宋体" w:hAnsi="宋体" w:cs="宋体" w:eastAsia="宋体" w:hint="default"/>
                <w:sz w:val="21"/>
                <w:szCs w:val="21"/>
              </w:rPr>
            </w:pPr>
            <w:r>
              <w:rPr>
                <w:rFonts w:ascii="宋体" w:hAnsi="宋体" w:cs="宋体" w:eastAsia="宋体" w:hint="default"/>
                <w:sz w:val="21"/>
                <w:szCs w:val="21"/>
              </w:rPr>
              <w:t>本期 增加</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both"/>
              <w:rPr>
                <w:rFonts w:ascii="宋体" w:hAnsi="宋体" w:cs="宋体" w:eastAsia="宋体" w:hint="default"/>
                <w:sz w:val="21"/>
                <w:szCs w:val="21"/>
              </w:rPr>
            </w:pPr>
            <w:r>
              <w:rPr>
                <w:rFonts w:ascii="宋体" w:hAnsi="宋体" w:cs="宋体" w:eastAsia="宋体" w:hint="default"/>
                <w:sz w:val="21"/>
                <w:szCs w:val="21"/>
              </w:rPr>
              <w:t>本</w:t>
            </w:r>
          </w:p>
          <w:p>
            <w:pPr>
              <w:pStyle w:val="TableParagraph"/>
              <w:spacing w:line="273" w:lineRule="auto" w:before="37"/>
              <w:ind w:left="102" w:right="57"/>
              <w:jc w:val="both"/>
              <w:rPr>
                <w:rFonts w:ascii="宋体" w:hAnsi="宋体" w:cs="宋体" w:eastAsia="宋体" w:hint="default"/>
                <w:sz w:val="21"/>
                <w:szCs w:val="21"/>
              </w:rPr>
            </w:pPr>
            <w:r>
              <w:rPr>
                <w:rFonts w:ascii="宋体" w:hAnsi="宋体" w:cs="宋体" w:eastAsia="宋体" w:hint="default"/>
                <w:sz w:val="21"/>
                <w:szCs w:val="21"/>
              </w:rPr>
              <w:t>期 减 少</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709" w:type="dxa"/>
            <w:vMerge/>
            <w:tcBorders>
              <w:left w:val="single" w:sz="4" w:space="0" w:color="000000"/>
              <w:bottom w:val="single" w:sz="4" w:space="0" w:color="000000"/>
              <w:right w:val="single" w:sz="4" w:space="0" w:color="000000"/>
            </w:tcBorders>
          </w:tcPr>
          <w:p>
            <w:pPr/>
          </w:p>
        </w:tc>
        <w:tc>
          <w:tcPr>
            <w:tcW w:w="382" w:type="dxa"/>
            <w:vMerge/>
            <w:tcBorders>
              <w:left w:val="single" w:sz="4" w:space="0" w:color="000000"/>
              <w:bottom w:val="single" w:sz="4" w:space="0" w:color="000000"/>
              <w:right w:val="single" w:sz="4" w:space="0" w:color="000000"/>
            </w:tcBorders>
          </w:tcPr>
          <w:p>
            <w:pPr/>
          </w:p>
        </w:tc>
      </w:tr>
      <w:tr>
        <w:trPr>
          <w:trHeight w:val="2195" w:hRule="exact"/>
        </w:trPr>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both"/>
              <w:rPr>
                <w:rFonts w:ascii="宋体" w:hAnsi="宋体" w:cs="宋体" w:eastAsia="宋体" w:hint="default"/>
                <w:sz w:val="21"/>
                <w:szCs w:val="21"/>
              </w:rPr>
            </w:pPr>
            <w:r>
              <w:rPr>
                <w:rFonts w:ascii="宋体" w:hAnsi="宋体" w:cs="宋体" w:eastAsia="宋体" w:hint="default"/>
                <w:sz w:val="21"/>
                <w:szCs w:val="21"/>
              </w:rPr>
              <w:t>上</w:t>
            </w:r>
          </w:p>
          <w:p>
            <w:pPr>
              <w:pStyle w:val="TableParagraph"/>
              <w:spacing w:line="273" w:lineRule="auto" w:before="37"/>
              <w:ind w:left="103" w:right="221"/>
              <w:jc w:val="both"/>
              <w:rPr>
                <w:rFonts w:ascii="宋体" w:hAnsi="宋体" w:cs="宋体" w:eastAsia="宋体" w:hint="default"/>
                <w:sz w:val="21"/>
                <w:szCs w:val="21"/>
              </w:rPr>
            </w:pPr>
            <w:r>
              <w:rPr>
                <w:rFonts w:ascii="宋体" w:hAnsi="宋体" w:cs="宋体" w:eastAsia="宋体" w:hint="default"/>
                <w:sz w:val="21"/>
                <w:szCs w:val="21"/>
              </w:rPr>
              <w:t>海 国 君 创 投 证</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30,000,000</w:t>
            </w:r>
          </w:p>
          <w:p>
            <w:pPr>
              <w:pStyle w:val="TableParagraph"/>
              <w:spacing w:line="240" w:lineRule="auto" w:before="37"/>
              <w:ind w:right="101"/>
              <w:jc w:val="right"/>
              <w:rPr>
                <w:rFonts w:ascii="宋体" w:hAnsi="宋体" w:cs="宋体" w:eastAsia="宋体" w:hint="default"/>
                <w:sz w:val="21"/>
                <w:szCs w:val="21"/>
              </w:rPr>
            </w:pPr>
            <w:r>
              <w:rPr>
                <w:rFonts w:ascii="宋体"/>
                <w:spacing w:val="-1"/>
                <w:sz w:val="21"/>
              </w:rPr>
              <w:t>.00</w:t>
            </w:r>
            <w:r>
              <w:rPr>
                <w:rFonts w:ascii="宋体"/>
                <w:sz w:val="21"/>
              </w:rPr>
            </w:r>
          </w:p>
        </w:tc>
        <w:tc>
          <w:tcPr>
            <w:tcW w:w="38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30,000,000</w:t>
            </w:r>
          </w:p>
          <w:p>
            <w:pPr>
              <w:pStyle w:val="TableParagraph"/>
              <w:spacing w:line="240" w:lineRule="auto" w:before="37"/>
              <w:ind w:right="100"/>
              <w:jc w:val="right"/>
              <w:rPr>
                <w:rFonts w:ascii="宋体" w:hAnsi="宋体" w:cs="宋体" w:eastAsia="宋体" w:hint="default"/>
                <w:sz w:val="21"/>
                <w:szCs w:val="21"/>
              </w:rPr>
            </w:pPr>
            <w:r>
              <w:rPr>
                <w:rFonts w:ascii="宋体"/>
                <w:spacing w:val="-1"/>
                <w:sz w:val="21"/>
              </w:rPr>
              <w:t>.00</w:t>
            </w:r>
          </w:p>
        </w:tc>
        <w:tc>
          <w:tcPr>
            <w:tcW w:w="38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76" w:right="0"/>
              <w:jc w:val="left"/>
              <w:rPr>
                <w:rFonts w:ascii="宋体" w:hAnsi="宋体" w:cs="宋体" w:eastAsia="宋体" w:hint="default"/>
                <w:sz w:val="21"/>
                <w:szCs w:val="21"/>
              </w:rPr>
            </w:pPr>
            <w:r>
              <w:rPr>
                <w:rFonts w:ascii="宋体"/>
                <w:sz w:val="21"/>
              </w:rPr>
              <w:t>29.9</w:t>
            </w:r>
          </w:p>
          <w:p>
            <w:pPr>
              <w:pStyle w:val="TableParagraph"/>
              <w:spacing w:line="240" w:lineRule="auto" w:before="37"/>
              <w:ind w:left="386" w:right="0"/>
              <w:jc w:val="left"/>
              <w:rPr>
                <w:rFonts w:ascii="宋体" w:hAnsi="宋体" w:cs="宋体" w:eastAsia="宋体" w:hint="default"/>
                <w:sz w:val="21"/>
                <w:szCs w:val="21"/>
              </w:rPr>
            </w:pPr>
            <w:r>
              <w:rPr>
                <w:rFonts w:ascii="宋体"/>
                <w:sz w:val="21"/>
              </w:rPr>
              <w:t>97</w:t>
            </w:r>
          </w:p>
        </w:tc>
        <w:tc>
          <w:tcPr>
            <w:tcW w:w="3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7"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545"/>
        <w:gridCol w:w="1286"/>
        <w:gridCol w:w="1286"/>
        <w:gridCol w:w="382"/>
        <w:gridCol w:w="1286"/>
        <w:gridCol w:w="382"/>
        <w:gridCol w:w="1205"/>
        <w:gridCol w:w="382"/>
        <w:gridCol w:w="1205"/>
        <w:gridCol w:w="709"/>
        <w:gridCol w:w="382"/>
      </w:tblGrid>
      <w:tr>
        <w:trPr>
          <w:trHeight w:val="316" w:hRule="exact"/>
        </w:trPr>
        <w:tc>
          <w:tcPr>
            <w:tcW w:w="545"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鋆</w:t>
            </w:r>
          </w:p>
        </w:tc>
        <w:tc>
          <w:tcPr>
            <w:tcW w:w="1286" w:type="dxa"/>
            <w:vMerge w:val="restart"/>
            <w:tcBorders>
              <w:top w:val="single" w:sz="4" w:space="0" w:color="000000"/>
              <w:left w:val="single" w:sz="4" w:space="0" w:color="000000"/>
              <w:right w:val="single" w:sz="4" w:space="0" w:color="000000"/>
            </w:tcBorders>
          </w:tcPr>
          <w:p>
            <w:pPr/>
          </w:p>
        </w:tc>
        <w:tc>
          <w:tcPr>
            <w:tcW w:w="1286" w:type="dxa"/>
            <w:vMerge w:val="restart"/>
            <w:tcBorders>
              <w:top w:val="single" w:sz="4" w:space="0" w:color="000000"/>
              <w:left w:val="single" w:sz="4" w:space="0" w:color="000000"/>
              <w:right w:val="single" w:sz="4" w:space="0" w:color="000000"/>
            </w:tcBorders>
          </w:tcPr>
          <w:p>
            <w:pPr/>
          </w:p>
        </w:tc>
        <w:tc>
          <w:tcPr>
            <w:tcW w:w="382" w:type="dxa"/>
            <w:vMerge w:val="restart"/>
            <w:tcBorders>
              <w:top w:val="single" w:sz="4" w:space="0" w:color="000000"/>
              <w:left w:val="single" w:sz="4" w:space="0" w:color="000000"/>
              <w:right w:val="single" w:sz="4" w:space="0" w:color="000000"/>
            </w:tcBorders>
          </w:tcPr>
          <w:p>
            <w:pPr/>
          </w:p>
        </w:tc>
        <w:tc>
          <w:tcPr>
            <w:tcW w:w="1286" w:type="dxa"/>
            <w:vMerge w:val="restart"/>
            <w:tcBorders>
              <w:top w:val="single" w:sz="4" w:space="0" w:color="000000"/>
              <w:left w:val="single" w:sz="4" w:space="0" w:color="000000"/>
              <w:right w:val="single" w:sz="4" w:space="0" w:color="000000"/>
            </w:tcBorders>
          </w:tcPr>
          <w:p>
            <w:pPr/>
          </w:p>
        </w:tc>
        <w:tc>
          <w:tcPr>
            <w:tcW w:w="382" w:type="dxa"/>
            <w:vMerge w:val="restart"/>
            <w:tcBorders>
              <w:top w:val="single" w:sz="4" w:space="0" w:color="000000"/>
              <w:left w:val="single" w:sz="4" w:space="0" w:color="000000"/>
              <w:right w:val="single" w:sz="4" w:space="0" w:color="000000"/>
            </w:tcBorders>
          </w:tcPr>
          <w:p>
            <w:pPr/>
          </w:p>
        </w:tc>
        <w:tc>
          <w:tcPr>
            <w:tcW w:w="1205" w:type="dxa"/>
            <w:vMerge w:val="restart"/>
            <w:tcBorders>
              <w:top w:val="single" w:sz="4" w:space="0" w:color="000000"/>
              <w:left w:val="single" w:sz="4" w:space="0" w:color="000000"/>
              <w:right w:val="single" w:sz="4" w:space="0" w:color="000000"/>
            </w:tcBorders>
          </w:tcPr>
          <w:p>
            <w:pPr/>
          </w:p>
        </w:tc>
        <w:tc>
          <w:tcPr>
            <w:tcW w:w="382" w:type="dxa"/>
            <w:vMerge w:val="restart"/>
            <w:tcBorders>
              <w:top w:val="single" w:sz="4" w:space="0" w:color="000000"/>
              <w:left w:val="single" w:sz="4" w:space="0" w:color="000000"/>
              <w:right w:val="single" w:sz="4" w:space="0" w:color="000000"/>
            </w:tcBorders>
          </w:tcPr>
          <w:p>
            <w:pPr/>
          </w:p>
        </w:tc>
        <w:tc>
          <w:tcPr>
            <w:tcW w:w="1205"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382" w:type="dxa"/>
            <w:vMerge w:val="restart"/>
            <w:tcBorders>
              <w:top w:val="single" w:sz="4" w:space="0" w:color="000000"/>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一</w:t>
            </w:r>
          </w:p>
        </w:tc>
        <w:tc>
          <w:tcPr>
            <w:tcW w:w="1286"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286"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86"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权</w:t>
            </w:r>
          </w:p>
        </w:tc>
        <w:tc>
          <w:tcPr>
            <w:tcW w:w="1286"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投</w:t>
            </w:r>
          </w:p>
        </w:tc>
        <w:tc>
          <w:tcPr>
            <w:tcW w:w="1286"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资</w:t>
            </w:r>
          </w:p>
        </w:tc>
        <w:tc>
          <w:tcPr>
            <w:tcW w:w="1286"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r>
          </w:p>
        </w:tc>
        <w:tc>
          <w:tcPr>
            <w:tcW w:w="1286"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p>
        </w:tc>
        <w:tc>
          <w:tcPr>
            <w:tcW w:w="1286"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企</w:t>
            </w:r>
          </w:p>
        </w:tc>
        <w:tc>
          <w:tcPr>
            <w:tcW w:w="1286"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286"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p>
        </w:tc>
        <w:tc>
          <w:tcPr>
            <w:tcW w:w="1286"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有</w:t>
            </w:r>
          </w:p>
        </w:tc>
        <w:tc>
          <w:tcPr>
            <w:tcW w:w="1286"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限</w:t>
            </w:r>
          </w:p>
        </w:tc>
        <w:tc>
          <w:tcPr>
            <w:tcW w:w="1286"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r>
          </w:p>
        </w:tc>
        <w:tc>
          <w:tcPr>
            <w:tcW w:w="1286"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r>
      <w:tr>
        <w:trPr>
          <w:trHeight w:val="318" w:hRule="exact"/>
        </w:trPr>
        <w:tc>
          <w:tcPr>
            <w:tcW w:w="545"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p>
        </w:tc>
        <w:tc>
          <w:tcPr>
            <w:tcW w:w="1286" w:type="dxa"/>
            <w:vMerge/>
            <w:tcBorders>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c>
          <w:tcPr>
            <w:tcW w:w="382" w:type="dxa"/>
            <w:vMerge/>
            <w:tcBorders>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c>
          <w:tcPr>
            <w:tcW w:w="382"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382"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382" w:type="dxa"/>
            <w:vMerge/>
            <w:tcBorders>
              <w:left w:val="single" w:sz="4" w:space="0" w:color="000000"/>
              <w:bottom w:val="single" w:sz="4" w:space="0" w:color="000000"/>
              <w:right w:val="single" w:sz="4" w:space="0" w:color="000000"/>
            </w:tcBorders>
          </w:tcPr>
          <w:p>
            <w:pPr/>
          </w:p>
        </w:tc>
      </w:tr>
      <w:tr>
        <w:trPr>
          <w:trHeight w:val="316" w:hRule="exact"/>
        </w:trPr>
        <w:tc>
          <w:tcPr>
            <w:tcW w:w="545"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山</w:t>
            </w:r>
          </w:p>
        </w:tc>
        <w:tc>
          <w:tcPr>
            <w:tcW w:w="1286"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5,000,000.</w:t>
            </w:r>
          </w:p>
        </w:tc>
        <w:tc>
          <w:tcPr>
            <w:tcW w:w="1286" w:type="dxa"/>
            <w:vMerge w:val="restart"/>
            <w:tcBorders>
              <w:top w:val="single" w:sz="4" w:space="0" w:color="000000"/>
              <w:left w:val="single" w:sz="4" w:space="0" w:color="000000"/>
              <w:right w:val="single" w:sz="4" w:space="0" w:color="000000"/>
            </w:tcBorders>
          </w:tcPr>
          <w:p>
            <w:pPr/>
          </w:p>
        </w:tc>
        <w:tc>
          <w:tcPr>
            <w:tcW w:w="382" w:type="dxa"/>
            <w:vMerge w:val="restart"/>
            <w:tcBorders>
              <w:top w:val="single" w:sz="4" w:space="0" w:color="000000"/>
              <w:left w:val="single" w:sz="4" w:space="0" w:color="000000"/>
              <w:right w:val="single" w:sz="4" w:space="0" w:color="000000"/>
            </w:tcBorders>
          </w:tcPr>
          <w:p>
            <w:pPr/>
          </w:p>
        </w:tc>
        <w:tc>
          <w:tcPr>
            <w:tcW w:w="1286"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5,000,000.</w:t>
            </w:r>
          </w:p>
        </w:tc>
        <w:tc>
          <w:tcPr>
            <w:tcW w:w="382" w:type="dxa"/>
            <w:vMerge w:val="restart"/>
            <w:tcBorders>
              <w:top w:val="single" w:sz="4" w:space="0" w:color="000000"/>
              <w:left w:val="single" w:sz="4" w:space="0" w:color="000000"/>
              <w:right w:val="single" w:sz="4" w:space="0" w:color="000000"/>
            </w:tcBorders>
          </w:tcPr>
          <w:p>
            <w:pPr/>
          </w:p>
        </w:tc>
        <w:tc>
          <w:tcPr>
            <w:tcW w:w="1205" w:type="dxa"/>
            <w:vMerge w:val="restart"/>
            <w:tcBorders>
              <w:top w:val="single" w:sz="4" w:space="0" w:color="000000"/>
              <w:left w:val="single" w:sz="4" w:space="0" w:color="000000"/>
              <w:right w:val="single" w:sz="4" w:space="0" w:color="000000"/>
            </w:tcBorders>
          </w:tcPr>
          <w:p>
            <w:pPr/>
          </w:p>
        </w:tc>
        <w:tc>
          <w:tcPr>
            <w:tcW w:w="382" w:type="dxa"/>
            <w:vMerge w:val="restart"/>
            <w:tcBorders>
              <w:top w:val="single" w:sz="4" w:space="0" w:color="000000"/>
              <w:left w:val="single" w:sz="4" w:space="0" w:color="000000"/>
              <w:right w:val="single" w:sz="4" w:space="0" w:color="000000"/>
            </w:tcBorders>
          </w:tcPr>
          <w:p>
            <w:pPr/>
          </w:p>
        </w:tc>
        <w:tc>
          <w:tcPr>
            <w:tcW w:w="1205" w:type="dxa"/>
            <w:vMerge w:val="restart"/>
            <w:tcBorders>
              <w:top w:val="single" w:sz="4" w:space="0" w:color="000000"/>
              <w:left w:val="single" w:sz="4" w:space="0" w:color="000000"/>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2.85</w:t>
            </w:r>
          </w:p>
        </w:tc>
        <w:tc>
          <w:tcPr>
            <w:tcW w:w="382" w:type="dxa"/>
            <w:vMerge w:val="restart"/>
            <w:tcBorders>
              <w:top w:val="single" w:sz="4" w:space="0" w:color="000000"/>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西</w:t>
            </w:r>
          </w:p>
        </w:tc>
        <w:tc>
          <w:tcPr>
            <w:tcW w:w="128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00</w:t>
            </w: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00</w:t>
            </w: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7</w:t>
            </w:r>
          </w:p>
        </w:tc>
        <w:tc>
          <w:tcPr>
            <w:tcW w:w="382" w:type="dxa"/>
            <w:vMerge/>
            <w:tcBorders>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同</w:t>
            </w:r>
          </w:p>
        </w:tc>
        <w:tc>
          <w:tcPr>
            <w:tcW w:w="1286" w:type="dxa"/>
            <w:tcBorders>
              <w:top w:val="nil" w:sz="6" w:space="0" w:color="auto"/>
              <w:left w:val="single" w:sz="4" w:space="0" w:color="000000"/>
              <w:bottom w:val="nil" w:sz="6" w:space="0" w:color="auto"/>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仁</w:t>
            </w:r>
          </w:p>
        </w:tc>
        <w:tc>
          <w:tcPr>
            <w:tcW w:w="1286" w:type="dxa"/>
            <w:tcBorders>
              <w:top w:val="nil" w:sz="6" w:space="0" w:color="auto"/>
              <w:left w:val="single" w:sz="4" w:space="0" w:color="000000"/>
              <w:bottom w:val="nil" w:sz="6" w:space="0" w:color="auto"/>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86" w:type="dxa"/>
            <w:tcBorders>
              <w:top w:val="nil" w:sz="6" w:space="0" w:color="auto"/>
              <w:left w:val="single" w:sz="4" w:space="0" w:color="000000"/>
              <w:bottom w:val="nil" w:sz="6" w:space="0" w:color="auto"/>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权</w:t>
            </w:r>
          </w:p>
        </w:tc>
        <w:tc>
          <w:tcPr>
            <w:tcW w:w="1286" w:type="dxa"/>
            <w:tcBorders>
              <w:top w:val="nil" w:sz="6" w:space="0" w:color="auto"/>
              <w:left w:val="single" w:sz="4" w:space="0" w:color="000000"/>
              <w:bottom w:val="nil" w:sz="6" w:space="0" w:color="auto"/>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投</w:t>
            </w:r>
          </w:p>
        </w:tc>
        <w:tc>
          <w:tcPr>
            <w:tcW w:w="1286" w:type="dxa"/>
            <w:tcBorders>
              <w:top w:val="nil" w:sz="6" w:space="0" w:color="auto"/>
              <w:left w:val="single" w:sz="4" w:space="0" w:color="000000"/>
              <w:bottom w:val="nil" w:sz="6" w:space="0" w:color="auto"/>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资</w:t>
            </w:r>
          </w:p>
        </w:tc>
        <w:tc>
          <w:tcPr>
            <w:tcW w:w="1286" w:type="dxa"/>
            <w:tcBorders>
              <w:top w:val="nil" w:sz="6" w:space="0" w:color="auto"/>
              <w:left w:val="single" w:sz="4" w:space="0" w:color="000000"/>
              <w:bottom w:val="nil" w:sz="6" w:space="0" w:color="auto"/>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r>
          </w:p>
        </w:tc>
        <w:tc>
          <w:tcPr>
            <w:tcW w:w="1286" w:type="dxa"/>
            <w:tcBorders>
              <w:top w:val="nil" w:sz="6" w:space="0" w:color="auto"/>
              <w:left w:val="single" w:sz="4" w:space="0" w:color="000000"/>
              <w:bottom w:val="nil" w:sz="6" w:space="0" w:color="auto"/>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p>
        </w:tc>
        <w:tc>
          <w:tcPr>
            <w:tcW w:w="1286" w:type="dxa"/>
            <w:tcBorders>
              <w:top w:val="nil" w:sz="6" w:space="0" w:color="auto"/>
              <w:left w:val="single" w:sz="4" w:space="0" w:color="000000"/>
              <w:bottom w:val="nil" w:sz="6" w:space="0" w:color="auto"/>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企</w:t>
            </w:r>
          </w:p>
        </w:tc>
        <w:tc>
          <w:tcPr>
            <w:tcW w:w="1286" w:type="dxa"/>
            <w:tcBorders>
              <w:top w:val="nil" w:sz="6" w:space="0" w:color="auto"/>
              <w:left w:val="single" w:sz="4" w:space="0" w:color="000000"/>
              <w:bottom w:val="nil" w:sz="6" w:space="0" w:color="auto"/>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286" w:type="dxa"/>
            <w:tcBorders>
              <w:top w:val="nil" w:sz="6" w:space="0" w:color="auto"/>
              <w:left w:val="single" w:sz="4" w:space="0" w:color="000000"/>
              <w:bottom w:val="nil" w:sz="6" w:space="0" w:color="auto"/>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p>
        </w:tc>
        <w:tc>
          <w:tcPr>
            <w:tcW w:w="1286" w:type="dxa"/>
            <w:tcBorders>
              <w:top w:val="nil" w:sz="6" w:space="0" w:color="auto"/>
              <w:left w:val="single" w:sz="4" w:space="0" w:color="000000"/>
              <w:bottom w:val="nil" w:sz="6" w:space="0" w:color="auto"/>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有</w:t>
            </w:r>
          </w:p>
        </w:tc>
        <w:tc>
          <w:tcPr>
            <w:tcW w:w="1286" w:type="dxa"/>
            <w:tcBorders>
              <w:top w:val="nil" w:sz="6" w:space="0" w:color="auto"/>
              <w:left w:val="single" w:sz="4" w:space="0" w:color="000000"/>
              <w:bottom w:val="nil" w:sz="6" w:space="0" w:color="auto"/>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限</w:t>
            </w:r>
          </w:p>
        </w:tc>
        <w:tc>
          <w:tcPr>
            <w:tcW w:w="1286" w:type="dxa"/>
            <w:tcBorders>
              <w:top w:val="nil" w:sz="6" w:space="0" w:color="auto"/>
              <w:left w:val="single" w:sz="4" w:space="0" w:color="000000"/>
              <w:bottom w:val="nil" w:sz="6" w:space="0" w:color="auto"/>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r>
          </w:p>
        </w:tc>
        <w:tc>
          <w:tcPr>
            <w:tcW w:w="1286" w:type="dxa"/>
            <w:tcBorders>
              <w:top w:val="nil" w:sz="6" w:space="0" w:color="auto"/>
              <w:left w:val="single" w:sz="4" w:space="0" w:color="000000"/>
              <w:bottom w:val="nil" w:sz="6" w:space="0" w:color="auto"/>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r>
      <w:tr>
        <w:trPr>
          <w:trHeight w:val="318" w:hRule="exact"/>
        </w:trPr>
        <w:tc>
          <w:tcPr>
            <w:tcW w:w="545"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p>
        </w:tc>
        <w:tc>
          <w:tcPr>
            <w:tcW w:w="1286" w:type="dxa"/>
            <w:tcBorders>
              <w:top w:val="nil" w:sz="6" w:space="0" w:color="auto"/>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c>
          <w:tcPr>
            <w:tcW w:w="382" w:type="dxa"/>
            <w:vMerge/>
            <w:tcBorders>
              <w:left w:val="single" w:sz="4" w:space="0" w:color="000000"/>
              <w:bottom w:val="single" w:sz="4" w:space="0" w:color="000000"/>
              <w:right w:val="single" w:sz="4" w:space="0" w:color="000000"/>
            </w:tcBorders>
          </w:tcPr>
          <w:p>
            <w:pPr/>
          </w:p>
        </w:tc>
        <w:tc>
          <w:tcPr>
            <w:tcW w:w="1286" w:type="dxa"/>
            <w:tcBorders>
              <w:top w:val="nil" w:sz="6" w:space="0" w:color="auto"/>
              <w:left w:val="single" w:sz="4" w:space="0" w:color="000000"/>
              <w:bottom w:val="single" w:sz="4" w:space="0" w:color="000000"/>
              <w:right w:val="single" w:sz="4" w:space="0" w:color="000000"/>
            </w:tcBorders>
          </w:tcPr>
          <w:p>
            <w:pPr/>
          </w:p>
        </w:tc>
        <w:tc>
          <w:tcPr>
            <w:tcW w:w="382"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382"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382" w:type="dxa"/>
            <w:vMerge/>
            <w:tcBorders>
              <w:left w:val="single" w:sz="4" w:space="0" w:color="000000"/>
              <w:bottom w:val="single" w:sz="4" w:space="0" w:color="000000"/>
              <w:right w:val="single" w:sz="4" w:space="0" w:color="000000"/>
            </w:tcBorders>
          </w:tcPr>
          <w:p>
            <w:pPr/>
          </w:p>
        </w:tc>
      </w:tr>
      <w:tr>
        <w:trPr>
          <w:trHeight w:val="317" w:hRule="exact"/>
        </w:trPr>
        <w:tc>
          <w:tcPr>
            <w:tcW w:w="545"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p>
        </w:tc>
        <w:tc>
          <w:tcPr>
            <w:tcW w:w="1286"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4,800,000.</w:t>
            </w:r>
          </w:p>
        </w:tc>
        <w:tc>
          <w:tcPr>
            <w:tcW w:w="1286" w:type="dxa"/>
            <w:vMerge w:val="restart"/>
            <w:tcBorders>
              <w:top w:val="single" w:sz="4" w:space="0" w:color="000000"/>
              <w:left w:val="single" w:sz="4" w:space="0" w:color="000000"/>
              <w:right w:val="single" w:sz="4" w:space="0" w:color="000000"/>
            </w:tcBorders>
          </w:tcPr>
          <w:p>
            <w:pPr/>
          </w:p>
        </w:tc>
        <w:tc>
          <w:tcPr>
            <w:tcW w:w="382" w:type="dxa"/>
            <w:vMerge w:val="restart"/>
            <w:tcBorders>
              <w:top w:val="single" w:sz="4" w:space="0" w:color="000000"/>
              <w:left w:val="single" w:sz="4" w:space="0" w:color="000000"/>
              <w:right w:val="single" w:sz="4" w:space="0" w:color="000000"/>
            </w:tcBorders>
          </w:tcPr>
          <w:p>
            <w:pPr/>
          </w:p>
        </w:tc>
        <w:tc>
          <w:tcPr>
            <w:tcW w:w="1286"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4,800,000.</w:t>
            </w:r>
          </w:p>
        </w:tc>
        <w:tc>
          <w:tcPr>
            <w:tcW w:w="382" w:type="dxa"/>
            <w:vMerge w:val="restart"/>
            <w:tcBorders>
              <w:top w:val="single" w:sz="4" w:space="0" w:color="000000"/>
              <w:left w:val="single" w:sz="4" w:space="0" w:color="000000"/>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4,800,000</w:t>
            </w:r>
          </w:p>
        </w:tc>
        <w:tc>
          <w:tcPr>
            <w:tcW w:w="382" w:type="dxa"/>
            <w:vMerge w:val="restart"/>
            <w:tcBorders>
              <w:top w:val="single" w:sz="4" w:space="0" w:color="000000"/>
              <w:left w:val="single" w:sz="4" w:space="0" w:color="000000"/>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4,800,000</w:t>
            </w: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16.0</w:t>
            </w:r>
          </w:p>
        </w:tc>
        <w:tc>
          <w:tcPr>
            <w:tcW w:w="382" w:type="dxa"/>
            <w:vMerge w:val="restart"/>
            <w:tcBorders>
              <w:top w:val="single" w:sz="4" w:space="0" w:color="000000"/>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融</w:t>
            </w:r>
          </w:p>
        </w:tc>
        <w:tc>
          <w:tcPr>
            <w:tcW w:w="128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00</w:t>
            </w: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00</w:t>
            </w:r>
          </w:p>
        </w:tc>
        <w:tc>
          <w:tcPr>
            <w:tcW w:w="382" w:type="dxa"/>
            <w:vMerge/>
            <w:tcBorders>
              <w:left w:val="single" w:sz="4" w:space="0" w:color="000000"/>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.00</w:t>
            </w:r>
          </w:p>
        </w:tc>
        <w:tc>
          <w:tcPr>
            <w:tcW w:w="382" w:type="dxa"/>
            <w:vMerge/>
            <w:tcBorders>
              <w:left w:val="single" w:sz="4" w:space="0" w:color="000000"/>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.00</w:t>
            </w:r>
            <w:r>
              <w:rPr>
                <w:rFonts w:ascii="宋体"/>
                <w:sz w:val="21"/>
              </w:rPr>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w:t>
            </w:r>
          </w:p>
        </w:tc>
        <w:tc>
          <w:tcPr>
            <w:tcW w:w="382" w:type="dxa"/>
            <w:vMerge/>
            <w:tcBorders>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子</w:t>
            </w:r>
          </w:p>
        </w:tc>
        <w:tc>
          <w:tcPr>
            <w:tcW w:w="1286" w:type="dxa"/>
            <w:tcBorders>
              <w:top w:val="nil" w:sz="6" w:space="0" w:color="auto"/>
              <w:left w:val="single" w:sz="4" w:space="0" w:color="000000"/>
              <w:bottom w:val="nil" w:sz="6" w:space="0" w:color="auto"/>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午</w:t>
            </w:r>
          </w:p>
        </w:tc>
        <w:tc>
          <w:tcPr>
            <w:tcW w:w="1286" w:type="dxa"/>
            <w:tcBorders>
              <w:top w:val="nil" w:sz="6" w:space="0" w:color="auto"/>
              <w:left w:val="single" w:sz="4" w:space="0" w:color="000000"/>
              <w:bottom w:val="nil" w:sz="6" w:space="0" w:color="auto"/>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p>
        </w:tc>
        <w:tc>
          <w:tcPr>
            <w:tcW w:w="1286" w:type="dxa"/>
            <w:tcBorders>
              <w:top w:val="nil" w:sz="6" w:space="0" w:color="auto"/>
              <w:left w:val="single" w:sz="4" w:space="0" w:color="000000"/>
              <w:bottom w:val="nil" w:sz="6" w:space="0" w:color="auto"/>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北</w:t>
            </w:r>
          </w:p>
        </w:tc>
        <w:tc>
          <w:tcPr>
            <w:tcW w:w="1286" w:type="dxa"/>
            <w:tcBorders>
              <w:top w:val="nil" w:sz="6" w:space="0" w:color="auto"/>
              <w:left w:val="single" w:sz="4" w:space="0" w:color="000000"/>
              <w:bottom w:val="nil" w:sz="6" w:space="0" w:color="auto"/>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京）</w:t>
            </w:r>
          </w:p>
        </w:tc>
        <w:tc>
          <w:tcPr>
            <w:tcW w:w="1286" w:type="dxa"/>
            <w:tcBorders>
              <w:top w:val="nil" w:sz="6" w:space="0" w:color="auto"/>
              <w:left w:val="single" w:sz="4" w:space="0" w:color="000000"/>
              <w:bottom w:val="nil" w:sz="6" w:space="0" w:color="auto"/>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资</w:t>
            </w:r>
          </w:p>
        </w:tc>
        <w:tc>
          <w:tcPr>
            <w:tcW w:w="1286" w:type="dxa"/>
            <w:tcBorders>
              <w:top w:val="nil" w:sz="6" w:space="0" w:color="auto"/>
              <w:left w:val="single" w:sz="4" w:space="0" w:color="000000"/>
              <w:bottom w:val="nil" w:sz="6" w:space="0" w:color="auto"/>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286" w:type="dxa"/>
            <w:tcBorders>
              <w:top w:val="nil" w:sz="6" w:space="0" w:color="auto"/>
              <w:left w:val="single" w:sz="4" w:space="0" w:color="000000"/>
              <w:bottom w:val="nil" w:sz="6" w:space="0" w:color="auto"/>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r>
      <w:tr>
        <w:trPr>
          <w:trHeight w:val="312" w:hRule="exact"/>
        </w:trPr>
        <w:tc>
          <w:tcPr>
            <w:tcW w:w="5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管</w:t>
            </w:r>
          </w:p>
        </w:tc>
        <w:tc>
          <w:tcPr>
            <w:tcW w:w="1286" w:type="dxa"/>
            <w:tcBorders>
              <w:top w:val="nil" w:sz="6" w:space="0" w:color="auto"/>
              <w:left w:val="single" w:sz="4" w:space="0" w:color="000000"/>
              <w:bottom w:val="nil" w:sz="6" w:space="0" w:color="auto"/>
              <w:right w:val="single" w:sz="4" w:space="0" w:color="000000"/>
            </w:tcBorders>
          </w:tcPr>
          <w:p>
            <w:pPr/>
          </w:p>
        </w:tc>
        <w:tc>
          <w:tcPr>
            <w:tcW w:w="1286"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82" w:type="dxa"/>
            <w:vMerge/>
            <w:tcBorders>
              <w:left w:val="single" w:sz="4" w:space="0" w:color="000000"/>
              <w:right w:val="single" w:sz="4" w:space="0" w:color="000000"/>
            </w:tcBorders>
          </w:tcPr>
          <w:p>
            <w:pPr/>
          </w:p>
        </w:tc>
      </w:tr>
      <w:tr>
        <w:trPr>
          <w:trHeight w:val="318" w:hRule="exact"/>
        </w:trPr>
        <w:tc>
          <w:tcPr>
            <w:tcW w:w="545"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理</w:t>
            </w:r>
          </w:p>
        </w:tc>
        <w:tc>
          <w:tcPr>
            <w:tcW w:w="1286" w:type="dxa"/>
            <w:tcBorders>
              <w:top w:val="nil" w:sz="6" w:space="0" w:color="auto"/>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c>
          <w:tcPr>
            <w:tcW w:w="382" w:type="dxa"/>
            <w:vMerge/>
            <w:tcBorders>
              <w:left w:val="single" w:sz="4" w:space="0" w:color="000000"/>
              <w:bottom w:val="single" w:sz="4" w:space="0" w:color="000000"/>
              <w:right w:val="single" w:sz="4" w:space="0" w:color="000000"/>
            </w:tcBorders>
          </w:tcPr>
          <w:p>
            <w:pPr/>
          </w:p>
        </w:tc>
        <w:tc>
          <w:tcPr>
            <w:tcW w:w="1286" w:type="dxa"/>
            <w:tcBorders>
              <w:top w:val="nil" w:sz="6" w:space="0" w:color="auto"/>
              <w:left w:val="single" w:sz="4" w:space="0" w:color="000000"/>
              <w:bottom w:val="single" w:sz="4" w:space="0" w:color="000000"/>
              <w:right w:val="single" w:sz="4" w:space="0" w:color="000000"/>
            </w:tcBorders>
          </w:tcPr>
          <w:p>
            <w:pPr/>
          </w:p>
        </w:tc>
        <w:tc>
          <w:tcPr>
            <w:tcW w:w="382" w:type="dxa"/>
            <w:vMerge/>
            <w:tcBorders>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
        </w:tc>
        <w:tc>
          <w:tcPr>
            <w:tcW w:w="382" w:type="dxa"/>
            <w:vMerge/>
            <w:tcBorders>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382"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1197"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545"/>
        <w:gridCol w:w="1286"/>
        <w:gridCol w:w="1286"/>
        <w:gridCol w:w="382"/>
        <w:gridCol w:w="1286"/>
        <w:gridCol w:w="382"/>
        <w:gridCol w:w="1205"/>
        <w:gridCol w:w="382"/>
        <w:gridCol w:w="1205"/>
        <w:gridCol w:w="709"/>
        <w:gridCol w:w="382"/>
      </w:tblGrid>
      <w:tr>
        <w:trPr>
          <w:trHeight w:val="1258" w:hRule="exact"/>
        </w:trPr>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z w:val="21"/>
                <w:szCs w:val="21"/>
              </w:rPr>
              <w:t>有</w:t>
            </w:r>
          </w:p>
          <w:p>
            <w:pPr>
              <w:pStyle w:val="TableParagraph"/>
              <w:spacing w:line="273" w:lineRule="auto" w:before="37"/>
              <w:ind w:left="103" w:right="221"/>
              <w:jc w:val="both"/>
              <w:rPr>
                <w:rFonts w:ascii="宋体" w:hAnsi="宋体" w:cs="宋体" w:eastAsia="宋体" w:hint="default"/>
                <w:sz w:val="21"/>
                <w:szCs w:val="21"/>
              </w:rPr>
            </w:pPr>
            <w:r>
              <w:rPr>
                <w:rFonts w:ascii="宋体" w:hAnsi="宋体" w:cs="宋体" w:eastAsia="宋体" w:hint="default"/>
                <w:sz w:val="21"/>
                <w:szCs w:val="21"/>
              </w:rPr>
              <w:t>限 公 司</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r>
      <w:tr>
        <w:trPr>
          <w:trHeight w:val="4378" w:hRule="exact"/>
        </w:trPr>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z w:val="21"/>
                <w:szCs w:val="21"/>
              </w:rPr>
              <w:t>河</w:t>
            </w:r>
          </w:p>
          <w:p>
            <w:pPr>
              <w:pStyle w:val="TableParagraph"/>
              <w:spacing w:line="273" w:lineRule="auto" w:before="37"/>
              <w:ind w:left="103" w:right="221"/>
              <w:jc w:val="both"/>
              <w:rPr>
                <w:rFonts w:ascii="宋体" w:hAnsi="宋体" w:cs="宋体" w:eastAsia="宋体" w:hint="default"/>
                <w:sz w:val="21"/>
                <w:szCs w:val="21"/>
              </w:rPr>
            </w:pPr>
            <w:r>
              <w:rPr>
                <w:rFonts w:ascii="宋体" w:hAnsi="宋体" w:cs="宋体" w:eastAsia="宋体" w:hint="default"/>
                <w:sz w:val="21"/>
                <w:szCs w:val="21"/>
              </w:rPr>
              <w:t>北 信 创 达 物 联 网 科 技 有 限 公 司</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3" w:right="0"/>
              <w:jc w:val="left"/>
              <w:rPr>
                <w:rFonts w:ascii="宋体" w:hAnsi="宋体" w:cs="宋体" w:eastAsia="宋体" w:hint="default"/>
                <w:sz w:val="21"/>
                <w:szCs w:val="21"/>
              </w:rPr>
            </w:pPr>
            <w:r>
              <w:rPr>
                <w:rFonts w:ascii="宋体"/>
                <w:sz w:val="21"/>
              </w:rPr>
              <w:t>600,000.00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3" w:right="0"/>
              <w:jc w:val="left"/>
              <w:rPr>
                <w:rFonts w:ascii="宋体" w:hAnsi="宋体" w:cs="宋体" w:eastAsia="宋体" w:hint="default"/>
                <w:sz w:val="21"/>
                <w:szCs w:val="21"/>
              </w:rPr>
            </w:pPr>
            <w:r>
              <w:rPr>
                <w:rFonts w:ascii="宋体"/>
                <w:sz w:val="21"/>
              </w:rPr>
              <w:t>600,000.00</w:t>
            </w:r>
          </w:p>
        </w:tc>
        <w:tc>
          <w:tcPr>
            <w:tcW w:w="38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10.0</w:t>
            </w:r>
          </w:p>
          <w:p>
            <w:pPr>
              <w:pStyle w:val="TableParagraph"/>
              <w:spacing w:line="240" w:lineRule="auto" w:before="37"/>
              <w:ind w:right="100"/>
              <w:jc w:val="right"/>
              <w:rPr>
                <w:rFonts w:ascii="宋体" w:hAnsi="宋体" w:cs="宋体" w:eastAsia="宋体" w:hint="default"/>
                <w:sz w:val="21"/>
                <w:szCs w:val="21"/>
              </w:rPr>
            </w:pPr>
            <w:r>
              <w:rPr>
                <w:rFonts w:ascii="宋体"/>
                <w:sz w:val="21"/>
              </w:rPr>
              <w:t>0</w:t>
            </w:r>
          </w:p>
        </w:tc>
        <w:tc>
          <w:tcPr>
            <w:tcW w:w="382"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61"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40" w:lineRule="auto" w:before="37"/>
              <w:ind w:left="161"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10,400,000</w:t>
            </w:r>
          </w:p>
          <w:p>
            <w:pPr>
              <w:pStyle w:val="TableParagraph"/>
              <w:spacing w:line="240" w:lineRule="auto" w:before="37"/>
              <w:ind w:right="101"/>
              <w:jc w:val="right"/>
              <w:rPr>
                <w:rFonts w:ascii="宋体" w:hAnsi="宋体" w:cs="宋体" w:eastAsia="宋体" w:hint="default"/>
                <w:sz w:val="21"/>
                <w:szCs w:val="21"/>
              </w:rPr>
            </w:pPr>
            <w:r>
              <w:rPr>
                <w:rFonts w:ascii="宋体"/>
                <w:spacing w:val="-1"/>
                <w:sz w:val="21"/>
              </w:rPr>
              <w:t>.00</w:t>
            </w:r>
            <w:r>
              <w:rPr>
                <w:rFonts w:ascii="宋体"/>
                <w:sz w:val="21"/>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30,000,000</w:t>
            </w:r>
          </w:p>
          <w:p>
            <w:pPr>
              <w:pStyle w:val="TableParagraph"/>
              <w:spacing w:line="240" w:lineRule="auto" w:before="37"/>
              <w:ind w:right="101"/>
              <w:jc w:val="right"/>
              <w:rPr>
                <w:rFonts w:ascii="宋体" w:hAnsi="宋体" w:cs="宋体" w:eastAsia="宋体" w:hint="default"/>
                <w:sz w:val="21"/>
                <w:szCs w:val="21"/>
              </w:rPr>
            </w:pPr>
            <w:r>
              <w:rPr>
                <w:rFonts w:ascii="宋体"/>
                <w:spacing w:val="-1"/>
                <w:sz w:val="21"/>
              </w:rPr>
              <w:t>.00</w:t>
            </w:r>
            <w:r>
              <w:rPr>
                <w:rFonts w:ascii="宋体"/>
                <w:sz w:val="21"/>
              </w:rPr>
            </w:r>
          </w:p>
        </w:tc>
        <w:tc>
          <w:tcPr>
            <w:tcW w:w="38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40,400,000</w:t>
            </w:r>
          </w:p>
          <w:p>
            <w:pPr>
              <w:pStyle w:val="TableParagraph"/>
              <w:spacing w:line="240" w:lineRule="auto" w:before="37"/>
              <w:ind w:right="100"/>
              <w:jc w:val="right"/>
              <w:rPr>
                <w:rFonts w:ascii="宋体" w:hAnsi="宋体" w:cs="宋体" w:eastAsia="宋体" w:hint="default"/>
                <w:sz w:val="21"/>
                <w:szCs w:val="21"/>
              </w:rPr>
            </w:pPr>
            <w:r>
              <w:rPr>
                <w:rFonts w:ascii="宋体"/>
                <w:spacing w:val="-1"/>
                <w:sz w:val="21"/>
              </w:rPr>
              <w:t>.00</w:t>
            </w:r>
          </w:p>
        </w:tc>
        <w:tc>
          <w:tcPr>
            <w:tcW w:w="38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46" w:right="0"/>
              <w:jc w:val="left"/>
              <w:rPr>
                <w:rFonts w:ascii="宋体" w:hAnsi="宋体" w:cs="宋体" w:eastAsia="宋体" w:hint="default"/>
                <w:sz w:val="21"/>
                <w:szCs w:val="21"/>
              </w:rPr>
            </w:pPr>
            <w:r>
              <w:rPr>
                <w:rFonts w:ascii="宋体"/>
                <w:sz w:val="21"/>
              </w:rPr>
              <w:t>4,800,000</w:t>
            </w:r>
          </w:p>
          <w:p>
            <w:pPr>
              <w:pStyle w:val="TableParagraph"/>
              <w:spacing w:line="240" w:lineRule="auto" w:before="37"/>
              <w:ind w:left="776" w:right="0"/>
              <w:jc w:val="left"/>
              <w:rPr>
                <w:rFonts w:ascii="宋体" w:hAnsi="宋体" w:cs="宋体" w:eastAsia="宋体" w:hint="default"/>
                <w:sz w:val="21"/>
                <w:szCs w:val="21"/>
              </w:rPr>
            </w:pPr>
            <w:r>
              <w:rPr>
                <w:rFonts w:ascii="宋体"/>
                <w:sz w:val="21"/>
              </w:rPr>
              <w:t>.00</w:t>
            </w:r>
          </w:p>
        </w:tc>
        <w:tc>
          <w:tcPr>
            <w:tcW w:w="38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46" w:right="0"/>
              <w:jc w:val="left"/>
              <w:rPr>
                <w:rFonts w:ascii="宋体" w:hAnsi="宋体" w:cs="宋体" w:eastAsia="宋体" w:hint="default"/>
                <w:sz w:val="21"/>
                <w:szCs w:val="21"/>
              </w:rPr>
            </w:pPr>
            <w:r>
              <w:rPr>
                <w:rFonts w:ascii="宋体"/>
                <w:sz w:val="21"/>
              </w:rPr>
              <w:t>4,800,000</w:t>
            </w:r>
          </w:p>
          <w:p>
            <w:pPr>
              <w:pStyle w:val="TableParagraph"/>
              <w:spacing w:line="240" w:lineRule="auto" w:before="37"/>
              <w:ind w:left="776" w:right="0"/>
              <w:jc w:val="left"/>
              <w:rPr>
                <w:rFonts w:ascii="宋体" w:hAnsi="宋体" w:cs="宋体" w:eastAsia="宋体" w:hint="default"/>
                <w:sz w:val="21"/>
                <w:szCs w:val="21"/>
              </w:rPr>
            </w:pPr>
            <w:r>
              <w:rPr>
                <w:rFonts w:ascii="宋体"/>
                <w:sz w:val="21"/>
              </w:rPr>
              <w:t>.00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w:t>
            </w:r>
          </w:p>
        </w:tc>
        <w:tc>
          <w:tcPr>
            <w:tcW w:w="38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Times New Roman" w:hAnsi="Times New Roman" w:cs="Times New Roman" w:eastAsia="Times New Roman" w:hint="default"/>
          <w:sz w:val="27"/>
          <w:szCs w:val="27"/>
        </w:rPr>
      </w:pPr>
    </w:p>
    <w:p>
      <w:pPr>
        <w:pStyle w:val="Heading3"/>
        <w:tabs>
          <w:tab w:pos="861" w:val="left" w:leader="none"/>
        </w:tabs>
        <w:spacing w:line="240" w:lineRule="auto"/>
        <w:ind w:right="114"/>
        <w:jc w:val="left"/>
        <w:rPr>
          <w:b w:val="0"/>
          <w:bCs w:val="0"/>
        </w:rPr>
      </w:pPr>
      <w:r>
        <w:rPr>
          <w:w w:val="95"/>
        </w:rPr>
        <w:t>(4).</w:t>
        <w:tab/>
      </w:r>
      <w:r>
        <w:rPr/>
        <w:t>报告期内可供出售金融资产减值的变动情况</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448"/>
        <w:gridCol w:w="1693"/>
        <w:gridCol w:w="1721"/>
        <w:gridCol w:w="1584"/>
        <w:gridCol w:w="1603"/>
      </w:tblGrid>
      <w:tr>
        <w:trPr>
          <w:trHeight w:val="634"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69"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工具</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23"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169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9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其中：从其他综合收益转</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69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9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其中：期后公允价值回升</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w:t>
            </w:r>
          </w:p>
        </w:tc>
        <w:tc>
          <w:tcPr>
            <w:tcW w:w="172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169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24"/>
          <w:szCs w:val="24"/>
        </w:rPr>
      </w:pPr>
    </w:p>
    <w:p>
      <w:pPr>
        <w:pStyle w:val="Heading3"/>
        <w:tabs>
          <w:tab w:pos="861" w:val="left" w:leader="none"/>
        </w:tabs>
        <w:spacing w:line="240" w:lineRule="auto"/>
        <w:ind w:right="114"/>
        <w:jc w:val="left"/>
        <w:rPr>
          <w:b w:val="0"/>
          <w:bCs w:val="0"/>
        </w:rPr>
      </w:pPr>
      <w:r>
        <w:rPr>
          <w:w w:val="95"/>
        </w:rPr>
        <w:t>(5).</w:t>
        <w:tab/>
      </w:r>
      <w:r>
        <w:rPr/>
        <w:t>可供出售权益工具期末公允价值严重下跌或非暂时性下跌但未计提减值准备的相关说明：</w:t>
      </w:r>
      <w:r>
        <w:rPr>
          <w:b w:val="0"/>
          <w:bCs w:val="0"/>
        </w:rPr>
      </w:r>
    </w:p>
    <w:p>
      <w:pPr>
        <w:spacing w:line="240" w:lineRule="auto" w:before="7"/>
        <w:rPr>
          <w:rFonts w:ascii="宋体" w:hAnsi="宋体" w:cs="宋体" w:eastAsia="宋体" w:hint="default"/>
          <w:b/>
          <w:bCs/>
          <w:sz w:val="8"/>
          <w:szCs w:val="8"/>
        </w:rPr>
      </w:pPr>
    </w:p>
    <w:tbl>
      <w:tblPr>
        <w:tblW w:w="0" w:type="auto"/>
        <w:jc w:val="left"/>
        <w:tblInd w:w="104" w:type="dxa"/>
        <w:tblLayout w:type="fixed"/>
        <w:tblCellMar>
          <w:top w:w="0" w:type="dxa"/>
          <w:left w:w="0" w:type="dxa"/>
          <w:bottom w:w="0" w:type="dxa"/>
          <w:right w:w="0" w:type="dxa"/>
        </w:tblCellMar>
        <w:tblLook w:val="01E0"/>
      </w:tblPr>
      <w:tblGrid>
        <w:gridCol w:w="1288"/>
        <w:gridCol w:w="1169"/>
        <w:gridCol w:w="1265"/>
        <w:gridCol w:w="1453"/>
        <w:gridCol w:w="1222"/>
        <w:gridCol w:w="1303"/>
        <w:gridCol w:w="1350"/>
      </w:tblGrid>
      <w:tr>
        <w:trPr>
          <w:trHeight w:val="946" w:hRule="exact"/>
        </w:trPr>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14" w:right="113"/>
              <w:jc w:val="left"/>
              <w:rPr>
                <w:rFonts w:ascii="宋体" w:hAnsi="宋体" w:cs="宋体" w:eastAsia="宋体" w:hint="default"/>
                <w:sz w:val="21"/>
                <w:szCs w:val="21"/>
              </w:rPr>
            </w:pPr>
            <w:r>
              <w:rPr>
                <w:rFonts w:ascii="宋体" w:hAnsi="宋体" w:cs="宋体" w:eastAsia="宋体" w:hint="default"/>
                <w:sz w:val="21"/>
                <w:szCs w:val="21"/>
              </w:rPr>
              <w:t>可供出售权 益工具项目</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206" w:right="206" w:firstLine="210"/>
              <w:jc w:val="left"/>
              <w:rPr>
                <w:rFonts w:ascii="宋体" w:hAnsi="宋体" w:cs="宋体" w:eastAsia="宋体" w:hint="default"/>
                <w:sz w:val="21"/>
                <w:szCs w:val="21"/>
              </w:rPr>
            </w:pPr>
            <w:r>
              <w:rPr>
                <w:rFonts w:ascii="宋体" w:hAnsi="宋体" w:cs="宋体" w:eastAsia="宋体" w:hint="default"/>
                <w:sz w:val="21"/>
                <w:szCs w:val="21"/>
              </w:rPr>
              <w:t>期末 公允价值</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5" w:right="0"/>
              <w:jc w:val="left"/>
              <w:rPr>
                <w:rFonts w:ascii="宋体" w:hAnsi="宋体" w:cs="宋体" w:eastAsia="宋体" w:hint="default"/>
                <w:sz w:val="21"/>
                <w:szCs w:val="21"/>
              </w:rPr>
            </w:pPr>
            <w:r>
              <w:rPr>
                <w:rFonts w:ascii="宋体" w:hAnsi="宋体" w:cs="宋体" w:eastAsia="宋体" w:hint="default"/>
                <w:sz w:val="21"/>
                <w:szCs w:val="21"/>
              </w:rPr>
              <w:t>公允价值相</w:t>
            </w:r>
          </w:p>
          <w:p>
            <w:pPr>
              <w:pStyle w:val="TableParagraph"/>
              <w:spacing w:line="273" w:lineRule="auto" w:before="37"/>
              <w:ind w:left="102" w:right="0" w:firstLine="93"/>
              <w:jc w:val="left"/>
              <w:rPr>
                <w:rFonts w:ascii="宋体" w:hAnsi="宋体" w:cs="宋体" w:eastAsia="宋体" w:hint="default"/>
                <w:sz w:val="21"/>
                <w:szCs w:val="21"/>
              </w:rPr>
            </w:pPr>
            <w:r>
              <w:rPr>
                <w:rFonts w:ascii="宋体" w:hAnsi="宋体" w:cs="宋体" w:eastAsia="宋体" w:hint="default"/>
                <w:sz w:val="21"/>
                <w:szCs w:val="21"/>
              </w:rPr>
              <w:t>对于成本的 </w:t>
            </w:r>
            <w:r>
              <w:rPr>
                <w:rFonts w:ascii="宋体" w:hAnsi="宋体" w:cs="宋体" w:eastAsia="宋体" w:hint="default"/>
                <w:spacing w:val="-5"/>
                <w:sz w:val="21"/>
                <w:szCs w:val="21"/>
              </w:rPr>
              <w:t>下跌幅度（%）</w:t>
            </w:r>
            <w:r>
              <w:rPr>
                <w:rFonts w:ascii="宋体" w:hAnsi="宋体" w:cs="宋体" w:eastAsia="宋体" w:hint="default"/>
                <w:sz w:val="21"/>
                <w:szCs w:val="21"/>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持续下跌</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时间</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（个月）</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435" w:right="121" w:hanging="316"/>
              <w:jc w:val="left"/>
              <w:rPr>
                <w:rFonts w:ascii="宋体" w:hAnsi="宋体" w:cs="宋体" w:eastAsia="宋体" w:hint="default"/>
                <w:sz w:val="21"/>
                <w:szCs w:val="21"/>
              </w:rPr>
            </w:pPr>
            <w:r>
              <w:rPr>
                <w:rFonts w:ascii="宋体" w:hAnsi="宋体" w:cs="宋体" w:eastAsia="宋体" w:hint="default"/>
                <w:sz w:val="21"/>
                <w:szCs w:val="21"/>
              </w:rPr>
              <w:t>已计提减值 金额</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458" w:right="144" w:hanging="315"/>
              <w:jc w:val="left"/>
              <w:rPr>
                <w:rFonts w:ascii="宋体" w:hAnsi="宋体" w:cs="宋体" w:eastAsia="宋体" w:hint="default"/>
                <w:sz w:val="21"/>
                <w:szCs w:val="21"/>
              </w:rPr>
            </w:pPr>
            <w:r>
              <w:rPr>
                <w:rFonts w:ascii="宋体" w:hAnsi="宋体" w:cs="宋体" w:eastAsia="宋体" w:hint="default"/>
                <w:sz w:val="21"/>
                <w:szCs w:val="21"/>
              </w:rPr>
              <w:t>未计提减值 原因</w:t>
            </w:r>
          </w:p>
        </w:tc>
      </w:tr>
      <w:tr>
        <w:trPr>
          <w:trHeight w:val="322" w:hRule="exact"/>
        </w:trPr>
        <w:tc>
          <w:tcPr>
            <w:tcW w:w="128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28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6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b/>
          <w:bCs/>
          <w:sz w:val="20"/>
          <w:szCs w:val="20"/>
        </w:rPr>
      </w:pPr>
    </w:p>
    <w:p>
      <w:pPr>
        <w:pStyle w:val="BodyText"/>
        <w:spacing w:line="240" w:lineRule="auto" w:before="35"/>
        <w:ind w:right="114"/>
        <w:jc w:val="left"/>
      </w:pPr>
      <w:r>
        <w:rPr/>
        <w:t>其他说明</w:t>
      </w:r>
    </w:p>
    <w:p>
      <w:pPr>
        <w:spacing w:after="0" w:line="240" w:lineRule="auto"/>
        <w:jc w:val="left"/>
        <w:sectPr>
          <w:pgSz w:w="11910" w:h="16840"/>
          <w:pgMar w:header="0" w:footer="1197" w:top="1120" w:bottom="1380" w:left="1580" w:right="1040"/>
        </w:sectPr>
      </w:pPr>
    </w:p>
    <w:p>
      <w:pPr>
        <w:spacing w:line="240" w:lineRule="auto" w:before="4"/>
        <w:rPr>
          <w:rFonts w:ascii="宋体" w:hAnsi="宋体" w:cs="宋体" w:eastAsia="宋体" w:hint="default"/>
          <w:sz w:val="25"/>
          <w:szCs w:val="25"/>
        </w:rPr>
      </w:pPr>
    </w:p>
    <w:p>
      <w:pPr>
        <w:pStyle w:val="BodyText"/>
        <w:spacing w:line="348" w:lineRule="auto" w:before="35"/>
        <w:ind w:right="252" w:firstLine="199"/>
        <w:jc w:val="both"/>
      </w:pPr>
      <w:r>
        <w:rPr/>
        <w:t>1、本公司持有上海国君创投证鋆一号股权投资合伙企业（有限合伙）</w:t>
      </w:r>
      <w:r>
        <w:rPr>
          <w:rFonts w:ascii="Times New Roman" w:hAnsi="Times New Roman" w:cs="Times New Roman" w:eastAsia="Times New Roman" w:hint="default"/>
        </w:rPr>
        <w:t>29.997%</w:t>
      </w:r>
      <w:r>
        <w:rPr/>
        <w:t>的权益，但按照 合伙协议约定：本公司作为有限合伙人不参与合伙企业的管理、经营，并且在与合伙企业管理和 经营的相关事务中无权代表合伙企业，对其不构成重大影响。</w:t>
      </w:r>
    </w:p>
    <w:p>
      <w:pPr>
        <w:pStyle w:val="BodyText"/>
        <w:spacing w:line="273" w:lineRule="auto" w:before="58"/>
        <w:ind w:right="252"/>
        <w:jc w:val="both"/>
      </w:pPr>
      <w:r>
        <w:rPr>
          <w:spacing w:val="-3"/>
        </w:rPr>
        <w:t>2、对中融子午（北京）资产管理有限公司投资全额计提坏账准备，主要系中融子午（北京）资产</w:t>
      </w:r>
      <w:r>
        <w:rPr>
          <w:spacing w:val="-72"/>
        </w:rPr>
        <w:t> </w:t>
      </w:r>
      <w:r>
        <w:rPr>
          <w:spacing w:val="-72"/>
        </w:rPr>
      </w:r>
      <w:r>
        <w:rPr/>
        <w:t>管理有限公司当期发生严重亏损，净资产出现较大负数。没有客观证据表明中融子午此状况为暂 时性的亏损、未来期间会有向好趋势。</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7" w:top="1120" w:bottom="1380" w:left="1580" w:right="1020"/>
        </w:sectPr>
      </w:pPr>
    </w:p>
    <w:p>
      <w:pPr>
        <w:pStyle w:val="Heading3"/>
        <w:spacing w:line="324" w:lineRule="auto"/>
        <w:ind w:right="0"/>
        <w:jc w:val="left"/>
        <w:rPr>
          <w:b w:val="0"/>
          <w:bCs w:val="0"/>
        </w:rPr>
      </w:pPr>
      <w:r>
        <w:rPr/>
        <w:t>15、</w:t>
      </w:r>
      <w:r>
        <w:rPr>
          <w:spacing w:val="-26"/>
        </w:rPr>
        <w:t> </w:t>
      </w:r>
      <w:r>
        <w:rPr/>
        <w:t>持有至到期投资</w:t>
      </w:r>
      <w:r>
        <w:rPr>
          <w:w w:val="99"/>
        </w:rPr>
        <w:t> </w:t>
      </w:r>
      <w:r>
        <w:rPr>
          <w:w w:val="95"/>
        </w:rPr>
        <w:t>(1).持有至到期投资情况：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pStyle w:val="BodyText"/>
        <w:tabs>
          <w:tab w:pos="1267" w:val="left" w:leader="none"/>
        </w:tabs>
        <w:spacing w:line="240" w:lineRule="auto"/>
        <w:ind w:right="0"/>
        <w:jc w:val="left"/>
      </w:pPr>
      <w:r>
        <w:rPr/>
        <w:t>单位：元</w:t>
        <w:tab/>
        <w:t>币种：人民币</w:t>
      </w:r>
    </w:p>
    <w:p>
      <w:pPr>
        <w:spacing w:after="0" w:line="240" w:lineRule="auto"/>
        <w:jc w:val="left"/>
        <w:sectPr>
          <w:type w:val="continuous"/>
          <w:pgSz w:w="11910" w:h="16840"/>
          <w:pgMar w:top="1080" w:bottom="1380" w:left="1580" w:right="1020"/>
          <w:cols w:num="2" w:equalWidth="0">
            <w:col w:w="2750" w:space="3773"/>
            <w:col w:w="2787"/>
          </w:cols>
        </w:sectPr>
      </w:pPr>
    </w:p>
    <w:p>
      <w:pPr>
        <w:spacing w:line="240" w:lineRule="auto" w:before="13"/>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1759"/>
        <w:gridCol w:w="1260"/>
        <w:gridCol w:w="1130"/>
        <w:gridCol w:w="1178"/>
        <w:gridCol w:w="1247"/>
        <w:gridCol w:w="1156"/>
        <w:gridCol w:w="1165"/>
      </w:tblGrid>
      <w:tr>
        <w:trPr>
          <w:trHeight w:val="328" w:hRule="exact"/>
        </w:trPr>
        <w:tc>
          <w:tcPr>
            <w:tcW w:w="1759" w:type="dxa"/>
            <w:vMerge w:val="restart"/>
            <w:tcBorders>
              <w:top w:val="single" w:sz="6" w:space="0" w:color="000000"/>
              <w:left w:val="single" w:sz="6" w:space="0" w:color="000000"/>
              <w:right w:val="single" w:sz="6" w:space="0" w:color="000000"/>
            </w:tcBorders>
          </w:tcPr>
          <w:p>
            <w:pPr>
              <w:pStyle w:val="TableParagraph"/>
              <w:spacing w:line="240" w:lineRule="auto" w:before="14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68"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6" w:hRule="exact"/>
        </w:trPr>
        <w:tc>
          <w:tcPr>
            <w:tcW w:w="1759" w:type="dxa"/>
            <w:vMerge/>
            <w:tcBorders>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0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3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6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9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4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5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28" w:hRule="exact"/>
        </w:trPr>
        <w:tc>
          <w:tcPr>
            <w:tcW w:w="1759"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759"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0"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0"/>
          <w:szCs w:val="20"/>
        </w:rPr>
      </w:pPr>
    </w:p>
    <w:p>
      <w:pPr>
        <w:pStyle w:val="Heading3"/>
        <w:spacing w:line="240" w:lineRule="auto"/>
        <w:ind w:right="113"/>
        <w:jc w:val="left"/>
        <w:rPr>
          <w:b w:val="0"/>
          <w:bCs w:val="0"/>
        </w:rPr>
      </w:pPr>
      <w:r>
        <w:rPr/>
        <w:t>(2).期末重要的持有至到期投资：</w:t>
      </w:r>
      <w:r>
        <w:rPr>
          <w:b w:val="0"/>
          <w:bCs w:val="0"/>
        </w:rPr>
      </w:r>
    </w:p>
    <w:p>
      <w:pPr>
        <w:pStyle w:val="BodyText"/>
        <w:tabs>
          <w:tab w:pos="1049" w:val="left" w:leader="none"/>
        </w:tabs>
        <w:spacing w:line="240" w:lineRule="auto" w:before="37"/>
        <w:ind w:left="0" w:right="25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2706"/>
        <w:gridCol w:w="1567"/>
        <w:gridCol w:w="1456"/>
        <w:gridCol w:w="1475"/>
        <w:gridCol w:w="1692"/>
      </w:tblGrid>
      <w:tr>
        <w:trPr>
          <w:trHeight w:val="328" w:hRule="exact"/>
        </w:trPr>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债券项目</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面值</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票面利率</w:t>
            </w: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实际利率</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到期日</w:t>
            </w:r>
          </w:p>
        </w:tc>
      </w:tr>
      <w:tr>
        <w:trPr>
          <w:trHeight w:val="326" w:hRule="exact"/>
        </w:trPr>
        <w:tc>
          <w:tcPr>
            <w:tcW w:w="270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70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67"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w:t>
            </w: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
              <w:jc w:val="center"/>
              <w:rPr>
                <w:rFonts w:ascii="宋体" w:hAnsi="宋体" w:cs="宋体" w:eastAsia="宋体" w:hint="default"/>
                <w:sz w:val="21"/>
                <w:szCs w:val="21"/>
              </w:rPr>
            </w:pPr>
            <w:r>
              <w:rPr>
                <w:rFonts w:ascii="宋体"/>
                <w:sz w:val="21"/>
              </w:rPr>
              <w:t>/</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20"/>
          <w:szCs w:val="20"/>
        </w:rPr>
      </w:pPr>
    </w:p>
    <w:p>
      <w:pPr>
        <w:pStyle w:val="Heading3"/>
        <w:spacing w:line="240" w:lineRule="auto"/>
        <w:ind w:right="113"/>
        <w:jc w:val="left"/>
        <w:rPr>
          <w:b w:val="0"/>
          <w:bCs w:val="0"/>
        </w:rPr>
      </w:pPr>
      <w:r>
        <w:rPr/>
        <w:t>(3).本期重分类的持有至到期投资：</w:t>
      </w:r>
      <w:r>
        <w:rPr>
          <w:b w:val="0"/>
          <w:bCs w:val="0"/>
        </w:rPr>
      </w:r>
    </w:p>
    <w:p>
      <w:pPr>
        <w:spacing w:line="240" w:lineRule="auto" w:before="13"/>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22"/>
          <w:szCs w:val="22"/>
        </w:rPr>
      </w:pPr>
    </w:p>
    <w:p>
      <w:pPr>
        <w:pStyle w:val="BodyText"/>
        <w:spacing w:line="240" w:lineRule="auto" w:before="35"/>
        <w:ind w:right="113"/>
        <w:jc w:val="left"/>
      </w:pPr>
      <w:r>
        <w:rPr/>
        <w:t>其他说明：</w:t>
      </w:r>
    </w:p>
    <w:p>
      <w:pPr>
        <w:spacing w:line="240" w:lineRule="auto" w:before="13"/>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80" w:bottom="1380" w:left="1580" w:right="1020"/>
        </w:sectPr>
      </w:pPr>
    </w:p>
    <w:p>
      <w:pPr>
        <w:pStyle w:val="Heading3"/>
        <w:spacing w:line="240" w:lineRule="auto" w:before="75"/>
        <w:ind w:right="-16"/>
        <w:jc w:val="left"/>
        <w:rPr>
          <w:b w:val="0"/>
          <w:bCs w:val="0"/>
        </w:rPr>
      </w:pPr>
      <w:r>
        <w:rPr/>
        <w:t>16、</w:t>
      </w:r>
      <w:r>
        <w:rPr>
          <w:spacing w:val="-28"/>
        </w:rPr>
        <w:t> </w:t>
      </w:r>
      <w:r>
        <w:rPr/>
        <w:t>长期应收款</w:t>
      </w:r>
      <w:r>
        <w:rPr>
          <w:b w:val="0"/>
          <w:bCs w:val="0"/>
        </w:rPr>
      </w:r>
    </w:p>
    <w:p>
      <w:pPr>
        <w:pStyle w:val="Heading3"/>
        <w:spacing w:line="240" w:lineRule="auto" w:before="97"/>
        <w:ind w:right="-16"/>
        <w:jc w:val="left"/>
        <w:rPr>
          <w:b w:val="0"/>
          <w:bCs w:val="0"/>
        </w:rPr>
      </w:pPr>
      <w:r>
        <w:rPr/>
        <w:t>(1)</w:t>
      </w:r>
      <w:r>
        <w:rPr>
          <w:spacing w:val="-7"/>
        </w:rPr>
        <w:t> </w:t>
      </w:r>
      <w:r>
        <w:rPr/>
        <w:t>长期应收款情况：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2"/>
          <w:szCs w:val="22"/>
        </w:rPr>
      </w:pPr>
    </w:p>
    <w:p>
      <w:pPr>
        <w:pStyle w:val="BodyText"/>
        <w:tabs>
          <w:tab w:pos="1267" w:val="left" w:leader="none"/>
        </w:tabs>
        <w:spacing w:line="240" w:lineRule="auto"/>
        <w:ind w:right="0"/>
        <w:jc w:val="left"/>
      </w:pPr>
      <w:r>
        <w:rPr/>
        <w:t>单位：元</w:t>
        <w:tab/>
        <w:t>币种：人民币</w:t>
      </w:r>
    </w:p>
    <w:p>
      <w:pPr>
        <w:spacing w:after="0" w:line="240" w:lineRule="auto"/>
        <w:jc w:val="left"/>
        <w:sectPr>
          <w:type w:val="continuous"/>
          <w:pgSz w:w="11910" w:h="16840"/>
          <w:pgMar w:top="1080" w:bottom="1380" w:left="1580" w:right="1020"/>
          <w:cols w:num="2" w:equalWidth="0">
            <w:col w:w="2325" w:space="4198"/>
            <w:col w:w="2787"/>
          </w:cols>
        </w:sectPr>
      </w:pPr>
    </w:p>
    <w:p>
      <w:pPr>
        <w:spacing w:line="240" w:lineRule="auto" w:before="13"/>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462"/>
        <w:gridCol w:w="1531"/>
        <w:gridCol w:w="398"/>
        <w:gridCol w:w="1532"/>
        <w:gridCol w:w="1531"/>
        <w:gridCol w:w="400"/>
        <w:gridCol w:w="1531"/>
        <w:gridCol w:w="692"/>
      </w:tblGrid>
      <w:tr>
        <w:trPr>
          <w:trHeight w:val="324" w:hRule="exact"/>
        </w:trPr>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62" w:type="dxa"/>
            <w:gridSpan w:val="3"/>
            <w:tcBorders>
              <w:top w:val="single" w:sz="4" w:space="0" w:color="000000"/>
              <w:left w:val="single" w:sz="4" w:space="0" w:color="000000"/>
              <w:bottom w:val="single" w:sz="6"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62" w:type="dxa"/>
            <w:gridSpan w:val="3"/>
            <w:tcBorders>
              <w:top w:val="single" w:sz="4" w:space="0" w:color="000000"/>
              <w:left w:val="single" w:sz="4" w:space="0" w:color="000000"/>
              <w:bottom w:val="single" w:sz="6"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69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130" w:right="129"/>
              <w:jc w:val="both"/>
              <w:rPr>
                <w:rFonts w:ascii="宋体" w:hAnsi="宋体" w:cs="宋体" w:eastAsia="宋体" w:hint="default"/>
                <w:sz w:val="21"/>
                <w:szCs w:val="21"/>
              </w:rPr>
            </w:pPr>
            <w:r>
              <w:rPr>
                <w:rFonts w:ascii="宋体" w:hAnsi="宋体" w:cs="宋体" w:eastAsia="宋体" w:hint="default"/>
                <w:sz w:val="21"/>
                <w:szCs w:val="21"/>
              </w:rPr>
              <w:t>折现 率区 间</w:t>
            </w:r>
          </w:p>
        </w:tc>
      </w:tr>
      <w:tr>
        <w:trPr>
          <w:trHeight w:val="1262" w:hRule="exact"/>
        </w:trPr>
        <w:tc>
          <w:tcPr>
            <w:tcW w:w="1462" w:type="dxa"/>
            <w:vMerge/>
            <w:tcBorders>
              <w:left w:val="single" w:sz="4" w:space="0" w:color="000000"/>
              <w:bottom w:val="single" w:sz="6" w:space="0" w:color="000000"/>
              <w:right w:val="single" w:sz="4" w:space="0" w:color="000000"/>
            </w:tcBorders>
          </w:tcPr>
          <w:p>
            <w:pPr/>
          </w:p>
        </w:tc>
        <w:tc>
          <w:tcPr>
            <w:tcW w:w="153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86" w:right="0"/>
              <w:jc w:val="both"/>
              <w:rPr>
                <w:rFonts w:ascii="宋体" w:hAnsi="宋体" w:cs="宋体" w:eastAsia="宋体" w:hint="default"/>
                <w:sz w:val="21"/>
                <w:szCs w:val="21"/>
              </w:rPr>
            </w:pPr>
            <w:r>
              <w:rPr>
                <w:rFonts w:ascii="宋体" w:hAnsi="宋体" w:cs="宋体" w:eastAsia="宋体" w:hint="default"/>
                <w:sz w:val="21"/>
                <w:szCs w:val="21"/>
              </w:rPr>
              <w:t>坏</w:t>
            </w:r>
          </w:p>
          <w:p>
            <w:pPr>
              <w:pStyle w:val="TableParagraph"/>
              <w:spacing w:line="273" w:lineRule="auto" w:before="37"/>
              <w:ind w:left="86" w:right="85"/>
              <w:jc w:val="both"/>
              <w:rPr>
                <w:rFonts w:ascii="宋体" w:hAnsi="宋体" w:cs="宋体" w:eastAsia="宋体" w:hint="default"/>
                <w:sz w:val="21"/>
                <w:szCs w:val="21"/>
              </w:rPr>
            </w:pPr>
            <w:r>
              <w:rPr>
                <w:rFonts w:ascii="宋体" w:hAnsi="宋体" w:cs="宋体" w:eastAsia="宋体" w:hint="default"/>
                <w:sz w:val="21"/>
                <w:szCs w:val="21"/>
              </w:rPr>
              <w:t>账 准 备</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4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87" w:right="0"/>
              <w:jc w:val="both"/>
              <w:rPr>
                <w:rFonts w:ascii="宋体" w:hAnsi="宋体" w:cs="宋体" w:eastAsia="宋体" w:hint="default"/>
                <w:sz w:val="21"/>
                <w:szCs w:val="21"/>
              </w:rPr>
            </w:pPr>
            <w:r>
              <w:rPr>
                <w:rFonts w:ascii="宋体" w:hAnsi="宋体" w:cs="宋体" w:eastAsia="宋体" w:hint="default"/>
                <w:sz w:val="21"/>
                <w:szCs w:val="21"/>
              </w:rPr>
              <w:t>坏</w:t>
            </w:r>
          </w:p>
          <w:p>
            <w:pPr>
              <w:pStyle w:val="TableParagraph"/>
              <w:spacing w:line="273" w:lineRule="auto" w:before="37"/>
              <w:ind w:left="87" w:right="85"/>
              <w:jc w:val="both"/>
              <w:rPr>
                <w:rFonts w:ascii="宋体" w:hAnsi="宋体" w:cs="宋体" w:eastAsia="宋体" w:hint="default"/>
                <w:sz w:val="21"/>
                <w:szCs w:val="21"/>
              </w:rPr>
            </w:pPr>
            <w:r>
              <w:rPr>
                <w:rFonts w:ascii="宋体" w:hAnsi="宋体" w:cs="宋体" w:eastAsia="宋体" w:hint="default"/>
                <w:sz w:val="21"/>
                <w:szCs w:val="21"/>
              </w:rPr>
              <w:t>账 准 备</w:t>
            </w:r>
          </w:p>
        </w:tc>
        <w:tc>
          <w:tcPr>
            <w:tcW w:w="153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692" w:type="dxa"/>
            <w:vMerge/>
            <w:tcBorders>
              <w:left w:val="single" w:sz="4" w:space="0" w:color="000000"/>
              <w:bottom w:val="single" w:sz="6" w:space="0" w:color="000000"/>
              <w:right w:val="single" w:sz="4" w:space="0" w:color="000000"/>
            </w:tcBorders>
          </w:tcPr>
          <w:p>
            <w:pPr/>
          </w:p>
        </w:tc>
      </w:tr>
      <w:tr>
        <w:trPr>
          <w:trHeight w:val="328" w:hRule="exact"/>
        </w:trPr>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1531"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4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4" w:space="0" w:color="000000"/>
            </w:tcBorders>
          </w:tcPr>
          <w:p>
            <w:pPr/>
          </w:p>
        </w:tc>
        <w:tc>
          <w:tcPr>
            <w:tcW w:w="692" w:type="dxa"/>
            <w:tcBorders>
              <w:top w:val="single" w:sz="6" w:space="0" w:color="000000"/>
              <w:left w:val="single" w:sz="4" w:space="0" w:color="000000"/>
              <w:bottom w:val="single" w:sz="6" w:space="0" w:color="000000"/>
              <w:right w:val="single" w:sz="6" w:space="0" w:color="000000"/>
            </w:tcBorders>
          </w:tcPr>
          <w:p>
            <w:pPr/>
          </w:p>
        </w:tc>
      </w:tr>
      <w:tr>
        <w:trPr>
          <w:trHeight w:val="638" w:hRule="exact"/>
        </w:trPr>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42" w:right="0"/>
              <w:jc w:val="left"/>
              <w:rPr>
                <w:rFonts w:ascii="宋体" w:hAnsi="宋体" w:cs="宋体" w:eastAsia="宋体" w:hint="default"/>
                <w:sz w:val="21"/>
                <w:szCs w:val="21"/>
              </w:rPr>
            </w:pPr>
            <w:r>
              <w:rPr>
                <w:rFonts w:ascii="宋体" w:hAnsi="宋体" w:cs="宋体" w:eastAsia="宋体" w:hint="default"/>
                <w:spacing w:val="-15"/>
                <w:sz w:val="21"/>
                <w:szCs w:val="21"/>
              </w:rPr>
              <w:t>其中：未实</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现融资收益</w:t>
            </w:r>
          </w:p>
        </w:tc>
        <w:tc>
          <w:tcPr>
            <w:tcW w:w="1531"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4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4" w:space="0" w:color="000000"/>
            </w:tcBorders>
          </w:tcPr>
          <w:p>
            <w:pPr/>
          </w:p>
        </w:tc>
        <w:tc>
          <w:tcPr>
            <w:tcW w:w="692" w:type="dxa"/>
            <w:tcBorders>
              <w:top w:val="single" w:sz="6" w:space="0" w:color="000000"/>
              <w:left w:val="single" w:sz="4" w:space="0" w:color="000000"/>
              <w:bottom w:val="single" w:sz="6" w:space="0" w:color="000000"/>
              <w:right w:val="single" w:sz="6" w:space="0" w:color="000000"/>
            </w:tcBorders>
          </w:tcPr>
          <w:p>
            <w:pPr/>
          </w:p>
        </w:tc>
      </w:tr>
      <w:tr>
        <w:trPr>
          <w:trHeight w:val="640" w:hRule="exact"/>
        </w:trPr>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分期收款销售</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531"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4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4" w:space="0" w:color="000000"/>
            </w:tcBorders>
          </w:tcPr>
          <w:p>
            <w:pPr/>
          </w:p>
        </w:tc>
        <w:tc>
          <w:tcPr>
            <w:tcW w:w="692" w:type="dxa"/>
            <w:tcBorders>
              <w:top w:val="single" w:sz="6" w:space="0" w:color="000000"/>
              <w:left w:val="single" w:sz="4" w:space="0" w:color="000000"/>
              <w:bottom w:val="single" w:sz="6" w:space="0" w:color="000000"/>
              <w:right w:val="single" w:sz="6" w:space="0" w:color="000000"/>
            </w:tcBorders>
          </w:tcPr>
          <w:p>
            <w:pPr/>
          </w:p>
        </w:tc>
      </w:tr>
    </w:tbl>
    <w:p>
      <w:pPr>
        <w:spacing w:after="0"/>
        <w:sectPr>
          <w:type w:val="continuous"/>
          <w:pgSz w:w="11910" w:h="16840"/>
          <w:pgMar w:top="1080" w:bottom="1380" w:left="158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462"/>
        <w:gridCol w:w="1531"/>
        <w:gridCol w:w="398"/>
        <w:gridCol w:w="1532"/>
        <w:gridCol w:w="1531"/>
        <w:gridCol w:w="400"/>
        <w:gridCol w:w="1531"/>
        <w:gridCol w:w="692"/>
      </w:tblGrid>
      <w:tr>
        <w:trPr>
          <w:trHeight w:val="638" w:hRule="exact"/>
        </w:trPr>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分期收款提供</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劳务</w:t>
            </w:r>
          </w:p>
        </w:tc>
        <w:tc>
          <w:tcPr>
            <w:tcW w:w="1531"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4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4" w:space="0" w:color="000000"/>
            </w:tcBorders>
          </w:tcPr>
          <w:p>
            <w:pPr/>
          </w:p>
        </w:tc>
        <w:tc>
          <w:tcPr>
            <w:tcW w:w="692" w:type="dxa"/>
            <w:tcBorders>
              <w:top w:val="single" w:sz="6" w:space="0" w:color="000000"/>
              <w:left w:val="single" w:sz="4" w:space="0" w:color="000000"/>
              <w:bottom w:val="single" w:sz="6" w:space="0" w:color="000000"/>
              <w:right w:val="single" w:sz="6" w:space="0" w:color="000000"/>
            </w:tcBorders>
          </w:tcPr>
          <w:p>
            <w:pPr/>
          </w:p>
        </w:tc>
      </w:tr>
      <w:tr>
        <w:trPr>
          <w:trHeight w:val="328" w:hRule="exact"/>
        </w:trPr>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BT</w:t>
            </w:r>
            <w:r>
              <w:rPr>
                <w:rFonts w:ascii="宋体" w:hAnsi="宋体" w:cs="宋体" w:eastAsia="宋体" w:hint="default"/>
                <w:spacing w:val="-52"/>
                <w:sz w:val="21"/>
                <w:szCs w:val="21"/>
              </w:rPr>
              <w:t> </w:t>
            </w:r>
            <w:r>
              <w:rPr>
                <w:rFonts w:ascii="宋体" w:hAnsi="宋体" w:cs="宋体" w:eastAsia="宋体" w:hint="default"/>
                <w:sz w:val="21"/>
                <w:szCs w:val="21"/>
              </w:rPr>
              <w:t>项目款项</w:t>
            </w:r>
          </w:p>
        </w:tc>
        <w:tc>
          <w:tcPr>
            <w:tcW w:w="1531"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4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4" w:space="0" w:color="000000"/>
            </w:tcBorders>
          </w:tcPr>
          <w:p>
            <w:pPr/>
          </w:p>
        </w:tc>
        <w:tc>
          <w:tcPr>
            <w:tcW w:w="692" w:type="dxa"/>
            <w:tcBorders>
              <w:top w:val="single" w:sz="6" w:space="0" w:color="000000"/>
              <w:left w:val="single" w:sz="4" w:space="0" w:color="000000"/>
              <w:bottom w:val="single" w:sz="6" w:space="0" w:color="000000"/>
              <w:right w:val="single" w:sz="6" w:space="0" w:color="000000"/>
            </w:tcBorders>
          </w:tcPr>
          <w:p>
            <w:pPr/>
          </w:p>
        </w:tc>
      </w:tr>
      <w:tr>
        <w:trPr>
          <w:trHeight w:val="950" w:hRule="exact"/>
        </w:trPr>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1、洪雅县基础</w:t>
            </w:r>
          </w:p>
          <w:p>
            <w:pPr>
              <w:pStyle w:val="TableParagraph"/>
              <w:spacing w:line="273" w:lineRule="auto" w:before="37"/>
              <w:ind w:left="22" w:right="58"/>
              <w:jc w:val="left"/>
              <w:rPr>
                <w:rFonts w:ascii="宋体" w:hAnsi="宋体" w:cs="宋体" w:eastAsia="宋体" w:hint="default"/>
                <w:sz w:val="21"/>
                <w:szCs w:val="21"/>
              </w:rPr>
            </w:pPr>
            <w:r>
              <w:rPr>
                <w:rFonts w:ascii="宋体" w:hAnsi="宋体" w:cs="宋体" w:eastAsia="宋体" w:hint="default"/>
                <w:sz w:val="21"/>
                <w:szCs w:val="21"/>
              </w:rPr>
              <w:t>设施建设</w:t>
            </w:r>
            <w:r>
              <w:rPr>
                <w:rFonts w:ascii="宋体" w:hAnsi="宋体" w:cs="宋体" w:eastAsia="宋体" w:hint="default"/>
                <w:spacing w:val="-55"/>
                <w:sz w:val="21"/>
                <w:szCs w:val="21"/>
              </w:rPr>
              <w:t> </w:t>
            </w:r>
            <w:r>
              <w:rPr>
                <w:rFonts w:ascii="宋体" w:hAnsi="宋体" w:cs="宋体" w:eastAsia="宋体" w:hint="default"/>
                <w:sz w:val="21"/>
                <w:szCs w:val="21"/>
              </w:rPr>
              <w:t>BT</w:t>
            </w:r>
            <w:r>
              <w:rPr>
                <w:rFonts w:ascii="宋体" w:hAnsi="宋体" w:cs="宋体" w:eastAsia="宋体" w:hint="default"/>
                <w:spacing w:val="-55"/>
                <w:sz w:val="21"/>
                <w:szCs w:val="21"/>
              </w:rPr>
              <w:t> </w:t>
            </w:r>
            <w:r>
              <w:rPr>
                <w:rFonts w:ascii="宋体" w:hAnsi="宋体" w:cs="宋体" w:eastAsia="宋体" w:hint="default"/>
                <w:sz w:val="21"/>
                <w:szCs w:val="21"/>
              </w:rPr>
              <w:t>项</w:t>
            </w:r>
            <w:r>
              <w:rPr>
                <w:rFonts w:ascii="宋体" w:hAnsi="宋体" w:cs="宋体" w:eastAsia="宋体" w:hint="default"/>
                <w:sz w:val="21"/>
                <w:szCs w:val="21"/>
              </w:rPr>
              <w:t> 目</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43,909,871.47</w:t>
            </w:r>
          </w:p>
        </w:tc>
        <w:tc>
          <w:tcPr>
            <w:tcW w:w="398"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2"/>
              <w:jc w:val="right"/>
              <w:rPr>
                <w:rFonts w:ascii="宋体" w:hAnsi="宋体" w:cs="宋体" w:eastAsia="宋体" w:hint="default"/>
                <w:sz w:val="21"/>
                <w:szCs w:val="21"/>
              </w:rPr>
            </w:pPr>
            <w:r>
              <w:rPr>
                <w:rFonts w:ascii="宋体"/>
                <w:spacing w:val="-1"/>
                <w:sz w:val="21"/>
              </w:rPr>
              <w:t>43,909,871.47</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59,150,511.56</w:t>
            </w:r>
          </w:p>
        </w:tc>
        <w:tc>
          <w:tcPr>
            <w:tcW w:w="4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pacing w:val="-1"/>
                <w:sz w:val="21"/>
              </w:rPr>
              <w:t>59,150,511.56</w:t>
            </w:r>
          </w:p>
        </w:tc>
        <w:tc>
          <w:tcPr>
            <w:tcW w:w="692" w:type="dxa"/>
            <w:tcBorders>
              <w:top w:val="single" w:sz="6" w:space="0" w:color="000000"/>
              <w:left w:val="single" w:sz="4" w:space="0" w:color="000000"/>
              <w:bottom w:val="single" w:sz="6" w:space="0" w:color="000000"/>
              <w:right w:val="single" w:sz="6" w:space="0" w:color="000000"/>
            </w:tcBorders>
          </w:tcPr>
          <w:p>
            <w:pPr/>
          </w:p>
        </w:tc>
      </w:tr>
      <w:tr>
        <w:trPr>
          <w:trHeight w:val="640" w:hRule="exact"/>
        </w:trPr>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7" w:right="0"/>
              <w:jc w:val="left"/>
              <w:rPr>
                <w:rFonts w:ascii="宋体" w:hAnsi="宋体" w:cs="宋体" w:eastAsia="宋体" w:hint="default"/>
                <w:sz w:val="21"/>
                <w:szCs w:val="21"/>
              </w:rPr>
            </w:pPr>
            <w:r>
              <w:rPr>
                <w:rFonts w:ascii="宋体" w:hAnsi="宋体" w:cs="宋体" w:eastAsia="宋体" w:hint="default"/>
                <w:sz w:val="21"/>
                <w:szCs w:val="21"/>
              </w:rPr>
              <w:t>其中：工</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程支出等余额</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
              <w:jc w:val="right"/>
              <w:rPr>
                <w:rFonts w:ascii="宋体" w:hAnsi="宋体" w:cs="宋体" w:eastAsia="宋体" w:hint="default"/>
                <w:sz w:val="21"/>
                <w:szCs w:val="21"/>
              </w:rPr>
            </w:pPr>
            <w:r>
              <w:rPr>
                <w:rFonts w:ascii="宋体"/>
                <w:spacing w:val="-1"/>
                <w:sz w:val="21"/>
              </w:rPr>
              <w:t>29,300,895.72</w:t>
            </w:r>
          </w:p>
        </w:tc>
        <w:tc>
          <w:tcPr>
            <w:tcW w:w="398"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2"/>
              <w:jc w:val="right"/>
              <w:rPr>
                <w:rFonts w:ascii="宋体" w:hAnsi="宋体" w:cs="宋体" w:eastAsia="宋体" w:hint="default"/>
                <w:sz w:val="21"/>
                <w:szCs w:val="21"/>
              </w:rPr>
            </w:pPr>
            <w:r>
              <w:rPr>
                <w:rFonts w:ascii="宋体"/>
                <w:spacing w:val="-1"/>
                <w:sz w:val="21"/>
              </w:rPr>
              <w:t>29,300,895.72</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
              <w:jc w:val="right"/>
              <w:rPr>
                <w:rFonts w:ascii="宋体" w:hAnsi="宋体" w:cs="宋体" w:eastAsia="宋体" w:hint="default"/>
                <w:sz w:val="21"/>
                <w:szCs w:val="21"/>
              </w:rPr>
            </w:pPr>
            <w:r>
              <w:rPr>
                <w:rFonts w:ascii="宋体"/>
                <w:spacing w:val="-1"/>
                <w:sz w:val="21"/>
              </w:rPr>
              <w:t>45,888,531.72</w:t>
            </w:r>
          </w:p>
        </w:tc>
        <w:tc>
          <w:tcPr>
            <w:tcW w:w="4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4" w:space="0" w:color="000000"/>
            </w:tcBorders>
          </w:tcPr>
          <w:p>
            <w:pPr>
              <w:pStyle w:val="TableParagraph"/>
              <w:spacing w:line="261" w:lineRule="exact"/>
              <w:ind w:right="23"/>
              <w:jc w:val="right"/>
              <w:rPr>
                <w:rFonts w:ascii="宋体" w:hAnsi="宋体" w:cs="宋体" w:eastAsia="宋体" w:hint="default"/>
                <w:sz w:val="21"/>
                <w:szCs w:val="21"/>
              </w:rPr>
            </w:pPr>
            <w:r>
              <w:rPr>
                <w:rFonts w:ascii="宋体"/>
                <w:spacing w:val="-1"/>
                <w:sz w:val="21"/>
              </w:rPr>
              <w:t>45,888,531.72</w:t>
            </w:r>
          </w:p>
        </w:tc>
        <w:tc>
          <w:tcPr>
            <w:tcW w:w="692" w:type="dxa"/>
            <w:tcBorders>
              <w:top w:val="single" w:sz="6" w:space="0" w:color="000000"/>
              <w:left w:val="single" w:sz="4" w:space="0" w:color="000000"/>
              <w:bottom w:val="single" w:sz="6" w:space="0" w:color="000000"/>
              <w:right w:val="single" w:sz="6" w:space="0" w:color="000000"/>
            </w:tcBorders>
          </w:tcPr>
          <w:p>
            <w:pPr/>
          </w:p>
        </w:tc>
      </w:tr>
      <w:tr>
        <w:trPr>
          <w:trHeight w:val="1262" w:hRule="exact"/>
        </w:trPr>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 w:right="0" w:firstLine="1050"/>
              <w:jc w:val="left"/>
              <w:rPr>
                <w:rFonts w:ascii="宋体" w:hAnsi="宋体" w:cs="宋体" w:eastAsia="宋体" w:hint="default"/>
                <w:sz w:val="21"/>
                <w:szCs w:val="21"/>
              </w:rPr>
            </w:pPr>
            <w:r>
              <w:rPr>
                <w:rFonts w:ascii="宋体" w:hAnsi="宋体" w:cs="宋体" w:eastAsia="宋体" w:hint="default"/>
                <w:sz w:val="21"/>
                <w:szCs w:val="21"/>
              </w:rPr>
              <w:t>确</w:t>
            </w:r>
          </w:p>
          <w:p>
            <w:pPr>
              <w:pStyle w:val="TableParagraph"/>
              <w:spacing w:line="273" w:lineRule="auto" w:before="37"/>
              <w:ind w:left="22" w:right="162"/>
              <w:jc w:val="both"/>
              <w:rPr>
                <w:rFonts w:ascii="宋体" w:hAnsi="宋体" w:cs="宋体" w:eastAsia="宋体" w:hint="default"/>
                <w:sz w:val="21"/>
                <w:szCs w:val="21"/>
              </w:rPr>
            </w:pPr>
            <w:r>
              <w:rPr>
                <w:rFonts w:ascii="宋体" w:hAnsi="宋体" w:cs="宋体" w:eastAsia="宋体" w:hint="default"/>
                <w:sz w:val="21"/>
                <w:szCs w:val="21"/>
              </w:rPr>
              <w:t>认的资金占用 费及投资回报 余额</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14,608,975.75</w:t>
            </w:r>
          </w:p>
        </w:tc>
        <w:tc>
          <w:tcPr>
            <w:tcW w:w="398"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2"/>
              <w:jc w:val="right"/>
              <w:rPr>
                <w:rFonts w:ascii="宋体" w:hAnsi="宋体" w:cs="宋体" w:eastAsia="宋体" w:hint="default"/>
                <w:sz w:val="21"/>
                <w:szCs w:val="21"/>
              </w:rPr>
            </w:pPr>
            <w:r>
              <w:rPr>
                <w:rFonts w:ascii="宋体"/>
                <w:spacing w:val="-1"/>
                <w:sz w:val="21"/>
              </w:rPr>
              <w:t>14,608,975.75</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13,261,979.84</w:t>
            </w:r>
          </w:p>
        </w:tc>
        <w:tc>
          <w:tcPr>
            <w:tcW w:w="4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pacing w:val="-1"/>
                <w:sz w:val="21"/>
              </w:rPr>
              <w:t>13,261,979.84</w:t>
            </w:r>
          </w:p>
        </w:tc>
        <w:tc>
          <w:tcPr>
            <w:tcW w:w="692" w:type="dxa"/>
            <w:tcBorders>
              <w:top w:val="single" w:sz="6" w:space="0" w:color="000000"/>
              <w:left w:val="single" w:sz="4" w:space="0" w:color="000000"/>
              <w:bottom w:val="single" w:sz="6" w:space="0" w:color="000000"/>
              <w:right w:val="single" w:sz="6" w:space="0" w:color="000000"/>
            </w:tcBorders>
          </w:tcPr>
          <w:p>
            <w:pPr/>
          </w:p>
        </w:tc>
      </w:tr>
      <w:tr>
        <w:trPr>
          <w:trHeight w:val="1264" w:hRule="exact"/>
        </w:trPr>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2、眉山市“两</w:t>
            </w:r>
          </w:p>
          <w:p>
            <w:pPr>
              <w:pStyle w:val="TableParagraph"/>
              <w:spacing w:line="273" w:lineRule="auto" w:before="37"/>
              <w:ind w:left="22" w:right="58"/>
              <w:jc w:val="left"/>
              <w:rPr>
                <w:rFonts w:ascii="宋体" w:hAnsi="宋体" w:cs="宋体" w:eastAsia="宋体" w:hint="default"/>
                <w:sz w:val="21"/>
                <w:szCs w:val="21"/>
              </w:rPr>
            </w:pPr>
            <w:r>
              <w:rPr>
                <w:rFonts w:ascii="宋体" w:hAnsi="宋体" w:cs="宋体" w:eastAsia="宋体" w:hint="default"/>
                <w:sz w:val="21"/>
                <w:szCs w:val="21"/>
              </w:rPr>
              <w:t>宋荣光”眉州 大道改造</w:t>
            </w:r>
            <w:r>
              <w:rPr>
                <w:rFonts w:ascii="宋体" w:hAnsi="宋体" w:cs="宋体" w:eastAsia="宋体" w:hint="default"/>
                <w:spacing w:val="-55"/>
                <w:sz w:val="21"/>
                <w:szCs w:val="21"/>
              </w:rPr>
              <w:t> </w:t>
            </w:r>
            <w:r>
              <w:rPr>
                <w:rFonts w:ascii="宋体" w:hAnsi="宋体" w:cs="宋体" w:eastAsia="宋体" w:hint="default"/>
                <w:sz w:val="21"/>
                <w:szCs w:val="21"/>
              </w:rPr>
              <w:t>BT</w:t>
            </w:r>
            <w:r>
              <w:rPr>
                <w:rFonts w:ascii="宋体" w:hAnsi="宋体" w:cs="宋体" w:eastAsia="宋体" w:hint="default"/>
                <w:spacing w:val="-55"/>
                <w:sz w:val="21"/>
                <w:szCs w:val="21"/>
              </w:rPr>
              <w:t> </w:t>
            </w:r>
            <w:r>
              <w:rPr>
                <w:rFonts w:ascii="宋体" w:hAnsi="宋体" w:cs="宋体" w:eastAsia="宋体" w:hint="default"/>
                <w:sz w:val="21"/>
                <w:szCs w:val="21"/>
              </w:rPr>
              <w:t>项</w:t>
            </w:r>
            <w:r>
              <w:rPr>
                <w:rFonts w:ascii="宋体" w:hAnsi="宋体" w:cs="宋体" w:eastAsia="宋体" w:hint="default"/>
                <w:sz w:val="21"/>
                <w:szCs w:val="21"/>
              </w:rPr>
              <w:t> 目</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2"/>
              <w:jc w:val="right"/>
              <w:rPr>
                <w:rFonts w:ascii="宋体" w:hAnsi="宋体" w:cs="宋体" w:eastAsia="宋体" w:hint="default"/>
                <w:sz w:val="21"/>
                <w:szCs w:val="21"/>
              </w:rPr>
            </w:pPr>
            <w:r>
              <w:rPr>
                <w:rFonts w:ascii="宋体"/>
                <w:spacing w:val="-1"/>
                <w:sz w:val="21"/>
              </w:rPr>
              <w:t>265,358,909.36</w:t>
            </w:r>
            <w:r>
              <w:rPr>
                <w:rFonts w:ascii="宋体"/>
                <w:sz w:val="21"/>
              </w:rPr>
            </w:r>
          </w:p>
        </w:tc>
        <w:tc>
          <w:tcPr>
            <w:tcW w:w="398"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3"/>
              <w:jc w:val="right"/>
              <w:rPr>
                <w:rFonts w:ascii="宋体" w:hAnsi="宋体" w:cs="宋体" w:eastAsia="宋体" w:hint="default"/>
                <w:sz w:val="21"/>
                <w:szCs w:val="21"/>
              </w:rPr>
            </w:pPr>
            <w:r>
              <w:rPr>
                <w:rFonts w:ascii="宋体"/>
                <w:spacing w:val="-1"/>
                <w:sz w:val="21"/>
              </w:rPr>
              <w:t>265,358,909.36</w:t>
            </w:r>
            <w:r>
              <w:rPr>
                <w:rFonts w:ascii="宋体"/>
                <w:sz w:val="21"/>
              </w:rPr>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2"/>
              <w:jc w:val="right"/>
              <w:rPr>
                <w:rFonts w:ascii="宋体" w:hAnsi="宋体" w:cs="宋体" w:eastAsia="宋体" w:hint="default"/>
                <w:sz w:val="21"/>
                <w:szCs w:val="21"/>
              </w:rPr>
            </w:pPr>
            <w:r>
              <w:rPr>
                <w:rFonts w:ascii="宋体"/>
                <w:spacing w:val="-1"/>
                <w:sz w:val="21"/>
              </w:rPr>
              <w:t>204,656,229.88</w:t>
            </w:r>
            <w:r>
              <w:rPr>
                <w:rFonts w:ascii="宋体"/>
                <w:sz w:val="21"/>
              </w:rPr>
            </w:r>
          </w:p>
        </w:tc>
        <w:tc>
          <w:tcPr>
            <w:tcW w:w="4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pacing w:val="-1"/>
                <w:sz w:val="21"/>
              </w:rPr>
              <w:t>204,656,229.88</w:t>
            </w:r>
            <w:r>
              <w:rPr>
                <w:rFonts w:ascii="宋体"/>
                <w:sz w:val="21"/>
              </w:rPr>
            </w:r>
          </w:p>
        </w:tc>
        <w:tc>
          <w:tcPr>
            <w:tcW w:w="692" w:type="dxa"/>
            <w:tcBorders>
              <w:top w:val="single" w:sz="6" w:space="0" w:color="000000"/>
              <w:left w:val="single" w:sz="4" w:space="0" w:color="000000"/>
              <w:bottom w:val="single" w:sz="6" w:space="0" w:color="000000"/>
              <w:right w:val="single" w:sz="6" w:space="0" w:color="000000"/>
            </w:tcBorders>
          </w:tcPr>
          <w:p>
            <w:pPr/>
          </w:p>
        </w:tc>
      </w:tr>
      <w:tr>
        <w:trPr>
          <w:trHeight w:val="638" w:hRule="exact"/>
        </w:trPr>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47" w:right="0"/>
              <w:jc w:val="left"/>
              <w:rPr>
                <w:rFonts w:ascii="宋体" w:hAnsi="宋体" w:cs="宋体" w:eastAsia="宋体" w:hint="default"/>
                <w:sz w:val="21"/>
                <w:szCs w:val="21"/>
              </w:rPr>
            </w:pPr>
            <w:r>
              <w:rPr>
                <w:rFonts w:ascii="宋体" w:hAnsi="宋体" w:cs="宋体" w:eastAsia="宋体" w:hint="default"/>
                <w:sz w:val="21"/>
                <w:szCs w:val="21"/>
              </w:rPr>
              <w:t>其中：工</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程支出等余额</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2"/>
              <w:jc w:val="right"/>
              <w:rPr>
                <w:rFonts w:ascii="宋体" w:hAnsi="宋体" w:cs="宋体" w:eastAsia="宋体" w:hint="default"/>
                <w:sz w:val="21"/>
                <w:szCs w:val="21"/>
              </w:rPr>
            </w:pPr>
            <w:r>
              <w:rPr>
                <w:rFonts w:ascii="宋体"/>
                <w:spacing w:val="-1"/>
                <w:sz w:val="21"/>
              </w:rPr>
              <w:t>202,088,074.35</w:t>
            </w:r>
            <w:r>
              <w:rPr>
                <w:rFonts w:ascii="宋体"/>
                <w:sz w:val="21"/>
              </w:rPr>
            </w:r>
          </w:p>
        </w:tc>
        <w:tc>
          <w:tcPr>
            <w:tcW w:w="398"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3"/>
              <w:jc w:val="right"/>
              <w:rPr>
                <w:rFonts w:ascii="宋体" w:hAnsi="宋体" w:cs="宋体" w:eastAsia="宋体" w:hint="default"/>
                <w:sz w:val="21"/>
                <w:szCs w:val="21"/>
              </w:rPr>
            </w:pPr>
            <w:r>
              <w:rPr>
                <w:rFonts w:ascii="宋体"/>
                <w:spacing w:val="-1"/>
                <w:sz w:val="21"/>
              </w:rPr>
              <w:t>202,088,074.35</w:t>
            </w:r>
            <w:r>
              <w:rPr>
                <w:rFonts w:ascii="宋体"/>
                <w:sz w:val="21"/>
              </w:rPr>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2"/>
              <w:jc w:val="right"/>
              <w:rPr>
                <w:rFonts w:ascii="宋体" w:hAnsi="宋体" w:cs="宋体" w:eastAsia="宋体" w:hint="default"/>
                <w:sz w:val="21"/>
                <w:szCs w:val="21"/>
              </w:rPr>
            </w:pPr>
            <w:r>
              <w:rPr>
                <w:rFonts w:ascii="宋体"/>
                <w:spacing w:val="-1"/>
                <w:sz w:val="21"/>
              </w:rPr>
              <w:t>169,277,150.58</w:t>
            </w:r>
            <w:r>
              <w:rPr>
                <w:rFonts w:ascii="宋体"/>
                <w:sz w:val="21"/>
              </w:rPr>
            </w:r>
          </w:p>
        </w:tc>
        <w:tc>
          <w:tcPr>
            <w:tcW w:w="4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pacing w:val="-1"/>
                <w:sz w:val="21"/>
              </w:rPr>
              <w:t>169,277,150.58</w:t>
            </w:r>
            <w:r>
              <w:rPr>
                <w:rFonts w:ascii="宋体"/>
                <w:sz w:val="21"/>
              </w:rPr>
            </w:r>
          </w:p>
        </w:tc>
        <w:tc>
          <w:tcPr>
            <w:tcW w:w="692" w:type="dxa"/>
            <w:tcBorders>
              <w:top w:val="single" w:sz="6" w:space="0" w:color="000000"/>
              <w:left w:val="single" w:sz="4" w:space="0" w:color="000000"/>
              <w:bottom w:val="single" w:sz="6" w:space="0" w:color="000000"/>
              <w:right w:val="single" w:sz="6" w:space="0" w:color="000000"/>
            </w:tcBorders>
          </w:tcPr>
          <w:p>
            <w:pPr/>
          </w:p>
        </w:tc>
      </w:tr>
      <w:tr>
        <w:trPr>
          <w:trHeight w:val="952" w:hRule="exact"/>
        </w:trPr>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 w:right="0" w:firstLine="1050"/>
              <w:jc w:val="left"/>
              <w:rPr>
                <w:rFonts w:ascii="宋体" w:hAnsi="宋体" w:cs="宋体" w:eastAsia="宋体" w:hint="default"/>
                <w:sz w:val="21"/>
                <w:szCs w:val="21"/>
              </w:rPr>
            </w:pPr>
            <w:r>
              <w:rPr>
                <w:rFonts w:ascii="宋体" w:hAnsi="宋体" w:cs="宋体" w:eastAsia="宋体" w:hint="default"/>
                <w:sz w:val="21"/>
                <w:szCs w:val="21"/>
              </w:rPr>
              <w:t>资</w:t>
            </w:r>
          </w:p>
          <w:p>
            <w:pPr>
              <w:pStyle w:val="TableParagraph"/>
              <w:spacing w:line="273" w:lineRule="auto" w:before="37"/>
              <w:ind w:left="22" w:right="162"/>
              <w:jc w:val="left"/>
              <w:rPr>
                <w:rFonts w:ascii="宋体" w:hAnsi="宋体" w:cs="宋体" w:eastAsia="宋体" w:hint="default"/>
                <w:sz w:val="21"/>
                <w:szCs w:val="21"/>
              </w:rPr>
            </w:pPr>
            <w:r>
              <w:rPr>
                <w:rFonts w:ascii="宋体" w:hAnsi="宋体" w:cs="宋体" w:eastAsia="宋体" w:hint="default"/>
                <w:sz w:val="21"/>
                <w:szCs w:val="21"/>
              </w:rPr>
              <w:t>金占用费及投 资回报余额</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
              <w:jc w:val="right"/>
              <w:rPr>
                <w:rFonts w:ascii="宋体" w:hAnsi="宋体" w:cs="宋体" w:eastAsia="宋体" w:hint="default"/>
                <w:sz w:val="21"/>
                <w:szCs w:val="21"/>
              </w:rPr>
            </w:pPr>
            <w:r>
              <w:rPr>
                <w:rFonts w:ascii="宋体"/>
                <w:spacing w:val="-1"/>
                <w:sz w:val="21"/>
              </w:rPr>
              <w:t>63,270,835.01</w:t>
            </w:r>
          </w:p>
        </w:tc>
        <w:tc>
          <w:tcPr>
            <w:tcW w:w="398"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2"/>
              <w:jc w:val="right"/>
              <w:rPr>
                <w:rFonts w:ascii="宋体" w:hAnsi="宋体" w:cs="宋体" w:eastAsia="宋体" w:hint="default"/>
                <w:sz w:val="21"/>
                <w:szCs w:val="21"/>
              </w:rPr>
            </w:pPr>
            <w:r>
              <w:rPr>
                <w:rFonts w:ascii="宋体"/>
                <w:spacing w:val="-1"/>
                <w:sz w:val="21"/>
              </w:rPr>
              <w:t>63,270,835.01</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
              <w:jc w:val="right"/>
              <w:rPr>
                <w:rFonts w:ascii="宋体" w:hAnsi="宋体" w:cs="宋体" w:eastAsia="宋体" w:hint="default"/>
                <w:sz w:val="21"/>
                <w:szCs w:val="21"/>
              </w:rPr>
            </w:pPr>
            <w:r>
              <w:rPr>
                <w:rFonts w:ascii="宋体"/>
                <w:spacing w:val="-1"/>
                <w:sz w:val="21"/>
              </w:rPr>
              <w:t>35,379,079.30</w:t>
            </w:r>
          </w:p>
        </w:tc>
        <w:tc>
          <w:tcPr>
            <w:tcW w:w="4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4" w:space="0" w:color="000000"/>
            </w:tcBorders>
          </w:tcPr>
          <w:p>
            <w:pPr>
              <w:pStyle w:val="TableParagraph"/>
              <w:spacing w:line="261" w:lineRule="exact"/>
              <w:ind w:right="23"/>
              <w:jc w:val="right"/>
              <w:rPr>
                <w:rFonts w:ascii="宋体" w:hAnsi="宋体" w:cs="宋体" w:eastAsia="宋体" w:hint="default"/>
                <w:sz w:val="21"/>
                <w:szCs w:val="21"/>
              </w:rPr>
            </w:pPr>
            <w:r>
              <w:rPr>
                <w:rFonts w:ascii="宋体"/>
                <w:spacing w:val="-1"/>
                <w:sz w:val="21"/>
              </w:rPr>
              <w:t>35,379,079.30</w:t>
            </w:r>
          </w:p>
        </w:tc>
        <w:tc>
          <w:tcPr>
            <w:tcW w:w="692"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sz w:val="21"/>
              </w:rPr>
              <w:t>21.77%</w:t>
            </w:r>
          </w:p>
        </w:tc>
      </w:tr>
      <w:tr>
        <w:trPr>
          <w:trHeight w:val="1574" w:hRule="exact"/>
        </w:trPr>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z w:val="21"/>
                <w:szCs w:val="21"/>
              </w:rPr>
              <w:t>3、眉山市“两</w:t>
            </w:r>
          </w:p>
          <w:p>
            <w:pPr>
              <w:pStyle w:val="TableParagraph"/>
              <w:spacing w:line="273" w:lineRule="auto" w:before="37"/>
              <w:ind w:left="22" w:right="162"/>
              <w:jc w:val="both"/>
              <w:rPr>
                <w:rFonts w:ascii="宋体" w:hAnsi="宋体" w:cs="宋体" w:eastAsia="宋体" w:hint="default"/>
                <w:sz w:val="21"/>
                <w:szCs w:val="21"/>
              </w:rPr>
            </w:pPr>
            <w:r>
              <w:rPr>
                <w:rFonts w:ascii="宋体" w:hAnsi="宋体" w:cs="宋体" w:eastAsia="宋体" w:hint="default"/>
                <w:sz w:val="21"/>
                <w:szCs w:val="21"/>
              </w:rPr>
              <w:t>宋荣光”眉州 大道改造工程 “两桥一站” BT</w:t>
            </w:r>
            <w:r>
              <w:rPr>
                <w:rFonts w:ascii="宋体" w:hAnsi="宋体" w:cs="宋体" w:eastAsia="宋体" w:hint="default"/>
                <w:spacing w:val="-52"/>
                <w:sz w:val="21"/>
                <w:szCs w:val="21"/>
              </w:rPr>
              <w:t> </w:t>
            </w:r>
            <w:r>
              <w:rPr>
                <w:rFonts w:ascii="宋体" w:hAnsi="宋体" w:cs="宋体" w:eastAsia="宋体" w:hint="default"/>
                <w:sz w:val="21"/>
                <w:szCs w:val="21"/>
              </w:rPr>
              <w:t>项目</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2"/>
              <w:jc w:val="right"/>
              <w:rPr>
                <w:rFonts w:ascii="宋体" w:hAnsi="宋体" w:cs="宋体" w:eastAsia="宋体" w:hint="default"/>
                <w:sz w:val="21"/>
                <w:szCs w:val="21"/>
              </w:rPr>
            </w:pPr>
            <w:r>
              <w:rPr>
                <w:rFonts w:ascii="宋体"/>
                <w:spacing w:val="-1"/>
                <w:sz w:val="21"/>
              </w:rPr>
              <w:t>197,077,683.77</w:t>
            </w:r>
            <w:r>
              <w:rPr>
                <w:rFonts w:ascii="宋体"/>
                <w:sz w:val="21"/>
              </w:rPr>
            </w:r>
          </w:p>
        </w:tc>
        <w:tc>
          <w:tcPr>
            <w:tcW w:w="398"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3"/>
              <w:jc w:val="right"/>
              <w:rPr>
                <w:rFonts w:ascii="宋体" w:hAnsi="宋体" w:cs="宋体" w:eastAsia="宋体" w:hint="default"/>
                <w:sz w:val="21"/>
                <w:szCs w:val="21"/>
              </w:rPr>
            </w:pPr>
            <w:r>
              <w:rPr>
                <w:rFonts w:ascii="宋体"/>
                <w:spacing w:val="-1"/>
                <w:sz w:val="21"/>
              </w:rPr>
              <w:t>197,077,683.77</w:t>
            </w:r>
            <w:r>
              <w:rPr>
                <w:rFonts w:ascii="宋体"/>
                <w:sz w:val="21"/>
              </w:rPr>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2"/>
              <w:jc w:val="right"/>
              <w:rPr>
                <w:rFonts w:ascii="宋体" w:hAnsi="宋体" w:cs="宋体" w:eastAsia="宋体" w:hint="default"/>
                <w:sz w:val="21"/>
                <w:szCs w:val="21"/>
              </w:rPr>
            </w:pPr>
            <w:r>
              <w:rPr>
                <w:rFonts w:ascii="宋体"/>
                <w:spacing w:val="-1"/>
                <w:sz w:val="21"/>
              </w:rPr>
              <w:t>198,974,803.05</w:t>
            </w:r>
            <w:r>
              <w:rPr>
                <w:rFonts w:ascii="宋体"/>
                <w:sz w:val="21"/>
              </w:rPr>
            </w:r>
          </w:p>
        </w:tc>
        <w:tc>
          <w:tcPr>
            <w:tcW w:w="4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pacing w:val="-1"/>
                <w:sz w:val="21"/>
              </w:rPr>
              <w:t>198,974,803.05</w:t>
            </w:r>
            <w:r>
              <w:rPr>
                <w:rFonts w:ascii="宋体"/>
                <w:sz w:val="21"/>
              </w:rPr>
            </w:r>
          </w:p>
        </w:tc>
        <w:tc>
          <w:tcPr>
            <w:tcW w:w="692" w:type="dxa"/>
            <w:tcBorders>
              <w:top w:val="single" w:sz="6" w:space="0" w:color="000000"/>
              <w:left w:val="single" w:sz="4" w:space="0" w:color="000000"/>
              <w:bottom w:val="single" w:sz="6" w:space="0" w:color="000000"/>
              <w:right w:val="single" w:sz="6" w:space="0" w:color="000000"/>
            </w:tcBorders>
          </w:tcPr>
          <w:p>
            <w:pPr/>
          </w:p>
        </w:tc>
      </w:tr>
      <w:tr>
        <w:trPr>
          <w:trHeight w:val="640" w:hRule="exact"/>
        </w:trPr>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7" w:right="0"/>
              <w:jc w:val="left"/>
              <w:rPr>
                <w:rFonts w:ascii="宋体" w:hAnsi="宋体" w:cs="宋体" w:eastAsia="宋体" w:hint="default"/>
                <w:sz w:val="21"/>
                <w:szCs w:val="21"/>
              </w:rPr>
            </w:pPr>
            <w:r>
              <w:rPr>
                <w:rFonts w:ascii="宋体" w:hAnsi="宋体" w:cs="宋体" w:eastAsia="宋体" w:hint="default"/>
                <w:sz w:val="21"/>
                <w:szCs w:val="21"/>
              </w:rPr>
              <w:t>其中：工</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程支出等余额</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2"/>
              <w:jc w:val="right"/>
              <w:rPr>
                <w:rFonts w:ascii="宋体" w:hAnsi="宋体" w:cs="宋体" w:eastAsia="宋体" w:hint="default"/>
                <w:sz w:val="21"/>
                <w:szCs w:val="21"/>
              </w:rPr>
            </w:pPr>
            <w:r>
              <w:rPr>
                <w:rFonts w:ascii="宋体"/>
                <w:spacing w:val="-1"/>
                <w:sz w:val="21"/>
              </w:rPr>
              <w:t>147,299,158.72</w:t>
            </w:r>
            <w:r>
              <w:rPr>
                <w:rFonts w:ascii="宋体"/>
                <w:sz w:val="21"/>
              </w:rPr>
            </w:r>
          </w:p>
        </w:tc>
        <w:tc>
          <w:tcPr>
            <w:tcW w:w="398"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3"/>
              <w:jc w:val="right"/>
              <w:rPr>
                <w:rFonts w:ascii="宋体" w:hAnsi="宋体" w:cs="宋体" w:eastAsia="宋体" w:hint="default"/>
                <w:sz w:val="21"/>
                <w:szCs w:val="21"/>
              </w:rPr>
            </w:pPr>
            <w:r>
              <w:rPr>
                <w:rFonts w:ascii="宋体"/>
                <w:spacing w:val="-1"/>
                <w:sz w:val="21"/>
              </w:rPr>
              <w:t>147,299,158.72</w:t>
            </w:r>
            <w:r>
              <w:rPr>
                <w:rFonts w:ascii="宋体"/>
                <w:sz w:val="21"/>
              </w:rPr>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2"/>
              <w:jc w:val="right"/>
              <w:rPr>
                <w:rFonts w:ascii="宋体" w:hAnsi="宋体" w:cs="宋体" w:eastAsia="宋体" w:hint="default"/>
                <w:sz w:val="21"/>
                <w:szCs w:val="21"/>
              </w:rPr>
            </w:pPr>
            <w:r>
              <w:rPr>
                <w:rFonts w:ascii="宋体"/>
                <w:spacing w:val="-1"/>
                <w:sz w:val="21"/>
              </w:rPr>
              <w:t>167,104,385.40</w:t>
            </w:r>
            <w:r>
              <w:rPr>
                <w:rFonts w:ascii="宋体"/>
                <w:sz w:val="21"/>
              </w:rPr>
            </w:r>
          </w:p>
        </w:tc>
        <w:tc>
          <w:tcPr>
            <w:tcW w:w="4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pacing w:val="-1"/>
                <w:sz w:val="21"/>
              </w:rPr>
              <w:t>167,104,385.40</w:t>
            </w:r>
            <w:r>
              <w:rPr>
                <w:rFonts w:ascii="宋体"/>
                <w:sz w:val="21"/>
              </w:rPr>
            </w:r>
          </w:p>
        </w:tc>
        <w:tc>
          <w:tcPr>
            <w:tcW w:w="692" w:type="dxa"/>
            <w:tcBorders>
              <w:top w:val="single" w:sz="6" w:space="0" w:color="000000"/>
              <w:left w:val="single" w:sz="4" w:space="0" w:color="000000"/>
              <w:bottom w:val="single" w:sz="6" w:space="0" w:color="000000"/>
              <w:right w:val="single" w:sz="6" w:space="0" w:color="000000"/>
            </w:tcBorders>
          </w:tcPr>
          <w:p>
            <w:pPr/>
          </w:p>
        </w:tc>
      </w:tr>
      <w:tr>
        <w:trPr>
          <w:trHeight w:val="950" w:hRule="exact"/>
        </w:trPr>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177" w:right="0"/>
              <w:jc w:val="left"/>
              <w:rPr>
                <w:rFonts w:ascii="宋体" w:hAnsi="宋体" w:cs="宋体" w:eastAsia="宋体" w:hint="default"/>
                <w:sz w:val="21"/>
                <w:szCs w:val="21"/>
              </w:rPr>
            </w:pPr>
            <w:r>
              <w:rPr>
                <w:rFonts w:ascii="宋体" w:hAnsi="宋体" w:cs="宋体" w:eastAsia="宋体" w:hint="default"/>
                <w:sz w:val="21"/>
                <w:szCs w:val="21"/>
              </w:rPr>
              <w:t>资</w:t>
            </w:r>
          </w:p>
          <w:p>
            <w:pPr>
              <w:pStyle w:val="TableParagraph"/>
              <w:spacing w:line="273" w:lineRule="auto" w:before="37"/>
              <w:ind w:left="22" w:right="162"/>
              <w:jc w:val="left"/>
              <w:rPr>
                <w:rFonts w:ascii="宋体" w:hAnsi="宋体" w:cs="宋体" w:eastAsia="宋体" w:hint="default"/>
                <w:sz w:val="21"/>
                <w:szCs w:val="21"/>
              </w:rPr>
            </w:pPr>
            <w:r>
              <w:rPr>
                <w:rFonts w:ascii="宋体" w:hAnsi="宋体" w:cs="宋体" w:eastAsia="宋体" w:hint="default"/>
                <w:sz w:val="21"/>
                <w:szCs w:val="21"/>
              </w:rPr>
              <w:t>金占用费及投 资回报余额</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49,778,525.05</w:t>
            </w:r>
          </w:p>
        </w:tc>
        <w:tc>
          <w:tcPr>
            <w:tcW w:w="398"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2"/>
              <w:jc w:val="right"/>
              <w:rPr>
                <w:rFonts w:ascii="宋体" w:hAnsi="宋体" w:cs="宋体" w:eastAsia="宋体" w:hint="default"/>
                <w:sz w:val="21"/>
                <w:szCs w:val="21"/>
              </w:rPr>
            </w:pPr>
            <w:r>
              <w:rPr>
                <w:rFonts w:ascii="宋体"/>
                <w:spacing w:val="-1"/>
                <w:sz w:val="21"/>
              </w:rPr>
              <w:t>49,778,525.05</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31,870,417.65</w:t>
            </w:r>
          </w:p>
        </w:tc>
        <w:tc>
          <w:tcPr>
            <w:tcW w:w="4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pacing w:val="-1"/>
                <w:sz w:val="21"/>
              </w:rPr>
              <w:t>31,870,417.65</w:t>
            </w:r>
          </w:p>
        </w:tc>
        <w:tc>
          <w:tcPr>
            <w:tcW w:w="692"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sz w:val="21"/>
              </w:rPr>
              <w:t>22.95%</w:t>
            </w:r>
          </w:p>
        </w:tc>
      </w:tr>
      <w:tr>
        <w:trPr>
          <w:trHeight w:val="328" w:hRule="exact"/>
        </w:trPr>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2"/>
              <w:jc w:val="right"/>
              <w:rPr>
                <w:rFonts w:ascii="宋体" w:hAnsi="宋体" w:cs="宋体" w:eastAsia="宋体" w:hint="default"/>
                <w:sz w:val="21"/>
                <w:szCs w:val="21"/>
              </w:rPr>
            </w:pPr>
            <w:r>
              <w:rPr>
                <w:rFonts w:ascii="宋体"/>
                <w:spacing w:val="-1"/>
                <w:sz w:val="21"/>
              </w:rPr>
              <w:t>506,346,464.60</w:t>
            </w:r>
            <w:r>
              <w:rPr>
                <w:rFonts w:ascii="宋体"/>
                <w:sz w:val="21"/>
              </w:rPr>
            </w:r>
          </w:p>
        </w:tc>
        <w:tc>
          <w:tcPr>
            <w:tcW w:w="398"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3"/>
              <w:jc w:val="right"/>
              <w:rPr>
                <w:rFonts w:ascii="宋体" w:hAnsi="宋体" w:cs="宋体" w:eastAsia="宋体" w:hint="default"/>
                <w:sz w:val="21"/>
                <w:szCs w:val="21"/>
              </w:rPr>
            </w:pPr>
            <w:r>
              <w:rPr>
                <w:rFonts w:ascii="宋体"/>
                <w:spacing w:val="-1"/>
                <w:sz w:val="21"/>
              </w:rPr>
              <w:t>506,346,464.60</w:t>
            </w:r>
            <w:r>
              <w:rPr>
                <w:rFonts w:ascii="宋体"/>
                <w:sz w:val="21"/>
              </w:rPr>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2"/>
              <w:jc w:val="right"/>
              <w:rPr>
                <w:rFonts w:ascii="宋体" w:hAnsi="宋体" w:cs="宋体" w:eastAsia="宋体" w:hint="default"/>
                <w:sz w:val="21"/>
                <w:szCs w:val="21"/>
              </w:rPr>
            </w:pPr>
            <w:r>
              <w:rPr>
                <w:rFonts w:ascii="宋体"/>
                <w:spacing w:val="-1"/>
                <w:sz w:val="21"/>
              </w:rPr>
              <w:t>462,781,544.49</w:t>
            </w:r>
            <w:r>
              <w:rPr>
                <w:rFonts w:ascii="宋体"/>
                <w:sz w:val="21"/>
              </w:rPr>
            </w:r>
          </w:p>
        </w:tc>
        <w:tc>
          <w:tcPr>
            <w:tcW w:w="4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pacing w:val="-1"/>
                <w:sz w:val="21"/>
              </w:rPr>
              <w:t>462,781,544.49</w:t>
            </w:r>
            <w:r>
              <w:rPr>
                <w:rFonts w:ascii="宋体"/>
                <w:sz w:val="21"/>
              </w:rPr>
            </w:r>
          </w:p>
        </w:tc>
        <w:tc>
          <w:tcPr>
            <w:tcW w:w="692"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sz w:val="21"/>
              </w:rPr>
              <w:t>/</w:t>
            </w:r>
          </w:p>
        </w:tc>
      </w:tr>
    </w:tbl>
    <w:p>
      <w:pPr>
        <w:spacing w:line="240" w:lineRule="auto" w:before="8"/>
        <w:rPr>
          <w:rFonts w:ascii="宋体" w:hAnsi="宋体" w:cs="宋体" w:eastAsia="宋体" w:hint="default"/>
          <w:sz w:val="24"/>
          <w:szCs w:val="24"/>
        </w:rPr>
      </w:pPr>
    </w:p>
    <w:p>
      <w:pPr>
        <w:pStyle w:val="Heading3"/>
        <w:spacing w:line="240" w:lineRule="auto"/>
        <w:ind w:right="113"/>
        <w:jc w:val="left"/>
        <w:rPr>
          <w:b w:val="0"/>
          <w:bCs w:val="0"/>
        </w:rPr>
      </w:pPr>
      <w:r>
        <w:rPr/>
        <w:t>(2)</w:t>
      </w:r>
      <w:r>
        <w:rPr>
          <w:spacing w:val="-9"/>
        </w:rPr>
        <w:t> </w:t>
      </w:r>
      <w:r>
        <w:rPr/>
        <w:t>因金融资产转移而终止确认的长期应收款</w:t>
      </w:r>
      <w:r>
        <w:rPr>
          <w:b w:val="0"/>
          <w:bCs w:val="0"/>
        </w:rPr>
      </w:r>
    </w:p>
    <w:p>
      <w:pPr>
        <w:spacing w:line="240" w:lineRule="auto" w:before="7"/>
        <w:rPr>
          <w:rFonts w:ascii="宋体" w:hAnsi="宋体" w:cs="宋体" w:eastAsia="宋体" w:hint="default"/>
          <w:b/>
          <w:bCs/>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26"/>
          <w:szCs w:val="26"/>
        </w:rPr>
      </w:pPr>
    </w:p>
    <w:p>
      <w:pPr>
        <w:pStyle w:val="Heading3"/>
        <w:spacing w:line="240" w:lineRule="auto"/>
        <w:ind w:right="113"/>
        <w:jc w:val="left"/>
        <w:rPr>
          <w:b w:val="0"/>
          <w:bCs w:val="0"/>
        </w:rPr>
      </w:pPr>
      <w:r>
        <w:rPr/>
        <w:t>(3)</w:t>
      </w:r>
      <w:r>
        <w:rPr>
          <w:spacing w:val="-11"/>
        </w:rPr>
        <w:t> </w:t>
      </w:r>
      <w:r>
        <w:rPr/>
        <w:t>转移长期应收款且继续涉入形成的资产、负债金额</w:t>
      </w:r>
      <w:r>
        <w:rPr>
          <w:b w:val="0"/>
          <w:bCs w:val="0"/>
        </w:rPr>
      </w:r>
    </w:p>
    <w:p>
      <w:pPr>
        <w:spacing w:line="240" w:lineRule="auto" w:before="7"/>
        <w:rPr>
          <w:rFonts w:ascii="宋体" w:hAnsi="宋体" w:cs="宋体" w:eastAsia="宋体" w:hint="default"/>
          <w:b/>
          <w:bCs/>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a">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22"/>
          <w:szCs w:val="22"/>
        </w:rPr>
      </w:pPr>
    </w:p>
    <w:p>
      <w:pPr>
        <w:pStyle w:val="BodyText"/>
        <w:spacing w:line="240" w:lineRule="auto" w:before="35"/>
        <w:ind w:right="113"/>
        <w:jc w:val="left"/>
      </w:pPr>
      <w:r>
        <w:rPr/>
        <w:t>其他说明</w:t>
      </w:r>
    </w:p>
    <w:p>
      <w:pPr>
        <w:spacing w:line="240" w:lineRule="auto" w:before="13"/>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7" w:top="1120" w:bottom="1380" w:left="1580" w:right="1020"/>
        </w:sectPr>
      </w:pPr>
    </w:p>
    <w:p>
      <w:pPr>
        <w:spacing w:line="240" w:lineRule="auto" w:before="10"/>
        <w:rPr>
          <w:rFonts w:ascii="宋体" w:hAnsi="宋体" w:cs="宋体" w:eastAsia="宋体" w:hint="default"/>
          <w:sz w:val="26"/>
          <w:szCs w:val="26"/>
        </w:rPr>
      </w:pPr>
    </w:p>
    <w:p>
      <w:pPr>
        <w:pStyle w:val="Heading3"/>
        <w:spacing w:line="240" w:lineRule="auto"/>
        <w:ind w:right="114"/>
        <w:jc w:val="left"/>
        <w:rPr>
          <w:b w:val="0"/>
          <w:bCs w:val="0"/>
        </w:rPr>
      </w:pPr>
      <w:r>
        <w:rPr/>
        <w:t>17、</w:t>
      </w:r>
      <w:r>
        <w:rPr>
          <w:spacing w:val="-29"/>
        </w:rPr>
        <w:t> </w:t>
      </w:r>
      <w:r>
        <w:rPr/>
        <w:t>长期股权投资</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824"/>
        <w:gridCol w:w="757"/>
        <w:gridCol w:w="760"/>
        <w:gridCol w:w="671"/>
        <w:gridCol w:w="787"/>
        <w:gridCol w:w="706"/>
        <w:gridCol w:w="712"/>
        <w:gridCol w:w="784"/>
        <w:gridCol w:w="775"/>
        <w:gridCol w:w="756"/>
        <w:gridCol w:w="770"/>
        <w:gridCol w:w="748"/>
      </w:tblGrid>
      <w:tr>
        <w:trPr>
          <w:trHeight w:val="322" w:hRule="exact"/>
        </w:trPr>
        <w:tc>
          <w:tcPr>
            <w:tcW w:w="824" w:type="dxa"/>
            <w:tcBorders>
              <w:top w:val="single" w:sz="4" w:space="0" w:color="000000"/>
              <w:left w:val="single" w:sz="4" w:space="0" w:color="000000"/>
              <w:bottom w:val="nil" w:sz="6" w:space="0" w:color="auto"/>
              <w:right w:val="single" w:sz="4" w:space="0" w:color="000000"/>
            </w:tcBorders>
          </w:tcPr>
          <w:p>
            <w:pPr/>
          </w:p>
        </w:tc>
        <w:tc>
          <w:tcPr>
            <w:tcW w:w="757" w:type="dxa"/>
            <w:tcBorders>
              <w:top w:val="single" w:sz="4" w:space="0" w:color="000000"/>
              <w:left w:val="single" w:sz="4" w:space="0" w:color="000000"/>
              <w:bottom w:val="nil" w:sz="6" w:space="0" w:color="auto"/>
              <w:right w:val="single" w:sz="4" w:space="0" w:color="000000"/>
            </w:tcBorders>
          </w:tcPr>
          <w:p>
            <w:pPr/>
          </w:p>
        </w:tc>
        <w:tc>
          <w:tcPr>
            <w:tcW w:w="59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70" w:type="dxa"/>
            <w:tcBorders>
              <w:top w:val="single" w:sz="4" w:space="0" w:color="000000"/>
              <w:left w:val="single" w:sz="4" w:space="0" w:color="000000"/>
              <w:bottom w:val="nil" w:sz="6" w:space="0" w:color="auto"/>
              <w:right w:val="single" w:sz="4" w:space="0" w:color="000000"/>
            </w:tcBorders>
          </w:tcPr>
          <w:p>
            <w:pPr/>
          </w:p>
        </w:tc>
        <w:tc>
          <w:tcPr>
            <w:tcW w:w="748" w:type="dxa"/>
            <w:tcBorders>
              <w:top w:val="single" w:sz="4" w:space="0" w:color="000000"/>
              <w:left w:val="single" w:sz="4" w:space="0" w:color="000000"/>
              <w:bottom w:val="nil" w:sz="6" w:space="0" w:color="auto"/>
              <w:right w:val="single" w:sz="4" w:space="0" w:color="000000"/>
            </w:tcBorders>
          </w:tcPr>
          <w:p>
            <w:pPr/>
          </w:p>
        </w:tc>
      </w:tr>
      <w:tr>
        <w:trPr>
          <w:trHeight w:val="1564" w:hRule="exact"/>
        </w:trPr>
        <w:tc>
          <w:tcPr>
            <w:tcW w:w="82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96" w:right="197"/>
              <w:jc w:val="both"/>
              <w:rPr>
                <w:rFonts w:ascii="宋体" w:hAnsi="宋体" w:cs="宋体" w:eastAsia="宋体" w:hint="default"/>
                <w:sz w:val="21"/>
                <w:szCs w:val="21"/>
              </w:rPr>
            </w:pPr>
            <w:r>
              <w:rPr>
                <w:rFonts w:ascii="宋体" w:hAnsi="宋体" w:cs="宋体" w:eastAsia="宋体" w:hint="default"/>
                <w:sz w:val="21"/>
                <w:szCs w:val="21"/>
              </w:rPr>
              <w:t>被投 资单 位</w:t>
            </w:r>
          </w:p>
        </w:tc>
        <w:tc>
          <w:tcPr>
            <w:tcW w:w="75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62" w:right="163"/>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76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163" w:right="164"/>
              <w:jc w:val="left"/>
              <w:rPr>
                <w:rFonts w:ascii="宋体" w:hAnsi="宋体" w:cs="宋体" w:eastAsia="宋体" w:hint="default"/>
                <w:sz w:val="21"/>
                <w:szCs w:val="21"/>
              </w:rPr>
            </w:pPr>
            <w:r>
              <w:rPr>
                <w:rFonts w:ascii="宋体" w:hAnsi="宋体" w:cs="宋体" w:eastAsia="宋体" w:hint="default"/>
                <w:sz w:val="21"/>
                <w:szCs w:val="21"/>
              </w:rPr>
              <w:t>追加 投资</w:t>
            </w:r>
          </w:p>
        </w:tc>
        <w:tc>
          <w:tcPr>
            <w:tcW w:w="67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118" w:right="120"/>
              <w:jc w:val="left"/>
              <w:rPr>
                <w:rFonts w:ascii="宋体" w:hAnsi="宋体" w:cs="宋体" w:eastAsia="宋体" w:hint="default"/>
                <w:sz w:val="21"/>
                <w:szCs w:val="21"/>
              </w:rPr>
            </w:pPr>
            <w:r>
              <w:rPr>
                <w:rFonts w:ascii="宋体" w:hAnsi="宋体" w:cs="宋体" w:eastAsia="宋体" w:hint="default"/>
                <w:sz w:val="21"/>
                <w:szCs w:val="21"/>
              </w:rPr>
              <w:t>减少 投资</w:t>
            </w:r>
          </w:p>
        </w:tc>
        <w:tc>
          <w:tcPr>
            <w:tcW w:w="787"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77"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73" w:lineRule="auto" w:before="37"/>
              <w:ind w:left="177" w:right="179"/>
              <w:jc w:val="both"/>
              <w:rPr>
                <w:rFonts w:ascii="宋体" w:hAnsi="宋体" w:cs="宋体" w:eastAsia="宋体" w:hint="default"/>
                <w:sz w:val="21"/>
                <w:szCs w:val="21"/>
              </w:rPr>
            </w:pPr>
            <w:r>
              <w:rPr>
                <w:rFonts w:ascii="宋体" w:hAnsi="宋体" w:cs="宋体" w:eastAsia="宋体" w:hint="default"/>
                <w:sz w:val="21"/>
                <w:szCs w:val="21"/>
              </w:rPr>
              <w:t>法下 确认 的投 资损</w:t>
            </w:r>
          </w:p>
        </w:tc>
        <w:tc>
          <w:tcPr>
            <w:tcW w:w="7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36" w:right="137"/>
              <w:jc w:val="both"/>
              <w:rPr>
                <w:rFonts w:ascii="宋体" w:hAnsi="宋体" w:cs="宋体" w:eastAsia="宋体" w:hint="default"/>
                <w:sz w:val="21"/>
                <w:szCs w:val="21"/>
              </w:rPr>
            </w:pPr>
            <w:r>
              <w:rPr>
                <w:rFonts w:ascii="宋体" w:hAnsi="宋体" w:cs="宋体" w:eastAsia="宋体" w:hint="default"/>
                <w:sz w:val="21"/>
                <w:szCs w:val="21"/>
              </w:rPr>
              <w:t>其他 综合 收益 调整</w:t>
            </w:r>
          </w:p>
        </w:tc>
        <w:tc>
          <w:tcPr>
            <w:tcW w:w="71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40" w:right="139"/>
              <w:jc w:val="both"/>
              <w:rPr>
                <w:rFonts w:ascii="宋体" w:hAnsi="宋体" w:cs="宋体" w:eastAsia="宋体" w:hint="default"/>
                <w:sz w:val="21"/>
                <w:szCs w:val="21"/>
              </w:rPr>
            </w:pPr>
            <w:r>
              <w:rPr>
                <w:rFonts w:ascii="宋体" w:hAnsi="宋体" w:cs="宋体" w:eastAsia="宋体" w:hint="default"/>
                <w:sz w:val="21"/>
                <w:szCs w:val="21"/>
              </w:rPr>
              <w:t>其他 权益 变动</w:t>
            </w:r>
          </w:p>
        </w:tc>
        <w:tc>
          <w:tcPr>
            <w:tcW w:w="784"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75"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73" w:lineRule="auto" w:before="37"/>
              <w:ind w:left="175" w:right="176"/>
              <w:jc w:val="both"/>
              <w:rPr>
                <w:rFonts w:ascii="宋体" w:hAnsi="宋体" w:cs="宋体" w:eastAsia="宋体" w:hint="default"/>
                <w:sz w:val="21"/>
                <w:szCs w:val="21"/>
              </w:rPr>
            </w:pPr>
            <w:r>
              <w:rPr>
                <w:rFonts w:ascii="宋体" w:hAnsi="宋体" w:cs="宋体" w:eastAsia="宋体" w:hint="default"/>
                <w:sz w:val="21"/>
                <w:szCs w:val="21"/>
              </w:rPr>
              <w:t>发放 现金 股利 或利</w:t>
            </w:r>
          </w:p>
        </w:tc>
        <w:tc>
          <w:tcPr>
            <w:tcW w:w="77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72" w:right="170"/>
              <w:jc w:val="both"/>
              <w:rPr>
                <w:rFonts w:ascii="宋体" w:hAnsi="宋体" w:cs="宋体" w:eastAsia="宋体" w:hint="default"/>
                <w:sz w:val="21"/>
                <w:szCs w:val="21"/>
              </w:rPr>
            </w:pPr>
            <w:r>
              <w:rPr>
                <w:rFonts w:ascii="宋体" w:hAnsi="宋体" w:cs="宋体" w:eastAsia="宋体" w:hint="default"/>
                <w:sz w:val="21"/>
                <w:szCs w:val="21"/>
              </w:rPr>
              <w:t>计提 减值 准备</w:t>
            </w:r>
          </w:p>
        </w:tc>
        <w:tc>
          <w:tcPr>
            <w:tcW w:w="75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6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69" w:right="169"/>
              <w:jc w:val="left"/>
              <w:rPr>
                <w:rFonts w:ascii="宋体" w:hAnsi="宋体" w:cs="宋体" w:eastAsia="宋体" w:hint="default"/>
                <w:sz w:val="21"/>
                <w:szCs w:val="21"/>
              </w:rPr>
            </w:pPr>
            <w:r>
              <w:rPr>
                <w:rFonts w:ascii="宋体" w:hAnsi="宋体" w:cs="宋体" w:eastAsia="宋体" w:hint="default"/>
                <w:sz w:val="21"/>
                <w:szCs w:val="21"/>
              </w:rPr>
              <w:t>期末 余额</w:t>
            </w:r>
          </w:p>
        </w:tc>
        <w:tc>
          <w:tcPr>
            <w:tcW w:w="748" w:type="dxa"/>
            <w:tcBorders>
              <w:top w:val="nil" w:sz="6" w:space="0" w:color="auto"/>
              <w:left w:val="single" w:sz="4" w:space="0" w:color="000000"/>
              <w:bottom w:val="nil" w:sz="6" w:space="0" w:color="auto"/>
              <w:right w:val="single" w:sz="4" w:space="0" w:color="000000"/>
            </w:tcBorders>
          </w:tcPr>
          <w:p>
            <w:pPr>
              <w:pStyle w:val="TableParagraph"/>
              <w:spacing w:line="273" w:lineRule="auto" w:before="141"/>
              <w:ind w:left="158" w:right="157"/>
              <w:jc w:val="both"/>
              <w:rPr>
                <w:rFonts w:ascii="宋体" w:hAnsi="宋体" w:cs="宋体" w:eastAsia="宋体" w:hint="default"/>
                <w:sz w:val="21"/>
                <w:szCs w:val="21"/>
              </w:rPr>
            </w:pPr>
            <w:r>
              <w:rPr>
                <w:rFonts w:ascii="宋体" w:hAnsi="宋体" w:cs="宋体" w:eastAsia="宋体" w:hint="default"/>
                <w:sz w:val="21"/>
                <w:szCs w:val="21"/>
              </w:rPr>
              <w:t>减值 准备 期末 余额</w:t>
            </w:r>
          </w:p>
        </w:tc>
      </w:tr>
      <w:tr>
        <w:trPr>
          <w:trHeight w:val="318" w:hRule="exact"/>
        </w:trPr>
        <w:tc>
          <w:tcPr>
            <w:tcW w:w="824" w:type="dxa"/>
            <w:tcBorders>
              <w:top w:val="nil" w:sz="6" w:space="0" w:color="auto"/>
              <w:left w:val="single" w:sz="4" w:space="0" w:color="000000"/>
              <w:bottom w:val="single" w:sz="4" w:space="0" w:color="000000"/>
              <w:right w:val="single" w:sz="4" w:space="0" w:color="000000"/>
            </w:tcBorders>
          </w:tcPr>
          <w:p>
            <w:pPr/>
          </w:p>
        </w:tc>
        <w:tc>
          <w:tcPr>
            <w:tcW w:w="757" w:type="dxa"/>
            <w:tcBorders>
              <w:top w:val="nil" w:sz="6" w:space="0" w:color="auto"/>
              <w:left w:val="single" w:sz="4" w:space="0" w:color="000000"/>
              <w:bottom w:val="single" w:sz="4" w:space="0" w:color="000000"/>
              <w:right w:val="single" w:sz="4" w:space="0" w:color="000000"/>
            </w:tcBorders>
          </w:tcPr>
          <w:p>
            <w:pPr/>
          </w:p>
        </w:tc>
        <w:tc>
          <w:tcPr>
            <w:tcW w:w="760" w:type="dxa"/>
            <w:tcBorders>
              <w:top w:val="nil" w:sz="6" w:space="0" w:color="auto"/>
              <w:left w:val="single" w:sz="4" w:space="0" w:color="000000"/>
              <w:bottom w:val="single" w:sz="4" w:space="0" w:color="000000"/>
              <w:right w:val="single" w:sz="4" w:space="0" w:color="000000"/>
            </w:tcBorders>
          </w:tcPr>
          <w:p>
            <w:pPr/>
          </w:p>
        </w:tc>
        <w:tc>
          <w:tcPr>
            <w:tcW w:w="671" w:type="dxa"/>
            <w:tcBorders>
              <w:top w:val="nil" w:sz="6" w:space="0" w:color="auto"/>
              <w:left w:val="single" w:sz="4" w:space="0" w:color="000000"/>
              <w:bottom w:val="single" w:sz="4" w:space="0" w:color="000000"/>
              <w:right w:val="single" w:sz="4" w:space="0" w:color="000000"/>
            </w:tcBorders>
          </w:tcPr>
          <w:p>
            <w:pPr/>
          </w:p>
        </w:tc>
        <w:tc>
          <w:tcPr>
            <w:tcW w:w="787"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益</w:t>
            </w:r>
          </w:p>
        </w:tc>
        <w:tc>
          <w:tcPr>
            <w:tcW w:w="706" w:type="dxa"/>
            <w:tcBorders>
              <w:top w:val="nil" w:sz="6" w:space="0" w:color="auto"/>
              <w:left w:val="single" w:sz="4" w:space="0" w:color="000000"/>
              <w:bottom w:val="single" w:sz="4" w:space="0" w:color="000000"/>
              <w:right w:val="single" w:sz="4" w:space="0" w:color="000000"/>
            </w:tcBorders>
          </w:tcPr>
          <w:p>
            <w:pPr/>
          </w:p>
        </w:tc>
        <w:tc>
          <w:tcPr>
            <w:tcW w:w="712" w:type="dxa"/>
            <w:tcBorders>
              <w:top w:val="nil" w:sz="6" w:space="0" w:color="auto"/>
              <w:left w:val="single" w:sz="4" w:space="0" w:color="000000"/>
              <w:bottom w:val="single" w:sz="4" w:space="0" w:color="000000"/>
              <w:right w:val="single" w:sz="4" w:space="0" w:color="000000"/>
            </w:tcBorders>
          </w:tcPr>
          <w:p>
            <w:pPr/>
          </w:p>
        </w:tc>
        <w:tc>
          <w:tcPr>
            <w:tcW w:w="78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润</w:t>
            </w:r>
          </w:p>
        </w:tc>
        <w:tc>
          <w:tcPr>
            <w:tcW w:w="775" w:type="dxa"/>
            <w:tcBorders>
              <w:top w:val="nil" w:sz="6" w:space="0" w:color="auto"/>
              <w:left w:val="single" w:sz="4" w:space="0" w:color="000000"/>
              <w:bottom w:val="single" w:sz="4" w:space="0" w:color="000000"/>
              <w:right w:val="single" w:sz="4" w:space="0" w:color="000000"/>
            </w:tcBorders>
          </w:tcPr>
          <w:p>
            <w:pPr/>
          </w:p>
        </w:tc>
        <w:tc>
          <w:tcPr>
            <w:tcW w:w="756" w:type="dxa"/>
            <w:tcBorders>
              <w:top w:val="nil" w:sz="6" w:space="0" w:color="auto"/>
              <w:left w:val="single" w:sz="4" w:space="0" w:color="000000"/>
              <w:bottom w:val="single" w:sz="4" w:space="0" w:color="000000"/>
              <w:right w:val="single" w:sz="4" w:space="0" w:color="000000"/>
            </w:tcBorders>
          </w:tcPr>
          <w:p>
            <w:pPr/>
          </w:p>
        </w:tc>
        <w:tc>
          <w:tcPr>
            <w:tcW w:w="770" w:type="dxa"/>
            <w:tcBorders>
              <w:top w:val="nil" w:sz="6" w:space="0" w:color="auto"/>
              <w:left w:val="single" w:sz="4" w:space="0" w:color="000000"/>
              <w:bottom w:val="single" w:sz="4" w:space="0" w:color="000000"/>
              <w:right w:val="single" w:sz="4" w:space="0" w:color="000000"/>
            </w:tcBorders>
          </w:tcPr>
          <w:p>
            <w:pPr/>
          </w:p>
        </w:tc>
        <w:tc>
          <w:tcPr>
            <w:tcW w:w="748" w:type="dxa"/>
            <w:tcBorders>
              <w:top w:val="nil" w:sz="6" w:space="0" w:color="auto"/>
              <w:left w:val="single" w:sz="4" w:space="0" w:color="000000"/>
              <w:bottom w:val="single" w:sz="4" w:space="0" w:color="000000"/>
              <w:right w:val="single" w:sz="4" w:space="0" w:color="000000"/>
            </w:tcBorders>
          </w:tcPr>
          <w:p>
            <w:pPr/>
          </w:p>
        </w:tc>
      </w:tr>
      <w:tr>
        <w:trPr>
          <w:trHeight w:val="317" w:hRule="exact"/>
        </w:trPr>
        <w:tc>
          <w:tcPr>
            <w:tcW w:w="824"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一、合</w:t>
            </w:r>
          </w:p>
        </w:tc>
        <w:tc>
          <w:tcPr>
            <w:tcW w:w="757" w:type="dxa"/>
            <w:vMerge w:val="restart"/>
            <w:tcBorders>
              <w:top w:val="single" w:sz="4" w:space="0" w:color="000000"/>
              <w:left w:val="single" w:sz="4" w:space="0" w:color="000000"/>
              <w:right w:val="single" w:sz="4" w:space="0" w:color="000000"/>
            </w:tcBorders>
          </w:tcPr>
          <w:p>
            <w:pPr/>
          </w:p>
        </w:tc>
        <w:tc>
          <w:tcPr>
            <w:tcW w:w="760" w:type="dxa"/>
            <w:vMerge w:val="restart"/>
            <w:tcBorders>
              <w:top w:val="single" w:sz="4" w:space="0" w:color="000000"/>
              <w:left w:val="single" w:sz="4" w:space="0" w:color="000000"/>
              <w:right w:val="single" w:sz="4" w:space="0" w:color="000000"/>
            </w:tcBorders>
          </w:tcPr>
          <w:p>
            <w:pPr/>
          </w:p>
        </w:tc>
        <w:tc>
          <w:tcPr>
            <w:tcW w:w="671" w:type="dxa"/>
            <w:vMerge w:val="restart"/>
            <w:tcBorders>
              <w:top w:val="single" w:sz="4" w:space="0" w:color="000000"/>
              <w:left w:val="single" w:sz="4" w:space="0" w:color="000000"/>
              <w:right w:val="single" w:sz="4" w:space="0" w:color="000000"/>
            </w:tcBorders>
          </w:tcPr>
          <w:p>
            <w:pPr/>
          </w:p>
        </w:tc>
        <w:tc>
          <w:tcPr>
            <w:tcW w:w="787" w:type="dxa"/>
            <w:vMerge w:val="restart"/>
            <w:tcBorders>
              <w:top w:val="single" w:sz="4" w:space="0" w:color="000000"/>
              <w:left w:val="single" w:sz="4" w:space="0" w:color="000000"/>
              <w:right w:val="single" w:sz="4" w:space="0" w:color="000000"/>
            </w:tcBorders>
          </w:tcPr>
          <w:p>
            <w:pPr/>
          </w:p>
        </w:tc>
        <w:tc>
          <w:tcPr>
            <w:tcW w:w="706" w:type="dxa"/>
            <w:vMerge w:val="restart"/>
            <w:tcBorders>
              <w:top w:val="single" w:sz="4" w:space="0" w:color="000000"/>
              <w:left w:val="single" w:sz="4" w:space="0" w:color="000000"/>
              <w:right w:val="single" w:sz="4" w:space="0" w:color="000000"/>
            </w:tcBorders>
          </w:tcPr>
          <w:p>
            <w:pPr/>
          </w:p>
        </w:tc>
        <w:tc>
          <w:tcPr>
            <w:tcW w:w="712" w:type="dxa"/>
            <w:vMerge w:val="restart"/>
            <w:tcBorders>
              <w:top w:val="single" w:sz="4" w:space="0" w:color="000000"/>
              <w:left w:val="single" w:sz="4" w:space="0" w:color="000000"/>
              <w:right w:val="single" w:sz="4" w:space="0" w:color="000000"/>
            </w:tcBorders>
          </w:tcPr>
          <w:p>
            <w:pPr/>
          </w:p>
        </w:tc>
        <w:tc>
          <w:tcPr>
            <w:tcW w:w="784" w:type="dxa"/>
            <w:vMerge w:val="restart"/>
            <w:tcBorders>
              <w:top w:val="single" w:sz="4" w:space="0" w:color="000000"/>
              <w:left w:val="single" w:sz="4" w:space="0" w:color="000000"/>
              <w:right w:val="single" w:sz="4" w:space="0" w:color="000000"/>
            </w:tcBorders>
          </w:tcPr>
          <w:p>
            <w:pPr/>
          </w:p>
        </w:tc>
        <w:tc>
          <w:tcPr>
            <w:tcW w:w="775" w:type="dxa"/>
            <w:vMerge w:val="restart"/>
            <w:tcBorders>
              <w:top w:val="single" w:sz="4" w:space="0" w:color="000000"/>
              <w:left w:val="single" w:sz="4" w:space="0" w:color="000000"/>
              <w:right w:val="single" w:sz="4" w:space="0" w:color="000000"/>
            </w:tcBorders>
          </w:tcPr>
          <w:p>
            <w:pPr/>
          </w:p>
        </w:tc>
        <w:tc>
          <w:tcPr>
            <w:tcW w:w="756" w:type="dxa"/>
            <w:vMerge w:val="restart"/>
            <w:tcBorders>
              <w:top w:val="single" w:sz="4" w:space="0" w:color="000000"/>
              <w:left w:val="single" w:sz="4" w:space="0" w:color="000000"/>
              <w:right w:val="single" w:sz="4" w:space="0" w:color="000000"/>
            </w:tcBorders>
          </w:tcPr>
          <w:p>
            <w:pPr/>
          </w:p>
        </w:tc>
        <w:tc>
          <w:tcPr>
            <w:tcW w:w="770" w:type="dxa"/>
            <w:vMerge w:val="restart"/>
            <w:tcBorders>
              <w:top w:val="single" w:sz="4" w:space="0" w:color="000000"/>
              <w:left w:val="single" w:sz="4" w:space="0" w:color="000000"/>
              <w:right w:val="single" w:sz="4" w:space="0" w:color="000000"/>
            </w:tcBorders>
          </w:tcPr>
          <w:p>
            <w:pPr/>
          </w:p>
        </w:tc>
        <w:tc>
          <w:tcPr>
            <w:tcW w:w="748" w:type="dxa"/>
            <w:vMerge w:val="restart"/>
            <w:tcBorders>
              <w:top w:val="single" w:sz="4" w:space="0" w:color="000000"/>
              <w:left w:val="single" w:sz="4" w:space="0" w:color="000000"/>
              <w:right w:val="single" w:sz="4" w:space="0" w:color="000000"/>
            </w:tcBorders>
          </w:tcPr>
          <w:p>
            <w:pPr/>
          </w:p>
        </w:tc>
      </w:tr>
      <w:tr>
        <w:trPr>
          <w:trHeight w:val="312" w:hRule="exact"/>
        </w:trPr>
        <w:tc>
          <w:tcPr>
            <w:tcW w:w="82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pacing w:val="83"/>
                <w:sz w:val="21"/>
                <w:szCs w:val="21"/>
              </w:rPr>
              <w:t> </w:t>
            </w:r>
            <w:r>
              <w:rPr>
                <w:rFonts w:ascii="宋体" w:hAnsi="宋体" w:cs="宋体" w:eastAsia="宋体" w:hint="default"/>
                <w:sz w:val="21"/>
                <w:szCs w:val="21"/>
              </w:rPr>
              <w:t>企</w:t>
            </w:r>
          </w:p>
        </w:tc>
        <w:tc>
          <w:tcPr>
            <w:tcW w:w="757" w:type="dxa"/>
            <w:vMerge/>
            <w:tcBorders>
              <w:left w:val="single" w:sz="4" w:space="0" w:color="000000"/>
              <w:right w:val="single" w:sz="4" w:space="0" w:color="000000"/>
            </w:tcBorders>
          </w:tcPr>
          <w:p>
            <w:pPr/>
          </w:p>
        </w:tc>
        <w:tc>
          <w:tcPr>
            <w:tcW w:w="760"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vMerge/>
            <w:tcBorders>
              <w:left w:val="single" w:sz="4" w:space="0" w:color="000000"/>
              <w:right w:val="single" w:sz="4" w:space="0" w:color="000000"/>
            </w:tcBorders>
          </w:tcPr>
          <w:p>
            <w:pPr/>
          </w:p>
        </w:tc>
        <w:tc>
          <w:tcPr>
            <w:tcW w:w="748" w:type="dxa"/>
            <w:vMerge/>
            <w:tcBorders>
              <w:left w:val="single" w:sz="4" w:space="0" w:color="000000"/>
              <w:right w:val="single" w:sz="4" w:space="0" w:color="000000"/>
            </w:tcBorders>
          </w:tcPr>
          <w:p>
            <w:pPr/>
          </w:p>
        </w:tc>
      </w:tr>
      <w:tr>
        <w:trPr>
          <w:trHeight w:val="318" w:hRule="exact"/>
        </w:trPr>
        <w:tc>
          <w:tcPr>
            <w:tcW w:w="82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业</w:t>
            </w:r>
          </w:p>
        </w:tc>
        <w:tc>
          <w:tcPr>
            <w:tcW w:w="757" w:type="dxa"/>
            <w:vMerge/>
            <w:tcBorders>
              <w:left w:val="single" w:sz="4" w:space="0" w:color="000000"/>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671"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712"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c>
          <w:tcPr>
            <w:tcW w:w="748" w:type="dxa"/>
            <w:vMerge/>
            <w:tcBorders>
              <w:left w:val="single" w:sz="4" w:space="0" w:color="000000"/>
              <w:bottom w:val="single" w:sz="4" w:space="0" w:color="000000"/>
              <w:right w:val="single" w:sz="4" w:space="0" w:color="000000"/>
            </w:tcBorders>
          </w:tcPr>
          <w:p>
            <w:pPr/>
          </w:p>
        </w:tc>
      </w:tr>
      <w:tr>
        <w:trPr>
          <w:trHeight w:val="322" w:hRule="exact"/>
        </w:trPr>
        <w:tc>
          <w:tcPr>
            <w:tcW w:w="824"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24"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7"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824"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二、联</w:t>
            </w:r>
          </w:p>
        </w:tc>
        <w:tc>
          <w:tcPr>
            <w:tcW w:w="757" w:type="dxa"/>
            <w:vMerge w:val="restart"/>
            <w:tcBorders>
              <w:top w:val="single" w:sz="4" w:space="0" w:color="000000"/>
              <w:left w:val="single" w:sz="4" w:space="0" w:color="000000"/>
              <w:right w:val="single" w:sz="4" w:space="0" w:color="000000"/>
            </w:tcBorders>
          </w:tcPr>
          <w:p>
            <w:pPr/>
          </w:p>
        </w:tc>
        <w:tc>
          <w:tcPr>
            <w:tcW w:w="760" w:type="dxa"/>
            <w:vMerge w:val="restart"/>
            <w:tcBorders>
              <w:top w:val="single" w:sz="4" w:space="0" w:color="000000"/>
              <w:left w:val="single" w:sz="4" w:space="0" w:color="000000"/>
              <w:right w:val="single" w:sz="4" w:space="0" w:color="000000"/>
            </w:tcBorders>
          </w:tcPr>
          <w:p>
            <w:pPr/>
          </w:p>
        </w:tc>
        <w:tc>
          <w:tcPr>
            <w:tcW w:w="671" w:type="dxa"/>
            <w:vMerge w:val="restart"/>
            <w:tcBorders>
              <w:top w:val="single" w:sz="4" w:space="0" w:color="000000"/>
              <w:left w:val="single" w:sz="4" w:space="0" w:color="000000"/>
              <w:right w:val="single" w:sz="4" w:space="0" w:color="000000"/>
            </w:tcBorders>
          </w:tcPr>
          <w:p>
            <w:pPr/>
          </w:p>
        </w:tc>
        <w:tc>
          <w:tcPr>
            <w:tcW w:w="787" w:type="dxa"/>
            <w:vMerge w:val="restart"/>
            <w:tcBorders>
              <w:top w:val="single" w:sz="4" w:space="0" w:color="000000"/>
              <w:left w:val="single" w:sz="4" w:space="0" w:color="000000"/>
              <w:right w:val="single" w:sz="4" w:space="0" w:color="000000"/>
            </w:tcBorders>
          </w:tcPr>
          <w:p>
            <w:pPr/>
          </w:p>
        </w:tc>
        <w:tc>
          <w:tcPr>
            <w:tcW w:w="706" w:type="dxa"/>
            <w:vMerge w:val="restart"/>
            <w:tcBorders>
              <w:top w:val="single" w:sz="4" w:space="0" w:color="000000"/>
              <w:left w:val="single" w:sz="4" w:space="0" w:color="000000"/>
              <w:right w:val="single" w:sz="4" w:space="0" w:color="000000"/>
            </w:tcBorders>
          </w:tcPr>
          <w:p>
            <w:pPr/>
          </w:p>
        </w:tc>
        <w:tc>
          <w:tcPr>
            <w:tcW w:w="712" w:type="dxa"/>
            <w:vMerge w:val="restart"/>
            <w:tcBorders>
              <w:top w:val="single" w:sz="4" w:space="0" w:color="000000"/>
              <w:left w:val="single" w:sz="4" w:space="0" w:color="000000"/>
              <w:right w:val="single" w:sz="4" w:space="0" w:color="000000"/>
            </w:tcBorders>
          </w:tcPr>
          <w:p>
            <w:pPr/>
          </w:p>
        </w:tc>
        <w:tc>
          <w:tcPr>
            <w:tcW w:w="784" w:type="dxa"/>
            <w:vMerge w:val="restart"/>
            <w:tcBorders>
              <w:top w:val="single" w:sz="4" w:space="0" w:color="000000"/>
              <w:left w:val="single" w:sz="4" w:space="0" w:color="000000"/>
              <w:right w:val="single" w:sz="4" w:space="0" w:color="000000"/>
            </w:tcBorders>
          </w:tcPr>
          <w:p>
            <w:pPr/>
          </w:p>
        </w:tc>
        <w:tc>
          <w:tcPr>
            <w:tcW w:w="775" w:type="dxa"/>
            <w:vMerge w:val="restart"/>
            <w:tcBorders>
              <w:top w:val="single" w:sz="4" w:space="0" w:color="000000"/>
              <w:left w:val="single" w:sz="4" w:space="0" w:color="000000"/>
              <w:right w:val="single" w:sz="4" w:space="0" w:color="000000"/>
            </w:tcBorders>
          </w:tcPr>
          <w:p>
            <w:pPr/>
          </w:p>
        </w:tc>
        <w:tc>
          <w:tcPr>
            <w:tcW w:w="756" w:type="dxa"/>
            <w:vMerge w:val="restart"/>
            <w:tcBorders>
              <w:top w:val="single" w:sz="4" w:space="0" w:color="000000"/>
              <w:left w:val="single" w:sz="4" w:space="0" w:color="000000"/>
              <w:right w:val="single" w:sz="4" w:space="0" w:color="000000"/>
            </w:tcBorders>
          </w:tcPr>
          <w:p>
            <w:pPr/>
          </w:p>
        </w:tc>
        <w:tc>
          <w:tcPr>
            <w:tcW w:w="770" w:type="dxa"/>
            <w:vMerge w:val="restart"/>
            <w:tcBorders>
              <w:top w:val="single" w:sz="4" w:space="0" w:color="000000"/>
              <w:left w:val="single" w:sz="4" w:space="0" w:color="000000"/>
              <w:right w:val="single" w:sz="4" w:space="0" w:color="000000"/>
            </w:tcBorders>
          </w:tcPr>
          <w:p>
            <w:pPr/>
          </w:p>
        </w:tc>
        <w:tc>
          <w:tcPr>
            <w:tcW w:w="748" w:type="dxa"/>
            <w:vMerge w:val="restart"/>
            <w:tcBorders>
              <w:top w:val="single" w:sz="4" w:space="0" w:color="000000"/>
              <w:left w:val="single" w:sz="4" w:space="0" w:color="000000"/>
              <w:right w:val="single" w:sz="4" w:space="0" w:color="000000"/>
            </w:tcBorders>
          </w:tcPr>
          <w:p>
            <w:pPr/>
          </w:p>
        </w:tc>
      </w:tr>
      <w:tr>
        <w:trPr>
          <w:trHeight w:val="312" w:hRule="exact"/>
        </w:trPr>
        <w:tc>
          <w:tcPr>
            <w:tcW w:w="82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pacing w:val="83"/>
                <w:sz w:val="21"/>
                <w:szCs w:val="21"/>
              </w:rPr>
              <w:t> </w:t>
            </w:r>
            <w:r>
              <w:rPr>
                <w:rFonts w:ascii="宋体" w:hAnsi="宋体" w:cs="宋体" w:eastAsia="宋体" w:hint="default"/>
                <w:sz w:val="21"/>
                <w:szCs w:val="21"/>
              </w:rPr>
              <w:t>企</w:t>
            </w:r>
          </w:p>
        </w:tc>
        <w:tc>
          <w:tcPr>
            <w:tcW w:w="757" w:type="dxa"/>
            <w:vMerge/>
            <w:tcBorders>
              <w:left w:val="single" w:sz="4" w:space="0" w:color="000000"/>
              <w:right w:val="single" w:sz="4" w:space="0" w:color="000000"/>
            </w:tcBorders>
          </w:tcPr>
          <w:p>
            <w:pPr/>
          </w:p>
        </w:tc>
        <w:tc>
          <w:tcPr>
            <w:tcW w:w="760"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vMerge/>
            <w:tcBorders>
              <w:left w:val="single" w:sz="4" w:space="0" w:color="000000"/>
              <w:right w:val="single" w:sz="4" w:space="0" w:color="000000"/>
            </w:tcBorders>
          </w:tcPr>
          <w:p>
            <w:pPr/>
          </w:p>
        </w:tc>
        <w:tc>
          <w:tcPr>
            <w:tcW w:w="748" w:type="dxa"/>
            <w:vMerge/>
            <w:tcBorders>
              <w:left w:val="single" w:sz="4" w:space="0" w:color="000000"/>
              <w:right w:val="single" w:sz="4" w:space="0" w:color="000000"/>
            </w:tcBorders>
          </w:tcPr>
          <w:p>
            <w:pPr/>
          </w:p>
        </w:tc>
      </w:tr>
      <w:tr>
        <w:trPr>
          <w:trHeight w:val="318" w:hRule="exact"/>
        </w:trPr>
        <w:tc>
          <w:tcPr>
            <w:tcW w:w="82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业</w:t>
            </w:r>
          </w:p>
        </w:tc>
        <w:tc>
          <w:tcPr>
            <w:tcW w:w="757" w:type="dxa"/>
            <w:vMerge/>
            <w:tcBorders>
              <w:left w:val="single" w:sz="4" w:space="0" w:color="000000"/>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671"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712"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c>
          <w:tcPr>
            <w:tcW w:w="748" w:type="dxa"/>
            <w:vMerge/>
            <w:tcBorders>
              <w:left w:val="single" w:sz="4" w:space="0" w:color="000000"/>
              <w:bottom w:val="single" w:sz="4" w:space="0" w:color="000000"/>
              <w:right w:val="single" w:sz="4" w:space="0" w:color="000000"/>
            </w:tcBorders>
          </w:tcPr>
          <w:p>
            <w:pPr/>
          </w:p>
        </w:tc>
      </w:tr>
      <w:tr>
        <w:trPr>
          <w:trHeight w:val="316" w:hRule="exact"/>
        </w:trPr>
        <w:tc>
          <w:tcPr>
            <w:tcW w:w="824"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83"/>
                <w:sz w:val="21"/>
                <w:szCs w:val="21"/>
              </w:rPr>
              <w:t> </w:t>
            </w:r>
            <w:r>
              <w:rPr>
                <w:rFonts w:ascii="宋体" w:hAnsi="宋体" w:cs="宋体" w:eastAsia="宋体" w:hint="default"/>
                <w:sz w:val="21"/>
                <w:szCs w:val="21"/>
              </w:rPr>
              <w:t>京</w:t>
            </w:r>
          </w:p>
        </w:tc>
        <w:tc>
          <w:tcPr>
            <w:tcW w:w="757"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1.00</w:t>
            </w:r>
          </w:p>
        </w:tc>
        <w:tc>
          <w:tcPr>
            <w:tcW w:w="760" w:type="dxa"/>
            <w:vMerge w:val="restart"/>
            <w:tcBorders>
              <w:top w:val="single" w:sz="4" w:space="0" w:color="000000"/>
              <w:left w:val="single" w:sz="4" w:space="0" w:color="000000"/>
              <w:right w:val="single" w:sz="4" w:space="0" w:color="000000"/>
            </w:tcBorders>
          </w:tcPr>
          <w:p>
            <w:pPr/>
          </w:p>
        </w:tc>
        <w:tc>
          <w:tcPr>
            <w:tcW w:w="671"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36" w:right="0"/>
              <w:jc w:val="left"/>
              <w:rPr>
                <w:rFonts w:ascii="宋体" w:hAnsi="宋体" w:cs="宋体" w:eastAsia="宋体" w:hint="default"/>
                <w:sz w:val="21"/>
                <w:szCs w:val="21"/>
              </w:rPr>
            </w:pPr>
            <w:r>
              <w:rPr>
                <w:rFonts w:ascii="宋体"/>
                <w:sz w:val="21"/>
              </w:rPr>
              <w:t>1.00</w:t>
            </w:r>
          </w:p>
        </w:tc>
        <w:tc>
          <w:tcPr>
            <w:tcW w:w="787" w:type="dxa"/>
            <w:vMerge w:val="restart"/>
            <w:tcBorders>
              <w:top w:val="single" w:sz="4" w:space="0" w:color="000000"/>
              <w:left w:val="single" w:sz="4" w:space="0" w:color="000000"/>
              <w:right w:val="single" w:sz="4" w:space="0" w:color="000000"/>
            </w:tcBorders>
          </w:tcPr>
          <w:p>
            <w:pPr/>
          </w:p>
        </w:tc>
        <w:tc>
          <w:tcPr>
            <w:tcW w:w="706" w:type="dxa"/>
            <w:vMerge w:val="restart"/>
            <w:tcBorders>
              <w:top w:val="single" w:sz="4" w:space="0" w:color="000000"/>
              <w:left w:val="single" w:sz="4" w:space="0" w:color="000000"/>
              <w:right w:val="single" w:sz="4" w:space="0" w:color="000000"/>
            </w:tcBorders>
          </w:tcPr>
          <w:p>
            <w:pPr/>
          </w:p>
        </w:tc>
        <w:tc>
          <w:tcPr>
            <w:tcW w:w="712" w:type="dxa"/>
            <w:vMerge w:val="restart"/>
            <w:tcBorders>
              <w:top w:val="single" w:sz="4" w:space="0" w:color="000000"/>
              <w:left w:val="single" w:sz="4" w:space="0" w:color="000000"/>
              <w:right w:val="single" w:sz="4" w:space="0" w:color="000000"/>
            </w:tcBorders>
          </w:tcPr>
          <w:p>
            <w:pPr/>
          </w:p>
        </w:tc>
        <w:tc>
          <w:tcPr>
            <w:tcW w:w="784" w:type="dxa"/>
            <w:vMerge w:val="restart"/>
            <w:tcBorders>
              <w:top w:val="single" w:sz="4" w:space="0" w:color="000000"/>
              <w:left w:val="single" w:sz="4" w:space="0" w:color="000000"/>
              <w:right w:val="single" w:sz="4" w:space="0" w:color="000000"/>
            </w:tcBorders>
          </w:tcPr>
          <w:p>
            <w:pPr/>
          </w:p>
        </w:tc>
        <w:tc>
          <w:tcPr>
            <w:tcW w:w="775" w:type="dxa"/>
            <w:vMerge w:val="restart"/>
            <w:tcBorders>
              <w:top w:val="single" w:sz="4" w:space="0" w:color="000000"/>
              <w:left w:val="single" w:sz="4" w:space="0" w:color="000000"/>
              <w:right w:val="single" w:sz="4" w:space="0" w:color="000000"/>
            </w:tcBorders>
          </w:tcPr>
          <w:p>
            <w:pPr/>
          </w:p>
        </w:tc>
        <w:tc>
          <w:tcPr>
            <w:tcW w:w="756" w:type="dxa"/>
            <w:vMerge w:val="restart"/>
            <w:tcBorders>
              <w:top w:val="single" w:sz="4" w:space="0" w:color="000000"/>
              <w:left w:val="single" w:sz="4" w:space="0" w:color="000000"/>
              <w:right w:val="single" w:sz="4" w:space="0" w:color="000000"/>
            </w:tcBorders>
          </w:tcPr>
          <w:p>
            <w:pPr/>
          </w:p>
        </w:tc>
        <w:tc>
          <w:tcPr>
            <w:tcW w:w="770" w:type="dxa"/>
            <w:vMerge w:val="restart"/>
            <w:tcBorders>
              <w:top w:val="single" w:sz="4" w:space="0" w:color="000000"/>
              <w:left w:val="single" w:sz="4" w:space="0" w:color="000000"/>
              <w:right w:val="single" w:sz="4" w:space="0" w:color="000000"/>
            </w:tcBorders>
          </w:tcPr>
          <w:p>
            <w:pPr/>
          </w:p>
        </w:tc>
        <w:tc>
          <w:tcPr>
            <w:tcW w:w="748" w:type="dxa"/>
            <w:vMerge w:val="restart"/>
            <w:tcBorders>
              <w:top w:val="single" w:sz="4" w:space="0" w:color="000000"/>
              <w:left w:val="single" w:sz="4" w:space="0" w:color="000000"/>
              <w:right w:val="single" w:sz="4" w:space="0" w:color="000000"/>
            </w:tcBorders>
          </w:tcPr>
          <w:p>
            <w:pPr/>
          </w:p>
        </w:tc>
      </w:tr>
      <w:tr>
        <w:trPr>
          <w:trHeight w:val="312" w:hRule="exact"/>
        </w:trPr>
        <w:tc>
          <w:tcPr>
            <w:tcW w:w="82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83"/>
                <w:sz w:val="21"/>
                <w:szCs w:val="21"/>
              </w:rPr>
              <w:t> </w:t>
            </w:r>
            <w:r>
              <w:rPr>
                <w:rFonts w:ascii="宋体" w:hAnsi="宋体" w:cs="宋体" w:eastAsia="宋体" w:hint="default"/>
                <w:sz w:val="21"/>
                <w:szCs w:val="21"/>
              </w:rPr>
              <w:t>证</w:t>
            </w:r>
          </w:p>
        </w:tc>
        <w:tc>
          <w:tcPr>
            <w:tcW w:w="757" w:type="dxa"/>
            <w:tcBorders>
              <w:top w:val="nil" w:sz="6" w:space="0" w:color="auto"/>
              <w:left w:val="single" w:sz="4" w:space="0" w:color="000000"/>
              <w:bottom w:val="nil" w:sz="6" w:space="0" w:color="auto"/>
              <w:right w:val="single" w:sz="4" w:space="0" w:color="000000"/>
            </w:tcBorders>
          </w:tcPr>
          <w:p>
            <w:pPr/>
          </w:p>
        </w:tc>
        <w:tc>
          <w:tcPr>
            <w:tcW w:w="760" w:type="dxa"/>
            <w:vMerge/>
            <w:tcBorders>
              <w:left w:val="single" w:sz="4" w:space="0" w:color="000000"/>
              <w:right w:val="single" w:sz="4" w:space="0" w:color="000000"/>
            </w:tcBorders>
          </w:tcPr>
          <w:p>
            <w:pPr/>
          </w:p>
        </w:tc>
        <w:tc>
          <w:tcPr>
            <w:tcW w:w="671" w:type="dxa"/>
            <w:tcBorders>
              <w:top w:val="nil" w:sz="6" w:space="0" w:color="auto"/>
              <w:left w:val="single" w:sz="4" w:space="0" w:color="000000"/>
              <w:bottom w:val="nil" w:sz="6" w:space="0" w:color="auto"/>
              <w:right w:val="single" w:sz="4" w:space="0" w:color="000000"/>
            </w:tcBorders>
          </w:tcPr>
          <w:p>
            <w:pPr/>
          </w:p>
        </w:tc>
        <w:tc>
          <w:tcPr>
            <w:tcW w:w="787"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vMerge/>
            <w:tcBorders>
              <w:left w:val="single" w:sz="4" w:space="0" w:color="000000"/>
              <w:right w:val="single" w:sz="4" w:space="0" w:color="000000"/>
            </w:tcBorders>
          </w:tcPr>
          <w:p>
            <w:pPr/>
          </w:p>
        </w:tc>
        <w:tc>
          <w:tcPr>
            <w:tcW w:w="748" w:type="dxa"/>
            <w:vMerge/>
            <w:tcBorders>
              <w:left w:val="single" w:sz="4" w:space="0" w:color="000000"/>
              <w:right w:val="single" w:sz="4" w:space="0" w:color="000000"/>
            </w:tcBorders>
          </w:tcPr>
          <w:p>
            <w:pPr/>
          </w:p>
        </w:tc>
      </w:tr>
      <w:tr>
        <w:trPr>
          <w:trHeight w:val="312" w:hRule="exact"/>
        </w:trPr>
        <w:tc>
          <w:tcPr>
            <w:tcW w:w="82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pacing w:val="83"/>
                <w:sz w:val="21"/>
                <w:szCs w:val="21"/>
              </w:rPr>
              <w:t> </w:t>
            </w:r>
            <w:r>
              <w:rPr>
                <w:rFonts w:ascii="宋体" w:hAnsi="宋体" w:cs="宋体" w:eastAsia="宋体" w:hint="default"/>
                <w:sz w:val="21"/>
                <w:szCs w:val="21"/>
              </w:rPr>
              <w:t>通</w:t>
            </w:r>
          </w:p>
        </w:tc>
        <w:tc>
          <w:tcPr>
            <w:tcW w:w="757" w:type="dxa"/>
            <w:tcBorders>
              <w:top w:val="nil" w:sz="6" w:space="0" w:color="auto"/>
              <w:left w:val="single" w:sz="4" w:space="0" w:color="000000"/>
              <w:bottom w:val="nil" w:sz="6" w:space="0" w:color="auto"/>
              <w:right w:val="single" w:sz="4" w:space="0" w:color="000000"/>
            </w:tcBorders>
          </w:tcPr>
          <w:p>
            <w:pPr/>
          </w:p>
        </w:tc>
        <w:tc>
          <w:tcPr>
            <w:tcW w:w="760" w:type="dxa"/>
            <w:vMerge/>
            <w:tcBorders>
              <w:left w:val="single" w:sz="4" w:space="0" w:color="000000"/>
              <w:right w:val="single" w:sz="4" w:space="0" w:color="000000"/>
            </w:tcBorders>
          </w:tcPr>
          <w:p>
            <w:pPr/>
          </w:p>
        </w:tc>
        <w:tc>
          <w:tcPr>
            <w:tcW w:w="671" w:type="dxa"/>
            <w:tcBorders>
              <w:top w:val="nil" w:sz="6" w:space="0" w:color="auto"/>
              <w:left w:val="single" w:sz="4" w:space="0" w:color="000000"/>
              <w:bottom w:val="nil" w:sz="6" w:space="0" w:color="auto"/>
              <w:right w:val="single" w:sz="4" w:space="0" w:color="000000"/>
            </w:tcBorders>
          </w:tcPr>
          <w:p>
            <w:pPr/>
          </w:p>
        </w:tc>
        <w:tc>
          <w:tcPr>
            <w:tcW w:w="787"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vMerge/>
            <w:tcBorders>
              <w:left w:val="single" w:sz="4" w:space="0" w:color="000000"/>
              <w:right w:val="single" w:sz="4" w:space="0" w:color="000000"/>
            </w:tcBorders>
          </w:tcPr>
          <w:p>
            <w:pPr/>
          </w:p>
        </w:tc>
        <w:tc>
          <w:tcPr>
            <w:tcW w:w="748" w:type="dxa"/>
            <w:vMerge/>
            <w:tcBorders>
              <w:left w:val="single" w:sz="4" w:space="0" w:color="000000"/>
              <w:right w:val="single" w:sz="4" w:space="0" w:color="000000"/>
            </w:tcBorders>
          </w:tcPr>
          <w:p>
            <w:pPr/>
          </w:p>
        </w:tc>
      </w:tr>
      <w:tr>
        <w:trPr>
          <w:trHeight w:val="312" w:hRule="exact"/>
        </w:trPr>
        <w:tc>
          <w:tcPr>
            <w:tcW w:w="82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83"/>
                <w:sz w:val="21"/>
                <w:szCs w:val="21"/>
              </w:rPr>
              <w:t> </w:t>
            </w:r>
            <w:r>
              <w:rPr>
                <w:rFonts w:ascii="宋体" w:hAnsi="宋体" w:cs="宋体" w:eastAsia="宋体" w:hint="default"/>
                <w:sz w:val="21"/>
                <w:szCs w:val="21"/>
              </w:rPr>
              <w:t>技</w:t>
            </w:r>
          </w:p>
        </w:tc>
        <w:tc>
          <w:tcPr>
            <w:tcW w:w="757" w:type="dxa"/>
            <w:tcBorders>
              <w:top w:val="nil" w:sz="6" w:space="0" w:color="auto"/>
              <w:left w:val="single" w:sz="4" w:space="0" w:color="000000"/>
              <w:bottom w:val="nil" w:sz="6" w:space="0" w:color="auto"/>
              <w:right w:val="single" w:sz="4" w:space="0" w:color="000000"/>
            </w:tcBorders>
          </w:tcPr>
          <w:p>
            <w:pPr/>
          </w:p>
        </w:tc>
        <w:tc>
          <w:tcPr>
            <w:tcW w:w="760" w:type="dxa"/>
            <w:vMerge/>
            <w:tcBorders>
              <w:left w:val="single" w:sz="4" w:space="0" w:color="000000"/>
              <w:right w:val="single" w:sz="4" w:space="0" w:color="000000"/>
            </w:tcBorders>
          </w:tcPr>
          <w:p>
            <w:pPr/>
          </w:p>
        </w:tc>
        <w:tc>
          <w:tcPr>
            <w:tcW w:w="671" w:type="dxa"/>
            <w:tcBorders>
              <w:top w:val="nil" w:sz="6" w:space="0" w:color="auto"/>
              <w:left w:val="single" w:sz="4" w:space="0" w:color="000000"/>
              <w:bottom w:val="nil" w:sz="6" w:space="0" w:color="auto"/>
              <w:right w:val="single" w:sz="4" w:space="0" w:color="000000"/>
            </w:tcBorders>
          </w:tcPr>
          <w:p>
            <w:pPr/>
          </w:p>
        </w:tc>
        <w:tc>
          <w:tcPr>
            <w:tcW w:w="787"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vMerge/>
            <w:tcBorders>
              <w:left w:val="single" w:sz="4" w:space="0" w:color="000000"/>
              <w:right w:val="single" w:sz="4" w:space="0" w:color="000000"/>
            </w:tcBorders>
          </w:tcPr>
          <w:p>
            <w:pPr/>
          </w:p>
        </w:tc>
        <w:tc>
          <w:tcPr>
            <w:tcW w:w="748" w:type="dxa"/>
            <w:vMerge/>
            <w:tcBorders>
              <w:left w:val="single" w:sz="4" w:space="0" w:color="000000"/>
              <w:right w:val="single" w:sz="4" w:space="0" w:color="000000"/>
            </w:tcBorders>
          </w:tcPr>
          <w:p>
            <w:pPr/>
          </w:p>
        </w:tc>
      </w:tr>
      <w:tr>
        <w:trPr>
          <w:trHeight w:val="312" w:hRule="exact"/>
        </w:trPr>
        <w:tc>
          <w:tcPr>
            <w:tcW w:w="82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3"/>
                <w:sz w:val="21"/>
                <w:szCs w:val="21"/>
              </w:rPr>
              <w:t> </w:t>
            </w:r>
            <w:r>
              <w:rPr>
                <w:rFonts w:ascii="宋体" w:hAnsi="宋体" w:cs="宋体" w:eastAsia="宋体" w:hint="default"/>
                <w:sz w:val="21"/>
                <w:szCs w:val="21"/>
              </w:rPr>
              <w:t>限</w:t>
            </w:r>
          </w:p>
        </w:tc>
        <w:tc>
          <w:tcPr>
            <w:tcW w:w="757" w:type="dxa"/>
            <w:tcBorders>
              <w:top w:val="nil" w:sz="6" w:space="0" w:color="auto"/>
              <w:left w:val="single" w:sz="4" w:space="0" w:color="000000"/>
              <w:bottom w:val="nil" w:sz="6" w:space="0" w:color="auto"/>
              <w:right w:val="single" w:sz="4" w:space="0" w:color="000000"/>
            </w:tcBorders>
          </w:tcPr>
          <w:p>
            <w:pPr/>
          </w:p>
        </w:tc>
        <w:tc>
          <w:tcPr>
            <w:tcW w:w="760" w:type="dxa"/>
            <w:vMerge/>
            <w:tcBorders>
              <w:left w:val="single" w:sz="4" w:space="0" w:color="000000"/>
              <w:right w:val="single" w:sz="4" w:space="0" w:color="000000"/>
            </w:tcBorders>
          </w:tcPr>
          <w:p>
            <w:pPr/>
          </w:p>
        </w:tc>
        <w:tc>
          <w:tcPr>
            <w:tcW w:w="671" w:type="dxa"/>
            <w:tcBorders>
              <w:top w:val="nil" w:sz="6" w:space="0" w:color="auto"/>
              <w:left w:val="single" w:sz="4" w:space="0" w:color="000000"/>
              <w:bottom w:val="nil" w:sz="6" w:space="0" w:color="auto"/>
              <w:right w:val="single" w:sz="4" w:space="0" w:color="000000"/>
            </w:tcBorders>
          </w:tcPr>
          <w:p>
            <w:pPr/>
          </w:p>
        </w:tc>
        <w:tc>
          <w:tcPr>
            <w:tcW w:w="787"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vMerge/>
            <w:tcBorders>
              <w:left w:val="single" w:sz="4" w:space="0" w:color="000000"/>
              <w:right w:val="single" w:sz="4" w:space="0" w:color="000000"/>
            </w:tcBorders>
          </w:tcPr>
          <w:p>
            <w:pPr/>
          </w:p>
        </w:tc>
        <w:tc>
          <w:tcPr>
            <w:tcW w:w="748" w:type="dxa"/>
            <w:vMerge/>
            <w:tcBorders>
              <w:left w:val="single" w:sz="4" w:space="0" w:color="000000"/>
              <w:right w:val="single" w:sz="4" w:space="0" w:color="000000"/>
            </w:tcBorders>
          </w:tcPr>
          <w:p>
            <w:pPr/>
          </w:p>
        </w:tc>
      </w:tr>
      <w:tr>
        <w:trPr>
          <w:trHeight w:val="318" w:hRule="exact"/>
        </w:trPr>
        <w:tc>
          <w:tcPr>
            <w:tcW w:w="82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57" w:type="dxa"/>
            <w:tcBorders>
              <w:top w:val="nil" w:sz="6" w:space="0" w:color="auto"/>
              <w:left w:val="single" w:sz="4" w:space="0" w:color="000000"/>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671" w:type="dxa"/>
            <w:tcBorders>
              <w:top w:val="nil" w:sz="6" w:space="0" w:color="auto"/>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712"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c>
          <w:tcPr>
            <w:tcW w:w="748" w:type="dxa"/>
            <w:vMerge/>
            <w:tcBorders>
              <w:left w:val="single" w:sz="4" w:space="0" w:color="000000"/>
              <w:bottom w:val="single" w:sz="4" w:space="0" w:color="000000"/>
              <w:right w:val="single" w:sz="4" w:space="0" w:color="000000"/>
            </w:tcBorders>
          </w:tcPr>
          <w:p>
            <w:pPr/>
          </w:p>
        </w:tc>
      </w:tr>
      <w:tr>
        <w:trPr>
          <w:trHeight w:val="317" w:hRule="exact"/>
        </w:trPr>
        <w:tc>
          <w:tcPr>
            <w:tcW w:w="824"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83"/>
                <w:sz w:val="21"/>
                <w:szCs w:val="21"/>
              </w:rPr>
              <w:t> </w:t>
            </w:r>
            <w:r>
              <w:rPr>
                <w:rFonts w:ascii="宋体" w:hAnsi="宋体" w:cs="宋体" w:eastAsia="宋体" w:hint="default"/>
                <w:sz w:val="21"/>
                <w:szCs w:val="21"/>
              </w:rPr>
              <w:t>圳</w:t>
            </w:r>
          </w:p>
        </w:tc>
        <w:tc>
          <w:tcPr>
            <w:tcW w:w="757"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8,913</w:t>
            </w:r>
          </w:p>
        </w:tc>
        <w:tc>
          <w:tcPr>
            <w:tcW w:w="760" w:type="dxa"/>
            <w:vMerge w:val="restart"/>
            <w:tcBorders>
              <w:top w:val="single" w:sz="4" w:space="0" w:color="000000"/>
              <w:left w:val="single" w:sz="4" w:space="0" w:color="000000"/>
              <w:right w:val="single" w:sz="4" w:space="0" w:color="000000"/>
            </w:tcBorders>
          </w:tcPr>
          <w:p>
            <w:pPr/>
          </w:p>
        </w:tc>
        <w:tc>
          <w:tcPr>
            <w:tcW w:w="671" w:type="dxa"/>
            <w:vMerge w:val="restart"/>
            <w:tcBorders>
              <w:top w:val="single" w:sz="4" w:space="0" w:color="000000"/>
              <w:left w:val="single" w:sz="4" w:space="0" w:color="000000"/>
              <w:right w:val="single" w:sz="4" w:space="0" w:color="000000"/>
            </w:tcBorders>
          </w:tcPr>
          <w:p>
            <w:pPr/>
          </w:p>
        </w:tc>
        <w:tc>
          <w:tcPr>
            <w:tcW w:w="787"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-2,48</w:t>
            </w:r>
          </w:p>
        </w:tc>
        <w:tc>
          <w:tcPr>
            <w:tcW w:w="706" w:type="dxa"/>
            <w:vMerge w:val="restart"/>
            <w:tcBorders>
              <w:top w:val="single" w:sz="4" w:space="0" w:color="000000"/>
              <w:left w:val="single" w:sz="4" w:space="0" w:color="000000"/>
              <w:right w:val="single" w:sz="4" w:space="0" w:color="000000"/>
            </w:tcBorders>
          </w:tcPr>
          <w:p>
            <w:pPr/>
          </w:p>
        </w:tc>
        <w:tc>
          <w:tcPr>
            <w:tcW w:w="712" w:type="dxa"/>
            <w:vMerge w:val="restart"/>
            <w:tcBorders>
              <w:top w:val="single" w:sz="4" w:space="0" w:color="000000"/>
              <w:left w:val="single" w:sz="4" w:space="0" w:color="000000"/>
              <w:right w:val="single" w:sz="4" w:space="0" w:color="000000"/>
            </w:tcBorders>
          </w:tcPr>
          <w:p>
            <w:pPr/>
          </w:p>
        </w:tc>
        <w:tc>
          <w:tcPr>
            <w:tcW w:w="784" w:type="dxa"/>
            <w:vMerge w:val="restart"/>
            <w:tcBorders>
              <w:top w:val="single" w:sz="4" w:space="0" w:color="000000"/>
              <w:left w:val="single" w:sz="4" w:space="0" w:color="000000"/>
              <w:right w:val="single" w:sz="4" w:space="0" w:color="000000"/>
            </w:tcBorders>
          </w:tcPr>
          <w:p>
            <w:pPr/>
          </w:p>
        </w:tc>
        <w:tc>
          <w:tcPr>
            <w:tcW w:w="775" w:type="dxa"/>
            <w:vMerge w:val="restart"/>
            <w:tcBorders>
              <w:top w:val="single" w:sz="4" w:space="0" w:color="000000"/>
              <w:left w:val="single" w:sz="4" w:space="0" w:color="000000"/>
              <w:right w:val="single" w:sz="4" w:space="0" w:color="000000"/>
            </w:tcBorders>
          </w:tcPr>
          <w:p>
            <w:pPr/>
          </w:p>
        </w:tc>
        <w:tc>
          <w:tcPr>
            <w:tcW w:w="756" w:type="dxa"/>
            <w:vMerge w:val="restart"/>
            <w:tcBorders>
              <w:top w:val="single" w:sz="4" w:space="0" w:color="000000"/>
              <w:left w:val="single" w:sz="4" w:space="0" w:color="000000"/>
              <w:right w:val="single" w:sz="4" w:space="0" w:color="000000"/>
            </w:tcBorders>
          </w:tcPr>
          <w:p>
            <w:pPr/>
          </w:p>
        </w:tc>
        <w:tc>
          <w:tcPr>
            <w:tcW w:w="770"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6,432</w:t>
            </w:r>
            <w:r>
              <w:rPr>
                <w:rFonts w:ascii="宋体"/>
                <w:sz w:val="21"/>
              </w:rPr>
            </w:r>
          </w:p>
        </w:tc>
        <w:tc>
          <w:tcPr>
            <w:tcW w:w="748" w:type="dxa"/>
            <w:vMerge w:val="restart"/>
            <w:tcBorders>
              <w:top w:val="single" w:sz="4" w:space="0" w:color="000000"/>
              <w:left w:val="single" w:sz="4" w:space="0" w:color="000000"/>
              <w:right w:val="single" w:sz="4" w:space="0" w:color="000000"/>
            </w:tcBorders>
          </w:tcPr>
          <w:p>
            <w:pPr/>
          </w:p>
        </w:tc>
      </w:tr>
      <w:tr>
        <w:trPr>
          <w:trHeight w:val="312" w:hRule="exact"/>
        </w:trPr>
        <w:tc>
          <w:tcPr>
            <w:tcW w:w="82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83"/>
                <w:sz w:val="21"/>
                <w:szCs w:val="21"/>
              </w:rPr>
              <w:t> </w:t>
            </w:r>
            <w:r>
              <w:rPr>
                <w:rFonts w:ascii="宋体" w:hAnsi="宋体" w:cs="宋体" w:eastAsia="宋体" w:hint="default"/>
                <w:sz w:val="21"/>
                <w:szCs w:val="21"/>
              </w:rPr>
              <w:t>中</w:t>
            </w:r>
          </w:p>
        </w:tc>
        <w:tc>
          <w:tcPr>
            <w:tcW w:w="757"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,133.</w:t>
            </w:r>
          </w:p>
        </w:tc>
        <w:tc>
          <w:tcPr>
            <w:tcW w:w="760"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0,660</w:t>
            </w:r>
          </w:p>
        </w:tc>
        <w:tc>
          <w:tcPr>
            <w:tcW w:w="706"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,472.</w:t>
            </w:r>
          </w:p>
        </w:tc>
        <w:tc>
          <w:tcPr>
            <w:tcW w:w="748" w:type="dxa"/>
            <w:vMerge/>
            <w:tcBorders>
              <w:left w:val="single" w:sz="4" w:space="0" w:color="000000"/>
              <w:right w:val="single" w:sz="4" w:space="0" w:color="000000"/>
            </w:tcBorders>
          </w:tcPr>
          <w:p>
            <w:pPr/>
          </w:p>
        </w:tc>
      </w:tr>
      <w:tr>
        <w:trPr>
          <w:trHeight w:val="312" w:hRule="exact"/>
        </w:trPr>
        <w:tc>
          <w:tcPr>
            <w:tcW w:w="82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83"/>
                <w:sz w:val="21"/>
                <w:szCs w:val="21"/>
              </w:rPr>
              <w:t> </w:t>
            </w:r>
            <w:r>
              <w:rPr>
                <w:rFonts w:ascii="宋体" w:hAnsi="宋体" w:cs="宋体" w:eastAsia="宋体" w:hint="default"/>
                <w:sz w:val="21"/>
                <w:szCs w:val="21"/>
              </w:rPr>
              <w:t>金</w:t>
            </w:r>
          </w:p>
        </w:tc>
        <w:tc>
          <w:tcPr>
            <w:tcW w:w="757"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02</w:t>
            </w:r>
          </w:p>
        </w:tc>
        <w:tc>
          <w:tcPr>
            <w:tcW w:w="760"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.36</w:t>
            </w:r>
          </w:p>
        </w:tc>
        <w:tc>
          <w:tcPr>
            <w:tcW w:w="706"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66</w:t>
            </w:r>
          </w:p>
        </w:tc>
        <w:tc>
          <w:tcPr>
            <w:tcW w:w="748" w:type="dxa"/>
            <w:vMerge/>
            <w:tcBorders>
              <w:left w:val="single" w:sz="4" w:space="0" w:color="000000"/>
              <w:right w:val="single" w:sz="4" w:space="0" w:color="000000"/>
            </w:tcBorders>
          </w:tcPr>
          <w:p>
            <w:pPr/>
          </w:p>
        </w:tc>
      </w:tr>
      <w:tr>
        <w:trPr>
          <w:trHeight w:val="312" w:hRule="exact"/>
        </w:trPr>
        <w:tc>
          <w:tcPr>
            <w:tcW w:w="82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证</w:t>
            </w:r>
            <w:r>
              <w:rPr>
                <w:rFonts w:ascii="宋体" w:hAnsi="宋体" w:cs="宋体" w:eastAsia="宋体" w:hint="default"/>
                <w:spacing w:val="83"/>
                <w:sz w:val="21"/>
                <w:szCs w:val="21"/>
              </w:rPr>
              <w:t> </w:t>
            </w:r>
            <w:r>
              <w:rPr>
                <w:rFonts w:ascii="宋体" w:hAnsi="宋体" w:cs="宋体" w:eastAsia="宋体" w:hint="default"/>
                <w:sz w:val="21"/>
                <w:szCs w:val="21"/>
              </w:rPr>
              <w:t>科</w:t>
            </w:r>
          </w:p>
        </w:tc>
        <w:tc>
          <w:tcPr>
            <w:tcW w:w="757" w:type="dxa"/>
            <w:tcBorders>
              <w:top w:val="nil" w:sz="6" w:space="0" w:color="auto"/>
              <w:left w:val="single" w:sz="4" w:space="0" w:color="000000"/>
              <w:bottom w:val="nil" w:sz="6" w:space="0" w:color="auto"/>
              <w:right w:val="single" w:sz="4" w:space="0" w:color="000000"/>
            </w:tcBorders>
          </w:tcPr>
          <w:p>
            <w:pPr/>
          </w:p>
        </w:tc>
        <w:tc>
          <w:tcPr>
            <w:tcW w:w="760"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748" w:type="dxa"/>
            <w:vMerge/>
            <w:tcBorders>
              <w:left w:val="single" w:sz="4" w:space="0" w:color="000000"/>
              <w:right w:val="single" w:sz="4" w:space="0" w:color="000000"/>
            </w:tcBorders>
          </w:tcPr>
          <w:p>
            <w:pPr/>
          </w:p>
        </w:tc>
      </w:tr>
      <w:tr>
        <w:trPr>
          <w:trHeight w:val="312" w:hRule="exact"/>
        </w:trPr>
        <w:tc>
          <w:tcPr>
            <w:tcW w:w="82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83"/>
                <w:sz w:val="21"/>
                <w:szCs w:val="21"/>
              </w:rPr>
              <w:t> </w:t>
            </w:r>
            <w:r>
              <w:rPr>
                <w:rFonts w:ascii="宋体" w:hAnsi="宋体" w:cs="宋体" w:eastAsia="宋体" w:hint="default"/>
                <w:sz w:val="21"/>
                <w:szCs w:val="21"/>
              </w:rPr>
              <w:t>有</w:t>
            </w:r>
          </w:p>
        </w:tc>
        <w:tc>
          <w:tcPr>
            <w:tcW w:w="757" w:type="dxa"/>
            <w:tcBorders>
              <w:top w:val="nil" w:sz="6" w:space="0" w:color="auto"/>
              <w:left w:val="single" w:sz="4" w:space="0" w:color="000000"/>
              <w:bottom w:val="nil" w:sz="6" w:space="0" w:color="auto"/>
              <w:right w:val="single" w:sz="4" w:space="0" w:color="000000"/>
            </w:tcBorders>
          </w:tcPr>
          <w:p>
            <w:pPr/>
          </w:p>
        </w:tc>
        <w:tc>
          <w:tcPr>
            <w:tcW w:w="760"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748" w:type="dxa"/>
            <w:vMerge/>
            <w:tcBorders>
              <w:left w:val="single" w:sz="4" w:space="0" w:color="000000"/>
              <w:right w:val="single" w:sz="4" w:space="0" w:color="000000"/>
            </w:tcBorders>
          </w:tcPr>
          <w:p>
            <w:pPr/>
          </w:p>
        </w:tc>
      </w:tr>
      <w:tr>
        <w:trPr>
          <w:trHeight w:val="312" w:hRule="exact"/>
        </w:trPr>
        <w:tc>
          <w:tcPr>
            <w:tcW w:w="82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3"/>
                <w:sz w:val="21"/>
                <w:szCs w:val="21"/>
              </w:rPr>
              <w:t> </w:t>
            </w:r>
            <w:r>
              <w:rPr>
                <w:rFonts w:ascii="宋体" w:hAnsi="宋体" w:cs="宋体" w:eastAsia="宋体" w:hint="default"/>
                <w:sz w:val="21"/>
                <w:szCs w:val="21"/>
              </w:rPr>
              <w:t>公</w:t>
            </w:r>
          </w:p>
        </w:tc>
        <w:tc>
          <w:tcPr>
            <w:tcW w:w="757" w:type="dxa"/>
            <w:tcBorders>
              <w:top w:val="nil" w:sz="6" w:space="0" w:color="auto"/>
              <w:left w:val="single" w:sz="4" w:space="0" w:color="000000"/>
              <w:bottom w:val="nil" w:sz="6" w:space="0" w:color="auto"/>
              <w:right w:val="single" w:sz="4" w:space="0" w:color="000000"/>
            </w:tcBorders>
          </w:tcPr>
          <w:p>
            <w:pPr/>
          </w:p>
        </w:tc>
        <w:tc>
          <w:tcPr>
            <w:tcW w:w="760"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748" w:type="dxa"/>
            <w:vMerge/>
            <w:tcBorders>
              <w:left w:val="single" w:sz="4" w:space="0" w:color="000000"/>
              <w:right w:val="single" w:sz="4" w:space="0" w:color="000000"/>
            </w:tcBorders>
          </w:tcPr>
          <w:p>
            <w:pPr/>
          </w:p>
        </w:tc>
      </w:tr>
      <w:tr>
        <w:trPr>
          <w:trHeight w:val="318" w:hRule="exact"/>
        </w:trPr>
        <w:tc>
          <w:tcPr>
            <w:tcW w:w="82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57" w:type="dxa"/>
            <w:tcBorders>
              <w:top w:val="nil" w:sz="6" w:space="0" w:color="auto"/>
              <w:left w:val="single" w:sz="4" w:space="0" w:color="000000"/>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671" w:type="dxa"/>
            <w:vMerge/>
            <w:tcBorders>
              <w:left w:val="single" w:sz="4" w:space="0" w:color="000000"/>
              <w:bottom w:val="single" w:sz="4" w:space="0" w:color="000000"/>
              <w:right w:val="single" w:sz="4" w:space="0" w:color="000000"/>
            </w:tcBorders>
          </w:tcPr>
          <w:p>
            <w:pPr/>
          </w:p>
        </w:tc>
        <w:tc>
          <w:tcPr>
            <w:tcW w:w="787" w:type="dxa"/>
            <w:tcBorders>
              <w:top w:val="nil" w:sz="6" w:space="0" w:color="auto"/>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712"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70" w:type="dxa"/>
            <w:tcBorders>
              <w:top w:val="nil" w:sz="6" w:space="0" w:color="auto"/>
              <w:left w:val="single" w:sz="4" w:space="0" w:color="000000"/>
              <w:bottom w:val="single" w:sz="4" w:space="0" w:color="000000"/>
              <w:right w:val="single" w:sz="4" w:space="0" w:color="000000"/>
            </w:tcBorders>
          </w:tcPr>
          <w:p>
            <w:pPr/>
          </w:p>
        </w:tc>
        <w:tc>
          <w:tcPr>
            <w:tcW w:w="748" w:type="dxa"/>
            <w:vMerge/>
            <w:tcBorders>
              <w:left w:val="single" w:sz="4" w:space="0" w:color="000000"/>
              <w:bottom w:val="single" w:sz="4" w:space="0" w:color="000000"/>
              <w:right w:val="single" w:sz="4" w:space="0" w:color="000000"/>
            </w:tcBorders>
          </w:tcPr>
          <w:p>
            <w:pPr/>
          </w:p>
        </w:tc>
      </w:tr>
      <w:tr>
        <w:trPr>
          <w:trHeight w:val="316" w:hRule="exact"/>
        </w:trPr>
        <w:tc>
          <w:tcPr>
            <w:tcW w:w="824"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83"/>
                <w:sz w:val="21"/>
                <w:szCs w:val="21"/>
              </w:rPr>
              <w:t> </w:t>
            </w:r>
            <w:r>
              <w:rPr>
                <w:rFonts w:ascii="宋体" w:hAnsi="宋体" w:cs="宋体" w:eastAsia="宋体" w:hint="default"/>
                <w:sz w:val="21"/>
                <w:szCs w:val="21"/>
              </w:rPr>
              <w:t>圳</w:t>
            </w:r>
          </w:p>
        </w:tc>
        <w:tc>
          <w:tcPr>
            <w:tcW w:w="757"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5,998</w:t>
            </w:r>
          </w:p>
        </w:tc>
        <w:tc>
          <w:tcPr>
            <w:tcW w:w="760" w:type="dxa"/>
            <w:vMerge w:val="restart"/>
            <w:tcBorders>
              <w:top w:val="single" w:sz="4" w:space="0" w:color="000000"/>
              <w:left w:val="single" w:sz="4" w:space="0" w:color="000000"/>
              <w:right w:val="single" w:sz="4" w:space="0" w:color="000000"/>
            </w:tcBorders>
          </w:tcPr>
          <w:p>
            <w:pPr/>
          </w:p>
        </w:tc>
        <w:tc>
          <w:tcPr>
            <w:tcW w:w="671" w:type="dxa"/>
            <w:vMerge w:val="restart"/>
            <w:tcBorders>
              <w:top w:val="single" w:sz="4" w:space="0" w:color="000000"/>
              <w:left w:val="single" w:sz="4" w:space="0" w:color="000000"/>
              <w:right w:val="single" w:sz="4" w:space="0" w:color="000000"/>
            </w:tcBorders>
          </w:tcPr>
          <w:p>
            <w:pPr/>
          </w:p>
        </w:tc>
        <w:tc>
          <w:tcPr>
            <w:tcW w:w="787"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-749,</w:t>
            </w:r>
          </w:p>
        </w:tc>
        <w:tc>
          <w:tcPr>
            <w:tcW w:w="706" w:type="dxa"/>
            <w:vMerge w:val="restart"/>
            <w:tcBorders>
              <w:top w:val="single" w:sz="4" w:space="0" w:color="000000"/>
              <w:left w:val="single" w:sz="4" w:space="0" w:color="000000"/>
              <w:right w:val="single" w:sz="4" w:space="0" w:color="000000"/>
            </w:tcBorders>
          </w:tcPr>
          <w:p>
            <w:pPr/>
          </w:p>
        </w:tc>
        <w:tc>
          <w:tcPr>
            <w:tcW w:w="712" w:type="dxa"/>
            <w:vMerge w:val="restart"/>
            <w:tcBorders>
              <w:top w:val="single" w:sz="4" w:space="0" w:color="000000"/>
              <w:left w:val="single" w:sz="4" w:space="0" w:color="000000"/>
              <w:right w:val="single" w:sz="4" w:space="0" w:color="000000"/>
            </w:tcBorders>
          </w:tcPr>
          <w:p>
            <w:pPr/>
          </w:p>
        </w:tc>
        <w:tc>
          <w:tcPr>
            <w:tcW w:w="784" w:type="dxa"/>
            <w:vMerge w:val="restart"/>
            <w:tcBorders>
              <w:top w:val="single" w:sz="4" w:space="0" w:color="000000"/>
              <w:left w:val="single" w:sz="4" w:space="0" w:color="000000"/>
              <w:right w:val="single" w:sz="4" w:space="0" w:color="000000"/>
            </w:tcBorders>
          </w:tcPr>
          <w:p>
            <w:pPr/>
          </w:p>
        </w:tc>
        <w:tc>
          <w:tcPr>
            <w:tcW w:w="775" w:type="dxa"/>
            <w:vMerge w:val="restart"/>
            <w:tcBorders>
              <w:top w:val="single" w:sz="4" w:space="0" w:color="000000"/>
              <w:left w:val="single" w:sz="4" w:space="0" w:color="000000"/>
              <w:right w:val="single" w:sz="4" w:space="0" w:color="000000"/>
            </w:tcBorders>
          </w:tcPr>
          <w:p>
            <w:pPr/>
          </w:p>
        </w:tc>
        <w:tc>
          <w:tcPr>
            <w:tcW w:w="756" w:type="dxa"/>
            <w:vMerge w:val="restart"/>
            <w:tcBorders>
              <w:top w:val="single" w:sz="4" w:space="0" w:color="000000"/>
              <w:left w:val="single" w:sz="4" w:space="0" w:color="000000"/>
              <w:right w:val="single" w:sz="4" w:space="0" w:color="000000"/>
            </w:tcBorders>
          </w:tcPr>
          <w:p>
            <w:pPr/>
          </w:p>
        </w:tc>
        <w:tc>
          <w:tcPr>
            <w:tcW w:w="77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5,249</w:t>
            </w:r>
            <w:r>
              <w:rPr>
                <w:rFonts w:ascii="宋体"/>
                <w:sz w:val="21"/>
              </w:rPr>
            </w:r>
          </w:p>
        </w:tc>
        <w:tc>
          <w:tcPr>
            <w:tcW w:w="748" w:type="dxa"/>
            <w:vMerge w:val="restart"/>
            <w:tcBorders>
              <w:top w:val="single" w:sz="4" w:space="0" w:color="000000"/>
              <w:left w:val="single" w:sz="4" w:space="0" w:color="000000"/>
              <w:right w:val="single" w:sz="4" w:space="0" w:color="000000"/>
            </w:tcBorders>
          </w:tcPr>
          <w:p>
            <w:pPr/>
          </w:p>
        </w:tc>
      </w:tr>
      <w:tr>
        <w:trPr>
          <w:trHeight w:val="312" w:hRule="exact"/>
        </w:trPr>
        <w:tc>
          <w:tcPr>
            <w:tcW w:w="82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83"/>
                <w:sz w:val="21"/>
                <w:szCs w:val="21"/>
              </w:rPr>
              <w:t> </w:t>
            </w:r>
            <w:r>
              <w:rPr>
                <w:rFonts w:ascii="宋体" w:hAnsi="宋体" w:cs="宋体" w:eastAsia="宋体" w:hint="default"/>
                <w:sz w:val="21"/>
                <w:szCs w:val="21"/>
              </w:rPr>
              <w:t>金</w:t>
            </w:r>
          </w:p>
        </w:tc>
        <w:tc>
          <w:tcPr>
            <w:tcW w:w="757"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,825.</w:t>
            </w:r>
          </w:p>
        </w:tc>
        <w:tc>
          <w:tcPr>
            <w:tcW w:w="760"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800.8</w:t>
            </w:r>
          </w:p>
        </w:tc>
        <w:tc>
          <w:tcPr>
            <w:tcW w:w="706"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,024.</w:t>
            </w:r>
          </w:p>
        </w:tc>
        <w:tc>
          <w:tcPr>
            <w:tcW w:w="748" w:type="dxa"/>
            <w:vMerge/>
            <w:tcBorders>
              <w:left w:val="single" w:sz="4" w:space="0" w:color="000000"/>
              <w:right w:val="single" w:sz="4" w:space="0" w:color="000000"/>
            </w:tcBorders>
          </w:tcPr>
          <w:p>
            <w:pPr/>
          </w:p>
        </w:tc>
      </w:tr>
      <w:tr>
        <w:trPr>
          <w:trHeight w:val="312" w:hRule="exact"/>
        </w:trPr>
        <w:tc>
          <w:tcPr>
            <w:tcW w:w="82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慧</w:t>
            </w:r>
            <w:r>
              <w:rPr>
                <w:rFonts w:ascii="宋体" w:hAnsi="宋体" w:cs="宋体" w:eastAsia="宋体" w:hint="default"/>
                <w:spacing w:val="83"/>
                <w:sz w:val="21"/>
                <w:szCs w:val="21"/>
              </w:rPr>
              <w:t> </w:t>
            </w:r>
            <w:r>
              <w:rPr>
                <w:rFonts w:ascii="宋体" w:hAnsi="宋体" w:cs="宋体" w:eastAsia="宋体" w:hint="default"/>
                <w:sz w:val="21"/>
                <w:szCs w:val="21"/>
              </w:rPr>
              <w:t>盈</w:t>
            </w:r>
          </w:p>
        </w:tc>
        <w:tc>
          <w:tcPr>
            <w:tcW w:w="757"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26</w:t>
            </w:r>
          </w:p>
        </w:tc>
        <w:tc>
          <w:tcPr>
            <w:tcW w:w="760"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7</w:t>
            </w:r>
          </w:p>
        </w:tc>
        <w:tc>
          <w:tcPr>
            <w:tcW w:w="706"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39</w:t>
            </w:r>
          </w:p>
        </w:tc>
        <w:tc>
          <w:tcPr>
            <w:tcW w:w="748" w:type="dxa"/>
            <w:vMerge/>
            <w:tcBorders>
              <w:left w:val="single" w:sz="4" w:space="0" w:color="000000"/>
              <w:right w:val="single" w:sz="4" w:space="0" w:color="000000"/>
            </w:tcBorders>
          </w:tcPr>
          <w:p>
            <w:pPr/>
          </w:p>
        </w:tc>
      </w:tr>
      <w:tr>
        <w:trPr>
          <w:trHeight w:val="312" w:hRule="exact"/>
        </w:trPr>
        <w:tc>
          <w:tcPr>
            <w:tcW w:w="82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通</w:t>
            </w:r>
            <w:r>
              <w:rPr>
                <w:rFonts w:ascii="宋体" w:hAnsi="宋体" w:cs="宋体" w:eastAsia="宋体" w:hint="default"/>
                <w:spacing w:val="83"/>
                <w:sz w:val="21"/>
                <w:szCs w:val="21"/>
              </w:rPr>
              <w:t> </w:t>
            </w:r>
            <w:r>
              <w:rPr>
                <w:rFonts w:ascii="宋体" w:hAnsi="宋体" w:cs="宋体" w:eastAsia="宋体" w:hint="default"/>
                <w:sz w:val="21"/>
                <w:szCs w:val="21"/>
              </w:rPr>
              <w:t>数</w:t>
            </w:r>
          </w:p>
        </w:tc>
        <w:tc>
          <w:tcPr>
            <w:tcW w:w="757" w:type="dxa"/>
            <w:tcBorders>
              <w:top w:val="nil" w:sz="6" w:space="0" w:color="auto"/>
              <w:left w:val="single" w:sz="4" w:space="0" w:color="000000"/>
              <w:bottom w:val="nil" w:sz="6" w:space="0" w:color="auto"/>
              <w:right w:val="single" w:sz="4" w:space="0" w:color="000000"/>
            </w:tcBorders>
          </w:tcPr>
          <w:p>
            <w:pPr/>
          </w:p>
        </w:tc>
        <w:tc>
          <w:tcPr>
            <w:tcW w:w="760"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748" w:type="dxa"/>
            <w:vMerge/>
            <w:tcBorders>
              <w:left w:val="single" w:sz="4" w:space="0" w:color="000000"/>
              <w:right w:val="single" w:sz="4" w:space="0" w:color="000000"/>
            </w:tcBorders>
          </w:tcPr>
          <w:p>
            <w:pPr/>
          </w:p>
        </w:tc>
      </w:tr>
      <w:tr>
        <w:trPr>
          <w:trHeight w:val="312" w:hRule="exact"/>
        </w:trPr>
        <w:tc>
          <w:tcPr>
            <w:tcW w:w="82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据</w:t>
            </w:r>
            <w:r>
              <w:rPr>
                <w:rFonts w:ascii="宋体" w:hAnsi="宋体" w:cs="宋体" w:eastAsia="宋体" w:hint="default"/>
                <w:spacing w:val="83"/>
                <w:sz w:val="21"/>
                <w:szCs w:val="21"/>
              </w:rPr>
              <w:t> </w:t>
            </w:r>
            <w:r>
              <w:rPr>
                <w:rFonts w:ascii="宋体" w:hAnsi="宋体" w:cs="宋体" w:eastAsia="宋体" w:hint="default"/>
                <w:sz w:val="21"/>
                <w:szCs w:val="21"/>
              </w:rPr>
              <w:t>服</w:t>
            </w:r>
          </w:p>
        </w:tc>
        <w:tc>
          <w:tcPr>
            <w:tcW w:w="757" w:type="dxa"/>
            <w:tcBorders>
              <w:top w:val="nil" w:sz="6" w:space="0" w:color="auto"/>
              <w:left w:val="single" w:sz="4" w:space="0" w:color="000000"/>
              <w:bottom w:val="nil" w:sz="6" w:space="0" w:color="auto"/>
              <w:right w:val="single" w:sz="4" w:space="0" w:color="000000"/>
            </w:tcBorders>
          </w:tcPr>
          <w:p>
            <w:pPr/>
          </w:p>
        </w:tc>
        <w:tc>
          <w:tcPr>
            <w:tcW w:w="760"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748" w:type="dxa"/>
            <w:vMerge/>
            <w:tcBorders>
              <w:left w:val="single" w:sz="4" w:space="0" w:color="000000"/>
              <w:right w:val="single" w:sz="4" w:space="0" w:color="000000"/>
            </w:tcBorders>
          </w:tcPr>
          <w:p>
            <w:pPr/>
          </w:p>
        </w:tc>
      </w:tr>
      <w:tr>
        <w:trPr>
          <w:trHeight w:val="312" w:hRule="exact"/>
        </w:trPr>
        <w:tc>
          <w:tcPr>
            <w:tcW w:w="82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pacing w:val="83"/>
                <w:sz w:val="21"/>
                <w:szCs w:val="21"/>
              </w:rPr>
              <w:t> </w:t>
            </w:r>
            <w:r>
              <w:rPr>
                <w:rFonts w:ascii="宋体" w:hAnsi="宋体" w:cs="宋体" w:eastAsia="宋体" w:hint="default"/>
                <w:sz w:val="21"/>
                <w:szCs w:val="21"/>
              </w:rPr>
              <w:t>有</w:t>
            </w:r>
          </w:p>
        </w:tc>
        <w:tc>
          <w:tcPr>
            <w:tcW w:w="757" w:type="dxa"/>
            <w:tcBorders>
              <w:top w:val="nil" w:sz="6" w:space="0" w:color="auto"/>
              <w:left w:val="single" w:sz="4" w:space="0" w:color="000000"/>
              <w:bottom w:val="nil" w:sz="6" w:space="0" w:color="auto"/>
              <w:right w:val="single" w:sz="4" w:space="0" w:color="000000"/>
            </w:tcBorders>
          </w:tcPr>
          <w:p>
            <w:pPr/>
          </w:p>
        </w:tc>
        <w:tc>
          <w:tcPr>
            <w:tcW w:w="760"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748" w:type="dxa"/>
            <w:vMerge/>
            <w:tcBorders>
              <w:left w:val="single" w:sz="4" w:space="0" w:color="000000"/>
              <w:right w:val="single" w:sz="4" w:space="0" w:color="000000"/>
            </w:tcBorders>
          </w:tcPr>
          <w:p>
            <w:pPr/>
          </w:p>
        </w:tc>
      </w:tr>
      <w:tr>
        <w:trPr>
          <w:trHeight w:val="312" w:hRule="exact"/>
        </w:trPr>
        <w:tc>
          <w:tcPr>
            <w:tcW w:w="82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3"/>
                <w:sz w:val="21"/>
                <w:szCs w:val="21"/>
              </w:rPr>
              <w:t> </w:t>
            </w:r>
            <w:r>
              <w:rPr>
                <w:rFonts w:ascii="宋体" w:hAnsi="宋体" w:cs="宋体" w:eastAsia="宋体" w:hint="default"/>
                <w:sz w:val="21"/>
                <w:szCs w:val="21"/>
              </w:rPr>
              <w:t>公</w:t>
            </w:r>
          </w:p>
        </w:tc>
        <w:tc>
          <w:tcPr>
            <w:tcW w:w="757" w:type="dxa"/>
            <w:tcBorders>
              <w:top w:val="nil" w:sz="6" w:space="0" w:color="auto"/>
              <w:left w:val="single" w:sz="4" w:space="0" w:color="000000"/>
              <w:bottom w:val="nil" w:sz="6" w:space="0" w:color="auto"/>
              <w:right w:val="single" w:sz="4" w:space="0" w:color="000000"/>
            </w:tcBorders>
          </w:tcPr>
          <w:p>
            <w:pPr/>
          </w:p>
        </w:tc>
        <w:tc>
          <w:tcPr>
            <w:tcW w:w="760"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748" w:type="dxa"/>
            <w:vMerge/>
            <w:tcBorders>
              <w:left w:val="single" w:sz="4" w:space="0" w:color="000000"/>
              <w:right w:val="single" w:sz="4" w:space="0" w:color="000000"/>
            </w:tcBorders>
          </w:tcPr>
          <w:p>
            <w:pPr/>
          </w:p>
        </w:tc>
      </w:tr>
      <w:tr>
        <w:trPr>
          <w:trHeight w:val="318" w:hRule="exact"/>
        </w:trPr>
        <w:tc>
          <w:tcPr>
            <w:tcW w:w="82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57" w:type="dxa"/>
            <w:tcBorders>
              <w:top w:val="nil" w:sz="6" w:space="0" w:color="auto"/>
              <w:left w:val="single" w:sz="4" w:space="0" w:color="000000"/>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671" w:type="dxa"/>
            <w:vMerge/>
            <w:tcBorders>
              <w:left w:val="single" w:sz="4" w:space="0" w:color="000000"/>
              <w:bottom w:val="single" w:sz="4" w:space="0" w:color="000000"/>
              <w:right w:val="single" w:sz="4" w:space="0" w:color="000000"/>
            </w:tcBorders>
          </w:tcPr>
          <w:p>
            <w:pPr/>
          </w:p>
        </w:tc>
        <w:tc>
          <w:tcPr>
            <w:tcW w:w="787" w:type="dxa"/>
            <w:tcBorders>
              <w:top w:val="nil" w:sz="6" w:space="0" w:color="auto"/>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712"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70" w:type="dxa"/>
            <w:tcBorders>
              <w:top w:val="nil" w:sz="6" w:space="0" w:color="auto"/>
              <w:left w:val="single" w:sz="4" w:space="0" w:color="000000"/>
              <w:bottom w:val="single" w:sz="4" w:space="0" w:color="000000"/>
              <w:right w:val="single" w:sz="4" w:space="0" w:color="000000"/>
            </w:tcBorders>
          </w:tcPr>
          <w:p>
            <w:pPr/>
          </w:p>
        </w:tc>
        <w:tc>
          <w:tcPr>
            <w:tcW w:w="748" w:type="dxa"/>
            <w:vMerge/>
            <w:tcBorders>
              <w:left w:val="single" w:sz="4" w:space="0" w:color="000000"/>
              <w:bottom w:val="single" w:sz="4" w:space="0" w:color="000000"/>
              <w:right w:val="single" w:sz="4" w:space="0" w:color="000000"/>
            </w:tcBorders>
          </w:tcPr>
          <w:p>
            <w:pPr/>
          </w:p>
        </w:tc>
      </w:tr>
      <w:tr>
        <w:trPr>
          <w:trHeight w:val="316" w:hRule="exact"/>
        </w:trPr>
        <w:tc>
          <w:tcPr>
            <w:tcW w:w="824"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83"/>
                <w:sz w:val="21"/>
                <w:szCs w:val="21"/>
              </w:rPr>
              <w:t> </w:t>
            </w:r>
            <w:r>
              <w:rPr>
                <w:rFonts w:ascii="宋体" w:hAnsi="宋体" w:cs="宋体" w:eastAsia="宋体" w:hint="default"/>
                <w:sz w:val="21"/>
                <w:szCs w:val="21"/>
              </w:rPr>
              <w:t>圳</w:t>
            </w:r>
          </w:p>
        </w:tc>
        <w:tc>
          <w:tcPr>
            <w:tcW w:w="757" w:type="dxa"/>
            <w:vMerge w:val="restart"/>
            <w:tcBorders>
              <w:top w:val="single" w:sz="4" w:space="0" w:color="000000"/>
              <w:left w:val="single" w:sz="4" w:space="0" w:color="000000"/>
              <w:right w:val="single" w:sz="4" w:space="0" w:color="000000"/>
            </w:tcBorders>
          </w:tcPr>
          <w:p>
            <w:pPr/>
          </w:p>
        </w:tc>
        <w:tc>
          <w:tcPr>
            <w:tcW w:w="76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3,300</w:t>
            </w:r>
            <w:r>
              <w:rPr>
                <w:rFonts w:ascii="宋体"/>
                <w:sz w:val="21"/>
              </w:rPr>
            </w:r>
          </w:p>
        </w:tc>
        <w:tc>
          <w:tcPr>
            <w:tcW w:w="671" w:type="dxa"/>
            <w:vMerge w:val="restart"/>
            <w:tcBorders>
              <w:top w:val="single" w:sz="4" w:space="0" w:color="000000"/>
              <w:left w:val="single" w:sz="4" w:space="0" w:color="000000"/>
              <w:right w:val="single" w:sz="4" w:space="0" w:color="000000"/>
            </w:tcBorders>
          </w:tcPr>
          <w:p>
            <w:pPr/>
          </w:p>
        </w:tc>
        <w:tc>
          <w:tcPr>
            <w:tcW w:w="787"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-177,</w:t>
            </w:r>
            <w:r>
              <w:rPr>
                <w:rFonts w:ascii="宋体"/>
                <w:sz w:val="21"/>
              </w:rPr>
            </w:r>
          </w:p>
        </w:tc>
        <w:tc>
          <w:tcPr>
            <w:tcW w:w="706" w:type="dxa"/>
            <w:vMerge w:val="restart"/>
            <w:tcBorders>
              <w:top w:val="single" w:sz="4" w:space="0" w:color="000000"/>
              <w:left w:val="single" w:sz="4" w:space="0" w:color="000000"/>
              <w:right w:val="single" w:sz="4" w:space="0" w:color="000000"/>
            </w:tcBorders>
          </w:tcPr>
          <w:p>
            <w:pPr/>
          </w:p>
        </w:tc>
        <w:tc>
          <w:tcPr>
            <w:tcW w:w="712" w:type="dxa"/>
            <w:vMerge w:val="restart"/>
            <w:tcBorders>
              <w:top w:val="single" w:sz="4" w:space="0" w:color="000000"/>
              <w:left w:val="single" w:sz="4" w:space="0" w:color="000000"/>
              <w:right w:val="single" w:sz="4" w:space="0" w:color="000000"/>
            </w:tcBorders>
          </w:tcPr>
          <w:p>
            <w:pPr/>
          </w:p>
        </w:tc>
        <w:tc>
          <w:tcPr>
            <w:tcW w:w="784" w:type="dxa"/>
            <w:vMerge w:val="restart"/>
            <w:tcBorders>
              <w:top w:val="single" w:sz="4" w:space="0" w:color="000000"/>
              <w:left w:val="single" w:sz="4" w:space="0" w:color="000000"/>
              <w:right w:val="single" w:sz="4" w:space="0" w:color="000000"/>
            </w:tcBorders>
          </w:tcPr>
          <w:p>
            <w:pPr/>
          </w:p>
        </w:tc>
        <w:tc>
          <w:tcPr>
            <w:tcW w:w="775" w:type="dxa"/>
            <w:vMerge w:val="restart"/>
            <w:tcBorders>
              <w:top w:val="single" w:sz="4" w:space="0" w:color="000000"/>
              <w:left w:val="single" w:sz="4" w:space="0" w:color="000000"/>
              <w:right w:val="single" w:sz="4" w:space="0" w:color="000000"/>
            </w:tcBorders>
          </w:tcPr>
          <w:p>
            <w:pPr/>
          </w:p>
        </w:tc>
        <w:tc>
          <w:tcPr>
            <w:tcW w:w="756" w:type="dxa"/>
            <w:vMerge w:val="restart"/>
            <w:tcBorders>
              <w:top w:val="single" w:sz="4" w:space="0" w:color="000000"/>
              <w:left w:val="single" w:sz="4" w:space="0" w:color="000000"/>
              <w:right w:val="single" w:sz="4" w:space="0" w:color="000000"/>
            </w:tcBorders>
          </w:tcPr>
          <w:p>
            <w:pPr/>
          </w:p>
        </w:tc>
        <w:tc>
          <w:tcPr>
            <w:tcW w:w="77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3,122</w:t>
            </w:r>
            <w:r>
              <w:rPr>
                <w:rFonts w:ascii="宋体"/>
                <w:sz w:val="21"/>
              </w:rPr>
            </w:r>
          </w:p>
        </w:tc>
        <w:tc>
          <w:tcPr>
            <w:tcW w:w="748" w:type="dxa"/>
            <w:vMerge w:val="restart"/>
            <w:tcBorders>
              <w:top w:val="single" w:sz="4" w:space="0" w:color="000000"/>
              <w:left w:val="single" w:sz="4" w:space="0" w:color="000000"/>
              <w:right w:val="single" w:sz="4" w:space="0" w:color="000000"/>
            </w:tcBorders>
          </w:tcPr>
          <w:p>
            <w:pPr/>
          </w:p>
        </w:tc>
      </w:tr>
      <w:tr>
        <w:trPr>
          <w:trHeight w:val="312" w:hRule="exact"/>
        </w:trPr>
        <w:tc>
          <w:tcPr>
            <w:tcW w:w="82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83"/>
                <w:sz w:val="21"/>
                <w:szCs w:val="21"/>
              </w:rPr>
              <w:t> </w:t>
            </w:r>
            <w:r>
              <w:rPr>
                <w:rFonts w:ascii="宋体" w:hAnsi="宋体" w:cs="宋体" w:eastAsia="宋体" w:hint="default"/>
                <w:sz w:val="21"/>
                <w:szCs w:val="21"/>
              </w:rPr>
              <w:t>丽</w:t>
            </w:r>
          </w:p>
        </w:tc>
        <w:tc>
          <w:tcPr>
            <w:tcW w:w="757" w:type="dxa"/>
            <w:vMerge/>
            <w:tcBorders>
              <w:left w:val="single" w:sz="4" w:space="0" w:color="000000"/>
              <w:right w:val="single" w:sz="4" w:space="0" w:color="000000"/>
            </w:tcBorders>
          </w:tcPr>
          <w:p>
            <w:pPr/>
          </w:p>
        </w:tc>
        <w:tc>
          <w:tcPr>
            <w:tcW w:w="76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,000.</w:t>
            </w:r>
          </w:p>
        </w:tc>
        <w:tc>
          <w:tcPr>
            <w:tcW w:w="671" w:type="dxa"/>
            <w:vMerge/>
            <w:tcBorders>
              <w:left w:val="single" w:sz="4" w:space="0" w:color="000000"/>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604.7</w:t>
            </w:r>
          </w:p>
        </w:tc>
        <w:tc>
          <w:tcPr>
            <w:tcW w:w="706"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,395.</w:t>
            </w:r>
          </w:p>
        </w:tc>
        <w:tc>
          <w:tcPr>
            <w:tcW w:w="748" w:type="dxa"/>
            <w:vMerge/>
            <w:tcBorders>
              <w:left w:val="single" w:sz="4" w:space="0" w:color="000000"/>
              <w:right w:val="single" w:sz="4" w:space="0" w:color="000000"/>
            </w:tcBorders>
          </w:tcPr>
          <w:p>
            <w:pPr/>
          </w:p>
        </w:tc>
      </w:tr>
      <w:tr>
        <w:trPr>
          <w:trHeight w:val="312" w:hRule="exact"/>
        </w:trPr>
        <w:tc>
          <w:tcPr>
            <w:tcW w:w="82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pacing w:val="83"/>
                <w:sz w:val="21"/>
                <w:szCs w:val="21"/>
              </w:rPr>
              <w:t> </w:t>
            </w:r>
            <w:r>
              <w:rPr>
                <w:rFonts w:ascii="宋体" w:hAnsi="宋体" w:cs="宋体" w:eastAsia="宋体" w:hint="default"/>
                <w:sz w:val="21"/>
                <w:szCs w:val="21"/>
              </w:rPr>
              <w:t>弘</w:t>
            </w:r>
          </w:p>
        </w:tc>
        <w:tc>
          <w:tcPr>
            <w:tcW w:w="757" w:type="dxa"/>
            <w:vMerge/>
            <w:tcBorders>
              <w:left w:val="single" w:sz="4" w:space="0" w:color="000000"/>
              <w:right w:val="single" w:sz="4" w:space="0" w:color="000000"/>
            </w:tcBorders>
          </w:tcPr>
          <w:p>
            <w:pPr/>
          </w:p>
        </w:tc>
        <w:tc>
          <w:tcPr>
            <w:tcW w:w="76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00</w:t>
            </w:r>
          </w:p>
        </w:tc>
        <w:tc>
          <w:tcPr>
            <w:tcW w:w="671" w:type="dxa"/>
            <w:vMerge/>
            <w:tcBorders>
              <w:left w:val="single" w:sz="4" w:space="0" w:color="000000"/>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9</w:t>
            </w:r>
          </w:p>
        </w:tc>
        <w:tc>
          <w:tcPr>
            <w:tcW w:w="706"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21</w:t>
            </w:r>
          </w:p>
        </w:tc>
        <w:tc>
          <w:tcPr>
            <w:tcW w:w="748" w:type="dxa"/>
            <w:vMerge/>
            <w:tcBorders>
              <w:left w:val="single" w:sz="4" w:space="0" w:color="000000"/>
              <w:right w:val="single" w:sz="4" w:space="0" w:color="000000"/>
            </w:tcBorders>
          </w:tcPr>
          <w:p>
            <w:pPr/>
          </w:p>
        </w:tc>
      </w:tr>
      <w:tr>
        <w:trPr>
          <w:trHeight w:val="319" w:hRule="exact"/>
        </w:trPr>
        <w:tc>
          <w:tcPr>
            <w:tcW w:w="82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83"/>
                <w:sz w:val="21"/>
                <w:szCs w:val="21"/>
              </w:rPr>
              <w:t> </w:t>
            </w:r>
            <w:r>
              <w:rPr>
                <w:rFonts w:ascii="宋体" w:hAnsi="宋体" w:cs="宋体" w:eastAsia="宋体" w:hint="default"/>
                <w:sz w:val="21"/>
                <w:szCs w:val="21"/>
              </w:rPr>
              <w:t>科</w:t>
            </w:r>
          </w:p>
        </w:tc>
        <w:tc>
          <w:tcPr>
            <w:tcW w:w="757" w:type="dxa"/>
            <w:vMerge/>
            <w:tcBorders>
              <w:left w:val="single" w:sz="4" w:space="0" w:color="000000"/>
              <w:bottom w:val="single" w:sz="4" w:space="0" w:color="000000"/>
              <w:right w:val="single" w:sz="4" w:space="0" w:color="000000"/>
            </w:tcBorders>
          </w:tcPr>
          <w:p>
            <w:pPr/>
          </w:p>
        </w:tc>
        <w:tc>
          <w:tcPr>
            <w:tcW w:w="760" w:type="dxa"/>
            <w:tcBorders>
              <w:top w:val="nil" w:sz="6" w:space="0" w:color="auto"/>
              <w:left w:val="single" w:sz="4" w:space="0" w:color="000000"/>
              <w:bottom w:val="single" w:sz="4" w:space="0" w:color="000000"/>
              <w:right w:val="single" w:sz="4" w:space="0" w:color="000000"/>
            </w:tcBorders>
          </w:tcPr>
          <w:p>
            <w:pPr/>
          </w:p>
        </w:tc>
        <w:tc>
          <w:tcPr>
            <w:tcW w:w="671" w:type="dxa"/>
            <w:vMerge/>
            <w:tcBorders>
              <w:left w:val="single" w:sz="4" w:space="0" w:color="000000"/>
              <w:bottom w:val="single" w:sz="4" w:space="0" w:color="000000"/>
              <w:right w:val="single" w:sz="4" w:space="0" w:color="000000"/>
            </w:tcBorders>
          </w:tcPr>
          <w:p>
            <w:pPr/>
          </w:p>
        </w:tc>
        <w:tc>
          <w:tcPr>
            <w:tcW w:w="787" w:type="dxa"/>
            <w:tcBorders>
              <w:top w:val="nil" w:sz="6" w:space="0" w:color="auto"/>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712"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70" w:type="dxa"/>
            <w:tcBorders>
              <w:top w:val="nil" w:sz="6" w:space="0" w:color="auto"/>
              <w:left w:val="single" w:sz="4" w:space="0" w:color="000000"/>
              <w:bottom w:val="single" w:sz="4" w:space="0" w:color="000000"/>
              <w:right w:val="single" w:sz="4" w:space="0" w:color="000000"/>
            </w:tcBorders>
          </w:tcPr>
          <w:p>
            <w:pPr/>
          </w:p>
        </w:tc>
        <w:tc>
          <w:tcPr>
            <w:tcW w:w="748"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1197"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824"/>
        <w:gridCol w:w="757"/>
        <w:gridCol w:w="760"/>
        <w:gridCol w:w="671"/>
        <w:gridCol w:w="787"/>
        <w:gridCol w:w="706"/>
        <w:gridCol w:w="712"/>
        <w:gridCol w:w="784"/>
        <w:gridCol w:w="775"/>
        <w:gridCol w:w="756"/>
        <w:gridCol w:w="770"/>
        <w:gridCol w:w="748"/>
      </w:tblGrid>
      <w:tr>
        <w:trPr>
          <w:trHeight w:val="94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83"/>
                <w:sz w:val="21"/>
                <w:szCs w:val="21"/>
              </w:rPr>
              <w:t> </w:t>
            </w:r>
            <w:r>
              <w:rPr>
                <w:rFonts w:ascii="宋体" w:hAnsi="宋体" w:cs="宋体" w:eastAsia="宋体" w:hint="default"/>
                <w:sz w:val="21"/>
                <w:szCs w:val="21"/>
              </w:rPr>
              <w:t>有</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3"/>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757"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824"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贵</w:t>
            </w:r>
            <w:r>
              <w:rPr>
                <w:rFonts w:ascii="宋体" w:hAnsi="宋体" w:cs="宋体" w:eastAsia="宋体" w:hint="default"/>
                <w:spacing w:val="83"/>
                <w:sz w:val="21"/>
                <w:szCs w:val="21"/>
              </w:rPr>
              <w:t> </w:t>
            </w:r>
            <w:r>
              <w:rPr>
                <w:rFonts w:ascii="宋体" w:hAnsi="宋体" w:cs="宋体" w:eastAsia="宋体" w:hint="default"/>
                <w:sz w:val="21"/>
                <w:szCs w:val="21"/>
              </w:rPr>
              <w:t>州</w:t>
            </w:r>
          </w:p>
        </w:tc>
        <w:tc>
          <w:tcPr>
            <w:tcW w:w="757" w:type="dxa"/>
            <w:vMerge w:val="restart"/>
            <w:tcBorders>
              <w:top w:val="single" w:sz="4" w:space="0" w:color="000000"/>
              <w:left w:val="single" w:sz="4" w:space="0" w:color="000000"/>
              <w:right w:val="single" w:sz="4" w:space="0" w:color="000000"/>
            </w:tcBorders>
          </w:tcPr>
          <w:p>
            <w:pPr/>
          </w:p>
        </w:tc>
        <w:tc>
          <w:tcPr>
            <w:tcW w:w="76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340,0</w:t>
            </w:r>
            <w:r>
              <w:rPr>
                <w:rFonts w:ascii="宋体"/>
                <w:sz w:val="21"/>
              </w:rPr>
            </w:r>
          </w:p>
        </w:tc>
        <w:tc>
          <w:tcPr>
            <w:tcW w:w="671" w:type="dxa"/>
            <w:vMerge w:val="restart"/>
            <w:tcBorders>
              <w:top w:val="single" w:sz="4" w:space="0" w:color="000000"/>
              <w:left w:val="single" w:sz="4" w:space="0" w:color="000000"/>
              <w:right w:val="single" w:sz="4" w:space="0" w:color="000000"/>
            </w:tcBorders>
          </w:tcPr>
          <w:p>
            <w:pPr/>
          </w:p>
        </w:tc>
        <w:tc>
          <w:tcPr>
            <w:tcW w:w="787"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-398.</w:t>
            </w:r>
            <w:r>
              <w:rPr>
                <w:rFonts w:ascii="宋体"/>
                <w:sz w:val="21"/>
              </w:rPr>
            </w:r>
          </w:p>
        </w:tc>
        <w:tc>
          <w:tcPr>
            <w:tcW w:w="706" w:type="dxa"/>
            <w:vMerge w:val="restart"/>
            <w:tcBorders>
              <w:top w:val="single" w:sz="4" w:space="0" w:color="000000"/>
              <w:left w:val="single" w:sz="4" w:space="0" w:color="000000"/>
              <w:right w:val="single" w:sz="4" w:space="0" w:color="000000"/>
            </w:tcBorders>
          </w:tcPr>
          <w:p>
            <w:pPr/>
          </w:p>
        </w:tc>
        <w:tc>
          <w:tcPr>
            <w:tcW w:w="712" w:type="dxa"/>
            <w:vMerge w:val="restart"/>
            <w:tcBorders>
              <w:top w:val="single" w:sz="4" w:space="0" w:color="000000"/>
              <w:left w:val="single" w:sz="4" w:space="0" w:color="000000"/>
              <w:right w:val="single" w:sz="4" w:space="0" w:color="000000"/>
            </w:tcBorders>
          </w:tcPr>
          <w:p>
            <w:pPr/>
          </w:p>
        </w:tc>
        <w:tc>
          <w:tcPr>
            <w:tcW w:w="784" w:type="dxa"/>
            <w:vMerge w:val="restart"/>
            <w:tcBorders>
              <w:top w:val="single" w:sz="4" w:space="0" w:color="000000"/>
              <w:left w:val="single" w:sz="4" w:space="0" w:color="000000"/>
              <w:right w:val="single" w:sz="4" w:space="0" w:color="000000"/>
            </w:tcBorders>
          </w:tcPr>
          <w:p>
            <w:pPr/>
          </w:p>
        </w:tc>
        <w:tc>
          <w:tcPr>
            <w:tcW w:w="775" w:type="dxa"/>
            <w:vMerge w:val="restart"/>
            <w:tcBorders>
              <w:top w:val="single" w:sz="4" w:space="0" w:color="000000"/>
              <w:left w:val="single" w:sz="4" w:space="0" w:color="000000"/>
              <w:right w:val="single" w:sz="4" w:space="0" w:color="000000"/>
            </w:tcBorders>
          </w:tcPr>
          <w:p>
            <w:pPr/>
          </w:p>
        </w:tc>
        <w:tc>
          <w:tcPr>
            <w:tcW w:w="756" w:type="dxa"/>
            <w:vMerge w:val="restart"/>
            <w:tcBorders>
              <w:top w:val="single" w:sz="4" w:space="0" w:color="000000"/>
              <w:left w:val="single" w:sz="4" w:space="0" w:color="000000"/>
              <w:right w:val="single" w:sz="4" w:space="0" w:color="000000"/>
            </w:tcBorders>
          </w:tcPr>
          <w:p>
            <w:pPr/>
          </w:p>
        </w:tc>
        <w:tc>
          <w:tcPr>
            <w:tcW w:w="77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339,6</w:t>
            </w:r>
            <w:r>
              <w:rPr>
                <w:rFonts w:ascii="宋体"/>
                <w:sz w:val="21"/>
              </w:rPr>
            </w:r>
          </w:p>
        </w:tc>
        <w:tc>
          <w:tcPr>
            <w:tcW w:w="748" w:type="dxa"/>
            <w:vMerge w:val="restart"/>
            <w:tcBorders>
              <w:top w:val="single" w:sz="4" w:space="0" w:color="000000"/>
              <w:left w:val="single" w:sz="4" w:space="0" w:color="000000"/>
              <w:right w:val="single" w:sz="4" w:space="0" w:color="000000"/>
            </w:tcBorders>
          </w:tcPr>
          <w:p>
            <w:pPr/>
          </w:p>
        </w:tc>
      </w:tr>
      <w:tr>
        <w:trPr>
          <w:trHeight w:val="312" w:hRule="exact"/>
        </w:trPr>
        <w:tc>
          <w:tcPr>
            <w:tcW w:w="82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83"/>
                <w:sz w:val="21"/>
                <w:szCs w:val="21"/>
              </w:rPr>
              <w:t> </w:t>
            </w:r>
            <w:r>
              <w:rPr>
                <w:rFonts w:ascii="宋体" w:hAnsi="宋体" w:cs="宋体" w:eastAsia="宋体" w:hint="default"/>
                <w:sz w:val="21"/>
                <w:szCs w:val="21"/>
              </w:rPr>
              <w:t>证</w:t>
            </w:r>
          </w:p>
        </w:tc>
        <w:tc>
          <w:tcPr>
            <w:tcW w:w="757" w:type="dxa"/>
            <w:vMerge/>
            <w:tcBorders>
              <w:left w:val="single" w:sz="4" w:space="0" w:color="000000"/>
              <w:right w:val="single" w:sz="4" w:space="0" w:color="000000"/>
            </w:tcBorders>
          </w:tcPr>
          <w:p>
            <w:pPr/>
          </w:p>
        </w:tc>
        <w:tc>
          <w:tcPr>
            <w:tcW w:w="76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00.00</w:t>
            </w:r>
          </w:p>
        </w:tc>
        <w:tc>
          <w:tcPr>
            <w:tcW w:w="671" w:type="dxa"/>
            <w:vMerge/>
            <w:tcBorders>
              <w:left w:val="single" w:sz="4" w:space="0" w:color="000000"/>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94</w:t>
            </w:r>
          </w:p>
        </w:tc>
        <w:tc>
          <w:tcPr>
            <w:tcW w:w="706"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01.06</w:t>
            </w:r>
          </w:p>
        </w:tc>
        <w:tc>
          <w:tcPr>
            <w:tcW w:w="748" w:type="dxa"/>
            <w:vMerge/>
            <w:tcBorders>
              <w:left w:val="single" w:sz="4" w:space="0" w:color="000000"/>
              <w:right w:val="single" w:sz="4" w:space="0" w:color="000000"/>
            </w:tcBorders>
          </w:tcPr>
          <w:p>
            <w:pPr/>
          </w:p>
        </w:tc>
      </w:tr>
      <w:tr>
        <w:trPr>
          <w:trHeight w:val="312" w:hRule="exact"/>
        </w:trPr>
        <w:tc>
          <w:tcPr>
            <w:tcW w:w="82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飞</w:t>
            </w:r>
            <w:r>
              <w:rPr>
                <w:rFonts w:ascii="宋体" w:hAnsi="宋体" w:cs="宋体" w:eastAsia="宋体" w:hint="default"/>
                <w:spacing w:val="83"/>
                <w:sz w:val="21"/>
                <w:szCs w:val="21"/>
              </w:rPr>
              <w:t> </w:t>
            </w:r>
            <w:r>
              <w:rPr>
                <w:rFonts w:ascii="宋体" w:hAnsi="宋体" w:cs="宋体" w:eastAsia="宋体" w:hint="default"/>
                <w:sz w:val="21"/>
                <w:szCs w:val="21"/>
              </w:rPr>
              <w:t>翔</w:t>
            </w:r>
          </w:p>
        </w:tc>
        <w:tc>
          <w:tcPr>
            <w:tcW w:w="757" w:type="dxa"/>
            <w:vMerge/>
            <w:tcBorders>
              <w:left w:val="single" w:sz="4" w:space="0" w:color="000000"/>
              <w:right w:val="single" w:sz="4" w:space="0" w:color="000000"/>
            </w:tcBorders>
          </w:tcPr>
          <w:p>
            <w:pPr/>
          </w:p>
        </w:tc>
        <w:tc>
          <w:tcPr>
            <w:tcW w:w="760" w:type="dxa"/>
            <w:tcBorders>
              <w:top w:val="nil" w:sz="6" w:space="0" w:color="auto"/>
              <w:left w:val="single" w:sz="4" w:space="0" w:color="000000"/>
              <w:bottom w:val="nil" w:sz="6" w:space="0" w:color="auto"/>
              <w:right w:val="single" w:sz="4" w:space="0" w:color="000000"/>
            </w:tcBorders>
          </w:tcPr>
          <w:p>
            <w:pPr/>
          </w:p>
        </w:tc>
        <w:tc>
          <w:tcPr>
            <w:tcW w:w="671" w:type="dxa"/>
            <w:vMerge/>
            <w:tcBorders>
              <w:left w:val="single" w:sz="4" w:space="0" w:color="000000"/>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748" w:type="dxa"/>
            <w:vMerge/>
            <w:tcBorders>
              <w:left w:val="single" w:sz="4" w:space="0" w:color="000000"/>
              <w:right w:val="single" w:sz="4" w:space="0" w:color="000000"/>
            </w:tcBorders>
          </w:tcPr>
          <w:p>
            <w:pPr/>
          </w:p>
        </w:tc>
      </w:tr>
      <w:tr>
        <w:trPr>
          <w:trHeight w:val="312" w:hRule="exact"/>
        </w:trPr>
        <w:tc>
          <w:tcPr>
            <w:tcW w:w="82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83"/>
                <w:sz w:val="21"/>
                <w:szCs w:val="21"/>
              </w:rPr>
              <w:t> </w:t>
            </w:r>
            <w:r>
              <w:rPr>
                <w:rFonts w:ascii="宋体" w:hAnsi="宋体" w:cs="宋体" w:eastAsia="宋体" w:hint="default"/>
                <w:sz w:val="21"/>
                <w:szCs w:val="21"/>
              </w:rPr>
              <w:t>技</w:t>
            </w:r>
          </w:p>
        </w:tc>
        <w:tc>
          <w:tcPr>
            <w:tcW w:w="757" w:type="dxa"/>
            <w:vMerge/>
            <w:tcBorders>
              <w:left w:val="single" w:sz="4" w:space="0" w:color="000000"/>
              <w:right w:val="single" w:sz="4" w:space="0" w:color="000000"/>
            </w:tcBorders>
          </w:tcPr>
          <w:p>
            <w:pPr/>
          </w:p>
        </w:tc>
        <w:tc>
          <w:tcPr>
            <w:tcW w:w="760" w:type="dxa"/>
            <w:tcBorders>
              <w:top w:val="nil" w:sz="6" w:space="0" w:color="auto"/>
              <w:left w:val="single" w:sz="4" w:space="0" w:color="000000"/>
              <w:bottom w:val="nil" w:sz="6" w:space="0" w:color="auto"/>
              <w:right w:val="single" w:sz="4" w:space="0" w:color="000000"/>
            </w:tcBorders>
          </w:tcPr>
          <w:p>
            <w:pPr/>
          </w:p>
        </w:tc>
        <w:tc>
          <w:tcPr>
            <w:tcW w:w="671" w:type="dxa"/>
            <w:vMerge/>
            <w:tcBorders>
              <w:left w:val="single" w:sz="4" w:space="0" w:color="000000"/>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748" w:type="dxa"/>
            <w:vMerge/>
            <w:tcBorders>
              <w:left w:val="single" w:sz="4" w:space="0" w:color="000000"/>
              <w:right w:val="single" w:sz="4" w:space="0" w:color="000000"/>
            </w:tcBorders>
          </w:tcPr>
          <w:p>
            <w:pPr/>
          </w:p>
        </w:tc>
      </w:tr>
      <w:tr>
        <w:trPr>
          <w:trHeight w:val="312" w:hRule="exact"/>
        </w:trPr>
        <w:tc>
          <w:tcPr>
            <w:tcW w:w="82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3"/>
                <w:sz w:val="21"/>
                <w:szCs w:val="21"/>
              </w:rPr>
              <w:t> </w:t>
            </w:r>
            <w:r>
              <w:rPr>
                <w:rFonts w:ascii="宋体" w:hAnsi="宋体" w:cs="宋体" w:eastAsia="宋体" w:hint="default"/>
                <w:sz w:val="21"/>
                <w:szCs w:val="21"/>
              </w:rPr>
              <w:t>限</w:t>
            </w:r>
          </w:p>
        </w:tc>
        <w:tc>
          <w:tcPr>
            <w:tcW w:w="757" w:type="dxa"/>
            <w:vMerge/>
            <w:tcBorders>
              <w:left w:val="single" w:sz="4" w:space="0" w:color="000000"/>
              <w:right w:val="single" w:sz="4" w:space="0" w:color="000000"/>
            </w:tcBorders>
          </w:tcPr>
          <w:p>
            <w:pPr/>
          </w:p>
        </w:tc>
        <w:tc>
          <w:tcPr>
            <w:tcW w:w="760" w:type="dxa"/>
            <w:tcBorders>
              <w:top w:val="nil" w:sz="6" w:space="0" w:color="auto"/>
              <w:left w:val="single" w:sz="4" w:space="0" w:color="000000"/>
              <w:bottom w:val="nil" w:sz="6" w:space="0" w:color="auto"/>
              <w:right w:val="single" w:sz="4" w:space="0" w:color="000000"/>
            </w:tcBorders>
          </w:tcPr>
          <w:p>
            <w:pPr/>
          </w:p>
        </w:tc>
        <w:tc>
          <w:tcPr>
            <w:tcW w:w="671" w:type="dxa"/>
            <w:vMerge/>
            <w:tcBorders>
              <w:left w:val="single" w:sz="4" w:space="0" w:color="000000"/>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748" w:type="dxa"/>
            <w:vMerge/>
            <w:tcBorders>
              <w:left w:val="single" w:sz="4" w:space="0" w:color="000000"/>
              <w:right w:val="single" w:sz="4" w:space="0" w:color="000000"/>
            </w:tcBorders>
          </w:tcPr>
          <w:p>
            <w:pPr/>
          </w:p>
        </w:tc>
      </w:tr>
      <w:tr>
        <w:trPr>
          <w:trHeight w:val="318" w:hRule="exact"/>
        </w:trPr>
        <w:tc>
          <w:tcPr>
            <w:tcW w:w="82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57" w:type="dxa"/>
            <w:vMerge/>
            <w:tcBorders>
              <w:left w:val="single" w:sz="4" w:space="0" w:color="000000"/>
              <w:bottom w:val="single" w:sz="4" w:space="0" w:color="000000"/>
              <w:right w:val="single" w:sz="4" w:space="0" w:color="000000"/>
            </w:tcBorders>
          </w:tcPr>
          <w:p>
            <w:pPr/>
          </w:p>
        </w:tc>
        <w:tc>
          <w:tcPr>
            <w:tcW w:w="760" w:type="dxa"/>
            <w:tcBorders>
              <w:top w:val="nil" w:sz="6" w:space="0" w:color="auto"/>
              <w:left w:val="single" w:sz="4" w:space="0" w:color="000000"/>
              <w:bottom w:val="single" w:sz="4" w:space="0" w:color="000000"/>
              <w:right w:val="single" w:sz="4" w:space="0" w:color="000000"/>
            </w:tcBorders>
          </w:tcPr>
          <w:p>
            <w:pPr/>
          </w:p>
        </w:tc>
        <w:tc>
          <w:tcPr>
            <w:tcW w:w="671" w:type="dxa"/>
            <w:vMerge/>
            <w:tcBorders>
              <w:left w:val="single" w:sz="4" w:space="0" w:color="000000"/>
              <w:bottom w:val="single" w:sz="4" w:space="0" w:color="000000"/>
              <w:right w:val="single" w:sz="4" w:space="0" w:color="000000"/>
            </w:tcBorders>
          </w:tcPr>
          <w:p>
            <w:pPr/>
          </w:p>
        </w:tc>
        <w:tc>
          <w:tcPr>
            <w:tcW w:w="787" w:type="dxa"/>
            <w:tcBorders>
              <w:top w:val="nil" w:sz="6" w:space="0" w:color="auto"/>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712"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70" w:type="dxa"/>
            <w:tcBorders>
              <w:top w:val="nil" w:sz="6" w:space="0" w:color="auto"/>
              <w:left w:val="single" w:sz="4" w:space="0" w:color="000000"/>
              <w:bottom w:val="single" w:sz="4" w:space="0" w:color="000000"/>
              <w:right w:val="single" w:sz="4" w:space="0" w:color="000000"/>
            </w:tcBorders>
          </w:tcPr>
          <w:p>
            <w:pPr/>
          </w:p>
        </w:tc>
        <w:tc>
          <w:tcPr>
            <w:tcW w:w="748" w:type="dxa"/>
            <w:vMerge/>
            <w:tcBorders>
              <w:left w:val="single" w:sz="4" w:space="0" w:color="000000"/>
              <w:bottom w:val="single" w:sz="4" w:space="0" w:color="000000"/>
              <w:right w:val="single" w:sz="4" w:space="0" w:color="000000"/>
            </w:tcBorders>
          </w:tcPr>
          <w:p>
            <w:pPr/>
          </w:p>
        </w:tc>
      </w:tr>
      <w:tr>
        <w:trPr>
          <w:trHeight w:val="317" w:hRule="exact"/>
        </w:trPr>
        <w:tc>
          <w:tcPr>
            <w:tcW w:w="824"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83"/>
                <w:sz w:val="21"/>
                <w:szCs w:val="21"/>
              </w:rPr>
              <w:t> </w:t>
            </w:r>
            <w:r>
              <w:rPr>
                <w:rFonts w:ascii="宋体" w:hAnsi="宋体" w:cs="宋体" w:eastAsia="宋体" w:hint="default"/>
                <w:sz w:val="21"/>
                <w:szCs w:val="21"/>
              </w:rPr>
              <w:t>州</w:t>
            </w:r>
          </w:p>
        </w:tc>
        <w:tc>
          <w:tcPr>
            <w:tcW w:w="757" w:type="dxa"/>
            <w:vMerge w:val="restart"/>
            <w:tcBorders>
              <w:top w:val="single" w:sz="4" w:space="0" w:color="000000"/>
              <w:left w:val="single" w:sz="4" w:space="0" w:color="000000"/>
              <w:right w:val="single" w:sz="4" w:space="0" w:color="000000"/>
            </w:tcBorders>
          </w:tcPr>
          <w:p>
            <w:pPr/>
          </w:p>
        </w:tc>
        <w:tc>
          <w:tcPr>
            <w:tcW w:w="760"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10,00</w:t>
            </w:r>
            <w:r>
              <w:rPr>
                <w:rFonts w:ascii="宋体"/>
                <w:sz w:val="21"/>
              </w:rPr>
            </w:r>
          </w:p>
        </w:tc>
        <w:tc>
          <w:tcPr>
            <w:tcW w:w="671" w:type="dxa"/>
            <w:vMerge w:val="restart"/>
            <w:tcBorders>
              <w:top w:val="single" w:sz="4" w:space="0" w:color="000000"/>
              <w:left w:val="single" w:sz="4" w:space="0" w:color="000000"/>
              <w:right w:val="single" w:sz="4" w:space="0" w:color="000000"/>
            </w:tcBorders>
          </w:tcPr>
          <w:p>
            <w:pPr/>
          </w:p>
        </w:tc>
        <w:tc>
          <w:tcPr>
            <w:tcW w:w="787"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w:t>
            </w:r>
          </w:p>
        </w:tc>
        <w:tc>
          <w:tcPr>
            <w:tcW w:w="706" w:type="dxa"/>
            <w:vMerge w:val="restart"/>
            <w:tcBorders>
              <w:top w:val="single" w:sz="4" w:space="0" w:color="000000"/>
              <w:left w:val="single" w:sz="4" w:space="0" w:color="000000"/>
              <w:right w:val="single" w:sz="4" w:space="0" w:color="000000"/>
            </w:tcBorders>
          </w:tcPr>
          <w:p>
            <w:pPr/>
          </w:p>
        </w:tc>
        <w:tc>
          <w:tcPr>
            <w:tcW w:w="712" w:type="dxa"/>
            <w:vMerge w:val="restart"/>
            <w:tcBorders>
              <w:top w:val="single" w:sz="4" w:space="0" w:color="000000"/>
              <w:left w:val="single" w:sz="4" w:space="0" w:color="000000"/>
              <w:right w:val="single" w:sz="4" w:space="0" w:color="000000"/>
            </w:tcBorders>
          </w:tcPr>
          <w:p>
            <w:pPr/>
          </w:p>
        </w:tc>
        <w:tc>
          <w:tcPr>
            <w:tcW w:w="784" w:type="dxa"/>
            <w:vMerge w:val="restart"/>
            <w:tcBorders>
              <w:top w:val="single" w:sz="4" w:space="0" w:color="000000"/>
              <w:left w:val="single" w:sz="4" w:space="0" w:color="000000"/>
              <w:right w:val="single" w:sz="4" w:space="0" w:color="000000"/>
            </w:tcBorders>
          </w:tcPr>
          <w:p>
            <w:pPr/>
          </w:p>
        </w:tc>
        <w:tc>
          <w:tcPr>
            <w:tcW w:w="775" w:type="dxa"/>
            <w:vMerge w:val="restart"/>
            <w:tcBorders>
              <w:top w:val="single" w:sz="4" w:space="0" w:color="000000"/>
              <w:left w:val="single" w:sz="4" w:space="0" w:color="000000"/>
              <w:right w:val="single" w:sz="4" w:space="0" w:color="000000"/>
            </w:tcBorders>
          </w:tcPr>
          <w:p>
            <w:pPr/>
          </w:p>
        </w:tc>
        <w:tc>
          <w:tcPr>
            <w:tcW w:w="756" w:type="dxa"/>
            <w:vMerge w:val="restart"/>
            <w:tcBorders>
              <w:top w:val="single" w:sz="4" w:space="0" w:color="000000"/>
              <w:left w:val="single" w:sz="4" w:space="0" w:color="000000"/>
              <w:right w:val="single" w:sz="4" w:space="0" w:color="000000"/>
            </w:tcBorders>
          </w:tcPr>
          <w:p>
            <w:pPr/>
          </w:p>
        </w:tc>
        <w:tc>
          <w:tcPr>
            <w:tcW w:w="770"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10,00</w:t>
            </w:r>
            <w:r>
              <w:rPr>
                <w:rFonts w:ascii="宋体"/>
                <w:sz w:val="21"/>
              </w:rPr>
            </w:r>
          </w:p>
        </w:tc>
        <w:tc>
          <w:tcPr>
            <w:tcW w:w="748" w:type="dxa"/>
            <w:vMerge w:val="restart"/>
            <w:tcBorders>
              <w:top w:val="single" w:sz="4" w:space="0" w:color="000000"/>
              <w:left w:val="single" w:sz="4" w:space="0" w:color="000000"/>
              <w:right w:val="single" w:sz="4" w:space="0" w:color="000000"/>
            </w:tcBorders>
          </w:tcPr>
          <w:p>
            <w:pPr/>
          </w:p>
        </w:tc>
      </w:tr>
      <w:tr>
        <w:trPr>
          <w:trHeight w:val="312" w:hRule="exact"/>
        </w:trPr>
        <w:tc>
          <w:tcPr>
            <w:tcW w:w="82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佳</w:t>
            </w:r>
            <w:r>
              <w:rPr>
                <w:rFonts w:ascii="宋体" w:hAnsi="宋体" w:cs="宋体" w:eastAsia="宋体" w:hint="default"/>
                <w:spacing w:val="83"/>
                <w:sz w:val="21"/>
                <w:szCs w:val="21"/>
              </w:rPr>
              <w:t> </w:t>
            </w:r>
            <w:r>
              <w:rPr>
                <w:rFonts w:ascii="宋体" w:hAnsi="宋体" w:cs="宋体" w:eastAsia="宋体" w:hint="default"/>
                <w:sz w:val="21"/>
                <w:szCs w:val="21"/>
              </w:rPr>
              <w:t>时</w:t>
            </w:r>
          </w:p>
        </w:tc>
        <w:tc>
          <w:tcPr>
            <w:tcW w:w="757" w:type="dxa"/>
            <w:vMerge/>
            <w:tcBorders>
              <w:left w:val="single" w:sz="4" w:space="0" w:color="000000"/>
              <w:right w:val="single" w:sz="4" w:space="0" w:color="000000"/>
            </w:tcBorders>
          </w:tcPr>
          <w:p>
            <w:pPr/>
          </w:p>
        </w:tc>
        <w:tc>
          <w:tcPr>
            <w:tcW w:w="76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0,000</w:t>
            </w:r>
          </w:p>
        </w:tc>
        <w:tc>
          <w:tcPr>
            <w:tcW w:w="671" w:type="dxa"/>
            <w:vMerge/>
            <w:tcBorders>
              <w:left w:val="single" w:sz="4" w:space="0" w:color="000000"/>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0,000</w:t>
            </w:r>
          </w:p>
        </w:tc>
        <w:tc>
          <w:tcPr>
            <w:tcW w:w="748" w:type="dxa"/>
            <w:vMerge/>
            <w:tcBorders>
              <w:left w:val="single" w:sz="4" w:space="0" w:color="000000"/>
              <w:right w:val="single" w:sz="4" w:space="0" w:color="000000"/>
            </w:tcBorders>
          </w:tcPr>
          <w:p>
            <w:pPr/>
          </w:p>
        </w:tc>
      </w:tr>
      <w:tr>
        <w:trPr>
          <w:trHeight w:val="312" w:hRule="exact"/>
        </w:trPr>
        <w:tc>
          <w:tcPr>
            <w:tcW w:w="82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达</w:t>
            </w:r>
            <w:r>
              <w:rPr>
                <w:rFonts w:ascii="宋体" w:hAnsi="宋体" w:cs="宋体" w:eastAsia="宋体" w:hint="default"/>
                <w:spacing w:val="83"/>
                <w:sz w:val="21"/>
                <w:szCs w:val="21"/>
              </w:rPr>
              <w:t> </w:t>
            </w:r>
            <w:r>
              <w:rPr>
                <w:rFonts w:ascii="宋体" w:hAnsi="宋体" w:cs="宋体" w:eastAsia="宋体" w:hint="default"/>
                <w:sz w:val="21"/>
                <w:szCs w:val="21"/>
              </w:rPr>
              <w:t>软</w:t>
            </w:r>
          </w:p>
        </w:tc>
        <w:tc>
          <w:tcPr>
            <w:tcW w:w="757" w:type="dxa"/>
            <w:vMerge/>
            <w:tcBorders>
              <w:left w:val="single" w:sz="4" w:space="0" w:color="000000"/>
              <w:right w:val="single" w:sz="4" w:space="0" w:color="000000"/>
            </w:tcBorders>
          </w:tcPr>
          <w:p>
            <w:pPr/>
          </w:p>
        </w:tc>
        <w:tc>
          <w:tcPr>
            <w:tcW w:w="76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.00</w:t>
            </w:r>
            <w:r>
              <w:rPr>
                <w:rFonts w:ascii="宋体"/>
                <w:sz w:val="21"/>
              </w:rPr>
            </w:r>
          </w:p>
        </w:tc>
        <w:tc>
          <w:tcPr>
            <w:tcW w:w="671" w:type="dxa"/>
            <w:vMerge/>
            <w:tcBorders>
              <w:left w:val="single" w:sz="4" w:space="0" w:color="000000"/>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.00</w:t>
            </w:r>
          </w:p>
        </w:tc>
        <w:tc>
          <w:tcPr>
            <w:tcW w:w="748" w:type="dxa"/>
            <w:vMerge/>
            <w:tcBorders>
              <w:left w:val="single" w:sz="4" w:space="0" w:color="000000"/>
              <w:right w:val="single" w:sz="4" w:space="0" w:color="000000"/>
            </w:tcBorders>
          </w:tcPr>
          <w:p>
            <w:pPr/>
          </w:p>
        </w:tc>
      </w:tr>
      <w:tr>
        <w:trPr>
          <w:trHeight w:val="312" w:hRule="exact"/>
        </w:trPr>
        <w:tc>
          <w:tcPr>
            <w:tcW w:w="82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件</w:t>
            </w:r>
            <w:r>
              <w:rPr>
                <w:rFonts w:ascii="宋体" w:hAnsi="宋体" w:cs="宋体" w:eastAsia="宋体" w:hint="default"/>
                <w:spacing w:val="83"/>
                <w:sz w:val="21"/>
                <w:szCs w:val="21"/>
              </w:rPr>
              <w:t> </w:t>
            </w:r>
            <w:r>
              <w:rPr>
                <w:rFonts w:ascii="宋体" w:hAnsi="宋体" w:cs="宋体" w:eastAsia="宋体" w:hint="default"/>
                <w:sz w:val="21"/>
                <w:szCs w:val="21"/>
              </w:rPr>
              <w:t>股</w:t>
            </w:r>
          </w:p>
        </w:tc>
        <w:tc>
          <w:tcPr>
            <w:tcW w:w="757" w:type="dxa"/>
            <w:vMerge/>
            <w:tcBorders>
              <w:left w:val="single" w:sz="4" w:space="0" w:color="000000"/>
              <w:right w:val="single" w:sz="4" w:space="0" w:color="000000"/>
            </w:tcBorders>
          </w:tcPr>
          <w:p>
            <w:pPr/>
          </w:p>
        </w:tc>
        <w:tc>
          <w:tcPr>
            <w:tcW w:w="760" w:type="dxa"/>
            <w:tcBorders>
              <w:top w:val="nil" w:sz="6" w:space="0" w:color="auto"/>
              <w:left w:val="single" w:sz="4" w:space="0" w:color="000000"/>
              <w:bottom w:val="nil" w:sz="6" w:space="0" w:color="auto"/>
              <w:right w:val="single" w:sz="4" w:space="0" w:color="000000"/>
            </w:tcBorders>
          </w:tcPr>
          <w:p>
            <w:pPr/>
          </w:p>
        </w:tc>
        <w:tc>
          <w:tcPr>
            <w:tcW w:w="671" w:type="dxa"/>
            <w:vMerge/>
            <w:tcBorders>
              <w:left w:val="single" w:sz="4" w:space="0" w:color="000000"/>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748" w:type="dxa"/>
            <w:vMerge/>
            <w:tcBorders>
              <w:left w:val="single" w:sz="4" w:space="0" w:color="000000"/>
              <w:right w:val="single" w:sz="4" w:space="0" w:color="000000"/>
            </w:tcBorders>
          </w:tcPr>
          <w:p>
            <w:pPr/>
          </w:p>
        </w:tc>
      </w:tr>
      <w:tr>
        <w:trPr>
          <w:trHeight w:val="312" w:hRule="exact"/>
        </w:trPr>
        <w:tc>
          <w:tcPr>
            <w:tcW w:w="82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spacing w:val="83"/>
                <w:sz w:val="21"/>
                <w:szCs w:val="21"/>
              </w:rPr>
              <w:t> </w:t>
            </w:r>
            <w:r>
              <w:rPr>
                <w:rFonts w:ascii="宋体" w:hAnsi="宋体" w:cs="宋体" w:eastAsia="宋体" w:hint="default"/>
                <w:sz w:val="21"/>
                <w:szCs w:val="21"/>
              </w:rPr>
              <w:t>有</w:t>
            </w:r>
          </w:p>
        </w:tc>
        <w:tc>
          <w:tcPr>
            <w:tcW w:w="757" w:type="dxa"/>
            <w:vMerge/>
            <w:tcBorders>
              <w:left w:val="single" w:sz="4" w:space="0" w:color="000000"/>
              <w:right w:val="single" w:sz="4" w:space="0" w:color="000000"/>
            </w:tcBorders>
          </w:tcPr>
          <w:p>
            <w:pPr/>
          </w:p>
        </w:tc>
        <w:tc>
          <w:tcPr>
            <w:tcW w:w="760" w:type="dxa"/>
            <w:tcBorders>
              <w:top w:val="nil" w:sz="6" w:space="0" w:color="auto"/>
              <w:left w:val="single" w:sz="4" w:space="0" w:color="000000"/>
              <w:bottom w:val="nil" w:sz="6" w:space="0" w:color="auto"/>
              <w:right w:val="single" w:sz="4" w:space="0" w:color="000000"/>
            </w:tcBorders>
          </w:tcPr>
          <w:p>
            <w:pPr/>
          </w:p>
        </w:tc>
        <w:tc>
          <w:tcPr>
            <w:tcW w:w="671" w:type="dxa"/>
            <w:vMerge/>
            <w:tcBorders>
              <w:left w:val="single" w:sz="4" w:space="0" w:color="000000"/>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748" w:type="dxa"/>
            <w:vMerge/>
            <w:tcBorders>
              <w:left w:val="single" w:sz="4" w:space="0" w:color="000000"/>
              <w:right w:val="single" w:sz="4" w:space="0" w:color="000000"/>
            </w:tcBorders>
          </w:tcPr>
          <w:p>
            <w:pPr/>
          </w:p>
        </w:tc>
      </w:tr>
      <w:tr>
        <w:trPr>
          <w:trHeight w:val="312" w:hRule="exact"/>
        </w:trPr>
        <w:tc>
          <w:tcPr>
            <w:tcW w:w="82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3"/>
                <w:sz w:val="21"/>
                <w:szCs w:val="21"/>
              </w:rPr>
              <w:t> </w:t>
            </w:r>
            <w:r>
              <w:rPr>
                <w:rFonts w:ascii="宋体" w:hAnsi="宋体" w:cs="宋体" w:eastAsia="宋体" w:hint="default"/>
                <w:sz w:val="21"/>
                <w:szCs w:val="21"/>
              </w:rPr>
              <w:t>公</w:t>
            </w:r>
          </w:p>
        </w:tc>
        <w:tc>
          <w:tcPr>
            <w:tcW w:w="757" w:type="dxa"/>
            <w:vMerge/>
            <w:tcBorders>
              <w:left w:val="single" w:sz="4" w:space="0" w:color="000000"/>
              <w:right w:val="single" w:sz="4" w:space="0" w:color="000000"/>
            </w:tcBorders>
          </w:tcPr>
          <w:p>
            <w:pPr/>
          </w:p>
        </w:tc>
        <w:tc>
          <w:tcPr>
            <w:tcW w:w="760" w:type="dxa"/>
            <w:tcBorders>
              <w:top w:val="nil" w:sz="6" w:space="0" w:color="auto"/>
              <w:left w:val="single" w:sz="4" w:space="0" w:color="000000"/>
              <w:bottom w:val="nil" w:sz="6" w:space="0" w:color="auto"/>
              <w:right w:val="single" w:sz="4" w:space="0" w:color="000000"/>
            </w:tcBorders>
          </w:tcPr>
          <w:p>
            <w:pPr/>
          </w:p>
        </w:tc>
        <w:tc>
          <w:tcPr>
            <w:tcW w:w="671" w:type="dxa"/>
            <w:vMerge/>
            <w:tcBorders>
              <w:left w:val="single" w:sz="4" w:space="0" w:color="000000"/>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748" w:type="dxa"/>
            <w:vMerge/>
            <w:tcBorders>
              <w:left w:val="single" w:sz="4" w:space="0" w:color="000000"/>
              <w:right w:val="single" w:sz="4" w:space="0" w:color="000000"/>
            </w:tcBorders>
          </w:tcPr>
          <w:p>
            <w:pPr/>
          </w:p>
        </w:tc>
      </w:tr>
      <w:tr>
        <w:trPr>
          <w:trHeight w:val="318" w:hRule="exact"/>
        </w:trPr>
        <w:tc>
          <w:tcPr>
            <w:tcW w:w="82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57" w:type="dxa"/>
            <w:vMerge/>
            <w:tcBorders>
              <w:left w:val="single" w:sz="4" w:space="0" w:color="000000"/>
              <w:bottom w:val="single" w:sz="4" w:space="0" w:color="000000"/>
              <w:right w:val="single" w:sz="4" w:space="0" w:color="000000"/>
            </w:tcBorders>
          </w:tcPr>
          <w:p>
            <w:pPr/>
          </w:p>
        </w:tc>
        <w:tc>
          <w:tcPr>
            <w:tcW w:w="760" w:type="dxa"/>
            <w:tcBorders>
              <w:top w:val="nil" w:sz="6" w:space="0" w:color="auto"/>
              <w:left w:val="single" w:sz="4" w:space="0" w:color="000000"/>
              <w:bottom w:val="single" w:sz="4" w:space="0" w:color="000000"/>
              <w:right w:val="single" w:sz="4" w:space="0" w:color="000000"/>
            </w:tcBorders>
          </w:tcPr>
          <w:p>
            <w:pPr/>
          </w:p>
        </w:tc>
        <w:tc>
          <w:tcPr>
            <w:tcW w:w="671" w:type="dxa"/>
            <w:vMerge/>
            <w:tcBorders>
              <w:left w:val="single" w:sz="4" w:space="0" w:color="000000"/>
              <w:bottom w:val="single" w:sz="4" w:space="0" w:color="000000"/>
              <w:right w:val="single" w:sz="4" w:space="0" w:color="000000"/>
            </w:tcBorders>
          </w:tcPr>
          <w:p>
            <w:pPr/>
          </w:p>
        </w:tc>
        <w:tc>
          <w:tcPr>
            <w:tcW w:w="787" w:type="dxa"/>
            <w:tcBorders>
              <w:top w:val="nil" w:sz="6" w:space="0" w:color="auto"/>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712"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70" w:type="dxa"/>
            <w:tcBorders>
              <w:top w:val="nil" w:sz="6" w:space="0" w:color="auto"/>
              <w:left w:val="single" w:sz="4" w:space="0" w:color="000000"/>
              <w:bottom w:val="single" w:sz="4" w:space="0" w:color="000000"/>
              <w:right w:val="single" w:sz="4" w:space="0" w:color="000000"/>
            </w:tcBorders>
          </w:tcPr>
          <w:p>
            <w:pPr/>
          </w:p>
        </w:tc>
        <w:tc>
          <w:tcPr>
            <w:tcW w:w="748" w:type="dxa"/>
            <w:vMerge/>
            <w:tcBorders>
              <w:left w:val="single" w:sz="4" w:space="0" w:color="000000"/>
              <w:bottom w:val="single" w:sz="4" w:space="0" w:color="000000"/>
              <w:right w:val="single" w:sz="4" w:space="0" w:color="000000"/>
            </w:tcBorders>
          </w:tcPr>
          <w:p>
            <w:pPr/>
          </w:p>
        </w:tc>
      </w:tr>
      <w:tr>
        <w:trPr>
          <w:trHeight w:val="316" w:hRule="exact"/>
        </w:trPr>
        <w:tc>
          <w:tcPr>
            <w:tcW w:w="824"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83"/>
                <w:sz w:val="21"/>
                <w:szCs w:val="21"/>
              </w:rPr>
              <w:t> </w:t>
            </w:r>
            <w:r>
              <w:rPr>
                <w:rFonts w:ascii="宋体" w:hAnsi="宋体" w:cs="宋体" w:eastAsia="宋体" w:hint="default"/>
                <w:sz w:val="21"/>
                <w:szCs w:val="21"/>
              </w:rPr>
              <w:t>财</w:t>
            </w:r>
          </w:p>
        </w:tc>
        <w:tc>
          <w:tcPr>
            <w:tcW w:w="757" w:type="dxa"/>
            <w:vMerge w:val="restart"/>
            <w:tcBorders>
              <w:top w:val="single" w:sz="4" w:space="0" w:color="000000"/>
              <w:left w:val="single" w:sz="4" w:space="0" w:color="000000"/>
              <w:right w:val="single" w:sz="4" w:space="0" w:color="000000"/>
            </w:tcBorders>
          </w:tcPr>
          <w:p>
            <w:pPr/>
          </w:p>
        </w:tc>
        <w:tc>
          <w:tcPr>
            <w:tcW w:w="76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2,990</w:t>
            </w:r>
            <w:r>
              <w:rPr>
                <w:rFonts w:ascii="宋体"/>
                <w:sz w:val="21"/>
              </w:rPr>
            </w:r>
          </w:p>
        </w:tc>
        <w:tc>
          <w:tcPr>
            <w:tcW w:w="671" w:type="dxa"/>
            <w:vMerge w:val="restart"/>
            <w:tcBorders>
              <w:top w:val="single" w:sz="4" w:space="0" w:color="000000"/>
              <w:left w:val="single" w:sz="4" w:space="0" w:color="000000"/>
              <w:right w:val="single" w:sz="4" w:space="0" w:color="000000"/>
            </w:tcBorders>
          </w:tcPr>
          <w:p>
            <w:pPr/>
          </w:p>
        </w:tc>
        <w:tc>
          <w:tcPr>
            <w:tcW w:w="787"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-52,5</w:t>
            </w:r>
            <w:r>
              <w:rPr>
                <w:rFonts w:ascii="宋体"/>
                <w:sz w:val="21"/>
              </w:rPr>
            </w:r>
          </w:p>
        </w:tc>
        <w:tc>
          <w:tcPr>
            <w:tcW w:w="706" w:type="dxa"/>
            <w:vMerge w:val="restart"/>
            <w:tcBorders>
              <w:top w:val="single" w:sz="4" w:space="0" w:color="000000"/>
              <w:left w:val="single" w:sz="4" w:space="0" w:color="000000"/>
              <w:right w:val="single" w:sz="4" w:space="0" w:color="000000"/>
            </w:tcBorders>
          </w:tcPr>
          <w:p>
            <w:pPr/>
          </w:p>
        </w:tc>
        <w:tc>
          <w:tcPr>
            <w:tcW w:w="712" w:type="dxa"/>
            <w:vMerge w:val="restart"/>
            <w:tcBorders>
              <w:top w:val="single" w:sz="4" w:space="0" w:color="000000"/>
              <w:left w:val="single" w:sz="4" w:space="0" w:color="000000"/>
              <w:right w:val="single" w:sz="4" w:space="0" w:color="000000"/>
            </w:tcBorders>
          </w:tcPr>
          <w:p>
            <w:pPr/>
          </w:p>
        </w:tc>
        <w:tc>
          <w:tcPr>
            <w:tcW w:w="784" w:type="dxa"/>
            <w:vMerge w:val="restart"/>
            <w:tcBorders>
              <w:top w:val="single" w:sz="4" w:space="0" w:color="000000"/>
              <w:left w:val="single" w:sz="4" w:space="0" w:color="000000"/>
              <w:right w:val="single" w:sz="4" w:space="0" w:color="000000"/>
            </w:tcBorders>
          </w:tcPr>
          <w:p>
            <w:pPr/>
          </w:p>
        </w:tc>
        <w:tc>
          <w:tcPr>
            <w:tcW w:w="775" w:type="dxa"/>
            <w:vMerge w:val="restart"/>
            <w:tcBorders>
              <w:top w:val="single" w:sz="4" w:space="0" w:color="000000"/>
              <w:left w:val="single" w:sz="4" w:space="0" w:color="000000"/>
              <w:right w:val="single" w:sz="4" w:space="0" w:color="000000"/>
            </w:tcBorders>
          </w:tcPr>
          <w:p>
            <w:pPr/>
          </w:p>
        </w:tc>
        <w:tc>
          <w:tcPr>
            <w:tcW w:w="756" w:type="dxa"/>
            <w:vMerge w:val="restart"/>
            <w:tcBorders>
              <w:top w:val="single" w:sz="4" w:space="0" w:color="000000"/>
              <w:left w:val="single" w:sz="4" w:space="0" w:color="000000"/>
              <w:right w:val="single" w:sz="4" w:space="0" w:color="000000"/>
            </w:tcBorders>
          </w:tcPr>
          <w:p>
            <w:pPr/>
          </w:p>
        </w:tc>
        <w:tc>
          <w:tcPr>
            <w:tcW w:w="77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2,937</w:t>
            </w:r>
            <w:r>
              <w:rPr>
                <w:rFonts w:ascii="宋体"/>
                <w:sz w:val="21"/>
              </w:rPr>
            </w:r>
          </w:p>
        </w:tc>
        <w:tc>
          <w:tcPr>
            <w:tcW w:w="748" w:type="dxa"/>
            <w:vMerge w:val="restart"/>
            <w:tcBorders>
              <w:top w:val="single" w:sz="4" w:space="0" w:color="000000"/>
              <w:left w:val="single" w:sz="4" w:space="0" w:color="000000"/>
              <w:right w:val="single" w:sz="4" w:space="0" w:color="000000"/>
            </w:tcBorders>
          </w:tcPr>
          <w:p>
            <w:pPr/>
          </w:p>
        </w:tc>
      </w:tr>
      <w:tr>
        <w:trPr>
          <w:trHeight w:val="312" w:hRule="exact"/>
        </w:trPr>
        <w:tc>
          <w:tcPr>
            <w:tcW w:w="82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83"/>
                <w:sz w:val="21"/>
                <w:szCs w:val="21"/>
              </w:rPr>
              <w:t> </w:t>
            </w:r>
            <w:r>
              <w:rPr>
                <w:rFonts w:ascii="宋体" w:hAnsi="宋体" w:cs="宋体" w:eastAsia="宋体" w:hint="default"/>
                <w:sz w:val="21"/>
                <w:szCs w:val="21"/>
              </w:rPr>
              <w:t>证</w:t>
            </w:r>
          </w:p>
        </w:tc>
        <w:tc>
          <w:tcPr>
            <w:tcW w:w="757" w:type="dxa"/>
            <w:vMerge/>
            <w:tcBorders>
              <w:left w:val="single" w:sz="4" w:space="0" w:color="000000"/>
              <w:right w:val="single" w:sz="4" w:space="0" w:color="000000"/>
            </w:tcBorders>
          </w:tcPr>
          <w:p>
            <w:pPr/>
          </w:p>
        </w:tc>
        <w:tc>
          <w:tcPr>
            <w:tcW w:w="76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,000.</w:t>
            </w:r>
          </w:p>
        </w:tc>
        <w:tc>
          <w:tcPr>
            <w:tcW w:w="671" w:type="dxa"/>
            <w:vMerge/>
            <w:tcBorders>
              <w:left w:val="single" w:sz="4" w:space="0" w:color="000000"/>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01.25</w:t>
            </w:r>
          </w:p>
        </w:tc>
        <w:tc>
          <w:tcPr>
            <w:tcW w:w="706"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,498.</w:t>
            </w:r>
          </w:p>
        </w:tc>
        <w:tc>
          <w:tcPr>
            <w:tcW w:w="748" w:type="dxa"/>
            <w:vMerge/>
            <w:tcBorders>
              <w:left w:val="single" w:sz="4" w:space="0" w:color="000000"/>
              <w:right w:val="single" w:sz="4" w:space="0" w:color="000000"/>
            </w:tcBorders>
          </w:tcPr>
          <w:p>
            <w:pPr/>
          </w:p>
        </w:tc>
      </w:tr>
      <w:tr>
        <w:trPr>
          <w:trHeight w:val="312" w:hRule="exact"/>
        </w:trPr>
        <w:tc>
          <w:tcPr>
            <w:tcW w:w="82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83"/>
                <w:sz w:val="21"/>
                <w:szCs w:val="21"/>
              </w:rPr>
              <w:t> </w:t>
            </w:r>
            <w:r>
              <w:rPr>
                <w:rFonts w:ascii="宋体" w:hAnsi="宋体" w:cs="宋体" w:eastAsia="宋体" w:hint="default"/>
                <w:sz w:val="21"/>
                <w:szCs w:val="21"/>
              </w:rPr>
              <w:t>技</w:t>
            </w:r>
          </w:p>
        </w:tc>
        <w:tc>
          <w:tcPr>
            <w:tcW w:w="757" w:type="dxa"/>
            <w:vMerge/>
            <w:tcBorders>
              <w:left w:val="single" w:sz="4" w:space="0" w:color="000000"/>
              <w:right w:val="single" w:sz="4" w:space="0" w:color="000000"/>
            </w:tcBorders>
          </w:tcPr>
          <w:p>
            <w:pPr/>
          </w:p>
        </w:tc>
        <w:tc>
          <w:tcPr>
            <w:tcW w:w="76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00</w:t>
            </w:r>
          </w:p>
        </w:tc>
        <w:tc>
          <w:tcPr>
            <w:tcW w:w="671" w:type="dxa"/>
            <w:vMerge/>
            <w:tcBorders>
              <w:left w:val="single" w:sz="4" w:space="0" w:color="000000"/>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75</w:t>
            </w:r>
          </w:p>
        </w:tc>
        <w:tc>
          <w:tcPr>
            <w:tcW w:w="748" w:type="dxa"/>
            <w:vMerge/>
            <w:tcBorders>
              <w:left w:val="single" w:sz="4" w:space="0" w:color="000000"/>
              <w:right w:val="single" w:sz="4" w:space="0" w:color="000000"/>
            </w:tcBorders>
          </w:tcPr>
          <w:p>
            <w:pPr/>
          </w:p>
        </w:tc>
      </w:tr>
      <w:tr>
        <w:trPr>
          <w:trHeight w:val="312" w:hRule="exact"/>
        </w:trPr>
        <w:tc>
          <w:tcPr>
            <w:tcW w:w="82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开</w:t>
            </w:r>
            <w:r>
              <w:rPr>
                <w:rFonts w:ascii="宋体" w:hAnsi="宋体" w:cs="宋体" w:eastAsia="宋体" w:hint="default"/>
                <w:spacing w:val="83"/>
                <w:sz w:val="21"/>
                <w:szCs w:val="21"/>
              </w:rPr>
              <w:t> </w:t>
            </w:r>
            <w:r>
              <w:rPr>
                <w:rFonts w:ascii="宋体" w:hAnsi="宋体" w:cs="宋体" w:eastAsia="宋体" w:hint="default"/>
                <w:sz w:val="21"/>
                <w:szCs w:val="21"/>
              </w:rPr>
              <w:t>发</w:t>
            </w:r>
          </w:p>
        </w:tc>
        <w:tc>
          <w:tcPr>
            <w:tcW w:w="757" w:type="dxa"/>
            <w:vMerge/>
            <w:tcBorders>
              <w:left w:val="single" w:sz="4" w:space="0" w:color="000000"/>
              <w:right w:val="single" w:sz="4" w:space="0" w:color="000000"/>
            </w:tcBorders>
          </w:tcPr>
          <w:p>
            <w:pPr/>
          </w:p>
        </w:tc>
        <w:tc>
          <w:tcPr>
            <w:tcW w:w="760" w:type="dxa"/>
            <w:tcBorders>
              <w:top w:val="nil" w:sz="6" w:space="0" w:color="auto"/>
              <w:left w:val="single" w:sz="4" w:space="0" w:color="000000"/>
              <w:bottom w:val="nil" w:sz="6" w:space="0" w:color="auto"/>
              <w:right w:val="single" w:sz="4" w:space="0" w:color="000000"/>
            </w:tcBorders>
          </w:tcPr>
          <w:p>
            <w:pPr/>
          </w:p>
        </w:tc>
        <w:tc>
          <w:tcPr>
            <w:tcW w:w="671" w:type="dxa"/>
            <w:vMerge/>
            <w:tcBorders>
              <w:left w:val="single" w:sz="4" w:space="0" w:color="000000"/>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748" w:type="dxa"/>
            <w:vMerge/>
            <w:tcBorders>
              <w:left w:val="single" w:sz="4" w:space="0" w:color="000000"/>
              <w:right w:val="single" w:sz="4" w:space="0" w:color="000000"/>
            </w:tcBorders>
          </w:tcPr>
          <w:p>
            <w:pPr/>
          </w:p>
        </w:tc>
      </w:tr>
      <w:tr>
        <w:trPr>
          <w:trHeight w:val="312" w:hRule="exact"/>
        </w:trPr>
        <w:tc>
          <w:tcPr>
            <w:tcW w:w="82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83"/>
                <w:sz w:val="21"/>
                <w:szCs w:val="21"/>
              </w:rPr>
              <w:t> </w:t>
            </w:r>
            <w:r>
              <w:rPr>
                <w:rFonts w:ascii="宋体" w:hAnsi="宋体" w:cs="宋体" w:eastAsia="宋体" w:hint="default"/>
                <w:sz w:val="21"/>
                <w:szCs w:val="21"/>
              </w:rPr>
              <w:t>深</w:t>
            </w:r>
          </w:p>
        </w:tc>
        <w:tc>
          <w:tcPr>
            <w:tcW w:w="757" w:type="dxa"/>
            <w:vMerge/>
            <w:tcBorders>
              <w:left w:val="single" w:sz="4" w:space="0" w:color="000000"/>
              <w:right w:val="single" w:sz="4" w:space="0" w:color="000000"/>
            </w:tcBorders>
          </w:tcPr>
          <w:p>
            <w:pPr/>
          </w:p>
        </w:tc>
        <w:tc>
          <w:tcPr>
            <w:tcW w:w="760" w:type="dxa"/>
            <w:tcBorders>
              <w:top w:val="nil" w:sz="6" w:space="0" w:color="auto"/>
              <w:left w:val="single" w:sz="4" w:space="0" w:color="000000"/>
              <w:bottom w:val="nil" w:sz="6" w:space="0" w:color="auto"/>
              <w:right w:val="single" w:sz="4" w:space="0" w:color="000000"/>
            </w:tcBorders>
          </w:tcPr>
          <w:p>
            <w:pPr/>
          </w:p>
        </w:tc>
        <w:tc>
          <w:tcPr>
            <w:tcW w:w="671" w:type="dxa"/>
            <w:vMerge/>
            <w:tcBorders>
              <w:left w:val="single" w:sz="4" w:space="0" w:color="000000"/>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748" w:type="dxa"/>
            <w:vMerge/>
            <w:tcBorders>
              <w:left w:val="single" w:sz="4" w:space="0" w:color="000000"/>
              <w:right w:val="single" w:sz="4" w:space="0" w:color="000000"/>
            </w:tcBorders>
          </w:tcPr>
          <w:p>
            <w:pPr/>
          </w:p>
        </w:tc>
      </w:tr>
      <w:tr>
        <w:trPr>
          <w:trHeight w:val="312" w:hRule="exact"/>
        </w:trPr>
        <w:tc>
          <w:tcPr>
            <w:tcW w:w="82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圳）有</w:t>
            </w:r>
          </w:p>
        </w:tc>
        <w:tc>
          <w:tcPr>
            <w:tcW w:w="757" w:type="dxa"/>
            <w:vMerge/>
            <w:tcBorders>
              <w:left w:val="single" w:sz="4" w:space="0" w:color="000000"/>
              <w:right w:val="single" w:sz="4" w:space="0" w:color="000000"/>
            </w:tcBorders>
          </w:tcPr>
          <w:p>
            <w:pPr/>
          </w:p>
        </w:tc>
        <w:tc>
          <w:tcPr>
            <w:tcW w:w="760" w:type="dxa"/>
            <w:tcBorders>
              <w:top w:val="nil" w:sz="6" w:space="0" w:color="auto"/>
              <w:left w:val="single" w:sz="4" w:space="0" w:color="000000"/>
              <w:bottom w:val="nil" w:sz="6" w:space="0" w:color="auto"/>
              <w:right w:val="single" w:sz="4" w:space="0" w:color="000000"/>
            </w:tcBorders>
          </w:tcPr>
          <w:p>
            <w:pPr/>
          </w:p>
        </w:tc>
        <w:tc>
          <w:tcPr>
            <w:tcW w:w="671" w:type="dxa"/>
            <w:vMerge/>
            <w:tcBorders>
              <w:left w:val="single" w:sz="4" w:space="0" w:color="000000"/>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748" w:type="dxa"/>
            <w:vMerge/>
            <w:tcBorders>
              <w:left w:val="single" w:sz="4" w:space="0" w:color="000000"/>
              <w:right w:val="single" w:sz="4" w:space="0" w:color="000000"/>
            </w:tcBorders>
          </w:tcPr>
          <w:p>
            <w:pPr/>
          </w:p>
        </w:tc>
      </w:tr>
      <w:tr>
        <w:trPr>
          <w:trHeight w:val="312" w:hRule="exact"/>
        </w:trPr>
        <w:tc>
          <w:tcPr>
            <w:tcW w:w="82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3"/>
                <w:sz w:val="21"/>
                <w:szCs w:val="21"/>
              </w:rPr>
              <w:t> </w:t>
            </w:r>
            <w:r>
              <w:rPr>
                <w:rFonts w:ascii="宋体" w:hAnsi="宋体" w:cs="宋体" w:eastAsia="宋体" w:hint="default"/>
                <w:sz w:val="21"/>
                <w:szCs w:val="21"/>
              </w:rPr>
              <w:t>公</w:t>
            </w:r>
          </w:p>
        </w:tc>
        <w:tc>
          <w:tcPr>
            <w:tcW w:w="757" w:type="dxa"/>
            <w:vMerge/>
            <w:tcBorders>
              <w:left w:val="single" w:sz="4" w:space="0" w:color="000000"/>
              <w:right w:val="single" w:sz="4" w:space="0" w:color="000000"/>
            </w:tcBorders>
          </w:tcPr>
          <w:p>
            <w:pPr/>
          </w:p>
        </w:tc>
        <w:tc>
          <w:tcPr>
            <w:tcW w:w="760" w:type="dxa"/>
            <w:tcBorders>
              <w:top w:val="nil" w:sz="6" w:space="0" w:color="auto"/>
              <w:left w:val="single" w:sz="4" w:space="0" w:color="000000"/>
              <w:bottom w:val="nil" w:sz="6" w:space="0" w:color="auto"/>
              <w:right w:val="single" w:sz="4" w:space="0" w:color="000000"/>
            </w:tcBorders>
          </w:tcPr>
          <w:p>
            <w:pPr/>
          </w:p>
        </w:tc>
        <w:tc>
          <w:tcPr>
            <w:tcW w:w="671" w:type="dxa"/>
            <w:vMerge/>
            <w:tcBorders>
              <w:left w:val="single" w:sz="4" w:space="0" w:color="000000"/>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748" w:type="dxa"/>
            <w:vMerge/>
            <w:tcBorders>
              <w:left w:val="single" w:sz="4" w:space="0" w:color="000000"/>
              <w:right w:val="single" w:sz="4" w:space="0" w:color="000000"/>
            </w:tcBorders>
          </w:tcPr>
          <w:p>
            <w:pPr/>
          </w:p>
        </w:tc>
      </w:tr>
      <w:tr>
        <w:trPr>
          <w:trHeight w:val="318" w:hRule="exact"/>
        </w:trPr>
        <w:tc>
          <w:tcPr>
            <w:tcW w:w="82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57" w:type="dxa"/>
            <w:vMerge/>
            <w:tcBorders>
              <w:left w:val="single" w:sz="4" w:space="0" w:color="000000"/>
              <w:bottom w:val="single" w:sz="4" w:space="0" w:color="000000"/>
              <w:right w:val="single" w:sz="4" w:space="0" w:color="000000"/>
            </w:tcBorders>
          </w:tcPr>
          <w:p>
            <w:pPr/>
          </w:p>
        </w:tc>
        <w:tc>
          <w:tcPr>
            <w:tcW w:w="760" w:type="dxa"/>
            <w:tcBorders>
              <w:top w:val="nil" w:sz="6" w:space="0" w:color="auto"/>
              <w:left w:val="single" w:sz="4" w:space="0" w:color="000000"/>
              <w:bottom w:val="single" w:sz="4" w:space="0" w:color="000000"/>
              <w:right w:val="single" w:sz="4" w:space="0" w:color="000000"/>
            </w:tcBorders>
          </w:tcPr>
          <w:p>
            <w:pPr/>
          </w:p>
        </w:tc>
        <w:tc>
          <w:tcPr>
            <w:tcW w:w="671" w:type="dxa"/>
            <w:vMerge/>
            <w:tcBorders>
              <w:left w:val="single" w:sz="4" w:space="0" w:color="000000"/>
              <w:bottom w:val="single" w:sz="4" w:space="0" w:color="000000"/>
              <w:right w:val="single" w:sz="4" w:space="0" w:color="000000"/>
            </w:tcBorders>
          </w:tcPr>
          <w:p>
            <w:pPr/>
          </w:p>
        </w:tc>
        <w:tc>
          <w:tcPr>
            <w:tcW w:w="787" w:type="dxa"/>
            <w:tcBorders>
              <w:top w:val="nil" w:sz="6" w:space="0" w:color="auto"/>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712"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70" w:type="dxa"/>
            <w:tcBorders>
              <w:top w:val="nil" w:sz="6" w:space="0" w:color="auto"/>
              <w:left w:val="single" w:sz="4" w:space="0" w:color="000000"/>
              <w:bottom w:val="single" w:sz="4" w:space="0" w:color="000000"/>
              <w:right w:val="single" w:sz="4" w:space="0" w:color="000000"/>
            </w:tcBorders>
          </w:tcPr>
          <w:p>
            <w:pPr/>
          </w:p>
        </w:tc>
        <w:tc>
          <w:tcPr>
            <w:tcW w:w="748" w:type="dxa"/>
            <w:vMerge/>
            <w:tcBorders>
              <w:left w:val="single" w:sz="4" w:space="0" w:color="000000"/>
              <w:bottom w:val="single" w:sz="4" w:space="0" w:color="000000"/>
              <w:right w:val="single" w:sz="4" w:space="0" w:color="000000"/>
            </w:tcBorders>
          </w:tcPr>
          <w:p>
            <w:pPr/>
          </w:p>
        </w:tc>
      </w:tr>
      <w:tr>
        <w:trPr>
          <w:trHeight w:val="316" w:hRule="exact"/>
        </w:trPr>
        <w:tc>
          <w:tcPr>
            <w:tcW w:w="824"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7"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14,91</w:t>
            </w:r>
          </w:p>
        </w:tc>
        <w:tc>
          <w:tcPr>
            <w:tcW w:w="76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16,63</w:t>
            </w:r>
          </w:p>
        </w:tc>
        <w:tc>
          <w:tcPr>
            <w:tcW w:w="671"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33" w:right="0"/>
              <w:jc w:val="center"/>
              <w:rPr>
                <w:rFonts w:ascii="宋体" w:hAnsi="宋体" w:cs="宋体" w:eastAsia="宋体" w:hint="default"/>
                <w:sz w:val="21"/>
                <w:szCs w:val="21"/>
              </w:rPr>
            </w:pPr>
            <w:r>
              <w:rPr>
                <w:rFonts w:ascii="宋体"/>
                <w:sz w:val="21"/>
              </w:rPr>
              <w:t>1.00</w:t>
            </w:r>
          </w:p>
        </w:tc>
        <w:tc>
          <w:tcPr>
            <w:tcW w:w="787"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-3,46</w:t>
            </w:r>
          </w:p>
        </w:tc>
        <w:tc>
          <w:tcPr>
            <w:tcW w:w="706" w:type="dxa"/>
            <w:vMerge w:val="restart"/>
            <w:tcBorders>
              <w:top w:val="single" w:sz="4" w:space="0" w:color="000000"/>
              <w:left w:val="single" w:sz="4" w:space="0" w:color="000000"/>
              <w:right w:val="single" w:sz="4" w:space="0" w:color="000000"/>
            </w:tcBorders>
          </w:tcPr>
          <w:p>
            <w:pPr/>
          </w:p>
        </w:tc>
        <w:tc>
          <w:tcPr>
            <w:tcW w:w="712" w:type="dxa"/>
            <w:vMerge w:val="restart"/>
            <w:tcBorders>
              <w:top w:val="single" w:sz="4" w:space="0" w:color="000000"/>
              <w:left w:val="single" w:sz="4" w:space="0" w:color="000000"/>
              <w:right w:val="single" w:sz="4" w:space="0" w:color="000000"/>
            </w:tcBorders>
          </w:tcPr>
          <w:p>
            <w:pPr/>
          </w:p>
        </w:tc>
        <w:tc>
          <w:tcPr>
            <w:tcW w:w="784" w:type="dxa"/>
            <w:vMerge w:val="restart"/>
            <w:tcBorders>
              <w:top w:val="single" w:sz="4" w:space="0" w:color="000000"/>
              <w:left w:val="single" w:sz="4" w:space="0" w:color="000000"/>
              <w:right w:val="single" w:sz="4" w:space="0" w:color="000000"/>
            </w:tcBorders>
          </w:tcPr>
          <w:p>
            <w:pPr/>
          </w:p>
        </w:tc>
        <w:tc>
          <w:tcPr>
            <w:tcW w:w="775" w:type="dxa"/>
            <w:vMerge w:val="restart"/>
            <w:tcBorders>
              <w:top w:val="single" w:sz="4" w:space="0" w:color="000000"/>
              <w:left w:val="single" w:sz="4" w:space="0" w:color="000000"/>
              <w:right w:val="single" w:sz="4" w:space="0" w:color="000000"/>
            </w:tcBorders>
          </w:tcPr>
          <w:p>
            <w:pPr/>
          </w:p>
        </w:tc>
        <w:tc>
          <w:tcPr>
            <w:tcW w:w="756" w:type="dxa"/>
            <w:vMerge w:val="restart"/>
            <w:tcBorders>
              <w:top w:val="single" w:sz="4" w:space="0" w:color="000000"/>
              <w:left w:val="single" w:sz="4" w:space="0" w:color="000000"/>
              <w:right w:val="single" w:sz="4" w:space="0" w:color="000000"/>
            </w:tcBorders>
          </w:tcPr>
          <w:p>
            <w:pPr/>
          </w:p>
        </w:tc>
        <w:tc>
          <w:tcPr>
            <w:tcW w:w="77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28,08</w:t>
            </w:r>
            <w:r>
              <w:rPr>
                <w:rFonts w:ascii="宋体"/>
                <w:sz w:val="21"/>
              </w:rPr>
            </w:r>
          </w:p>
        </w:tc>
        <w:tc>
          <w:tcPr>
            <w:tcW w:w="748" w:type="dxa"/>
            <w:vMerge w:val="restart"/>
            <w:tcBorders>
              <w:top w:val="single" w:sz="4" w:space="0" w:color="000000"/>
              <w:left w:val="single" w:sz="4" w:space="0" w:color="000000"/>
              <w:right w:val="single" w:sz="4" w:space="0" w:color="000000"/>
            </w:tcBorders>
          </w:tcPr>
          <w:p>
            <w:pPr/>
          </w:p>
        </w:tc>
      </w:tr>
      <w:tr>
        <w:trPr>
          <w:trHeight w:val="312" w:hRule="exact"/>
        </w:trPr>
        <w:tc>
          <w:tcPr>
            <w:tcW w:w="824" w:type="dxa"/>
            <w:tcBorders>
              <w:top w:val="nil" w:sz="6" w:space="0" w:color="auto"/>
              <w:left w:val="single" w:sz="4" w:space="0" w:color="000000"/>
              <w:bottom w:val="nil" w:sz="6" w:space="0" w:color="auto"/>
              <w:right w:val="single" w:sz="4" w:space="0" w:color="000000"/>
            </w:tcBorders>
          </w:tcPr>
          <w:p>
            <w:pPr/>
          </w:p>
        </w:tc>
        <w:tc>
          <w:tcPr>
            <w:tcW w:w="757"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1,959</w:t>
            </w:r>
          </w:p>
        </w:tc>
        <w:tc>
          <w:tcPr>
            <w:tcW w:w="76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0,000</w:t>
            </w:r>
          </w:p>
        </w:tc>
        <w:tc>
          <w:tcPr>
            <w:tcW w:w="671" w:type="dxa"/>
            <w:tcBorders>
              <w:top w:val="nil" w:sz="6" w:space="0" w:color="auto"/>
              <w:left w:val="single" w:sz="4" w:space="0" w:color="000000"/>
              <w:bottom w:val="nil" w:sz="6" w:space="0" w:color="auto"/>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0,966</w:t>
            </w:r>
          </w:p>
        </w:tc>
        <w:tc>
          <w:tcPr>
            <w:tcW w:w="706"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0,992</w:t>
            </w:r>
          </w:p>
        </w:tc>
        <w:tc>
          <w:tcPr>
            <w:tcW w:w="748" w:type="dxa"/>
            <w:vMerge/>
            <w:tcBorders>
              <w:left w:val="single" w:sz="4" w:space="0" w:color="000000"/>
              <w:right w:val="single" w:sz="4" w:space="0" w:color="000000"/>
            </w:tcBorders>
          </w:tcPr>
          <w:p>
            <w:pPr/>
          </w:p>
        </w:tc>
      </w:tr>
      <w:tr>
        <w:trPr>
          <w:trHeight w:val="318" w:hRule="exact"/>
        </w:trPr>
        <w:tc>
          <w:tcPr>
            <w:tcW w:w="824" w:type="dxa"/>
            <w:tcBorders>
              <w:top w:val="nil" w:sz="6" w:space="0" w:color="auto"/>
              <w:left w:val="single" w:sz="4" w:space="0" w:color="000000"/>
              <w:bottom w:val="single" w:sz="4" w:space="0" w:color="000000"/>
              <w:right w:val="single" w:sz="4" w:space="0" w:color="000000"/>
            </w:tcBorders>
          </w:tcPr>
          <w:p>
            <w:pPr/>
          </w:p>
        </w:tc>
        <w:tc>
          <w:tcPr>
            <w:tcW w:w="757"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.28</w:t>
            </w:r>
            <w:r>
              <w:rPr>
                <w:rFonts w:ascii="宋体"/>
                <w:sz w:val="21"/>
              </w:rPr>
            </w:r>
          </w:p>
        </w:tc>
        <w:tc>
          <w:tcPr>
            <w:tcW w:w="76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.00</w:t>
            </w:r>
            <w:r>
              <w:rPr>
                <w:rFonts w:ascii="宋体"/>
                <w:sz w:val="21"/>
              </w:rPr>
            </w:r>
          </w:p>
        </w:tc>
        <w:tc>
          <w:tcPr>
            <w:tcW w:w="671" w:type="dxa"/>
            <w:tcBorders>
              <w:top w:val="nil" w:sz="6" w:space="0" w:color="auto"/>
              <w:left w:val="single" w:sz="4" w:space="0" w:color="000000"/>
              <w:bottom w:val="single" w:sz="4" w:space="0" w:color="000000"/>
              <w:right w:val="single" w:sz="4" w:space="0" w:color="000000"/>
            </w:tcBorders>
          </w:tcPr>
          <w:p>
            <w:pPr/>
          </w:p>
        </w:tc>
        <w:tc>
          <w:tcPr>
            <w:tcW w:w="787"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.21</w:t>
            </w:r>
          </w:p>
        </w:tc>
        <w:tc>
          <w:tcPr>
            <w:tcW w:w="706" w:type="dxa"/>
            <w:vMerge/>
            <w:tcBorders>
              <w:left w:val="single" w:sz="4" w:space="0" w:color="000000"/>
              <w:bottom w:val="single" w:sz="4" w:space="0" w:color="000000"/>
              <w:right w:val="single" w:sz="4" w:space="0" w:color="000000"/>
            </w:tcBorders>
          </w:tcPr>
          <w:p>
            <w:pPr/>
          </w:p>
        </w:tc>
        <w:tc>
          <w:tcPr>
            <w:tcW w:w="712"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7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.07</w:t>
            </w:r>
          </w:p>
        </w:tc>
        <w:tc>
          <w:tcPr>
            <w:tcW w:w="748" w:type="dxa"/>
            <w:vMerge/>
            <w:tcBorders>
              <w:left w:val="single" w:sz="4" w:space="0" w:color="000000"/>
              <w:bottom w:val="single" w:sz="4" w:space="0" w:color="000000"/>
              <w:right w:val="single" w:sz="4" w:space="0" w:color="000000"/>
            </w:tcBorders>
          </w:tcPr>
          <w:p>
            <w:pPr/>
          </w:p>
        </w:tc>
      </w:tr>
      <w:tr>
        <w:trPr>
          <w:trHeight w:val="317" w:hRule="exact"/>
        </w:trPr>
        <w:tc>
          <w:tcPr>
            <w:tcW w:w="824" w:type="dxa"/>
            <w:tcBorders>
              <w:top w:val="single" w:sz="4" w:space="0" w:color="000000"/>
              <w:left w:val="single" w:sz="4" w:space="0" w:color="000000"/>
              <w:bottom w:val="nil" w:sz="6" w:space="0" w:color="auto"/>
              <w:right w:val="single" w:sz="4" w:space="0" w:color="000000"/>
            </w:tcBorders>
          </w:tcPr>
          <w:p>
            <w:pPr/>
          </w:p>
        </w:tc>
        <w:tc>
          <w:tcPr>
            <w:tcW w:w="757"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14,91</w:t>
            </w:r>
          </w:p>
        </w:tc>
        <w:tc>
          <w:tcPr>
            <w:tcW w:w="760"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16,63</w:t>
            </w:r>
          </w:p>
        </w:tc>
        <w:tc>
          <w:tcPr>
            <w:tcW w:w="671"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left="33" w:right="0"/>
              <w:jc w:val="center"/>
              <w:rPr>
                <w:rFonts w:ascii="宋体" w:hAnsi="宋体" w:cs="宋体" w:eastAsia="宋体" w:hint="default"/>
                <w:sz w:val="21"/>
                <w:szCs w:val="21"/>
              </w:rPr>
            </w:pPr>
            <w:r>
              <w:rPr>
                <w:rFonts w:ascii="宋体"/>
                <w:sz w:val="21"/>
              </w:rPr>
              <w:t>1.00</w:t>
            </w:r>
          </w:p>
        </w:tc>
        <w:tc>
          <w:tcPr>
            <w:tcW w:w="787"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-3,46</w:t>
            </w:r>
          </w:p>
        </w:tc>
        <w:tc>
          <w:tcPr>
            <w:tcW w:w="706" w:type="dxa"/>
            <w:vMerge w:val="restart"/>
            <w:tcBorders>
              <w:top w:val="single" w:sz="4" w:space="0" w:color="000000"/>
              <w:left w:val="single" w:sz="4" w:space="0" w:color="000000"/>
              <w:right w:val="single" w:sz="4" w:space="0" w:color="000000"/>
            </w:tcBorders>
          </w:tcPr>
          <w:p>
            <w:pPr/>
          </w:p>
        </w:tc>
        <w:tc>
          <w:tcPr>
            <w:tcW w:w="712" w:type="dxa"/>
            <w:vMerge w:val="restart"/>
            <w:tcBorders>
              <w:top w:val="single" w:sz="4" w:space="0" w:color="000000"/>
              <w:left w:val="single" w:sz="4" w:space="0" w:color="000000"/>
              <w:right w:val="single" w:sz="4" w:space="0" w:color="000000"/>
            </w:tcBorders>
          </w:tcPr>
          <w:p>
            <w:pPr/>
          </w:p>
        </w:tc>
        <w:tc>
          <w:tcPr>
            <w:tcW w:w="784" w:type="dxa"/>
            <w:vMerge w:val="restart"/>
            <w:tcBorders>
              <w:top w:val="single" w:sz="4" w:space="0" w:color="000000"/>
              <w:left w:val="single" w:sz="4" w:space="0" w:color="000000"/>
              <w:right w:val="single" w:sz="4" w:space="0" w:color="000000"/>
            </w:tcBorders>
          </w:tcPr>
          <w:p>
            <w:pPr/>
          </w:p>
        </w:tc>
        <w:tc>
          <w:tcPr>
            <w:tcW w:w="775" w:type="dxa"/>
            <w:vMerge w:val="restart"/>
            <w:tcBorders>
              <w:top w:val="single" w:sz="4" w:space="0" w:color="000000"/>
              <w:left w:val="single" w:sz="4" w:space="0" w:color="000000"/>
              <w:right w:val="single" w:sz="4" w:space="0" w:color="000000"/>
            </w:tcBorders>
          </w:tcPr>
          <w:p>
            <w:pPr/>
          </w:p>
        </w:tc>
        <w:tc>
          <w:tcPr>
            <w:tcW w:w="756" w:type="dxa"/>
            <w:vMerge w:val="restart"/>
            <w:tcBorders>
              <w:top w:val="single" w:sz="4" w:space="0" w:color="000000"/>
              <w:left w:val="single" w:sz="4" w:space="0" w:color="000000"/>
              <w:right w:val="single" w:sz="4" w:space="0" w:color="000000"/>
            </w:tcBorders>
          </w:tcPr>
          <w:p>
            <w:pPr/>
          </w:p>
        </w:tc>
        <w:tc>
          <w:tcPr>
            <w:tcW w:w="770"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28,08</w:t>
            </w:r>
            <w:r>
              <w:rPr>
                <w:rFonts w:ascii="宋体"/>
                <w:sz w:val="21"/>
              </w:rPr>
            </w:r>
          </w:p>
        </w:tc>
        <w:tc>
          <w:tcPr>
            <w:tcW w:w="748" w:type="dxa"/>
            <w:vMerge w:val="restart"/>
            <w:tcBorders>
              <w:top w:val="single" w:sz="4" w:space="0" w:color="000000"/>
              <w:left w:val="single" w:sz="4" w:space="0" w:color="000000"/>
              <w:right w:val="single" w:sz="4" w:space="0" w:color="000000"/>
            </w:tcBorders>
          </w:tcPr>
          <w:p>
            <w:pPr/>
          </w:p>
        </w:tc>
      </w:tr>
      <w:tr>
        <w:trPr>
          <w:trHeight w:val="312" w:hRule="exact"/>
        </w:trPr>
        <w:tc>
          <w:tcPr>
            <w:tcW w:w="82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9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57"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1,959</w:t>
            </w:r>
          </w:p>
        </w:tc>
        <w:tc>
          <w:tcPr>
            <w:tcW w:w="76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0,000</w:t>
            </w:r>
          </w:p>
        </w:tc>
        <w:tc>
          <w:tcPr>
            <w:tcW w:w="671" w:type="dxa"/>
            <w:tcBorders>
              <w:top w:val="nil" w:sz="6" w:space="0" w:color="auto"/>
              <w:left w:val="single" w:sz="4" w:space="0" w:color="000000"/>
              <w:bottom w:val="nil" w:sz="6" w:space="0" w:color="auto"/>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0,966</w:t>
            </w:r>
          </w:p>
        </w:tc>
        <w:tc>
          <w:tcPr>
            <w:tcW w:w="706"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0,992</w:t>
            </w:r>
          </w:p>
        </w:tc>
        <w:tc>
          <w:tcPr>
            <w:tcW w:w="748" w:type="dxa"/>
            <w:vMerge/>
            <w:tcBorders>
              <w:left w:val="single" w:sz="4" w:space="0" w:color="000000"/>
              <w:right w:val="single" w:sz="4" w:space="0" w:color="000000"/>
            </w:tcBorders>
          </w:tcPr>
          <w:p>
            <w:pPr/>
          </w:p>
        </w:tc>
      </w:tr>
      <w:tr>
        <w:trPr>
          <w:trHeight w:val="318" w:hRule="exact"/>
        </w:trPr>
        <w:tc>
          <w:tcPr>
            <w:tcW w:w="824" w:type="dxa"/>
            <w:tcBorders>
              <w:top w:val="nil" w:sz="6" w:space="0" w:color="auto"/>
              <w:left w:val="single" w:sz="4" w:space="0" w:color="000000"/>
              <w:bottom w:val="single" w:sz="4" w:space="0" w:color="000000"/>
              <w:right w:val="single" w:sz="4" w:space="0" w:color="000000"/>
            </w:tcBorders>
          </w:tcPr>
          <w:p>
            <w:pPr/>
          </w:p>
        </w:tc>
        <w:tc>
          <w:tcPr>
            <w:tcW w:w="757"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.28</w:t>
            </w:r>
            <w:r>
              <w:rPr>
                <w:rFonts w:ascii="宋体"/>
                <w:sz w:val="21"/>
              </w:rPr>
            </w:r>
          </w:p>
        </w:tc>
        <w:tc>
          <w:tcPr>
            <w:tcW w:w="76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.00</w:t>
            </w:r>
            <w:r>
              <w:rPr>
                <w:rFonts w:ascii="宋体"/>
                <w:sz w:val="21"/>
              </w:rPr>
            </w:r>
          </w:p>
        </w:tc>
        <w:tc>
          <w:tcPr>
            <w:tcW w:w="671" w:type="dxa"/>
            <w:tcBorders>
              <w:top w:val="nil" w:sz="6" w:space="0" w:color="auto"/>
              <w:left w:val="single" w:sz="4" w:space="0" w:color="000000"/>
              <w:bottom w:val="single" w:sz="4" w:space="0" w:color="000000"/>
              <w:right w:val="single" w:sz="4" w:space="0" w:color="000000"/>
            </w:tcBorders>
          </w:tcPr>
          <w:p>
            <w:pPr/>
          </w:p>
        </w:tc>
        <w:tc>
          <w:tcPr>
            <w:tcW w:w="787"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.21</w:t>
            </w:r>
          </w:p>
        </w:tc>
        <w:tc>
          <w:tcPr>
            <w:tcW w:w="706" w:type="dxa"/>
            <w:vMerge/>
            <w:tcBorders>
              <w:left w:val="single" w:sz="4" w:space="0" w:color="000000"/>
              <w:bottom w:val="single" w:sz="4" w:space="0" w:color="000000"/>
              <w:right w:val="single" w:sz="4" w:space="0" w:color="000000"/>
            </w:tcBorders>
          </w:tcPr>
          <w:p>
            <w:pPr/>
          </w:p>
        </w:tc>
        <w:tc>
          <w:tcPr>
            <w:tcW w:w="712"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7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.07</w:t>
            </w:r>
          </w:p>
        </w:tc>
        <w:tc>
          <w:tcPr>
            <w:tcW w:w="748" w:type="dxa"/>
            <w:vMerge/>
            <w:tcBorders>
              <w:left w:val="single" w:sz="4" w:space="0" w:color="000000"/>
              <w:bottom w:val="single" w:sz="4" w:space="0" w:color="000000"/>
              <w:right w:val="single" w:sz="4" w:space="0" w:color="000000"/>
            </w:tcBorders>
          </w:tcPr>
          <w:p>
            <w:pPr/>
          </w:p>
        </w:tc>
      </w:tr>
    </w:tbl>
    <w:p>
      <w:pPr>
        <w:pStyle w:val="BodyText"/>
        <w:spacing w:line="238" w:lineRule="exact"/>
        <w:ind w:right="114"/>
        <w:jc w:val="left"/>
      </w:pPr>
      <w:r>
        <w:rPr/>
        <w:t>其他说明</w:t>
      </w:r>
    </w:p>
    <w:p>
      <w:pPr>
        <w:pStyle w:val="BodyText"/>
        <w:spacing w:line="272" w:lineRule="exact" w:before="26"/>
        <w:ind w:right="177"/>
        <w:jc w:val="left"/>
      </w:pPr>
      <w:r>
        <w:rPr/>
        <w:t>本公司持有广州佳时达软件股份有限公司</w:t>
      </w:r>
      <w:r>
        <w:rPr>
          <w:spacing w:val="-55"/>
        </w:rPr>
        <w:t> </w:t>
      </w:r>
      <w:r>
        <w:rPr>
          <w:rFonts w:ascii="Arial" w:hAnsi="Arial" w:cs="Arial" w:eastAsia="Arial" w:hint="default"/>
        </w:rPr>
        <w:t>10%</w:t>
      </w:r>
      <w:r>
        <w:rPr/>
        <w:t>的股权，本公司委派有一名董事参与其经营决策， 对其构成重大影响。</w:t>
      </w:r>
    </w:p>
    <w:p>
      <w:pPr>
        <w:spacing w:line="240" w:lineRule="auto" w:before="12"/>
        <w:rPr>
          <w:rFonts w:ascii="宋体" w:hAnsi="宋体" w:cs="宋体" w:eastAsia="宋体" w:hint="default"/>
          <w:sz w:val="27"/>
          <w:szCs w:val="27"/>
        </w:rPr>
      </w:pPr>
    </w:p>
    <w:p>
      <w:pPr>
        <w:pStyle w:val="Heading3"/>
        <w:spacing w:line="240" w:lineRule="auto" w:before="0"/>
        <w:ind w:right="114"/>
        <w:jc w:val="left"/>
        <w:rPr>
          <w:b w:val="0"/>
          <w:bCs w:val="0"/>
        </w:rPr>
      </w:pPr>
      <w:r>
        <w:rPr/>
        <w:t>18、</w:t>
      </w:r>
      <w:r>
        <w:rPr>
          <w:spacing w:val="-29"/>
        </w:rPr>
        <w:t> </w:t>
      </w:r>
      <w:r>
        <w:rPr/>
        <w:t>投资性房地产</w:t>
      </w:r>
      <w:r>
        <w:rPr>
          <w:b w:val="0"/>
          <w:bCs w:val="0"/>
        </w:rPr>
      </w:r>
    </w:p>
    <w:p>
      <w:pPr>
        <w:pStyle w:val="BodyText"/>
        <w:spacing w:line="273" w:lineRule="auto" w:before="97"/>
        <w:ind w:right="6947"/>
        <w:jc w:val="left"/>
      </w:pPr>
      <w:r>
        <w:rPr/>
        <w:t>投资性房地产计量模式 不适用</w:t>
      </w:r>
    </w:p>
    <w:p>
      <w:pPr>
        <w:spacing w:line="240" w:lineRule="auto" w:before="0"/>
        <w:rPr>
          <w:rFonts w:ascii="宋体" w:hAnsi="宋体" w:cs="宋体" w:eastAsia="宋体" w:hint="default"/>
          <w:sz w:val="29"/>
          <w:szCs w:val="29"/>
        </w:rPr>
      </w:pPr>
    </w:p>
    <w:p>
      <w:pPr>
        <w:pStyle w:val="Heading3"/>
        <w:spacing w:line="240" w:lineRule="auto" w:before="0"/>
        <w:ind w:right="114"/>
        <w:jc w:val="left"/>
        <w:rPr>
          <w:b w:val="0"/>
          <w:bCs w:val="0"/>
        </w:rPr>
      </w:pPr>
      <w:r>
        <w:rPr/>
        <w:t>(1).</w:t>
      </w:r>
      <w:r>
        <w:rPr>
          <w:spacing w:val="79"/>
        </w:rPr>
        <w:t> </w:t>
      </w:r>
      <w:r>
        <w:rPr/>
        <w:t>未办妥产权证书的投资性房地产情况：</w:t>
      </w:r>
      <w:r>
        <w:rPr>
          <w:b w:val="0"/>
          <w:bCs w:val="0"/>
        </w:rPr>
      </w:r>
    </w:p>
    <w:p>
      <w:pPr>
        <w:spacing w:line="240" w:lineRule="auto" w:before="7"/>
        <w:rPr>
          <w:rFonts w:ascii="宋体" w:hAnsi="宋体" w:cs="宋体" w:eastAsia="宋体" w:hint="default"/>
          <w:b/>
          <w:bCs/>
          <w:sz w:val="8"/>
          <w:szCs w:val="8"/>
        </w:rPr>
      </w:pPr>
    </w:p>
    <w:tbl>
      <w:tblPr>
        <w:tblW w:w="0" w:type="auto"/>
        <w:jc w:val="left"/>
        <w:tblInd w:w="104" w:type="dxa"/>
        <w:tblLayout w:type="fixed"/>
        <w:tblCellMar>
          <w:top w:w="0" w:type="dxa"/>
          <w:left w:w="0" w:type="dxa"/>
          <w:bottom w:w="0" w:type="dxa"/>
          <w:right w:w="0" w:type="dxa"/>
        </w:tblCellMar>
        <w:tblLook w:val="01E0"/>
      </w:tblPr>
      <w:tblGrid>
        <w:gridCol w:w="3308"/>
        <w:gridCol w:w="2863"/>
        <w:gridCol w:w="2878"/>
      </w:tblGrid>
      <w:tr>
        <w:trPr>
          <w:trHeight w:val="28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87"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
        </w:tc>
        <w:tc>
          <w:tcPr>
            <w:tcW w:w="2863"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08" w:type="dxa"/>
            <w:tcBorders>
              <w:top w:val="single" w:sz="4" w:space="0" w:color="000000"/>
              <w:left w:val="single" w:sz="4" w:space="0" w:color="000000"/>
              <w:bottom w:val="single" w:sz="4" w:space="0" w:color="000000"/>
              <w:right w:val="single" w:sz="4" w:space="0" w:color="000000"/>
            </w:tcBorders>
          </w:tcPr>
          <w:p>
            <w:pPr/>
          </w:p>
        </w:tc>
        <w:tc>
          <w:tcPr>
            <w:tcW w:w="2863"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pStyle w:val="BodyText"/>
        <w:spacing w:line="240" w:lineRule="auto" w:before="35"/>
        <w:ind w:left="173" w:right="114"/>
        <w:jc w:val="left"/>
      </w:pPr>
      <w:r>
        <w:rPr/>
        <w:t>其他说明</w:t>
      </w:r>
    </w:p>
    <w:p>
      <w:pPr>
        <w:spacing w:after="0" w:line="240" w:lineRule="auto"/>
        <w:jc w:val="left"/>
        <w:sectPr>
          <w:pgSz w:w="11910" w:h="16840"/>
          <w:pgMar w:header="0" w:footer="1197"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p>
      <w:pPr>
        <w:spacing w:line="20" w:lineRule="exact"/>
        <w:ind w:left="107"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a">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7" w:top="1120" w:bottom="1380" w:left="1640" w:right="1120"/>
        </w:sectPr>
      </w:pPr>
    </w:p>
    <w:p>
      <w:pPr>
        <w:pStyle w:val="Heading3"/>
        <w:spacing w:line="240" w:lineRule="auto"/>
        <w:ind w:left="157" w:right="-16"/>
        <w:jc w:val="left"/>
        <w:rPr>
          <w:b w:val="0"/>
          <w:bCs w:val="0"/>
        </w:rPr>
      </w:pPr>
      <w:r>
        <w:rPr/>
        <w:t>19、</w:t>
      </w:r>
      <w:r>
        <w:rPr>
          <w:spacing w:val="-26"/>
        </w:rPr>
        <w:t> </w:t>
      </w:r>
      <w:r>
        <w:rPr/>
        <w:t>固定资产</w:t>
      </w:r>
      <w:r>
        <w:rPr>
          <w:b w:val="0"/>
          <w:bCs w:val="0"/>
        </w:rPr>
      </w:r>
    </w:p>
    <w:p>
      <w:pPr>
        <w:pStyle w:val="Heading3"/>
        <w:spacing w:line="240" w:lineRule="auto" w:before="97"/>
        <w:ind w:left="157" w:right="-16"/>
        <w:jc w:val="left"/>
        <w:rPr>
          <w:b w:val="0"/>
          <w:bCs w:val="0"/>
        </w:rPr>
      </w:pPr>
      <w:r>
        <w:rPr/>
        <w:t>(1).</w:t>
      </w:r>
      <w:r>
        <w:rPr>
          <w:spacing w:val="54"/>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tabs>
          <w:tab w:pos="1207" w:val="left" w:leader="none"/>
        </w:tabs>
        <w:spacing w:line="240" w:lineRule="auto"/>
        <w:ind w:left="157" w:right="0"/>
        <w:jc w:val="left"/>
      </w:pPr>
      <w:r>
        <w:rPr/>
        <w:t>单位：元</w:t>
        <w:tab/>
        <w:t>币种：人民币</w:t>
      </w:r>
    </w:p>
    <w:p>
      <w:pPr>
        <w:spacing w:after="0" w:line="240" w:lineRule="auto"/>
        <w:jc w:val="left"/>
        <w:sectPr>
          <w:type w:val="continuous"/>
          <w:pgSz w:w="11910" w:h="16840"/>
          <w:pgMar w:top="1080" w:bottom="1380" w:left="1640" w:right="1120"/>
          <w:cols w:num="2" w:equalWidth="0">
            <w:col w:w="2010" w:space="4514"/>
            <w:col w:w="2626"/>
          </w:cols>
        </w:sectPr>
      </w:pPr>
    </w:p>
    <w:p>
      <w:pPr>
        <w:spacing w:line="240" w:lineRule="auto" w:before="13"/>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1873"/>
        <w:gridCol w:w="1424"/>
        <w:gridCol w:w="1320"/>
        <w:gridCol w:w="1426"/>
        <w:gridCol w:w="1320"/>
        <w:gridCol w:w="1530"/>
      </w:tblGrid>
      <w:tr>
        <w:trPr>
          <w:trHeight w:val="326"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73"/>
              <w:jc w:val="right"/>
              <w:rPr>
                <w:rFonts w:ascii="宋体" w:hAnsi="宋体" w:cs="宋体" w:eastAsia="宋体" w:hint="default"/>
                <w:sz w:val="21"/>
                <w:szCs w:val="21"/>
              </w:rPr>
            </w:pPr>
            <w:r>
              <w:rPr>
                <w:rFonts w:ascii="宋体" w:hAnsi="宋体" w:cs="宋体" w:eastAsia="宋体" w:hint="default"/>
                <w:sz w:val="21"/>
                <w:szCs w:val="21"/>
              </w:rPr>
              <w:t>房屋及建筑物</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73"/>
              <w:jc w:val="right"/>
              <w:rPr>
                <w:rFonts w:ascii="宋体" w:hAnsi="宋体" w:cs="宋体" w:eastAsia="宋体" w:hint="default"/>
                <w:sz w:val="18"/>
                <w:szCs w:val="18"/>
              </w:rPr>
            </w:pPr>
            <w:r>
              <w:rPr>
                <w:rFonts w:ascii="宋体" w:hAnsi="宋体" w:cs="宋体" w:eastAsia="宋体" w:hint="default"/>
                <w:sz w:val="18"/>
                <w:szCs w:val="18"/>
              </w:rPr>
              <w:t>办公及电子设备</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1"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28"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42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42" w:right="0"/>
              <w:jc w:val="left"/>
              <w:rPr>
                <w:rFonts w:ascii="宋体" w:hAnsi="宋体" w:cs="宋体" w:eastAsia="宋体" w:hint="default"/>
                <w:sz w:val="21"/>
                <w:szCs w:val="21"/>
              </w:rPr>
            </w:pPr>
            <w:r>
              <w:rPr>
                <w:rFonts w:ascii="宋体" w:hAnsi="宋体" w:cs="宋体" w:eastAsia="宋体" w:hint="default"/>
                <w:sz w:val="21"/>
                <w:szCs w:val="21"/>
              </w:rPr>
              <w:t>1.期初余额</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94,775,348.92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9"/>
              <w:jc w:val="right"/>
              <w:rPr>
                <w:rFonts w:ascii="宋体" w:hAnsi="宋体" w:cs="宋体" w:eastAsia="宋体" w:hint="default"/>
                <w:sz w:val="21"/>
                <w:szCs w:val="21"/>
              </w:rPr>
            </w:pPr>
            <w:r>
              <w:rPr>
                <w:rFonts w:ascii="宋体"/>
                <w:spacing w:val="-1"/>
                <w:sz w:val="21"/>
              </w:rPr>
              <w:t>3,727,296.49</w:t>
            </w:r>
            <w:r>
              <w:rPr>
                <w:rFonts w:ascii="宋体"/>
                <w:sz w:val="21"/>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17,682,379.18</w:t>
            </w:r>
            <w:r>
              <w:rPr>
                <w:rFonts w:ascii="宋体"/>
                <w:sz w:val="21"/>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2,697,622.92</w:t>
            </w:r>
            <w:r>
              <w:rPr>
                <w:rFonts w:ascii="宋体"/>
                <w:sz w:val="21"/>
              </w:rPr>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2"/>
              <w:jc w:val="right"/>
              <w:rPr>
                <w:rFonts w:ascii="宋体" w:hAnsi="宋体" w:cs="宋体" w:eastAsia="宋体" w:hint="default"/>
                <w:sz w:val="21"/>
                <w:szCs w:val="21"/>
              </w:rPr>
            </w:pPr>
            <w:r>
              <w:rPr>
                <w:rFonts w:ascii="宋体"/>
                <w:spacing w:val="-1"/>
                <w:sz w:val="21"/>
              </w:rPr>
              <w:t>118,882,647.51</w:t>
            </w:r>
            <w:r>
              <w:rPr>
                <w:rFonts w:ascii="宋体"/>
                <w:sz w:val="21"/>
              </w:rPr>
            </w:r>
          </w:p>
        </w:tc>
      </w:tr>
      <w:tr>
        <w:trPr>
          <w:trHeight w:val="640"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2" w:right="0"/>
              <w:jc w:val="left"/>
              <w:rPr>
                <w:rFonts w:ascii="宋体" w:hAnsi="宋体" w:cs="宋体" w:eastAsia="宋体" w:hint="default"/>
                <w:sz w:val="21"/>
                <w:szCs w:val="21"/>
              </w:rPr>
            </w:pPr>
            <w:r>
              <w:rPr>
                <w:rFonts w:ascii="宋体" w:hAnsi="宋体" w:cs="宋体" w:eastAsia="宋体" w:hint="default"/>
                <w:sz w:val="21"/>
                <w:szCs w:val="21"/>
              </w:rPr>
              <w:t>2.本期增加金</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42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9"/>
              <w:jc w:val="right"/>
              <w:rPr>
                <w:rFonts w:ascii="宋体" w:hAnsi="宋体" w:cs="宋体" w:eastAsia="宋体" w:hint="default"/>
                <w:sz w:val="21"/>
                <w:szCs w:val="21"/>
              </w:rPr>
            </w:pPr>
            <w:r>
              <w:rPr>
                <w:rFonts w:ascii="宋体"/>
                <w:spacing w:val="-1"/>
                <w:sz w:val="21"/>
              </w:rPr>
              <w:t>419,500.00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0"/>
              <w:jc w:val="right"/>
              <w:rPr>
                <w:rFonts w:ascii="宋体" w:hAnsi="宋体" w:cs="宋体" w:eastAsia="宋体" w:hint="default"/>
                <w:sz w:val="21"/>
                <w:szCs w:val="21"/>
              </w:rPr>
            </w:pPr>
            <w:r>
              <w:rPr>
                <w:rFonts w:ascii="宋体"/>
                <w:spacing w:val="-1"/>
                <w:sz w:val="21"/>
              </w:rPr>
              <w:t>3,857,549.33</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0"/>
              <w:jc w:val="right"/>
              <w:rPr>
                <w:rFonts w:ascii="宋体" w:hAnsi="宋体" w:cs="宋体" w:eastAsia="宋体" w:hint="default"/>
                <w:sz w:val="21"/>
                <w:szCs w:val="21"/>
              </w:rPr>
            </w:pPr>
            <w:r>
              <w:rPr>
                <w:rFonts w:ascii="宋体"/>
                <w:spacing w:val="-1"/>
                <w:sz w:val="21"/>
              </w:rPr>
              <w:t>378,551.55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1"/>
              <w:jc w:val="right"/>
              <w:rPr>
                <w:rFonts w:ascii="宋体" w:hAnsi="宋体" w:cs="宋体" w:eastAsia="宋体" w:hint="default"/>
                <w:sz w:val="21"/>
                <w:szCs w:val="21"/>
              </w:rPr>
            </w:pPr>
            <w:r>
              <w:rPr>
                <w:rFonts w:ascii="宋体"/>
                <w:spacing w:val="-1"/>
                <w:sz w:val="21"/>
              </w:rPr>
              <w:t>4,655,600.88</w:t>
            </w:r>
          </w:p>
        </w:tc>
      </w:tr>
      <w:tr>
        <w:trPr>
          <w:trHeight w:val="326"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60"/>
              <w:jc w:val="right"/>
              <w:rPr>
                <w:rFonts w:ascii="宋体" w:hAnsi="宋体" w:cs="宋体" w:eastAsia="宋体" w:hint="default"/>
                <w:sz w:val="21"/>
                <w:szCs w:val="21"/>
              </w:rPr>
            </w:pPr>
            <w:r>
              <w:rPr>
                <w:rFonts w:ascii="宋体" w:hAnsi="宋体" w:cs="宋体" w:eastAsia="宋体" w:hint="default"/>
                <w:spacing w:val="-1"/>
                <w:sz w:val="21"/>
                <w:szCs w:val="21"/>
              </w:rPr>
              <w:t>（1）购置</w:t>
            </w:r>
            <w:r>
              <w:rPr>
                <w:rFonts w:ascii="宋体" w:hAnsi="宋体" w:cs="宋体" w:eastAsia="宋体" w:hint="default"/>
                <w:sz w:val="21"/>
                <w:szCs w:val="21"/>
              </w:rPr>
            </w:r>
          </w:p>
        </w:tc>
        <w:tc>
          <w:tcPr>
            <w:tcW w:w="142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419,500.00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3,857,549.33</w:t>
            </w:r>
            <w:r>
              <w:rPr>
                <w:rFonts w:ascii="宋体"/>
                <w:sz w:val="21"/>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378,551.55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4,655,600.88</w:t>
            </w:r>
            <w:r>
              <w:rPr>
                <w:rFonts w:ascii="宋体"/>
                <w:sz w:val="21"/>
              </w:rPr>
            </w:r>
          </w:p>
        </w:tc>
      </w:tr>
      <w:tr>
        <w:trPr>
          <w:trHeight w:val="640"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52" w:right="0"/>
              <w:jc w:val="left"/>
              <w:rPr>
                <w:rFonts w:ascii="宋体" w:hAnsi="宋体" w:cs="宋体" w:eastAsia="宋体" w:hint="default"/>
                <w:sz w:val="21"/>
                <w:szCs w:val="21"/>
              </w:rPr>
            </w:pPr>
            <w:r>
              <w:rPr>
                <w:rFonts w:ascii="宋体" w:hAnsi="宋体" w:cs="宋体" w:eastAsia="宋体" w:hint="default"/>
                <w:sz w:val="21"/>
                <w:szCs w:val="21"/>
              </w:rPr>
              <w:t>（2）在建工</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程转入</w:t>
            </w:r>
          </w:p>
        </w:tc>
        <w:tc>
          <w:tcPr>
            <w:tcW w:w="142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652" w:right="0"/>
              <w:jc w:val="left"/>
              <w:rPr>
                <w:rFonts w:ascii="宋体" w:hAnsi="宋体" w:cs="宋体" w:eastAsia="宋体" w:hint="default"/>
                <w:sz w:val="21"/>
                <w:szCs w:val="21"/>
              </w:rPr>
            </w:pPr>
            <w:r>
              <w:rPr>
                <w:rFonts w:ascii="宋体" w:hAnsi="宋体" w:cs="宋体" w:eastAsia="宋体" w:hint="default"/>
                <w:sz w:val="21"/>
                <w:szCs w:val="21"/>
              </w:rPr>
              <w:t>（3）企业合</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并增加</w:t>
            </w:r>
          </w:p>
        </w:tc>
        <w:tc>
          <w:tcPr>
            <w:tcW w:w="142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7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48" w:right="0"/>
              <w:jc w:val="left"/>
              <w:rPr>
                <w:rFonts w:ascii="宋体" w:hAnsi="宋体" w:cs="宋体" w:eastAsia="宋体" w:hint="default"/>
                <w:sz w:val="21"/>
                <w:szCs w:val="21"/>
              </w:rPr>
            </w:pPr>
            <w:r>
              <w:rPr>
                <w:rFonts w:ascii="宋体" w:hAnsi="宋体" w:cs="宋体" w:eastAsia="宋体" w:hint="default"/>
                <w:sz w:val="21"/>
                <w:szCs w:val="21"/>
              </w:rPr>
              <w:t>3.本期减少金</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42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9"/>
              <w:jc w:val="right"/>
              <w:rPr>
                <w:rFonts w:ascii="宋体" w:hAnsi="宋体" w:cs="宋体" w:eastAsia="宋体" w:hint="default"/>
                <w:sz w:val="21"/>
                <w:szCs w:val="21"/>
              </w:rPr>
            </w:pPr>
            <w:r>
              <w:rPr>
                <w:rFonts w:ascii="宋体"/>
                <w:spacing w:val="-1"/>
                <w:sz w:val="21"/>
              </w:rPr>
              <w:t>4,800.00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pacing w:val="-1"/>
                <w:sz w:val="21"/>
              </w:rPr>
              <w:t>5,468,893.08</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pacing w:val="-1"/>
                <w:sz w:val="21"/>
              </w:rPr>
              <w:t>204,492.90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pacing w:val="-1"/>
                <w:sz w:val="21"/>
              </w:rPr>
              <w:t>5,678,185.98</w:t>
            </w:r>
          </w:p>
        </w:tc>
      </w:tr>
      <w:tr>
        <w:trPr>
          <w:trHeight w:val="640"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52" w:right="0"/>
              <w:jc w:val="left"/>
              <w:rPr>
                <w:rFonts w:ascii="宋体" w:hAnsi="宋体" w:cs="宋体" w:eastAsia="宋体" w:hint="default"/>
                <w:sz w:val="21"/>
                <w:szCs w:val="21"/>
              </w:rPr>
            </w:pPr>
            <w:r>
              <w:rPr>
                <w:rFonts w:ascii="宋体" w:hAnsi="宋体" w:cs="宋体" w:eastAsia="宋体" w:hint="default"/>
                <w:sz w:val="21"/>
                <w:szCs w:val="21"/>
              </w:rPr>
              <w:t>（1）处置或</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报废</w:t>
            </w:r>
          </w:p>
        </w:tc>
        <w:tc>
          <w:tcPr>
            <w:tcW w:w="142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9"/>
              <w:jc w:val="right"/>
              <w:rPr>
                <w:rFonts w:ascii="宋体" w:hAnsi="宋体" w:cs="宋体" w:eastAsia="宋体" w:hint="default"/>
                <w:sz w:val="21"/>
                <w:szCs w:val="21"/>
              </w:rPr>
            </w:pPr>
            <w:r>
              <w:rPr>
                <w:rFonts w:ascii="宋体"/>
                <w:spacing w:val="-1"/>
                <w:sz w:val="21"/>
              </w:rPr>
              <w:t>4,800.00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0"/>
              <w:jc w:val="right"/>
              <w:rPr>
                <w:rFonts w:ascii="宋体" w:hAnsi="宋体" w:cs="宋体" w:eastAsia="宋体" w:hint="default"/>
                <w:sz w:val="21"/>
                <w:szCs w:val="21"/>
              </w:rPr>
            </w:pPr>
            <w:r>
              <w:rPr>
                <w:rFonts w:ascii="宋体"/>
                <w:spacing w:val="-1"/>
                <w:sz w:val="21"/>
              </w:rPr>
              <w:t>5,468,893.08</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0"/>
              <w:jc w:val="right"/>
              <w:rPr>
                <w:rFonts w:ascii="宋体" w:hAnsi="宋体" w:cs="宋体" w:eastAsia="宋体" w:hint="default"/>
                <w:sz w:val="21"/>
                <w:szCs w:val="21"/>
              </w:rPr>
            </w:pPr>
            <w:r>
              <w:rPr>
                <w:rFonts w:ascii="宋体"/>
                <w:spacing w:val="-1"/>
                <w:sz w:val="21"/>
              </w:rPr>
              <w:t>204,492.90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1"/>
              <w:jc w:val="right"/>
              <w:rPr>
                <w:rFonts w:ascii="宋体" w:hAnsi="宋体" w:cs="宋体" w:eastAsia="宋体" w:hint="default"/>
                <w:sz w:val="21"/>
                <w:szCs w:val="21"/>
              </w:rPr>
            </w:pPr>
            <w:r>
              <w:rPr>
                <w:rFonts w:ascii="宋体"/>
                <w:spacing w:val="-1"/>
                <w:sz w:val="21"/>
              </w:rPr>
              <w:t>5,678,185.98</w:t>
            </w:r>
          </w:p>
        </w:tc>
      </w:tr>
      <w:tr>
        <w:trPr>
          <w:trHeight w:val="326" w:hRule="exact"/>
        </w:trPr>
        <w:tc>
          <w:tcPr>
            <w:tcW w:w="187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2" w:right="0"/>
              <w:jc w:val="left"/>
              <w:rPr>
                <w:rFonts w:ascii="宋体" w:hAnsi="宋体" w:cs="宋体" w:eastAsia="宋体" w:hint="default"/>
                <w:sz w:val="21"/>
                <w:szCs w:val="21"/>
              </w:rPr>
            </w:pPr>
            <w:r>
              <w:rPr>
                <w:rFonts w:ascii="宋体" w:hAnsi="宋体" w:cs="宋体" w:eastAsia="宋体" w:hint="default"/>
                <w:sz w:val="21"/>
                <w:szCs w:val="21"/>
              </w:rPr>
              <w:t>4.期末余额</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
              <w:jc w:val="right"/>
              <w:rPr>
                <w:rFonts w:ascii="宋体" w:hAnsi="宋体" w:cs="宋体" w:eastAsia="宋体" w:hint="default"/>
                <w:sz w:val="21"/>
                <w:szCs w:val="21"/>
              </w:rPr>
            </w:pPr>
            <w:r>
              <w:rPr>
                <w:rFonts w:ascii="宋体"/>
                <w:spacing w:val="-1"/>
                <w:sz w:val="21"/>
              </w:rPr>
              <w:t>94,775,348.92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9"/>
              <w:jc w:val="right"/>
              <w:rPr>
                <w:rFonts w:ascii="宋体" w:hAnsi="宋体" w:cs="宋体" w:eastAsia="宋体" w:hint="default"/>
                <w:sz w:val="21"/>
                <w:szCs w:val="21"/>
              </w:rPr>
            </w:pPr>
            <w:r>
              <w:rPr>
                <w:rFonts w:ascii="宋体"/>
                <w:spacing w:val="-1"/>
                <w:sz w:val="21"/>
              </w:rPr>
              <w:t>4,141,996.49</w:t>
            </w:r>
            <w:r>
              <w:rPr>
                <w:rFonts w:ascii="宋体"/>
                <w:sz w:val="21"/>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
              <w:jc w:val="right"/>
              <w:rPr>
                <w:rFonts w:ascii="宋体" w:hAnsi="宋体" w:cs="宋体" w:eastAsia="宋体" w:hint="default"/>
                <w:sz w:val="21"/>
                <w:szCs w:val="21"/>
              </w:rPr>
            </w:pPr>
            <w:r>
              <w:rPr>
                <w:rFonts w:ascii="宋体"/>
                <w:spacing w:val="-1"/>
                <w:sz w:val="21"/>
              </w:rPr>
              <w:t>16,071,035.43</w:t>
            </w:r>
            <w:r>
              <w:rPr>
                <w:rFonts w:ascii="宋体"/>
                <w:sz w:val="21"/>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
              <w:jc w:val="right"/>
              <w:rPr>
                <w:rFonts w:ascii="宋体" w:hAnsi="宋体" w:cs="宋体" w:eastAsia="宋体" w:hint="default"/>
                <w:sz w:val="21"/>
                <w:szCs w:val="21"/>
              </w:rPr>
            </w:pPr>
            <w:r>
              <w:rPr>
                <w:rFonts w:ascii="宋体"/>
                <w:spacing w:val="-1"/>
                <w:sz w:val="21"/>
              </w:rPr>
              <w:t>2,871,681.57</w:t>
            </w:r>
            <w:r>
              <w:rPr>
                <w:rFonts w:ascii="宋体"/>
                <w:sz w:val="21"/>
              </w:rPr>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2"/>
              <w:jc w:val="right"/>
              <w:rPr>
                <w:rFonts w:ascii="宋体" w:hAnsi="宋体" w:cs="宋体" w:eastAsia="宋体" w:hint="default"/>
                <w:sz w:val="21"/>
                <w:szCs w:val="21"/>
              </w:rPr>
            </w:pPr>
            <w:r>
              <w:rPr>
                <w:rFonts w:ascii="宋体"/>
                <w:spacing w:val="-1"/>
                <w:sz w:val="21"/>
              </w:rPr>
              <w:t>117,860,062.41</w:t>
            </w:r>
            <w:r>
              <w:rPr>
                <w:rFonts w:ascii="宋体"/>
                <w:sz w:val="21"/>
              </w:rPr>
            </w:r>
          </w:p>
        </w:tc>
      </w:tr>
      <w:tr>
        <w:trPr>
          <w:trHeight w:val="326"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42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2" w:right="0"/>
              <w:jc w:val="left"/>
              <w:rPr>
                <w:rFonts w:ascii="宋体" w:hAnsi="宋体" w:cs="宋体" w:eastAsia="宋体" w:hint="default"/>
                <w:sz w:val="21"/>
                <w:szCs w:val="21"/>
              </w:rPr>
            </w:pPr>
            <w:r>
              <w:rPr>
                <w:rFonts w:ascii="宋体" w:hAnsi="宋体" w:cs="宋体" w:eastAsia="宋体" w:hint="default"/>
                <w:sz w:val="21"/>
                <w:szCs w:val="21"/>
              </w:rPr>
              <w:t>1.期初余额</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
              <w:jc w:val="right"/>
              <w:rPr>
                <w:rFonts w:ascii="宋体" w:hAnsi="宋体" w:cs="宋体" w:eastAsia="宋体" w:hint="default"/>
                <w:sz w:val="21"/>
                <w:szCs w:val="21"/>
              </w:rPr>
            </w:pPr>
            <w:r>
              <w:rPr>
                <w:rFonts w:ascii="宋体"/>
                <w:spacing w:val="-1"/>
                <w:sz w:val="21"/>
              </w:rPr>
              <w:t>23,306,903.81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9"/>
              <w:jc w:val="right"/>
              <w:rPr>
                <w:rFonts w:ascii="宋体" w:hAnsi="宋体" w:cs="宋体" w:eastAsia="宋体" w:hint="default"/>
                <w:sz w:val="21"/>
                <w:szCs w:val="21"/>
              </w:rPr>
            </w:pPr>
            <w:r>
              <w:rPr>
                <w:rFonts w:ascii="宋体"/>
                <w:spacing w:val="-1"/>
                <w:sz w:val="21"/>
              </w:rPr>
              <w:t>2,175,796.98</w:t>
            </w:r>
            <w:r>
              <w:rPr>
                <w:rFonts w:ascii="宋体"/>
                <w:sz w:val="21"/>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
              <w:jc w:val="right"/>
              <w:rPr>
                <w:rFonts w:ascii="宋体" w:hAnsi="宋体" w:cs="宋体" w:eastAsia="宋体" w:hint="default"/>
                <w:sz w:val="21"/>
                <w:szCs w:val="21"/>
              </w:rPr>
            </w:pPr>
            <w:r>
              <w:rPr>
                <w:rFonts w:ascii="宋体"/>
                <w:spacing w:val="-1"/>
                <w:sz w:val="21"/>
              </w:rPr>
              <w:t>12,591,659.73</w:t>
            </w:r>
            <w:r>
              <w:rPr>
                <w:rFonts w:ascii="宋体"/>
                <w:sz w:val="21"/>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
              <w:jc w:val="right"/>
              <w:rPr>
                <w:rFonts w:ascii="宋体" w:hAnsi="宋体" w:cs="宋体" w:eastAsia="宋体" w:hint="default"/>
                <w:sz w:val="21"/>
                <w:szCs w:val="21"/>
              </w:rPr>
            </w:pPr>
            <w:r>
              <w:rPr>
                <w:rFonts w:ascii="宋体"/>
                <w:spacing w:val="-1"/>
                <w:sz w:val="21"/>
              </w:rPr>
              <w:t>1,860,124.66</w:t>
            </w:r>
            <w:r>
              <w:rPr>
                <w:rFonts w:ascii="宋体"/>
                <w:sz w:val="21"/>
              </w:rPr>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
              <w:jc w:val="right"/>
              <w:rPr>
                <w:rFonts w:ascii="宋体" w:hAnsi="宋体" w:cs="宋体" w:eastAsia="宋体" w:hint="default"/>
                <w:sz w:val="21"/>
                <w:szCs w:val="21"/>
              </w:rPr>
            </w:pPr>
            <w:r>
              <w:rPr>
                <w:rFonts w:ascii="宋体"/>
                <w:spacing w:val="-1"/>
                <w:sz w:val="21"/>
              </w:rPr>
              <w:t>39,934,485.18</w:t>
            </w:r>
          </w:p>
        </w:tc>
      </w:tr>
      <w:tr>
        <w:trPr>
          <w:trHeight w:val="638"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42" w:right="0"/>
              <w:jc w:val="left"/>
              <w:rPr>
                <w:rFonts w:ascii="宋体" w:hAnsi="宋体" w:cs="宋体" w:eastAsia="宋体" w:hint="default"/>
                <w:sz w:val="21"/>
                <w:szCs w:val="21"/>
              </w:rPr>
            </w:pPr>
            <w:r>
              <w:rPr>
                <w:rFonts w:ascii="宋体" w:hAnsi="宋体" w:cs="宋体" w:eastAsia="宋体" w:hint="default"/>
                <w:sz w:val="21"/>
                <w:szCs w:val="21"/>
              </w:rPr>
              <w:t>2.本期增加金</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pacing w:val="-1"/>
                <w:sz w:val="21"/>
              </w:rPr>
              <w:t>4,520,570.40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9"/>
              <w:jc w:val="right"/>
              <w:rPr>
                <w:rFonts w:ascii="宋体" w:hAnsi="宋体" w:cs="宋体" w:eastAsia="宋体" w:hint="default"/>
                <w:sz w:val="21"/>
                <w:szCs w:val="21"/>
              </w:rPr>
            </w:pPr>
            <w:r>
              <w:rPr>
                <w:rFonts w:ascii="宋体"/>
                <w:spacing w:val="-1"/>
                <w:sz w:val="21"/>
              </w:rPr>
              <w:t>515,387.89</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pacing w:val="-1"/>
                <w:sz w:val="21"/>
              </w:rPr>
              <w:t>2,608,580.15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pacing w:val="-1"/>
                <w:sz w:val="21"/>
              </w:rPr>
              <w:t>144,950.38</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pacing w:val="-1"/>
                <w:sz w:val="21"/>
              </w:rPr>
              <w:t>7,789,488.82</w:t>
            </w:r>
          </w:p>
        </w:tc>
      </w:tr>
      <w:tr>
        <w:trPr>
          <w:trHeight w:val="328"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56"/>
              <w:jc w:val="right"/>
              <w:rPr>
                <w:rFonts w:ascii="宋体" w:hAnsi="宋体" w:cs="宋体" w:eastAsia="宋体" w:hint="default"/>
                <w:sz w:val="21"/>
                <w:szCs w:val="21"/>
              </w:rPr>
            </w:pPr>
            <w:r>
              <w:rPr>
                <w:rFonts w:ascii="宋体" w:hAnsi="宋体" w:cs="宋体" w:eastAsia="宋体" w:hint="default"/>
                <w:sz w:val="21"/>
                <w:szCs w:val="21"/>
              </w:rPr>
              <w:t>（1）计提</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8"/>
              <w:jc w:val="right"/>
              <w:rPr>
                <w:rFonts w:ascii="宋体" w:hAnsi="宋体" w:cs="宋体" w:eastAsia="宋体" w:hint="default"/>
                <w:sz w:val="21"/>
                <w:szCs w:val="21"/>
              </w:rPr>
            </w:pPr>
            <w:r>
              <w:rPr>
                <w:rFonts w:ascii="宋体"/>
                <w:spacing w:val="-1"/>
                <w:sz w:val="21"/>
              </w:rPr>
              <w:t>4,520,570.40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8"/>
              <w:jc w:val="right"/>
              <w:rPr>
                <w:rFonts w:ascii="宋体" w:hAnsi="宋体" w:cs="宋体" w:eastAsia="宋体" w:hint="default"/>
                <w:sz w:val="21"/>
                <w:szCs w:val="21"/>
              </w:rPr>
            </w:pPr>
            <w:r>
              <w:rPr>
                <w:rFonts w:ascii="宋体"/>
                <w:spacing w:val="-1"/>
                <w:sz w:val="21"/>
              </w:rPr>
              <w:t>515,387.89</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9"/>
              <w:jc w:val="right"/>
              <w:rPr>
                <w:rFonts w:ascii="宋体" w:hAnsi="宋体" w:cs="宋体" w:eastAsia="宋体" w:hint="default"/>
                <w:sz w:val="21"/>
                <w:szCs w:val="21"/>
              </w:rPr>
            </w:pPr>
            <w:r>
              <w:rPr>
                <w:rFonts w:ascii="宋体"/>
                <w:spacing w:val="-1"/>
                <w:sz w:val="21"/>
              </w:rPr>
              <w:t>2,608,580.15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
              <w:jc w:val="right"/>
              <w:rPr>
                <w:rFonts w:ascii="宋体" w:hAnsi="宋体" w:cs="宋体" w:eastAsia="宋体" w:hint="default"/>
                <w:sz w:val="21"/>
                <w:szCs w:val="21"/>
              </w:rPr>
            </w:pPr>
            <w:r>
              <w:rPr>
                <w:rFonts w:ascii="宋体"/>
                <w:spacing w:val="-1"/>
                <w:sz w:val="21"/>
              </w:rPr>
              <w:t>144,950.38</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
              <w:jc w:val="right"/>
              <w:rPr>
                <w:rFonts w:ascii="宋体" w:hAnsi="宋体" w:cs="宋体" w:eastAsia="宋体" w:hint="default"/>
                <w:sz w:val="21"/>
                <w:szCs w:val="21"/>
              </w:rPr>
            </w:pPr>
            <w:r>
              <w:rPr>
                <w:rFonts w:ascii="宋体"/>
                <w:spacing w:val="-1"/>
                <w:sz w:val="21"/>
              </w:rPr>
              <w:t>7,789,488.82</w:t>
            </w:r>
          </w:p>
        </w:tc>
      </w:tr>
      <w:tr>
        <w:trPr>
          <w:trHeight w:val="326" w:hRule="exact"/>
        </w:trPr>
        <w:tc>
          <w:tcPr>
            <w:tcW w:w="187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2" w:right="0"/>
              <w:jc w:val="left"/>
              <w:rPr>
                <w:rFonts w:ascii="宋体" w:hAnsi="宋体" w:cs="宋体" w:eastAsia="宋体" w:hint="default"/>
                <w:sz w:val="21"/>
                <w:szCs w:val="21"/>
              </w:rPr>
            </w:pPr>
            <w:r>
              <w:rPr>
                <w:rFonts w:ascii="宋体" w:hAnsi="宋体" w:cs="宋体" w:eastAsia="宋体" w:hint="default"/>
                <w:sz w:val="21"/>
                <w:szCs w:val="21"/>
              </w:rPr>
              <w:t>3.本期减少金</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42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9"/>
              <w:jc w:val="right"/>
              <w:rPr>
                <w:rFonts w:ascii="宋体" w:hAnsi="宋体" w:cs="宋体" w:eastAsia="宋体" w:hint="default"/>
                <w:sz w:val="21"/>
                <w:szCs w:val="21"/>
              </w:rPr>
            </w:pPr>
            <w:r>
              <w:rPr>
                <w:rFonts w:ascii="宋体"/>
                <w:spacing w:val="-1"/>
                <w:sz w:val="21"/>
              </w:rPr>
              <w:t>456.00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0"/>
              <w:jc w:val="right"/>
              <w:rPr>
                <w:rFonts w:ascii="宋体" w:hAnsi="宋体" w:cs="宋体" w:eastAsia="宋体" w:hint="default"/>
                <w:sz w:val="21"/>
                <w:szCs w:val="21"/>
              </w:rPr>
            </w:pPr>
            <w:r>
              <w:rPr>
                <w:rFonts w:ascii="宋体"/>
                <w:spacing w:val="-1"/>
                <w:sz w:val="21"/>
              </w:rPr>
              <w:t>3,906,700.55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0"/>
              <w:jc w:val="right"/>
              <w:rPr>
                <w:rFonts w:ascii="宋体" w:hAnsi="宋体" w:cs="宋体" w:eastAsia="宋体" w:hint="default"/>
                <w:sz w:val="21"/>
                <w:szCs w:val="21"/>
              </w:rPr>
            </w:pPr>
            <w:r>
              <w:rPr>
                <w:rFonts w:ascii="宋体"/>
                <w:spacing w:val="-1"/>
                <w:sz w:val="21"/>
              </w:rPr>
              <w:t>167,159.98</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1"/>
              <w:jc w:val="right"/>
              <w:rPr>
                <w:rFonts w:ascii="宋体" w:hAnsi="宋体" w:cs="宋体" w:eastAsia="宋体" w:hint="default"/>
                <w:sz w:val="21"/>
                <w:szCs w:val="21"/>
              </w:rPr>
            </w:pPr>
            <w:r>
              <w:rPr>
                <w:rFonts w:ascii="宋体"/>
                <w:spacing w:val="-1"/>
                <w:sz w:val="21"/>
              </w:rPr>
              <w:t>4,074,316.53</w:t>
            </w:r>
          </w:p>
        </w:tc>
      </w:tr>
      <w:tr>
        <w:trPr>
          <w:trHeight w:val="638"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652" w:right="0"/>
              <w:jc w:val="left"/>
              <w:rPr>
                <w:rFonts w:ascii="宋体" w:hAnsi="宋体" w:cs="宋体" w:eastAsia="宋体" w:hint="default"/>
                <w:sz w:val="21"/>
                <w:szCs w:val="21"/>
              </w:rPr>
            </w:pPr>
            <w:r>
              <w:rPr>
                <w:rFonts w:ascii="宋体" w:hAnsi="宋体" w:cs="宋体" w:eastAsia="宋体" w:hint="default"/>
                <w:sz w:val="21"/>
                <w:szCs w:val="21"/>
              </w:rPr>
              <w:t>（1）处置或</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报废</w:t>
            </w:r>
          </w:p>
        </w:tc>
        <w:tc>
          <w:tcPr>
            <w:tcW w:w="142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9"/>
              <w:jc w:val="right"/>
              <w:rPr>
                <w:rFonts w:ascii="宋体" w:hAnsi="宋体" w:cs="宋体" w:eastAsia="宋体" w:hint="default"/>
                <w:sz w:val="21"/>
                <w:szCs w:val="21"/>
              </w:rPr>
            </w:pPr>
            <w:r>
              <w:rPr>
                <w:rFonts w:ascii="宋体"/>
                <w:spacing w:val="-1"/>
                <w:sz w:val="21"/>
              </w:rPr>
              <w:t>456.00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pacing w:val="-1"/>
                <w:sz w:val="21"/>
              </w:rPr>
              <w:t>3,906,700.55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pacing w:val="-1"/>
                <w:sz w:val="21"/>
              </w:rPr>
              <w:t>167,159.98</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pacing w:val="-1"/>
                <w:sz w:val="21"/>
              </w:rPr>
              <w:t>4,074,316.53</w:t>
            </w:r>
          </w:p>
        </w:tc>
      </w:tr>
      <w:tr>
        <w:trPr>
          <w:trHeight w:val="328" w:hRule="exact"/>
        </w:trPr>
        <w:tc>
          <w:tcPr>
            <w:tcW w:w="187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42" w:right="0"/>
              <w:jc w:val="left"/>
              <w:rPr>
                <w:rFonts w:ascii="宋体" w:hAnsi="宋体" w:cs="宋体" w:eastAsia="宋体" w:hint="default"/>
                <w:sz w:val="21"/>
                <w:szCs w:val="21"/>
              </w:rPr>
            </w:pPr>
            <w:r>
              <w:rPr>
                <w:rFonts w:ascii="宋体" w:hAnsi="宋体" w:cs="宋体" w:eastAsia="宋体" w:hint="default"/>
                <w:sz w:val="21"/>
                <w:szCs w:val="21"/>
              </w:rPr>
              <w:t>4.期末余额</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27,827,474.21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9"/>
              <w:jc w:val="right"/>
              <w:rPr>
                <w:rFonts w:ascii="宋体" w:hAnsi="宋体" w:cs="宋体" w:eastAsia="宋体" w:hint="default"/>
                <w:sz w:val="21"/>
                <w:szCs w:val="21"/>
              </w:rPr>
            </w:pPr>
            <w:r>
              <w:rPr>
                <w:rFonts w:ascii="宋体"/>
                <w:spacing w:val="-1"/>
                <w:sz w:val="21"/>
              </w:rPr>
              <w:t>2,690,728.87</w:t>
            </w:r>
            <w:r>
              <w:rPr>
                <w:rFonts w:ascii="宋体"/>
                <w:sz w:val="21"/>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11,293,539.33</w:t>
            </w:r>
            <w:r>
              <w:rPr>
                <w:rFonts w:ascii="宋体"/>
                <w:sz w:val="21"/>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1,837,915.06</w:t>
            </w:r>
            <w:r>
              <w:rPr>
                <w:rFonts w:ascii="宋体"/>
                <w:sz w:val="21"/>
              </w:rPr>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43,649,657.47</w:t>
            </w:r>
          </w:p>
        </w:tc>
      </w:tr>
      <w:tr>
        <w:trPr>
          <w:trHeight w:val="328"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42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42" w:right="0"/>
              <w:jc w:val="left"/>
              <w:rPr>
                <w:rFonts w:ascii="宋体" w:hAnsi="宋体" w:cs="宋体" w:eastAsia="宋体" w:hint="default"/>
                <w:sz w:val="21"/>
                <w:szCs w:val="21"/>
              </w:rPr>
            </w:pPr>
            <w:r>
              <w:rPr>
                <w:rFonts w:ascii="宋体" w:hAnsi="宋体" w:cs="宋体" w:eastAsia="宋体" w:hint="default"/>
                <w:sz w:val="21"/>
                <w:szCs w:val="21"/>
              </w:rPr>
              <w:t>1.期初余额</w:t>
            </w:r>
          </w:p>
        </w:tc>
        <w:tc>
          <w:tcPr>
            <w:tcW w:w="142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83,742.80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457,072.16</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2"/>
              <w:jc w:val="right"/>
              <w:rPr>
                <w:rFonts w:ascii="宋体" w:hAnsi="宋体" w:cs="宋体" w:eastAsia="宋体" w:hint="default"/>
                <w:sz w:val="21"/>
                <w:szCs w:val="21"/>
              </w:rPr>
            </w:pPr>
            <w:r>
              <w:rPr>
                <w:rFonts w:ascii="宋体"/>
                <w:spacing w:val="-1"/>
                <w:sz w:val="21"/>
              </w:rPr>
              <w:t>540,543.86</w:t>
            </w:r>
            <w:r>
              <w:rPr>
                <w:rFonts w:ascii="宋体"/>
                <w:sz w:val="21"/>
              </w:rPr>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1,081,358.82</w:t>
            </w:r>
            <w:r>
              <w:rPr>
                <w:rFonts w:ascii="宋体"/>
                <w:sz w:val="21"/>
              </w:rPr>
            </w:r>
          </w:p>
        </w:tc>
      </w:tr>
      <w:tr>
        <w:trPr>
          <w:trHeight w:val="640"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2" w:right="0"/>
              <w:jc w:val="left"/>
              <w:rPr>
                <w:rFonts w:ascii="宋体" w:hAnsi="宋体" w:cs="宋体" w:eastAsia="宋体" w:hint="default"/>
                <w:sz w:val="21"/>
                <w:szCs w:val="21"/>
              </w:rPr>
            </w:pPr>
            <w:r>
              <w:rPr>
                <w:rFonts w:ascii="宋体" w:hAnsi="宋体" w:cs="宋体" w:eastAsia="宋体" w:hint="default"/>
                <w:sz w:val="21"/>
                <w:szCs w:val="21"/>
              </w:rPr>
              <w:t>2.本期增加金</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42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0"/>
              <w:jc w:val="right"/>
              <w:rPr>
                <w:rFonts w:ascii="宋体" w:hAnsi="宋体" w:cs="宋体" w:eastAsia="宋体" w:hint="default"/>
                <w:sz w:val="21"/>
                <w:szCs w:val="21"/>
              </w:rPr>
            </w:pPr>
            <w:r>
              <w:rPr>
                <w:rFonts w:ascii="宋体"/>
                <w:spacing w:val="-1"/>
                <w:sz w:val="21"/>
              </w:rPr>
              <w:t>73,034.11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1"/>
              <w:jc w:val="right"/>
              <w:rPr>
                <w:rFonts w:ascii="宋体" w:hAnsi="宋体" w:cs="宋体" w:eastAsia="宋体" w:hint="default"/>
                <w:sz w:val="21"/>
                <w:szCs w:val="21"/>
              </w:rPr>
            </w:pPr>
            <w:r>
              <w:rPr>
                <w:rFonts w:ascii="宋体"/>
                <w:spacing w:val="-1"/>
                <w:sz w:val="21"/>
              </w:rPr>
              <w:t>16,299.34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1"/>
              <w:jc w:val="right"/>
              <w:rPr>
                <w:rFonts w:ascii="宋体" w:hAnsi="宋体" w:cs="宋体" w:eastAsia="宋体" w:hint="default"/>
                <w:sz w:val="21"/>
                <w:szCs w:val="21"/>
              </w:rPr>
            </w:pPr>
            <w:r>
              <w:rPr>
                <w:rFonts w:ascii="宋体"/>
                <w:spacing w:val="-1"/>
                <w:sz w:val="21"/>
              </w:rPr>
              <w:t>89,333.45</w:t>
            </w:r>
          </w:p>
        </w:tc>
      </w:tr>
      <w:tr>
        <w:trPr>
          <w:trHeight w:val="326"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56"/>
              <w:jc w:val="right"/>
              <w:rPr>
                <w:rFonts w:ascii="宋体" w:hAnsi="宋体" w:cs="宋体" w:eastAsia="宋体" w:hint="default"/>
                <w:sz w:val="21"/>
                <w:szCs w:val="21"/>
              </w:rPr>
            </w:pPr>
            <w:r>
              <w:rPr>
                <w:rFonts w:ascii="宋体" w:hAnsi="宋体" w:cs="宋体" w:eastAsia="宋体" w:hint="default"/>
                <w:sz w:val="21"/>
                <w:szCs w:val="21"/>
              </w:rPr>
              <w:t>（1）计提</w:t>
            </w:r>
          </w:p>
        </w:tc>
        <w:tc>
          <w:tcPr>
            <w:tcW w:w="142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8"/>
              <w:jc w:val="right"/>
              <w:rPr>
                <w:rFonts w:ascii="宋体" w:hAnsi="宋体" w:cs="宋体" w:eastAsia="宋体" w:hint="default"/>
                <w:sz w:val="21"/>
                <w:szCs w:val="21"/>
              </w:rPr>
            </w:pPr>
            <w:r>
              <w:rPr>
                <w:rFonts w:ascii="宋体"/>
                <w:spacing w:val="-1"/>
                <w:sz w:val="21"/>
              </w:rPr>
              <w:t>73,034.11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16,299.34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89,333.45</w:t>
            </w:r>
          </w:p>
        </w:tc>
      </w:tr>
      <w:tr>
        <w:trPr>
          <w:trHeight w:val="328" w:hRule="exact"/>
        </w:trPr>
        <w:tc>
          <w:tcPr>
            <w:tcW w:w="187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42" w:right="0"/>
              <w:jc w:val="left"/>
              <w:rPr>
                <w:rFonts w:ascii="宋体" w:hAnsi="宋体" w:cs="宋体" w:eastAsia="宋体" w:hint="default"/>
                <w:sz w:val="21"/>
                <w:szCs w:val="21"/>
              </w:rPr>
            </w:pPr>
            <w:r>
              <w:rPr>
                <w:rFonts w:ascii="宋体" w:hAnsi="宋体" w:cs="宋体" w:eastAsia="宋体" w:hint="default"/>
                <w:sz w:val="21"/>
                <w:szCs w:val="21"/>
              </w:rPr>
              <w:t>3.本期减少金</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42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9"/>
              <w:jc w:val="right"/>
              <w:rPr>
                <w:rFonts w:ascii="宋体" w:hAnsi="宋体" w:cs="宋体" w:eastAsia="宋体" w:hint="default"/>
                <w:sz w:val="21"/>
                <w:szCs w:val="21"/>
              </w:rPr>
            </w:pPr>
            <w:r>
              <w:rPr>
                <w:rFonts w:ascii="宋体"/>
                <w:spacing w:val="-1"/>
                <w:sz w:val="21"/>
              </w:rPr>
              <w:t>174,194.19</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pacing w:val="-1"/>
                <w:sz w:val="21"/>
              </w:rPr>
              <w:t>31,786.82</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pacing w:val="-1"/>
                <w:sz w:val="21"/>
              </w:rPr>
              <w:t>205,981.01</w:t>
            </w:r>
          </w:p>
        </w:tc>
      </w:tr>
    </w:tbl>
    <w:p>
      <w:pPr>
        <w:spacing w:after="0" w:line="240" w:lineRule="auto"/>
        <w:jc w:val="right"/>
        <w:rPr>
          <w:rFonts w:ascii="宋体" w:hAnsi="宋体" w:cs="宋体" w:eastAsia="宋体" w:hint="default"/>
          <w:sz w:val="21"/>
          <w:szCs w:val="21"/>
        </w:rPr>
        <w:sectPr>
          <w:type w:val="continuous"/>
          <w:pgSz w:w="11910" w:h="16840"/>
          <w:pgMar w:top="1080" w:bottom="1380" w:left="164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0" w:type="dxa"/>
        <w:tblLayout w:type="fixed"/>
        <w:tblCellMar>
          <w:top w:w="0" w:type="dxa"/>
          <w:left w:w="0" w:type="dxa"/>
          <w:bottom w:w="0" w:type="dxa"/>
          <w:right w:w="0" w:type="dxa"/>
        </w:tblCellMar>
        <w:tblLook w:val="01E0"/>
      </w:tblPr>
      <w:tblGrid>
        <w:gridCol w:w="1873"/>
        <w:gridCol w:w="1424"/>
        <w:gridCol w:w="1320"/>
        <w:gridCol w:w="1426"/>
        <w:gridCol w:w="1320"/>
        <w:gridCol w:w="1530"/>
      </w:tblGrid>
      <w:tr>
        <w:trPr>
          <w:trHeight w:val="638"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652" w:right="0"/>
              <w:jc w:val="left"/>
              <w:rPr>
                <w:rFonts w:ascii="宋体" w:hAnsi="宋体" w:cs="宋体" w:eastAsia="宋体" w:hint="default"/>
                <w:sz w:val="21"/>
                <w:szCs w:val="21"/>
              </w:rPr>
            </w:pPr>
            <w:r>
              <w:rPr>
                <w:rFonts w:ascii="宋体" w:hAnsi="宋体" w:cs="宋体" w:eastAsia="宋体" w:hint="default"/>
                <w:sz w:val="21"/>
                <w:szCs w:val="21"/>
              </w:rPr>
              <w:t>（1）处置或</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报废</w:t>
            </w:r>
          </w:p>
        </w:tc>
        <w:tc>
          <w:tcPr>
            <w:tcW w:w="142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9"/>
              <w:jc w:val="right"/>
              <w:rPr>
                <w:rFonts w:ascii="宋体" w:hAnsi="宋体" w:cs="宋体" w:eastAsia="宋体" w:hint="default"/>
                <w:sz w:val="21"/>
                <w:szCs w:val="21"/>
              </w:rPr>
            </w:pPr>
            <w:r>
              <w:rPr>
                <w:rFonts w:ascii="宋体"/>
                <w:spacing w:val="-1"/>
                <w:sz w:val="21"/>
              </w:rPr>
              <w:t>174,194.19</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pacing w:val="-1"/>
                <w:sz w:val="21"/>
              </w:rPr>
              <w:t>31,786.82</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pacing w:val="-1"/>
                <w:sz w:val="21"/>
              </w:rPr>
              <w:t>205,981.01</w:t>
            </w:r>
          </w:p>
        </w:tc>
      </w:tr>
      <w:tr>
        <w:trPr>
          <w:trHeight w:val="328" w:hRule="exact"/>
        </w:trPr>
        <w:tc>
          <w:tcPr>
            <w:tcW w:w="187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42" w:right="0"/>
              <w:jc w:val="left"/>
              <w:rPr>
                <w:rFonts w:ascii="宋体" w:hAnsi="宋体" w:cs="宋体" w:eastAsia="宋体" w:hint="default"/>
                <w:sz w:val="21"/>
                <w:szCs w:val="21"/>
              </w:rPr>
            </w:pPr>
            <w:r>
              <w:rPr>
                <w:rFonts w:ascii="宋体" w:hAnsi="宋体" w:cs="宋体" w:eastAsia="宋体" w:hint="default"/>
                <w:sz w:val="21"/>
                <w:szCs w:val="21"/>
              </w:rPr>
              <w:t>4.期末余额</w:t>
            </w:r>
          </w:p>
        </w:tc>
        <w:tc>
          <w:tcPr>
            <w:tcW w:w="142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83,742.80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355,912.08</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2"/>
              <w:jc w:val="right"/>
              <w:rPr>
                <w:rFonts w:ascii="宋体" w:hAnsi="宋体" w:cs="宋体" w:eastAsia="宋体" w:hint="default"/>
                <w:sz w:val="21"/>
                <w:szCs w:val="21"/>
              </w:rPr>
            </w:pPr>
            <w:r>
              <w:rPr>
                <w:rFonts w:ascii="宋体"/>
                <w:sz w:val="21"/>
              </w:rPr>
              <w:t>525,056.38</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964,711.26</w:t>
            </w:r>
          </w:p>
        </w:tc>
      </w:tr>
      <w:tr>
        <w:trPr>
          <w:trHeight w:val="328"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42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42" w:right="0"/>
              <w:jc w:val="left"/>
              <w:rPr>
                <w:rFonts w:ascii="宋体" w:hAnsi="宋体" w:cs="宋体" w:eastAsia="宋体" w:hint="default"/>
                <w:sz w:val="21"/>
                <w:szCs w:val="21"/>
              </w:rPr>
            </w:pPr>
            <w:r>
              <w:rPr>
                <w:rFonts w:ascii="宋体" w:hAnsi="宋体" w:cs="宋体" w:eastAsia="宋体" w:hint="default"/>
                <w:sz w:val="21"/>
                <w:szCs w:val="21"/>
              </w:rPr>
              <w:t>1.期末账面价</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值</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66,947,874.71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pacing w:val="-1"/>
                <w:sz w:val="21"/>
              </w:rPr>
              <w:t>1,367,524.82</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pacing w:val="-1"/>
                <w:sz w:val="21"/>
              </w:rPr>
              <w:t>4,421,584.02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pacing w:val="-1"/>
                <w:sz w:val="21"/>
              </w:rPr>
              <w:t>508,710.13</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pacing w:val="-1"/>
                <w:sz w:val="21"/>
              </w:rPr>
              <w:t>73,245,693.68</w:t>
            </w:r>
          </w:p>
        </w:tc>
      </w:tr>
      <w:tr>
        <w:trPr>
          <w:trHeight w:val="638"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2" w:right="0"/>
              <w:jc w:val="left"/>
              <w:rPr>
                <w:rFonts w:ascii="宋体" w:hAnsi="宋体" w:cs="宋体" w:eastAsia="宋体" w:hint="default"/>
                <w:sz w:val="21"/>
                <w:szCs w:val="21"/>
              </w:rPr>
            </w:pPr>
            <w:r>
              <w:rPr>
                <w:rFonts w:ascii="宋体" w:hAnsi="宋体" w:cs="宋体" w:eastAsia="宋体" w:hint="default"/>
                <w:sz w:val="21"/>
                <w:szCs w:val="21"/>
              </w:rPr>
              <w:t>2.期初账面价</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值</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71,468,445.11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0"/>
              <w:jc w:val="right"/>
              <w:rPr>
                <w:rFonts w:ascii="宋体" w:hAnsi="宋体" w:cs="宋体" w:eastAsia="宋体" w:hint="default"/>
                <w:sz w:val="21"/>
                <w:szCs w:val="21"/>
              </w:rPr>
            </w:pPr>
            <w:r>
              <w:rPr>
                <w:rFonts w:ascii="宋体"/>
                <w:spacing w:val="-1"/>
                <w:sz w:val="21"/>
              </w:rPr>
              <w:t>1,467,756.71</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0"/>
              <w:jc w:val="right"/>
              <w:rPr>
                <w:rFonts w:ascii="宋体" w:hAnsi="宋体" w:cs="宋体" w:eastAsia="宋体" w:hint="default"/>
                <w:sz w:val="21"/>
                <w:szCs w:val="21"/>
              </w:rPr>
            </w:pPr>
            <w:r>
              <w:rPr>
                <w:rFonts w:ascii="宋体"/>
                <w:spacing w:val="-1"/>
                <w:sz w:val="21"/>
              </w:rPr>
              <w:t>4,633,647.29</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0"/>
              <w:jc w:val="right"/>
              <w:rPr>
                <w:rFonts w:ascii="宋体" w:hAnsi="宋体" w:cs="宋体" w:eastAsia="宋体" w:hint="default"/>
                <w:sz w:val="21"/>
                <w:szCs w:val="21"/>
              </w:rPr>
            </w:pPr>
            <w:r>
              <w:rPr>
                <w:rFonts w:ascii="宋体"/>
                <w:spacing w:val="-1"/>
                <w:sz w:val="21"/>
              </w:rPr>
              <w:t>296,954.40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1"/>
              <w:jc w:val="right"/>
              <w:rPr>
                <w:rFonts w:ascii="宋体" w:hAnsi="宋体" w:cs="宋体" w:eastAsia="宋体" w:hint="default"/>
                <w:sz w:val="21"/>
                <w:szCs w:val="21"/>
              </w:rPr>
            </w:pPr>
            <w:r>
              <w:rPr>
                <w:rFonts w:ascii="宋体"/>
                <w:spacing w:val="-1"/>
                <w:sz w:val="21"/>
              </w:rPr>
              <w:t>77,866,803.51</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3"/>
        <w:spacing w:line="240" w:lineRule="auto"/>
        <w:ind w:right="114"/>
        <w:jc w:val="left"/>
        <w:rPr>
          <w:b w:val="0"/>
          <w:bCs w:val="0"/>
        </w:rPr>
      </w:pPr>
      <w:r>
        <w:rPr/>
        <w:t>(2).</w:t>
      </w:r>
      <w:r>
        <w:rPr>
          <w:spacing w:val="53"/>
        </w:rPr>
        <w:t> </w:t>
      </w:r>
      <w:r>
        <w:rPr/>
        <w:t>暂时闲置的固定资产情况</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70" w:type="dxa"/>
        <w:tblLayout w:type="fixed"/>
        <w:tblCellMar>
          <w:top w:w="0" w:type="dxa"/>
          <w:left w:w="0" w:type="dxa"/>
          <w:bottom w:w="0" w:type="dxa"/>
          <w:right w:w="0" w:type="dxa"/>
        </w:tblCellMar>
        <w:tblLook w:val="01E0"/>
      </w:tblPr>
      <w:tblGrid>
        <w:gridCol w:w="1308"/>
        <w:gridCol w:w="1483"/>
        <w:gridCol w:w="1397"/>
        <w:gridCol w:w="1442"/>
        <w:gridCol w:w="1472"/>
        <w:gridCol w:w="1814"/>
      </w:tblGrid>
      <w:tr>
        <w:trPr>
          <w:trHeight w:val="32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316"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72"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9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31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22"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24"/>
          <w:szCs w:val="24"/>
        </w:rPr>
      </w:pPr>
    </w:p>
    <w:p>
      <w:pPr>
        <w:pStyle w:val="Heading3"/>
        <w:spacing w:line="240" w:lineRule="auto"/>
        <w:ind w:right="114"/>
        <w:jc w:val="left"/>
        <w:rPr>
          <w:b w:val="0"/>
          <w:bCs w:val="0"/>
        </w:rPr>
      </w:pPr>
      <w:r>
        <w:rPr/>
        <w:t>(3).</w:t>
      </w:r>
      <w:r>
        <w:rPr>
          <w:spacing w:val="53"/>
        </w:rPr>
        <w:t> </w:t>
      </w:r>
      <w:r>
        <w:rPr/>
        <w:t>通过融资租赁租入的固定资产情况</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657"/>
        <w:gridCol w:w="1840"/>
        <w:gridCol w:w="1879"/>
        <w:gridCol w:w="1870"/>
        <w:gridCol w:w="1804"/>
      </w:tblGrid>
      <w:tr>
        <w:trPr>
          <w:trHeight w:val="322" w:hRule="exact"/>
        </w:trPr>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93"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14"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0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7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22" w:hRule="exact"/>
        </w:trPr>
        <w:tc>
          <w:tcPr>
            <w:tcW w:w="1657"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657"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24"/>
          <w:szCs w:val="24"/>
        </w:rPr>
      </w:pPr>
    </w:p>
    <w:p>
      <w:pPr>
        <w:pStyle w:val="Heading3"/>
        <w:spacing w:line="240" w:lineRule="auto"/>
        <w:ind w:right="114"/>
        <w:jc w:val="left"/>
        <w:rPr>
          <w:b w:val="0"/>
          <w:bCs w:val="0"/>
        </w:rPr>
      </w:pPr>
      <w:r>
        <w:rPr/>
        <w:t>(4).</w:t>
      </w:r>
      <w:r>
        <w:rPr>
          <w:spacing w:val="54"/>
        </w:rPr>
        <w:t> </w:t>
      </w:r>
      <w:r>
        <w:rPr/>
        <w:t>通过经营租赁租出的固定资产</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4153"/>
        <w:gridCol w:w="4896"/>
      </w:tblGrid>
      <w:tr>
        <w:trPr>
          <w:trHeight w:val="322"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323" w:hRule="exact"/>
        </w:trPr>
        <w:tc>
          <w:tcPr>
            <w:tcW w:w="4153" w:type="dxa"/>
            <w:tcBorders>
              <w:top w:val="single" w:sz="4" w:space="0" w:color="000000"/>
              <w:left w:val="single" w:sz="4" w:space="0" w:color="000000"/>
              <w:bottom w:val="single" w:sz="4" w:space="0" w:color="000000"/>
              <w:right w:val="single" w:sz="4" w:space="0" w:color="000000"/>
            </w:tcBorders>
          </w:tcPr>
          <w:p>
            <w:pPr/>
          </w:p>
        </w:tc>
        <w:tc>
          <w:tcPr>
            <w:tcW w:w="489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53" w:type="dxa"/>
            <w:tcBorders>
              <w:top w:val="single" w:sz="4" w:space="0" w:color="000000"/>
              <w:left w:val="single" w:sz="4" w:space="0" w:color="000000"/>
              <w:bottom w:val="single" w:sz="4" w:space="0" w:color="000000"/>
              <w:right w:val="single" w:sz="4" w:space="0" w:color="000000"/>
            </w:tcBorders>
          </w:tcPr>
          <w:p>
            <w:pPr/>
          </w:p>
        </w:tc>
        <w:tc>
          <w:tcPr>
            <w:tcW w:w="48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24"/>
          <w:szCs w:val="24"/>
        </w:rPr>
      </w:pPr>
    </w:p>
    <w:p>
      <w:pPr>
        <w:pStyle w:val="Heading3"/>
        <w:spacing w:line="240" w:lineRule="auto"/>
        <w:ind w:right="114"/>
        <w:jc w:val="left"/>
        <w:rPr>
          <w:b w:val="0"/>
          <w:bCs w:val="0"/>
        </w:rPr>
      </w:pPr>
      <w:r>
        <w:rPr/>
        <w:t>(5).</w:t>
      </w:r>
      <w:r>
        <w:rPr>
          <w:spacing w:val="55"/>
        </w:rPr>
        <w:t> </w:t>
      </w:r>
      <w:r>
        <w:rPr/>
        <w:t>未办妥产权证书的固定资产情况</w:t>
      </w:r>
      <w:r>
        <w:rPr>
          <w:b w:val="0"/>
          <w:bCs w:val="0"/>
        </w:rPr>
      </w:r>
    </w:p>
    <w:p>
      <w:pPr>
        <w:spacing w:line="240" w:lineRule="auto" w:before="7"/>
        <w:rPr>
          <w:rFonts w:ascii="宋体" w:hAnsi="宋体" w:cs="宋体" w:eastAsia="宋体" w:hint="default"/>
          <w:b/>
          <w:bCs/>
          <w:sz w:val="8"/>
          <w:szCs w:val="8"/>
        </w:rPr>
      </w:pPr>
    </w:p>
    <w:tbl>
      <w:tblPr>
        <w:tblW w:w="0" w:type="auto"/>
        <w:jc w:val="left"/>
        <w:tblInd w:w="104" w:type="dxa"/>
        <w:tblLayout w:type="fixed"/>
        <w:tblCellMar>
          <w:top w:w="0" w:type="dxa"/>
          <w:left w:w="0" w:type="dxa"/>
          <w:bottom w:w="0" w:type="dxa"/>
          <w:right w:w="0" w:type="dxa"/>
        </w:tblCellMar>
        <w:tblLook w:val="01E0"/>
      </w:tblPr>
      <w:tblGrid>
        <w:gridCol w:w="2948"/>
        <w:gridCol w:w="3042"/>
        <w:gridCol w:w="3059"/>
      </w:tblGrid>
      <w:tr>
        <w:trPr>
          <w:trHeight w:val="32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72"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322" w:hRule="exact"/>
        </w:trPr>
        <w:tc>
          <w:tcPr>
            <w:tcW w:w="2948" w:type="dxa"/>
            <w:tcBorders>
              <w:top w:val="single" w:sz="4" w:space="0" w:color="000000"/>
              <w:left w:val="single" w:sz="4" w:space="0" w:color="000000"/>
              <w:bottom w:val="single" w:sz="4" w:space="0" w:color="000000"/>
              <w:right w:val="single" w:sz="4" w:space="0" w:color="000000"/>
            </w:tcBorders>
          </w:tcPr>
          <w:p>
            <w:pPr/>
          </w:p>
        </w:tc>
        <w:tc>
          <w:tcPr>
            <w:tcW w:w="3042" w:type="dxa"/>
            <w:tcBorders>
              <w:top w:val="single" w:sz="4" w:space="0" w:color="000000"/>
              <w:left w:val="single" w:sz="4" w:space="0" w:color="000000"/>
              <w:bottom w:val="single" w:sz="4" w:space="0" w:color="000000"/>
              <w:right w:val="single" w:sz="4" w:space="0" w:color="000000"/>
            </w:tcBorders>
          </w:tcPr>
          <w:p>
            <w:pPr/>
          </w:p>
        </w:tc>
        <w:tc>
          <w:tcPr>
            <w:tcW w:w="305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8" w:type="dxa"/>
            <w:tcBorders>
              <w:top w:val="single" w:sz="4" w:space="0" w:color="000000"/>
              <w:left w:val="single" w:sz="4" w:space="0" w:color="000000"/>
              <w:bottom w:val="single" w:sz="4" w:space="0" w:color="000000"/>
              <w:right w:val="single" w:sz="4" w:space="0" w:color="000000"/>
            </w:tcBorders>
          </w:tcPr>
          <w:p>
            <w:pPr/>
          </w:p>
        </w:tc>
        <w:tc>
          <w:tcPr>
            <w:tcW w:w="3042" w:type="dxa"/>
            <w:tcBorders>
              <w:top w:val="single" w:sz="4" w:space="0" w:color="000000"/>
              <w:left w:val="single" w:sz="4" w:space="0" w:color="000000"/>
              <w:bottom w:val="single" w:sz="4" w:space="0" w:color="000000"/>
              <w:right w:val="single" w:sz="4" w:space="0" w:color="000000"/>
            </w:tcBorders>
          </w:tcPr>
          <w:p>
            <w:pPr/>
          </w:p>
        </w:tc>
        <w:tc>
          <w:tcPr>
            <w:tcW w:w="30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b/>
          <w:bCs/>
          <w:sz w:val="27"/>
          <w:szCs w:val="27"/>
        </w:rPr>
      </w:pPr>
    </w:p>
    <w:p>
      <w:pPr>
        <w:pStyle w:val="BodyText"/>
        <w:spacing w:line="240" w:lineRule="auto" w:before="35"/>
        <w:ind w:right="114"/>
        <w:jc w:val="left"/>
      </w:pPr>
      <w:r>
        <w:rPr/>
        <w:t>其他说明：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7" w:top="1120" w:bottom="1380" w:left="1580" w:right="1040"/>
        </w:sectPr>
      </w:pPr>
    </w:p>
    <w:p>
      <w:pPr>
        <w:spacing w:line="240" w:lineRule="auto" w:before="1"/>
        <w:rPr>
          <w:rFonts w:ascii="宋体" w:hAnsi="宋体" w:cs="宋体" w:eastAsia="宋体" w:hint="default"/>
          <w:sz w:val="15"/>
          <w:szCs w:val="15"/>
        </w:rPr>
      </w:pPr>
    </w:p>
    <w:p>
      <w:pPr>
        <w:pStyle w:val="Heading3"/>
        <w:spacing w:line="240" w:lineRule="auto" w:before="0"/>
        <w:ind w:right="-16"/>
        <w:jc w:val="left"/>
        <w:rPr>
          <w:b w:val="0"/>
          <w:bCs w:val="0"/>
        </w:rPr>
      </w:pPr>
      <w:r>
        <w:rPr/>
        <w:t>20、</w:t>
      </w:r>
      <w:r>
        <w:rPr>
          <w:spacing w:val="-26"/>
        </w:rPr>
        <w:t> </w:t>
      </w:r>
      <w:r>
        <w:rPr/>
        <w:t>在建工程</w:t>
      </w:r>
      <w:r>
        <w:rPr>
          <w:b w:val="0"/>
          <w:bCs w:val="0"/>
        </w:rPr>
      </w:r>
    </w:p>
    <w:p>
      <w:pPr>
        <w:pStyle w:val="Heading3"/>
        <w:spacing w:line="240" w:lineRule="auto" w:before="97"/>
        <w:ind w:right="-16"/>
        <w:jc w:val="left"/>
        <w:rPr>
          <w:b w:val="0"/>
          <w:bCs w:val="0"/>
        </w:rPr>
      </w:pPr>
      <w:r>
        <w:rPr/>
        <w:t>(1).</w:t>
      </w:r>
      <w:r>
        <w:rPr>
          <w:spacing w:val="54"/>
        </w:rPr>
        <w:t> </w:t>
      </w:r>
      <w:r>
        <w:rPr/>
        <w:t>在建工程情况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56"/>
        <w:ind w:right="0"/>
        <w:jc w:val="left"/>
      </w:pPr>
      <w:r>
        <w:rPr/>
        <w:t>单位：元</w:t>
        <w:tab/>
        <w:t>币种：人民币</w:t>
      </w:r>
    </w:p>
    <w:p>
      <w:pPr>
        <w:spacing w:after="0" w:line="240" w:lineRule="auto"/>
        <w:jc w:val="left"/>
        <w:sectPr>
          <w:type w:val="continuous"/>
          <w:pgSz w:w="11910" w:h="16840"/>
          <w:pgMar w:top="1080" w:bottom="1380" w:left="1580" w:right="1040"/>
          <w:cols w:num="2" w:equalWidth="0">
            <w:col w:w="2070" w:space="4454"/>
            <w:col w:w="2766"/>
          </w:cols>
        </w:sectPr>
      </w:pPr>
    </w:p>
    <w:p>
      <w:pPr>
        <w:spacing w:line="240" w:lineRule="auto" w:before="13"/>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1453"/>
        <w:gridCol w:w="3810"/>
        <w:gridCol w:w="3632"/>
      </w:tblGrid>
      <w:tr>
        <w:trPr>
          <w:trHeight w:val="326" w:hRule="exact"/>
        </w:trPr>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8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61" w:lineRule="exact"/>
        <w:jc w:val="center"/>
        <w:rPr>
          <w:rFonts w:ascii="宋体" w:hAnsi="宋体" w:cs="宋体" w:eastAsia="宋体" w:hint="default"/>
          <w:sz w:val="21"/>
          <w:szCs w:val="21"/>
        </w:rPr>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453"/>
        <w:gridCol w:w="1532"/>
        <w:gridCol w:w="778"/>
        <w:gridCol w:w="1500"/>
        <w:gridCol w:w="1427"/>
        <w:gridCol w:w="779"/>
        <w:gridCol w:w="1427"/>
      </w:tblGrid>
      <w:tr>
        <w:trPr>
          <w:trHeight w:val="638" w:hRule="exact"/>
        </w:trPr>
        <w:tc>
          <w:tcPr>
            <w:tcW w:w="145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备</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2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备</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8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1264" w:hRule="exact"/>
        </w:trPr>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成都金证信息</w:t>
            </w:r>
          </w:p>
          <w:p>
            <w:pPr>
              <w:pStyle w:val="TableParagraph"/>
              <w:spacing w:line="273" w:lineRule="auto" w:before="37"/>
              <w:ind w:left="24" w:right="23"/>
              <w:jc w:val="left"/>
              <w:rPr>
                <w:rFonts w:ascii="宋体" w:hAnsi="宋体" w:cs="宋体" w:eastAsia="宋体" w:hint="default"/>
                <w:sz w:val="21"/>
                <w:szCs w:val="21"/>
              </w:rPr>
            </w:pPr>
            <w:r>
              <w:rPr>
                <w:rFonts w:ascii="宋体" w:hAnsi="宋体" w:cs="宋体" w:eastAsia="宋体" w:hint="default"/>
                <w:spacing w:val="-12"/>
                <w:sz w:val="21"/>
                <w:szCs w:val="21"/>
              </w:rPr>
              <w:t>软件、服务外包</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及金融后台服 务基地</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28"/>
              <w:jc w:val="right"/>
              <w:rPr>
                <w:rFonts w:ascii="宋体" w:hAnsi="宋体" w:cs="宋体" w:eastAsia="宋体" w:hint="default"/>
                <w:sz w:val="21"/>
                <w:szCs w:val="21"/>
              </w:rPr>
            </w:pPr>
            <w:r>
              <w:rPr>
                <w:rFonts w:ascii="宋体"/>
                <w:spacing w:val="-1"/>
                <w:sz w:val="21"/>
              </w:rPr>
              <w:t>53,757,244.73</w:t>
            </w:r>
          </w:p>
        </w:tc>
        <w:tc>
          <w:tcPr>
            <w:tcW w:w="77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4"/>
              <w:jc w:val="right"/>
              <w:rPr>
                <w:rFonts w:ascii="宋体" w:hAnsi="宋体" w:cs="宋体" w:eastAsia="宋体" w:hint="default"/>
                <w:sz w:val="21"/>
                <w:szCs w:val="21"/>
              </w:rPr>
            </w:pPr>
            <w:r>
              <w:rPr>
                <w:rFonts w:ascii="宋体"/>
                <w:spacing w:val="-1"/>
                <w:sz w:val="21"/>
              </w:rPr>
              <w:t>53,757,244.73</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
              <w:jc w:val="right"/>
              <w:rPr>
                <w:rFonts w:ascii="宋体" w:hAnsi="宋体" w:cs="宋体" w:eastAsia="宋体" w:hint="default"/>
                <w:sz w:val="21"/>
                <w:szCs w:val="21"/>
              </w:rPr>
            </w:pPr>
            <w:r>
              <w:rPr>
                <w:rFonts w:ascii="宋体"/>
                <w:spacing w:val="-1"/>
                <w:sz w:val="21"/>
              </w:rPr>
              <w:t>32,069,708.07</w:t>
            </w:r>
          </w:p>
        </w:tc>
        <w:tc>
          <w:tcPr>
            <w:tcW w:w="779"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
              <w:jc w:val="right"/>
              <w:rPr>
                <w:rFonts w:ascii="宋体" w:hAnsi="宋体" w:cs="宋体" w:eastAsia="宋体" w:hint="default"/>
                <w:sz w:val="21"/>
                <w:szCs w:val="21"/>
              </w:rPr>
            </w:pPr>
            <w:r>
              <w:rPr>
                <w:rFonts w:ascii="宋体"/>
                <w:spacing w:val="-1"/>
                <w:sz w:val="21"/>
              </w:rPr>
              <w:t>32,069,708.07</w:t>
            </w:r>
          </w:p>
        </w:tc>
      </w:tr>
      <w:tr>
        <w:trPr>
          <w:trHeight w:val="950" w:hRule="exact"/>
        </w:trPr>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成都金证博泽</w:t>
            </w:r>
          </w:p>
          <w:p>
            <w:pPr>
              <w:pStyle w:val="TableParagraph"/>
              <w:spacing w:line="273" w:lineRule="auto" w:before="37"/>
              <w:ind w:left="24" w:right="152"/>
              <w:jc w:val="left"/>
              <w:rPr>
                <w:rFonts w:ascii="宋体" w:hAnsi="宋体" w:cs="宋体" w:eastAsia="宋体" w:hint="default"/>
                <w:sz w:val="21"/>
                <w:szCs w:val="21"/>
              </w:rPr>
            </w:pPr>
            <w:r>
              <w:rPr>
                <w:rFonts w:ascii="宋体" w:hAnsi="宋体" w:cs="宋体" w:eastAsia="宋体" w:hint="default"/>
                <w:sz w:val="21"/>
                <w:szCs w:val="21"/>
              </w:rPr>
              <w:t>科技有限公司 服务外包项目</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28"/>
              <w:jc w:val="right"/>
              <w:rPr>
                <w:rFonts w:ascii="宋体" w:hAnsi="宋体" w:cs="宋体" w:eastAsia="宋体" w:hint="default"/>
                <w:sz w:val="21"/>
                <w:szCs w:val="21"/>
              </w:rPr>
            </w:pPr>
            <w:r>
              <w:rPr>
                <w:rFonts w:ascii="宋体"/>
                <w:spacing w:val="-1"/>
                <w:sz w:val="21"/>
              </w:rPr>
              <w:t>13,089,836.73</w:t>
            </w:r>
          </w:p>
        </w:tc>
        <w:tc>
          <w:tcPr>
            <w:tcW w:w="77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4"/>
              <w:jc w:val="right"/>
              <w:rPr>
                <w:rFonts w:ascii="宋体" w:hAnsi="宋体" w:cs="宋体" w:eastAsia="宋体" w:hint="default"/>
                <w:sz w:val="21"/>
                <w:szCs w:val="21"/>
              </w:rPr>
            </w:pPr>
            <w:r>
              <w:rPr>
                <w:rFonts w:ascii="宋体"/>
                <w:spacing w:val="-1"/>
                <w:sz w:val="21"/>
              </w:rPr>
              <w:t>13,089,836.73</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13,089,836.73</w:t>
            </w:r>
          </w:p>
        </w:tc>
        <w:tc>
          <w:tcPr>
            <w:tcW w:w="779"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13,089,836.73</w:t>
            </w:r>
          </w:p>
        </w:tc>
      </w:tr>
      <w:tr>
        <w:trPr>
          <w:trHeight w:val="952" w:hRule="exact"/>
        </w:trPr>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成都金证同洲</w:t>
            </w:r>
          </w:p>
          <w:p>
            <w:pPr>
              <w:pStyle w:val="TableParagraph"/>
              <w:spacing w:line="273" w:lineRule="auto" w:before="37"/>
              <w:ind w:left="24" w:right="152"/>
              <w:jc w:val="left"/>
              <w:rPr>
                <w:rFonts w:ascii="宋体" w:hAnsi="宋体" w:cs="宋体" w:eastAsia="宋体" w:hint="default"/>
                <w:sz w:val="21"/>
                <w:szCs w:val="21"/>
              </w:rPr>
            </w:pPr>
            <w:r>
              <w:rPr>
                <w:rFonts w:ascii="宋体" w:hAnsi="宋体" w:cs="宋体" w:eastAsia="宋体" w:hint="default"/>
                <w:sz w:val="21"/>
                <w:szCs w:val="21"/>
              </w:rPr>
              <w:t>科技有限公司 灾备中心项目</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27"/>
              <w:jc w:val="right"/>
              <w:rPr>
                <w:rFonts w:ascii="宋体" w:hAnsi="宋体" w:cs="宋体" w:eastAsia="宋体" w:hint="default"/>
                <w:sz w:val="21"/>
                <w:szCs w:val="21"/>
              </w:rPr>
            </w:pPr>
            <w:r>
              <w:rPr>
                <w:rFonts w:ascii="宋体"/>
                <w:spacing w:val="-1"/>
                <w:sz w:val="21"/>
              </w:rPr>
              <w:t>6,500,296.04</w:t>
            </w:r>
            <w:r>
              <w:rPr>
                <w:rFonts w:ascii="宋体"/>
                <w:sz w:val="21"/>
              </w:rPr>
            </w:r>
          </w:p>
        </w:tc>
        <w:tc>
          <w:tcPr>
            <w:tcW w:w="77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5"/>
              <w:jc w:val="right"/>
              <w:rPr>
                <w:rFonts w:ascii="宋体" w:hAnsi="宋体" w:cs="宋体" w:eastAsia="宋体" w:hint="default"/>
                <w:sz w:val="21"/>
                <w:szCs w:val="21"/>
              </w:rPr>
            </w:pPr>
            <w:r>
              <w:rPr>
                <w:rFonts w:ascii="宋体"/>
                <w:spacing w:val="-1"/>
                <w:sz w:val="21"/>
              </w:rPr>
              <w:t>6,500,296.04</w:t>
            </w:r>
            <w:r>
              <w:rPr>
                <w:rFonts w:ascii="宋体"/>
                <w:sz w:val="21"/>
              </w:rPr>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2"/>
              <w:jc w:val="right"/>
              <w:rPr>
                <w:rFonts w:ascii="宋体" w:hAnsi="宋体" w:cs="宋体" w:eastAsia="宋体" w:hint="default"/>
                <w:sz w:val="21"/>
                <w:szCs w:val="21"/>
              </w:rPr>
            </w:pPr>
            <w:r>
              <w:rPr>
                <w:rFonts w:ascii="宋体"/>
                <w:spacing w:val="-1"/>
                <w:sz w:val="21"/>
              </w:rPr>
              <w:t>6,039,896.04</w:t>
            </w:r>
            <w:r>
              <w:rPr>
                <w:rFonts w:ascii="宋体"/>
                <w:sz w:val="21"/>
              </w:rPr>
            </w:r>
          </w:p>
        </w:tc>
        <w:tc>
          <w:tcPr>
            <w:tcW w:w="779"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2"/>
              <w:jc w:val="right"/>
              <w:rPr>
                <w:rFonts w:ascii="宋体" w:hAnsi="宋体" w:cs="宋体" w:eastAsia="宋体" w:hint="default"/>
                <w:sz w:val="21"/>
                <w:szCs w:val="21"/>
              </w:rPr>
            </w:pPr>
            <w:r>
              <w:rPr>
                <w:rFonts w:ascii="宋体"/>
                <w:spacing w:val="-1"/>
                <w:sz w:val="21"/>
              </w:rPr>
              <w:t>6,039,896.04</w:t>
            </w:r>
            <w:r>
              <w:rPr>
                <w:rFonts w:ascii="宋体"/>
                <w:sz w:val="21"/>
              </w:rPr>
            </w:r>
          </w:p>
        </w:tc>
      </w:tr>
      <w:tr>
        <w:trPr>
          <w:trHeight w:val="1262" w:hRule="exact"/>
        </w:trPr>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both"/>
              <w:rPr>
                <w:rFonts w:ascii="宋体" w:hAnsi="宋体" w:cs="宋体" w:eastAsia="宋体" w:hint="default"/>
                <w:sz w:val="21"/>
                <w:szCs w:val="21"/>
              </w:rPr>
            </w:pPr>
            <w:r>
              <w:rPr>
                <w:rFonts w:ascii="宋体" w:hAnsi="宋体" w:cs="宋体" w:eastAsia="宋体" w:hint="default"/>
                <w:sz w:val="21"/>
                <w:szCs w:val="21"/>
              </w:rPr>
              <w:t>南京金证信息</w:t>
            </w:r>
          </w:p>
          <w:p>
            <w:pPr>
              <w:pStyle w:val="TableParagraph"/>
              <w:spacing w:line="273" w:lineRule="auto" w:before="37"/>
              <w:ind w:left="24" w:right="152"/>
              <w:jc w:val="both"/>
              <w:rPr>
                <w:rFonts w:ascii="宋体" w:hAnsi="宋体" w:cs="宋体" w:eastAsia="宋体" w:hint="default"/>
                <w:sz w:val="21"/>
                <w:szCs w:val="21"/>
              </w:rPr>
            </w:pPr>
            <w:r>
              <w:rPr>
                <w:rFonts w:ascii="宋体" w:hAnsi="宋体" w:cs="宋体" w:eastAsia="宋体" w:hint="default"/>
                <w:sz w:val="21"/>
                <w:szCs w:val="21"/>
              </w:rPr>
              <w:t>技术有限公司 雨花地块基建 工程</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27"/>
              <w:jc w:val="right"/>
              <w:rPr>
                <w:rFonts w:ascii="宋体" w:hAnsi="宋体" w:cs="宋体" w:eastAsia="宋体" w:hint="default"/>
                <w:sz w:val="21"/>
                <w:szCs w:val="21"/>
              </w:rPr>
            </w:pPr>
            <w:r>
              <w:rPr>
                <w:rFonts w:ascii="宋体"/>
                <w:spacing w:val="-1"/>
                <w:sz w:val="21"/>
              </w:rPr>
              <w:t>3,028,973.16</w:t>
            </w:r>
            <w:r>
              <w:rPr>
                <w:rFonts w:ascii="宋体"/>
                <w:sz w:val="21"/>
              </w:rPr>
            </w:r>
          </w:p>
        </w:tc>
        <w:tc>
          <w:tcPr>
            <w:tcW w:w="77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5"/>
              <w:jc w:val="right"/>
              <w:rPr>
                <w:rFonts w:ascii="宋体" w:hAnsi="宋体" w:cs="宋体" w:eastAsia="宋体" w:hint="default"/>
                <w:sz w:val="21"/>
                <w:szCs w:val="21"/>
              </w:rPr>
            </w:pPr>
            <w:r>
              <w:rPr>
                <w:rFonts w:ascii="宋体"/>
                <w:spacing w:val="-1"/>
                <w:sz w:val="21"/>
              </w:rPr>
              <w:t>3,028,973.16</w:t>
            </w:r>
            <w:r>
              <w:rPr>
                <w:rFonts w:ascii="宋体"/>
                <w:sz w:val="21"/>
              </w:rPr>
            </w:r>
          </w:p>
        </w:tc>
        <w:tc>
          <w:tcPr>
            <w:tcW w:w="1427"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其他在建工程</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26"/>
              <w:jc w:val="right"/>
              <w:rPr>
                <w:rFonts w:ascii="宋体" w:hAnsi="宋体" w:cs="宋体" w:eastAsia="宋体" w:hint="default"/>
                <w:sz w:val="21"/>
                <w:szCs w:val="21"/>
              </w:rPr>
            </w:pPr>
            <w:r>
              <w:rPr>
                <w:rFonts w:ascii="宋体"/>
                <w:spacing w:val="-1"/>
                <w:sz w:val="21"/>
              </w:rPr>
              <w:t>795,589.00</w:t>
            </w:r>
          </w:p>
        </w:tc>
        <w:tc>
          <w:tcPr>
            <w:tcW w:w="77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4"/>
              <w:jc w:val="right"/>
              <w:rPr>
                <w:rFonts w:ascii="宋体" w:hAnsi="宋体" w:cs="宋体" w:eastAsia="宋体" w:hint="default"/>
                <w:sz w:val="21"/>
                <w:szCs w:val="21"/>
              </w:rPr>
            </w:pPr>
            <w:r>
              <w:rPr>
                <w:rFonts w:ascii="宋体"/>
                <w:spacing w:val="-1"/>
                <w:sz w:val="21"/>
              </w:rPr>
              <w:t>795,589.00</w:t>
            </w:r>
          </w:p>
        </w:tc>
        <w:tc>
          <w:tcPr>
            <w:tcW w:w="1427"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28"/>
              <w:jc w:val="right"/>
              <w:rPr>
                <w:rFonts w:ascii="宋体" w:hAnsi="宋体" w:cs="宋体" w:eastAsia="宋体" w:hint="default"/>
                <w:sz w:val="21"/>
                <w:szCs w:val="21"/>
              </w:rPr>
            </w:pPr>
            <w:r>
              <w:rPr>
                <w:rFonts w:ascii="宋体"/>
                <w:spacing w:val="-1"/>
                <w:sz w:val="21"/>
              </w:rPr>
              <w:t>77,171,939.66</w:t>
            </w:r>
          </w:p>
        </w:tc>
        <w:tc>
          <w:tcPr>
            <w:tcW w:w="77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5"/>
              <w:jc w:val="right"/>
              <w:rPr>
                <w:rFonts w:ascii="宋体" w:hAnsi="宋体" w:cs="宋体" w:eastAsia="宋体" w:hint="default"/>
                <w:sz w:val="21"/>
                <w:szCs w:val="21"/>
              </w:rPr>
            </w:pPr>
            <w:r>
              <w:rPr>
                <w:rFonts w:ascii="宋体"/>
                <w:spacing w:val="-1"/>
                <w:sz w:val="21"/>
              </w:rPr>
              <w:t>77,171,939.66</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2"/>
              <w:jc w:val="right"/>
              <w:rPr>
                <w:rFonts w:ascii="宋体" w:hAnsi="宋体" w:cs="宋体" w:eastAsia="宋体" w:hint="default"/>
                <w:sz w:val="21"/>
                <w:szCs w:val="21"/>
              </w:rPr>
            </w:pPr>
            <w:r>
              <w:rPr>
                <w:rFonts w:ascii="宋体"/>
                <w:spacing w:val="-1"/>
                <w:sz w:val="21"/>
              </w:rPr>
              <w:t>51,199,440.84</w:t>
            </w:r>
          </w:p>
        </w:tc>
        <w:tc>
          <w:tcPr>
            <w:tcW w:w="779"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51,199,440.84</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3"/>
        <w:spacing w:line="240" w:lineRule="auto"/>
        <w:ind w:left="157" w:right="584"/>
        <w:jc w:val="left"/>
        <w:rPr>
          <w:b w:val="0"/>
          <w:bCs w:val="0"/>
        </w:rPr>
      </w:pPr>
      <w:r>
        <w:rPr/>
        <w:t>(2).</w:t>
      </w:r>
      <w:r>
        <w:rPr>
          <w:spacing w:val="55"/>
        </w:rPr>
        <w:t> </w:t>
      </w:r>
      <w:r>
        <w:rPr/>
        <w:t>重要在建工程项目本期变动情况</w:t>
      </w:r>
      <w:r>
        <w:rPr>
          <w:b w:val="0"/>
          <w:bCs w:val="0"/>
        </w:rPr>
      </w:r>
    </w:p>
    <w:p>
      <w:pPr>
        <w:pStyle w:val="BodyText"/>
        <w:tabs>
          <w:tab w:pos="1049" w:val="left" w:leader="none"/>
        </w:tabs>
        <w:spacing w:line="240" w:lineRule="auto" w:before="97"/>
        <w:ind w:left="0" w:right="151"/>
        <w:jc w:val="right"/>
      </w:pPr>
      <w:r>
        <w:rPr/>
        <w:t>单位：元</w:t>
        <w:tab/>
        <w:t>币种：人民币</w:t>
      </w:r>
    </w:p>
    <w:p>
      <w:pPr>
        <w:spacing w:after="0" w:line="240" w:lineRule="auto"/>
        <w:jc w:val="right"/>
        <w:sectPr>
          <w:footerReference w:type="default" r:id="rId110"/>
          <w:pgSz w:w="11910" w:h="16840"/>
          <w:pgMar w:footer="1197" w:header="0" w:top="1120" w:bottom="1380" w:left="1640" w:right="1120"/>
        </w:sectPr>
      </w:pPr>
    </w:p>
    <w:p>
      <w:pPr>
        <w:spacing w:before="22"/>
        <w:ind w:left="6393" w:right="6419"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696.3pt;height:.75pt;mso-position-horizontal-relative:char;mso-position-vertical-relative:line" coordorigin="0,0" coordsize="13926,15">
            <v:group style="position:absolute;left:7;top:7;width:13912;height:2" coordorigin="7,7" coordsize="13912,2">
              <v:shape style="position:absolute;left:7;top:7;width:13912;height:2" coordorigin="7,7" coordsize="13912,0" path="m7,7l1391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021"/>
        <w:gridCol w:w="1637"/>
        <w:gridCol w:w="1427"/>
        <w:gridCol w:w="1500"/>
        <w:gridCol w:w="865"/>
        <w:gridCol w:w="865"/>
        <w:gridCol w:w="1427"/>
        <w:gridCol w:w="870"/>
        <w:gridCol w:w="865"/>
        <w:gridCol w:w="868"/>
        <w:gridCol w:w="852"/>
        <w:gridCol w:w="883"/>
        <w:gridCol w:w="856"/>
      </w:tblGrid>
      <w:tr>
        <w:trPr>
          <w:trHeight w:val="1264" w:hRule="exact"/>
        </w:trPr>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44"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444" w:right="546"/>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2"/>
              <w:jc w:val="center"/>
              <w:rPr>
                <w:rFonts w:ascii="宋体" w:hAnsi="宋体" w:cs="宋体" w:eastAsia="宋体" w:hint="default"/>
                <w:sz w:val="21"/>
                <w:szCs w:val="21"/>
              </w:rPr>
            </w:pPr>
            <w:r>
              <w:rPr>
                <w:rFonts w:ascii="宋体" w:hAnsi="宋体" w:cs="宋体" w:eastAsia="宋体" w:hint="default"/>
                <w:sz w:val="21"/>
                <w:szCs w:val="21"/>
              </w:rPr>
              <w:t>本期转</w:t>
            </w:r>
          </w:p>
          <w:p>
            <w:pPr>
              <w:pStyle w:val="TableParagraph"/>
              <w:spacing w:line="273" w:lineRule="auto" w:before="37"/>
              <w:ind w:left="73" w:right="145"/>
              <w:jc w:val="center"/>
              <w:rPr>
                <w:rFonts w:ascii="宋体" w:hAnsi="宋体" w:cs="宋体" w:eastAsia="宋体" w:hint="default"/>
                <w:sz w:val="21"/>
                <w:szCs w:val="21"/>
              </w:rPr>
            </w:pPr>
            <w:r>
              <w:rPr>
                <w:rFonts w:ascii="宋体" w:hAnsi="宋体" w:cs="宋体" w:eastAsia="宋体" w:hint="default"/>
                <w:sz w:val="21"/>
                <w:szCs w:val="21"/>
              </w:rPr>
              <w:t>入固定 资产金 额</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73" w:right="145"/>
              <w:jc w:val="both"/>
              <w:rPr>
                <w:rFonts w:ascii="宋体" w:hAnsi="宋体" w:cs="宋体" w:eastAsia="宋体" w:hint="default"/>
                <w:sz w:val="21"/>
                <w:szCs w:val="21"/>
              </w:rPr>
            </w:pPr>
            <w:r>
              <w:rPr>
                <w:rFonts w:ascii="宋体" w:hAnsi="宋体" w:cs="宋体" w:eastAsia="宋体" w:hint="default"/>
                <w:sz w:val="21"/>
                <w:szCs w:val="21"/>
              </w:rPr>
              <w:t>本期其 他减少 金额</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496" w:right="493"/>
              <w:jc w:val="center"/>
              <w:rPr>
                <w:rFonts w:ascii="宋体" w:hAnsi="宋体" w:cs="宋体" w:eastAsia="宋体" w:hint="default"/>
                <w:sz w:val="21"/>
                <w:szCs w:val="21"/>
              </w:rPr>
            </w:pPr>
            <w:r>
              <w:rPr>
                <w:rFonts w:ascii="宋体" w:hAnsi="宋体" w:cs="宋体" w:eastAsia="宋体" w:hint="default"/>
                <w:sz w:val="21"/>
                <w:szCs w:val="21"/>
              </w:rPr>
              <w:t>期末 余额</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2" w:right="0"/>
              <w:jc w:val="both"/>
              <w:rPr>
                <w:rFonts w:ascii="宋体" w:hAnsi="宋体" w:cs="宋体" w:eastAsia="宋体" w:hint="default"/>
                <w:sz w:val="21"/>
                <w:szCs w:val="21"/>
              </w:rPr>
            </w:pPr>
            <w:r>
              <w:rPr>
                <w:rFonts w:ascii="宋体" w:hAnsi="宋体" w:cs="宋体" w:eastAsia="宋体" w:hint="default"/>
                <w:sz w:val="21"/>
                <w:szCs w:val="21"/>
              </w:rPr>
              <w:t>工程累</w:t>
            </w:r>
          </w:p>
          <w:p>
            <w:pPr>
              <w:pStyle w:val="TableParagraph"/>
              <w:spacing w:line="273" w:lineRule="auto" w:before="37"/>
              <w:ind w:left="60" w:right="59" w:firstLine="52"/>
              <w:jc w:val="both"/>
              <w:rPr>
                <w:rFonts w:ascii="宋体" w:hAnsi="宋体" w:cs="宋体" w:eastAsia="宋体" w:hint="default"/>
                <w:sz w:val="21"/>
                <w:szCs w:val="21"/>
              </w:rPr>
            </w:pPr>
            <w:r>
              <w:rPr>
                <w:rFonts w:ascii="宋体" w:hAnsi="宋体" w:cs="宋体" w:eastAsia="宋体" w:hint="default"/>
                <w:sz w:val="21"/>
                <w:szCs w:val="21"/>
              </w:rPr>
              <w:t>计投入 占预算 比例(%)</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320" w:right="108" w:hanging="210"/>
              <w:jc w:val="left"/>
              <w:rPr>
                <w:rFonts w:ascii="宋体" w:hAnsi="宋体" w:cs="宋体" w:eastAsia="宋体" w:hint="default"/>
                <w:sz w:val="21"/>
                <w:szCs w:val="21"/>
              </w:rPr>
            </w:pPr>
            <w:r>
              <w:rPr>
                <w:rFonts w:ascii="宋体" w:hAnsi="宋体" w:cs="宋体" w:eastAsia="宋体" w:hint="default"/>
                <w:sz w:val="21"/>
                <w:szCs w:val="21"/>
              </w:rPr>
              <w:t>工程进 度</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11" w:right="109"/>
              <w:jc w:val="both"/>
              <w:rPr>
                <w:rFonts w:ascii="宋体" w:hAnsi="宋体" w:cs="宋体" w:eastAsia="宋体" w:hint="default"/>
                <w:sz w:val="21"/>
                <w:szCs w:val="21"/>
              </w:rPr>
            </w:pPr>
            <w:r>
              <w:rPr>
                <w:rFonts w:ascii="宋体" w:hAnsi="宋体" w:cs="宋体" w:eastAsia="宋体" w:hint="default"/>
                <w:sz w:val="21"/>
                <w:szCs w:val="21"/>
              </w:rPr>
              <w:t>利息资 本化累 计金额</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3" w:right="0" w:hanging="80"/>
              <w:jc w:val="both"/>
              <w:rPr>
                <w:rFonts w:ascii="宋体" w:hAnsi="宋体" w:cs="宋体" w:eastAsia="宋体" w:hint="default"/>
                <w:sz w:val="21"/>
                <w:szCs w:val="21"/>
              </w:rPr>
            </w:pPr>
            <w:r>
              <w:rPr>
                <w:rFonts w:ascii="宋体" w:hAnsi="宋体" w:cs="宋体" w:eastAsia="宋体" w:hint="default"/>
                <w:spacing w:val="-13"/>
                <w:sz w:val="21"/>
                <w:szCs w:val="21"/>
              </w:rPr>
              <w:t>其中：本</w:t>
            </w:r>
          </w:p>
          <w:p>
            <w:pPr>
              <w:pStyle w:val="TableParagraph"/>
              <w:spacing w:line="273" w:lineRule="auto" w:before="37"/>
              <w:ind w:left="103" w:right="102"/>
              <w:jc w:val="both"/>
              <w:rPr>
                <w:rFonts w:ascii="宋体" w:hAnsi="宋体" w:cs="宋体" w:eastAsia="宋体" w:hint="default"/>
                <w:sz w:val="21"/>
                <w:szCs w:val="21"/>
              </w:rPr>
            </w:pPr>
            <w:r>
              <w:rPr>
                <w:rFonts w:ascii="宋体" w:hAnsi="宋体" w:cs="宋体" w:eastAsia="宋体" w:hint="default"/>
                <w:sz w:val="21"/>
                <w:szCs w:val="21"/>
              </w:rPr>
              <w:t>期利息 资本化 金额</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67" w:right="65" w:firstLine="51"/>
              <w:jc w:val="both"/>
              <w:rPr>
                <w:rFonts w:ascii="宋体" w:hAnsi="宋体" w:cs="宋体" w:eastAsia="宋体" w:hint="default"/>
                <w:sz w:val="21"/>
                <w:szCs w:val="21"/>
              </w:rPr>
            </w:pPr>
            <w:r>
              <w:rPr>
                <w:rFonts w:ascii="宋体" w:hAnsi="宋体" w:cs="宋体" w:eastAsia="宋体" w:hint="default"/>
                <w:sz w:val="21"/>
                <w:szCs w:val="21"/>
              </w:rPr>
              <w:t>本期利 息资本 化率(%)</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315" w:right="103" w:hanging="210"/>
              <w:jc w:val="left"/>
              <w:rPr>
                <w:rFonts w:ascii="宋体" w:hAnsi="宋体" w:cs="宋体" w:eastAsia="宋体" w:hint="default"/>
                <w:sz w:val="21"/>
                <w:szCs w:val="21"/>
              </w:rPr>
            </w:pPr>
            <w:r>
              <w:rPr>
                <w:rFonts w:ascii="宋体" w:hAnsi="宋体" w:cs="宋体" w:eastAsia="宋体" w:hint="default"/>
                <w:sz w:val="21"/>
                <w:szCs w:val="21"/>
              </w:rPr>
              <w:t>资金来 源</w:t>
            </w:r>
          </w:p>
        </w:tc>
      </w:tr>
      <w:tr>
        <w:trPr>
          <w:trHeight w:val="1886" w:hRule="exact"/>
        </w:trPr>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成都金证</w:t>
            </w:r>
          </w:p>
          <w:p>
            <w:pPr>
              <w:pStyle w:val="TableParagraph"/>
              <w:spacing w:line="273" w:lineRule="auto" w:before="37"/>
              <w:ind w:left="23" w:right="140"/>
              <w:jc w:val="left"/>
              <w:rPr>
                <w:rFonts w:ascii="宋体" w:hAnsi="宋体" w:cs="宋体" w:eastAsia="宋体" w:hint="default"/>
                <w:sz w:val="21"/>
                <w:szCs w:val="21"/>
              </w:rPr>
            </w:pPr>
            <w:r>
              <w:rPr>
                <w:rFonts w:ascii="宋体" w:hAnsi="宋体" w:cs="宋体" w:eastAsia="宋体" w:hint="default"/>
                <w:sz w:val="21"/>
                <w:szCs w:val="21"/>
              </w:rPr>
              <w:t>信息软 件、服务 外包及金 融后台服 务基地</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26"/>
              <w:jc w:val="right"/>
              <w:rPr>
                <w:rFonts w:ascii="宋体" w:hAnsi="宋体" w:cs="宋体" w:eastAsia="宋体" w:hint="default"/>
                <w:sz w:val="21"/>
                <w:szCs w:val="21"/>
              </w:rPr>
            </w:pPr>
            <w:r>
              <w:rPr>
                <w:rFonts w:ascii="宋体"/>
                <w:spacing w:val="-1"/>
                <w:sz w:val="21"/>
              </w:rPr>
              <w:t>177,754,650.00</w:t>
            </w:r>
            <w:r>
              <w:rPr>
                <w:rFonts w:ascii="宋体"/>
                <w:sz w:val="21"/>
              </w:rPr>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32,069,708.07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5" w:right="0"/>
              <w:jc w:val="left"/>
              <w:rPr>
                <w:rFonts w:ascii="宋体" w:hAnsi="宋体" w:cs="宋体" w:eastAsia="宋体" w:hint="default"/>
                <w:sz w:val="21"/>
                <w:szCs w:val="21"/>
              </w:rPr>
            </w:pPr>
            <w:r>
              <w:rPr>
                <w:rFonts w:ascii="宋体"/>
                <w:sz w:val="21"/>
              </w:rPr>
              <w:t>21,687,536.66</w:t>
            </w:r>
          </w:p>
        </w:tc>
        <w:tc>
          <w:tcPr>
            <w:tcW w:w="865"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53,757,244.73</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30.24</w:t>
            </w:r>
            <w:r>
              <w:rPr>
                <w:rFonts w:ascii="宋体"/>
                <w:sz w:val="21"/>
              </w:rPr>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30.24</w:t>
            </w:r>
          </w:p>
        </w:tc>
        <w:tc>
          <w:tcPr>
            <w:tcW w:w="868"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自有资</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金</w:t>
            </w:r>
          </w:p>
        </w:tc>
      </w:tr>
      <w:tr>
        <w:trPr>
          <w:trHeight w:val="1576" w:hRule="exact"/>
        </w:trPr>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 w:right="0"/>
              <w:jc w:val="both"/>
              <w:rPr>
                <w:rFonts w:ascii="宋体" w:hAnsi="宋体" w:cs="宋体" w:eastAsia="宋体" w:hint="default"/>
                <w:sz w:val="21"/>
                <w:szCs w:val="21"/>
              </w:rPr>
            </w:pPr>
            <w:r>
              <w:rPr>
                <w:rFonts w:ascii="宋体" w:hAnsi="宋体" w:cs="宋体" w:eastAsia="宋体" w:hint="default"/>
                <w:sz w:val="21"/>
                <w:szCs w:val="21"/>
              </w:rPr>
              <w:t>成都金证</w:t>
            </w:r>
          </w:p>
          <w:p>
            <w:pPr>
              <w:pStyle w:val="TableParagraph"/>
              <w:spacing w:line="273" w:lineRule="auto" w:before="37"/>
              <w:ind w:left="23" w:right="140"/>
              <w:jc w:val="both"/>
              <w:rPr>
                <w:rFonts w:ascii="宋体" w:hAnsi="宋体" w:cs="宋体" w:eastAsia="宋体" w:hint="default"/>
                <w:sz w:val="21"/>
                <w:szCs w:val="21"/>
              </w:rPr>
            </w:pPr>
            <w:r>
              <w:rPr>
                <w:rFonts w:ascii="宋体" w:hAnsi="宋体" w:cs="宋体" w:eastAsia="宋体" w:hint="default"/>
                <w:sz w:val="21"/>
                <w:szCs w:val="21"/>
              </w:rPr>
              <w:t>博泽科技 有限公司 服务外包 项目</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26"/>
              <w:jc w:val="right"/>
              <w:rPr>
                <w:rFonts w:ascii="宋体" w:hAnsi="宋体" w:cs="宋体" w:eastAsia="宋体" w:hint="default"/>
                <w:sz w:val="21"/>
                <w:szCs w:val="21"/>
              </w:rPr>
            </w:pPr>
            <w:r>
              <w:rPr>
                <w:rFonts w:ascii="宋体"/>
                <w:spacing w:val="-1"/>
                <w:sz w:val="21"/>
              </w:rPr>
              <w:t>132,845,040.00</w:t>
            </w:r>
            <w:r>
              <w:rPr>
                <w:rFonts w:ascii="宋体"/>
                <w:sz w:val="21"/>
              </w:rPr>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13,089,836.73</w:t>
            </w:r>
          </w:p>
        </w:tc>
        <w:tc>
          <w:tcPr>
            <w:tcW w:w="1500"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13,089,836.73</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9.85</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9.85</w:t>
            </w:r>
          </w:p>
        </w:tc>
        <w:tc>
          <w:tcPr>
            <w:tcW w:w="868"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自有资</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金</w:t>
            </w:r>
          </w:p>
        </w:tc>
      </w:tr>
      <w:tr>
        <w:trPr>
          <w:trHeight w:val="1574" w:hRule="exact"/>
        </w:trPr>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 w:right="0"/>
              <w:jc w:val="both"/>
              <w:rPr>
                <w:rFonts w:ascii="宋体" w:hAnsi="宋体" w:cs="宋体" w:eastAsia="宋体" w:hint="default"/>
                <w:sz w:val="21"/>
                <w:szCs w:val="21"/>
              </w:rPr>
            </w:pPr>
            <w:r>
              <w:rPr>
                <w:rFonts w:ascii="宋体" w:hAnsi="宋体" w:cs="宋体" w:eastAsia="宋体" w:hint="default"/>
                <w:sz w:val="21"/>
                <w:szCs w:val="21"/>
              </w:rPr>
              <w:t>成都金证</w:t>
            </w:r>
          </w:p>
          <w:p>
            <w:pPr>
              <w:pStyle w:val="TableParagraph"/>
              <w:spacing w:line="273" w:lineRule="auto" w:before="37"/>
              <w:ind w:left="23" w:right="140"/>
              <w:jc w:val="both"/>
              <w:rPr>
                <w:rFonts w:ascii="宋体" w:hAnsi="宋体" w:cs="宋体" w:eastAsia="宋体" w:hint="default"/>
                <w:sz w:val="21"/>
                <w:szCs w:val="21"/>
              </w:rPr>
            </w:pPr>
            <w:r>
              <w:rPr>
                <w:rFonts w:ascii="宋体" w:hAnsi="宋体" w:cs="宋体" w:eastAsia="宋体" w:hint="default"/>
                <w:sz w:val="21"/>
                <w:szCs w:val="21"/>
              </w:rPr>
              <w:t>同洲科技 有限公司 灾备中心 项目</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25"/>
              <w:jc w:val="right"/>
              <w:rPr>
                <w:rFonts w:ascii="宋体" w:hAnsi="宋体" w:cs="宋体" w:eastAsia="宋体" w:hint="default"/>
                <w:sz w:val="21"/>
                <w:szCs w:val="21"/>
              </w:rPr>
            </w:pPr>
            <w:r>
              <w:rPr>
                <w:rFonts w:ascii="宋体"/>
                <w:spacing w:val="-1"/>
                <w:sz w:val="21"/>
              </w:rPr>
              <w:t>329,300,331.00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6,039,896.04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339" w:right="0"/>
              <w:jc w:val="left"/>
              <w:rPr>
                <w:rFonts w:ascii="宋体" w:hAnsi="宋体" w:cs="宋体" w:eastAsia="宋体" w:hint="default"/>
                <w:sz w:val="21"/>
                <w:szCs w:val="21"/>
              </w:rPr>
            </w:pPr>
            <w:r>
              <w:rPr>
                <w:rFonts w:ascii="宋体"/>
                <w:sz w:val="21"/>
              </w:rPr>
              <w:t>460,400.00</w:t>
            </w:r>
          </w:p>
        </w:tc>
        <w:tc>
          <w:tcPr>
            <w:tcW w:w="865"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6,500,296.04</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1.97</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1.97</w:t>
            </w:r>
          </w:p>
        </w:tc>
        <w:tc>
          <w:tcPr>
            <w:tcW w:w="868"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自有资</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金</w:t>
            </w:r>
          </w:p>
        </w:tc>
      </w:tr>
      <w:tr>
        <w:trPr>
          <w:trHeight w:val="326" w:hRule="exact"/>
        </w:trPr>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2"/>
              <w:jc w:val="center"/>
              <w:rPr>
                <w:rFonts w:ascii="宋体" w:hAnsi="宋体" w:cs="宋体" w:eastAsia="宋体" w:hint="default"/>
                <w:sz w:val="21"/>
                <w:szCs w:val="21"/>
              </w:rPr>
            </w:pPr>
            <w:r>
              <w:rPr>
                <w:rFonts w:ascii="宋体" w:hAnsi="宋体" w:cs="宋体" w:eastAsia="宋体" w:hint="default"/>
                <w:sz w:val="21"/>
                <w:szCs w:val="21"/>
              </w:rPr>
              <w:t>合计</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27"/>
              <w:jc w:val="right"/>
              <w:rPr>
                <w:rFonts w:ascii="Arial" w:hAnsi="Arial" w:cs="Arial" w:eastAsia="Arial" w:hint="default"/>
                <w:sz w:val="18"/>
                <w:szCs w:val="18"/>
              </w:rPr>
            </w:pPr>
            <w:r>
              <w:rPr>
                <w:rFonts w:ascii="Arial"/>
                <w:spacing w:val="-1"/>
                <w:w w:val="80"/>
                <w:sz w:val="18"/>
              </w:rPr>
              <w:t>639,900,021.00</w:t>
            </w:r>
            <w:r>
              <w:rPr>
                <w:rFonts w:ascii="Arial"/>
                <w:sz w:val="18"/>
              </w:rPr>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
              <w:jc w:val="right"/>
              <w:rPr>
                <w:rFonts w:ascii="宋体" w:hAnsi="宋体" w:cs="宋体" w:eastAsia="宋体" w:hint="default"/>
                <w:sz w:val="21"/>
                <w:szCs w:val="21"/>
              </w:rPr>
            </w:pPr>
            <w:r>
              <w:rPr>
                <w:rFonts w:ascii="宋体"/>
                <w:spacing w:val="-1"/>
                <w:sz w:val="21"/>
              </w:rPr>
              <w:t>51,199,440.84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 w:right="0"/>
              <w:jc w:val="left"/>
              <w:rPr>
                <w:rFonts w:ascii="宋体" w:hAnsi="宋体" w:cs="宋体" w:eastAsia="宋体" w:hint="default"/>
                <w:sz w:val="21"/>
                <w:szCs w:val="21"/>
              </w:rPr>
            </w:pPr>
            <w:r>
              <w:rPr>
                <w:rFonts w:ascii="宋体"/>
                <w:sz w:val="21"/>
              </w:rPr>
              <w:t>22,147,936.66</w:t>
            </w:r>
          </w:p>
        </w:tc>
        <w:tc>
          <w:tcPr>
            <w:tcW w:w="865"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
              <w:jc w:val="right"/>
              <w:rPr>
                <w:rFonts w:ascii="宋体" w:hAnsi="宋体" w:cs="宋体" w:eastAsia="宋体" w:hint="default"/>
                <w:sz w:val="21"/>
                <w:szCs w:val="21"/>
              </w:rPr>
            </w:pPr>
            <w:r>
              <w:rPr>
                <w:rFonts w:ascii="宋体"/>
                <w:spacing w:val="-1"/>
                <w:sz w:val="21"/>
              </w:rPr>
              <w:t>73,347,377.50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72"/>
              <w:jc w:val="center"/>
              <w:rPr>
                <w:rFonts w:ascii="宋体" w:hAnsi="宋体" w:cs="宋体" w:eastAsia="宋体" w:hint="default"/>
                <w:sz w:val="21"/>
                <w:szCs w:val="21"/>
              </w:rPr>
            </w:pPr>
            <w:r>
              <w:rPr>
                <w:rFonts w:ascii="宋体"/>
                <w:sz w:val="21"/>
              </w:rPr>
              <w:t>/</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72"/>
              <w:jc w:val="center"/>
              <w:rPr>
                <w:rFonts w:ascii="宋体" w:hAnsi="宋体" w:cs="宋体" w:eastAsia="宋体" w:hint="default"/>
                <w:sz w:val="21"/>
                <w:szCs w:val="21"/>
              </w:rPr>
            </w:pPr>
            <w:r>
              <w:rPr>
                <w:rFonts w:ascii="宋体"/>
                <w:sz w:val="21"/>
              </w:rPr>
              <w:t>/</w:t>
            </w:r>
          </w:p>
        </w:tc>
        <w:tc>
          <w:tcPr>
            <w:tcW w:w="868"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71"/>
              <w:jc w:val="center"/>
              <w:rPr>
                <w:rFonts w:ascii="宋体" w:hAnsi="宋体" w:cs="宋体" w:eastAsia="宋体" w:hint="default"/>
                <w:sz w:val="21"/>
                <w:szCs w:val="21"/>
              </w:rPr>
            </w:pPr>
            <w:r>
              <w:rPr>
                <w:rFonts w:ascii="宋体"/>
                <w:sz w:val="21"/>
              </w:rPr>
              <w:t>/</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72"/>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spacing w:before="63"/>
        <w:ind w:left="6393" w:right="6398" w:firstLine="0"/>
        <w:jc w:val="center"/>
        <w:rPr>
          <w:rFonts w:ascii="Calibri" w:hAnsi="Calibri" w:cs="Calibri" w:eastAsia="Calibri" w:hint="default"/>
          <w:sz w:val="18"/>
          <w:szCs w:val="18"/>
        </w:rPr>
      </w:pPr>
      <w:r>
        <w:rPr>
          <w:rFonts w:ascii="Calibri"/>
          <w:b/>
          <w:sz w:val="18"/>
        </w:rPr>
        <w:t>121 </w:t>
      </w:r>
      <w:r>
        <w:rPr>
          <w:rFonts w:ascii="Calibri"/>
          <w:sz w:val="18"/>
        </w:rPr>
        <w:t>/</w:t>
      </w:r>
      <w:r>
        <w:rPr>
          <w:rFonts w:ascii="Calibri"/>
          <w:spacing w:val="-4"/>
          <w:sz w:val="18"/>
        </w:rPr>
        <w:t> </w:t>
      </w:r>
      <w:r>
        <w:rPr>
          <w:rFonts w:ascii="Calibri"/>
          <w:b/>
          <w:sz w:val="18"/>
        </w:rPr>
        <w:t>197</w:t>
      </w:r>
      <w:r>
        <w:rPr>
          <w:rFonts w:ascii="Calibri"/>
          <w:sz w:val="18"/>
        </w:rPr>
      </w:r>
    </w:p>
    <w:p>
      <w:pPr>
        <w:spacing w:after="0"/>
        <w:jc w:val="center"/>
        <w:rPr>
          <w:rFonts w:ascii="Calibri" w:hAnsi="Calibri" w:cs="Calibri" w:eastAsia="Calibri" w:hint="default"/>
          <w:sz w:val="18"/>
          <w:szCs w:val="18"/>
        </w:rPr>
        <w:sectPr>
          <w:headerReference w:type="default" r:id="rId111"/>
          <w:footerReference w:type="default" r:id="rId112"/>
          <w:pgSz w:w="16840" w:h="11910" w:orient="landscape"/>
          <w:pgMar w:header="0" w:footer="0" w:top="800" w:bottom="280" w:left="1300" w:right="13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12"/>
        <w:rPr>
          <w:rFonts w:ascii="Calibri" w:hAnsi="Calibri" w:cs="Calibri" w:eastAsia="Calibri" w:hint="default"/>
          <w:b/>
          <w:bCs/>
          <w:sz w:val="15"/>
          <w:szCs w:val="15"/>
        </w:rPr>
      </w:pPr>
    </w:p>
    <w:p>
      <w:pPr>
        <w:pStyle w:val="Heading3"/>
        <w:spacing w:line="240" w:lineRule="auto"/>
        <w:ind w:right="114"/>
        <w:jc w:val="left"/>
        <w:rPr>
          <w:b w:val="0"/>
          <w:bCs w:val="0"/>
        </w:rPr>
      </w:pPr>
      <w:r>
        <w:rPr/>
        <w:t>(3).</w:t>
      </w:r>
      <w:r>
        <w:rPr>
          <w:spacing w:val="53"/>
        </w:rPr>
        <w:t> </w:t>
      </w:r>
      <w:r>
        <w:rPr/>
        <w:t>本期计提在建工程减值准备情况：</w:t>
      </w:r>
      <w:r>
        <w:rPr>
          <w:b w:val="0"/>
          <w:bCs w:val="0"/>
        </w:rPr>
      </w:r>
    </w:p>
    <w:p>
      <w:pPr>
        <w:spacing w:line="240" w:lineRule="auto" w:before="2"/>
        <w:rPr>
          <w:rFonts w:ascii="宋体" w:hAnsi="宋体" w:cs="宋体" w:eastAsia="宋体" w:hint="default"/>
          <w:b/>
          <w:bCs/>
          <w:sz w:val="9"/>
          <w:szCs w:val="9"/>
        </w:rPr>
      </w:pPr>
    </w:p>
    <w:p>
      <w:pPr>
        <w:pStyle w:val="BodyText"/>
        <w:tabs>
          <w:tab w:pos="1049" w:val="left" w:leader="none"/>
        </w:tabs>
        <w:spacing w:line="240" w:lineRule="auto" w:before="35"/>
        <w:ind w:left="0" w:right="231"/>
        <w:jc w:val="right"/>
      </w:pPr>
      <w:r>
        <w:rPr/>
        <w:t>单位：元</w:t>
        <w:tab/>
        <w:t>币种：人民币</w:t>
      </w:r>
    </w:p>
    <w:p>
      <w:pPr>
        <w:spacing w:line="240" w:lineRule="auto" w:before="3"/>
        <w:rPr>
          <w:rFonts w:ascii="宋体" w:hAnsi="宋体" w:cs="宋体" w:eastAsia="宋体" w:hint="default"/>
          <w:sz w:val="3"/>
          <w:szCs w:val="3"/>
        </w:rPr>
      </w:pPr>
    </w:p>
    <w:tbl>
      <w:tblPr>
        <w:tblW w:w="0" w:type="auto"/>
        <w:jc w:val="left"/>
        <w:tblInd w:w="183" w:type="dxa"/>
        <w:tblLayout w:type="fixed"/>
        <w:tblCellMar>
          <w:top w:w="0" w:type="dxa"/>
          <w:left w:w="0" w:type="dxa"/>
          <w:bottom w:w="0" w:type="dxa"/>
          <w:right w:w="0" w:type="dxa"/>
        </w:tblCellMar>
        <w:tblLook w:val="01E0"/>
      </w:tblPr>
      <w:tblGrid>
        <w:gridCol w:w="2465"/>
        <w:gridCol w:w="3216"/>
        <w:gridCol w:w="3215"/>
      </w:tblGrid>
      <w:tr>
        <w:trPr>
          <w:trHeight w:val="317" w:hRule="exact"/>
        </w:trPr>
        <w:tc>
          <w:tcPr>
            <w:tcW w:w="2465"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项目</w:t>
            </w:r>
          </w:p>
        </w:tc>
        <w:tc>
          <w:tcPr>
            <w:tcW w:w="321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970" w:right="0"/>
              <w:jc w:val="left"/>
              <w:rPr>
                <w:rFonts w:ascii="宋体" w:hAnsi="宋体" w:cs="宋体" w:eastAsia="宋体" w:hint="default"/>
                <w:sz w:val="21"/>
                <w:szCs w:val="21"/>
              </w:rPr>
            </w:pPr>
            <w:r>
              <w:rPr>
                <w:rFonts w:ascii="宋体" w:hAnsi="宋体" w:cs="宋体" w:eastAsia="宋体" w:hint="default"/>
                <w:sz w:val="21"/>
                <w:szCs w:val="21"/>
              </w:rPr>
              <w:t>本期计提金额</w:t>
            </w:r>
          </w:p>
        </w:tc>
        <w:tc>
          <w:tcPr>
            <w:tcW w:w="3215"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sz w:val="21"/>
                <w:szCs w:val="21"/>
              </w:rPr>
              <w:t>计提原因</w:t>
            </w:r>
          </w:p>
        </w:tc>
      </w:tr>
      <w:tr>
        <w:trPr>
          <w:trHeight w:val="317" w:hRule="exact"/>
        </w:trPr>
        <w:tc>
          <w:tcPr>
            <w:tcW w:w="2465" w:type="dxa"/>
            <w:tcBorders>
              <w:top w:val="single" w:sz="2" w:space="0" w:color="000000"/>
              <w:left w:val="single" w:sz="2" w:space="0" w:color="000000"/>
              <w:bottom w:val="single" w:sz="2" w:space="0" w:color="000000"/>
              <w:right w:val="single" w:sz="2" w:space="0" w:color="000000"/>
            </w:tcBorders>
          </w:tcPr>
          <w:p>
            <w:pPr/>
          </w:p>
        </w:tc>
        <w:tc>
          <w:tcPr>
            <w:tcW w:w="3216" w:type="dxa"/>
            <w:tcBorders>
              <w:top w:val="single" w:sz="2" w:space="0" w:color="000000"/>
              <w:left w:val="single" w:sz="2" w:space="0" w:color="000000"/>
              <w:bottom w:val="single" w:sz="2" w:space="0" w:color="000000"/>
              <w:right w:val="single" w:sz="2" w:space="0" w:color="000000"/>
            </w:tcBorders>
          </w:tcPr>
          <w:p>
            <w:pPr/>
          </w:p>
        </w:tc>
        <w:tc>
          <w:tcPr>
            <w:tcW w:w="3215" w:type="dxa"/>
            <w:tcBorders>
              <w:top w:val="single" w:sz="2" w:space="0" w:color="000000"/>
              <w:left w:val="single" w:sz="2" w:space="0" w:color="000000"/>
              <w:bottom w:val="single" w:sz="2" w:space="0" w:color="000000"/>
              <w:right w:val="single" w:sz="2" w:space="0" w:color="000000"/>
            </w:tcBorders>
          </w:tcPr>
          <w:p>
            <w:pPr/>
          </w:p>
        </w:tc>
      </w:tr>
      <w:tr>
        <w:trPr>
          <w:trHeight w:val="317" w:hRule="exact"/>
        </w:trPr>
        <w:tc>
          <w:tcPr>
            <w:tcW w:w="2465" w:type="dxa"/>
            <w:tcBorders>
              <w:top w:val="single" w:sz="2" w:space="0" w:color="000000"/>
              <w:left w:val="single" w:sz="2" w:space="0" w:color="000000"/>
              <w:bottom w:val="single" w:sz="2" w:space="0" w:color="000000"/>
              <w:right w:val="single" w:sz="2" w:space="0" w:color="000000"/>
            </w:tcBorders>
          </w:tcPr>
          <w:p>
            <w:pPr/>
          </w:p>
        </w:tc>
        <w:tc>
          <w:tcPr>
            <w:tcW w:w="3216" w:type="dxa"/>
            <w:tcBorders>
              <w:top w:val="single" w:sz="2" w:space="0" w:color="000000"/>
              <w:left w:val="single" w:sz="2" w:space="0" w:color="000000"/>
              <w:bottom w:val="single" w:sz="2" w:space="0" w:color="000000"/>
              <w:right w:val="single" w:sz="2" w:space="0" w:color="000000"/>
            </w:tcBorders>
          </w:tcPr>
          <w:p>
            <w:pPr/>
          </w:p>
        </w:tc>
        <w:tc>
          <w:tcPr>
            <w:tcW w:w="3215" w:type="dxa"/>
            <w:tcBorders>
              <w:top w:val="single" w:sz="2" w:space="0" w:color="000000"/>
              <w:left w:val="single" w:sz="2" w:space="0" w:color="000000"/>
              <w:bottom w:val="single" w:sz="2" w:space="0" w:color="000000"/>
              <w:right w:val="single" w:sz="2" w:space="0" w:color="000000"/>
            </w:tcBorders>
          </w:tcPr>
          <w:p>
            <w:pPr/>
          </w:p>
        </w:tc>
      </w:tr>
      <w:tr>
        <w:trPr>
          <w:trHeight w:val="318" w:hRule="exact"/>
        </w:trPr>
        <w:tc>
          <w:tcPr>
            <w:tcW w:w="2465"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3216" w:type="dxa"/>
            <w:tcBorders>
              <w:top w:val="single" w:sz="2" w:space="0" w:color="000000"/>
              <w:left w:val="single" w:sz="2" w:space="0" w:color="000000"/>
              <w:bottom w:val="single" w:sz="2" w:space="0" w:color="000000"/>
              <w:right w:val="single" w:sz="2" w:space="0" w:color="000000"/>
            </w:tcBorders>
          </w:tcPr>
          <w:p>
            <w:pPr/>
          </w:p>
        </w:tc>
        <w:tc>
          <w:tcPr>
            <w:tcW w:w="3215"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9"/>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right="114"/>
        <w:jc w:val="left"/>
      </w:pPr>
      <w:r>
        <w:rPr/>
        <w:t>其他说明</w:t>
      </w:r>
    </w:p>
    <w:p>
      <w:pPr>
        <w:spacing w:line="240" w:lineRule="auto" w:before="13"/>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a">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pStyle w:val="Heading3"/>
        <w:spacing w:line="240" w:lineRule="auto"/>
        <w:ind w:right="114"/>
        <w:jc w:val="left"/>
        <w:rPr>
          <w:b w:val="0"/>
          <w:bCs w:val="0"/>
        </w:rPr>
      </w:pPr>
      <w:r>
        <w:rPr/>
        <w:t>21、</w:t>
      </w:r>
      <w:r>
        <w:rPr>
          <w:spacing w:val="-26"/>
        </w:rPr>
        <w:t> </w:t>
      </w:r>
      <w:r>
        <w:rPr/>
        <w:t>工程物资</w:t>
      </w:r>
      <w:r>
        <w:rPr>
          <w:b w:val="0"/>
          <w:bCs w:val="0"/>
        </w:rPr>
      </w:r>
    </w:p>
    <w:p>
      <w:pPr>
        <w:pStyle w:val="BodyText"/>
        <w:tabs>
          <w:tab w:pos="1049" w:val="left" w:leader="none"/>
        </w:tabs>
        <w:spacing w:line="240" w:lineRule="auto" w:before="76"/>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466"/>
        <w:gridCol w:w="3208"/>
        <w:gridCol w:w="3220"/>
      </w:tblGrid>
      <w:tr>
        <w:trPr>
          <w:trHeight w:val="287" w:hRule="exact"/>
        </w:trPr>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6" w:hRule="exact"/>
        </w:trPr>
        <w:tc>
          <w:tcPr>
            <w:tcW w:w="2466" w:type="dxa"/>
            <w:tcBorders>
              <w:top w:val="single" w:sz="6" w:space="0" w:color="000000"/>
              <w:left w:val="single" w:sz="6" w:space="0" w:color="000000"/>
              <w:bottom w:val="single" w:sz="6" w:space="0" w:color="000000"/>
              <w:right w:val="single" w:sz="6" w:space="0" w:color="000000"/>
            </w:tcBorders>
          </w:tcPr>
          <w:p>
            <w:pPr/>
          </w:p>
        </w:tc>
        <w:tc>
          <w:tcPr>
            <w:tcW w:w="3208" w:type="dxa"/>
            <w:tcBorders>
              <w:top w:val="single" w:sz="6" w:space="0" w:color="000000"/>
              <w:left w:val="single" w:sz="6" w:space="0" w:color="000000"/>
              <w:bottom w:val="single" w:sz="6" w:space="0" w:color="000000"/>
              <w:right w:val="single" w:sz="6" w:space="0" w:color="000000"/>
            </w:tcBorders>
          </w:tcPr>
          <w:p>
            <w:pPr/>
          </w:p>
        </w:tc>
        <w:tc>
          <w:tcPr>
            <w:tcW w:w="32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466" w:type="dxa"/>
            <w:tcBorders>
              <w:top w:val="single" w:sz="6" w:space="0" w:color="000000"/>
              <w:left w:val="single" w:sz="6" w:space="0" w:color="000000"/>
              <w:bottom w:val="single" w:sz="6" w:space="0" w:color="000000"/>
              <w:right w:val="single" w:sz="6" w:space="0" w:color="000000"/>
            </w:tcBorders>
          </w:tcPr>
          <w:p>
            <w:pPr/>
          </w:p>
        </w:tc>
        <w:tc>
          <w:tcPr>
            <w:tcW w:w="3208" w:type="dxa"/>
            <w:tcBorders>
              <w:top w:val="single" w:sz="6" w:space="0" w:color="000000"/>
              <w:left w:val="single" w:sz="6" w:space="0" w:color="000000"/>
              <w:bottom w:val="single" w:sz="6" w:space="0" w:color="000000"/>
              <w:right w:val="single" w:sz="6" w:space="0" w:color="000000"/>
            </w:tcBorders>
          </w:tcPr>
          <w:p>
            <w:pPr/>
          </w:p>
        </w:tc>
        <w:tc>
          <w:tcPr>
            <w:tcW w:w="32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208" w:type="dxa"/>
            <w:tcBorders>
              <w:top w:val="single" w:sz="6" w:space="0" w:color="000000"/>
              <w:left w:val="single" w:sz="6" w:space="0" w:color="000000"/>
              <w:bottom w:val="single" w:sz="6" w:space="0" w:color="000000"/>
              <w:right w:val="single" w:sz="6" w:space="0" w:color="000000"/>
            </w:tcBorders>
          </w:tcPr>
          <w:p>
            <w:pPr/>
          </w:p>
        </w:tc>
        <w:tc>
          <w:tcPr>
            <w:tcW w:w="322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0"/>
          <w:szCs w:val="20"/>
        </w:rPr>
      </w:pPr>
    </w:p>
    <w:p>
      <w:pPr>
        <w:pStyle w:val="BodyText"/>
        <w:spacing w:line="240" w:lineRule="auto" w:before="35"/>
        <w:ind w:right="114"/>
        <w:jc w:val="left"/>
      </w:pPr>
      <w:r>
        <w:rPr/>
        <w:t>其他说明：</w:t>
      </w:r>
    </w:p>
    <w:p>
      <w:pPr>
        <w:spacing w:line="240" w:lineRule="auto" w:before="13"/>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a">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pStyle w:val="Heading3"/>
        <w:spacing w:line="240" w:lineRule="auto"/>
        <w:ind w:right="114"/>
        <w:jc w:val="left"/>
        <w:rPr>
          <w:b w:val="0"/>
          <w:bCs w:val="0"/>
        </w:rPr>
      </w:pPr>
      <w:r>
        <w:rPr/>
        <w:t>22、</w:t>
      </w:r>
      <w:r>
        <w:rPr>
          <w:spacing w:val="-29"/>
        </w:rPr>
        <w:t> </w:t>
      </w:r>
      <w:r>
        <w:rPr/>
        <w:t>固定资产清理</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2465"/>
        <w:gridCol w:w="3221"/>
        <w:gridCol w:w="3208"/>
      </w:tblGrid>
      <w:tr>
        <w:trPr>
          <w:trHeight w:val="326"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0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8" w:hRule="exact"/>
        </w:trPr>
        <w:tc>
          <w:tcPr>
            <w:tcW w:w="2465" w:type="dxa"/>
            <w:tcBorders>
              <w:top w:val="single" w:sz="6" w:space="0" w:color="000000"/>
              <w:left w:val="single" w:sz="6" w:space="0" w:color="000000"/>
              <w:bottom w:val="single" w:sz="6" w:space="0" w:color="000000"/>
              <w:right w:val="single" w:sz="6" w:space="0" w:color="000000"/>
            </w:tcBorders>
          </w:tcPr>
          <w:p>
            <w:pPr/>
          </w:p>
        </w:tc>
        <w:tc>
          <w:tcPr>
            <w:tcW w:w="3221" w:type="dxa"/>
            <w:tcBorders>
              <w:top w:val="single" w:sz="6" w:space="0" w:color="000000"/>
              <w:left w:val="single" w:sz="6" w:space="0" w:color="000000"/>
              <w:bottom w:val="single" w:sz="6" w:space="0" w:color="000000"/>
              <w:right w:val="single" w:sz="6" w:space="0" w:color="000000"/>
            </w:tcBorders>
          </w:tcPr>
          <w:p>
            <w:pPr/>
          </w:p>
        </w:tc>
        <w:tc>
          <w:tcPr>
            <w:tcW w:w="320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465" w:type="dxa"/>
            <w:tcBorders>
              <w:top w:val="single" w:sz="6" w:space="0" w:color="000000"/>
              <w:left w:val="single" w:sz="6" w:space="0" w:color="000000"/>
              <w:bottom w:val="single" w:sz="6" w:space="0" w:color="000000"/>
              <w:right w:val="single" w:sz="6" w:space="0" w:color="000000"/>
            </w:tcBorders>
          </w:tcPr>
          <w:p>
            <w:pPr/>
          </w:p>
        </w:tc>
        <w:tc>
          <w:tcPr>
            <w:tcW w:w="3221" w:type="dxa"/>
            <w:tcBorders>
              <w:top w:val="single" w:sz="6" w:space="0" w:color="000000"/>
              <w:left w:val="single" w:sz="6" w:space="0" w:color="000000"/>
              <w:bottom w:val="single" w:sz="6" w:space="0" w:color="000000"/>
              <w:right w:val="single" w:sz="6" w:space="0" w:color="000000"/>
            </w:tcBorders>
          </w:tcPr>
          <w:p>
            <w:pPr/>
          </w:p>
        </w:tc>
        <w:tc>
          <w:tcPr>
            <w:tcW w:w="320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1" w:type="dxa"/>
            <w:tcBorders>
              <w:top w:val="single" w:sz="6" w:space="0" w:color="000000"/>
              <w:left w:val="single" w:sz="6" w:space="0" w:color="000000"/>
              <w:bottom w:val="single" w:sz="6" w:space="0" w:color="000000"/>
              <w:right w:val="single" w:sz="6" w:space="0" w:color="000000"/>
            </w:tcBorders>
          </w:tcPr>
          <w:p>
            <w:pPr/>
          </w:p>
        </w:tc>
        <w:tc>
          <w:tcPr>
            <w:tcW w:w="320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61" w:lineRule="exact"/>
        <w:ind w:right="114"/>
        <w:jc w:val="left"/>
      </w:pPr>
      <w:r>
        <w:rPr/>
        <w:t>其他说明：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13"/>
          <w:pgSz w:w="11910" w:h="16840"/>
          <w:pgMar w:footer="1197" w:header="0" w:top="1120" w:bottom="1380" w:left="1580" w:right="1040"/>
          <w:pgNumType w:start="122"/>
        </w:sectPr>
      </w:pPr>
    </w:p>
    <w:p>
      <w:pPr>
        <w:spacing w:line="240" w:lineRule="auto" w:before="1"/>
        <w:rPr>
          <w:rFonts w:ascii="宋体" w:hAnsi="宋体" w:cs="宋体" w:eastAsia="宋体" w:hint="default"/>
          <w:sz w:val="15"/>
          <w:szCs w:val="15"/>
        </w:rPr>
      </w:pPr>
    </w:p>
    <w:p>
      <w:pPr>
        <w:pStyle w:val="Heading3"/>
        <w:spacing w:line="240" w:lineRule="auto" w:before="0"/>
        <w:ind w:right="-15"/>
        <w:jc w:val="left"/>
        <w:rPr>
          <w:b w:val="0"/>
          <w:bCs w:val="0"/>
        </w:rPr>
      </w:pPr>
      <w:r>
        <w:rPr/>
        <w:t>23、</w:t>
      </w:r>
      <w:r>
        <w:rPr>
          <w:spacing w:val="-29"/>
        </w:rPr>
        <w:t> </w:t>
      </w:r>
      <w:r>
        <w:rPr/>
        <w:t>生产性生物资产</w:t>
      </w:r>
      <w:r>
        <w:rPr>
          <w:b w:val="0"/>
          <w:bCs w:val="0"/>
        </w:rPr>
      </w:r>
    </w:p>
    <w:p>
      <w:pPr>
        <w:pStyle w:val="Heading3"/>
        <w:spacing w:line="240" w:lineRule="auto" w:before="97"/>
        <w:ind w:right="-15"/>
        <w:jc w:val="left"/>
        <w:rPr>
          <w:b w:val="0"/>
          <w:bCs w:val="0"/>
        </w:rPr>
      </w:pPr>
      <w:r>
        <w:rPr/>
        <w:t>(1).</w:t>
      </w:r>
      <w:r>
        <w:rPr>
          <w:spacing w:val="66"/>
        </w:rPr>
        <w:t> </w:t>
      </w:r>
      <w:r>
        <w:rPr/>
        <w:t>采用成本计量模式的生产性生物资产</w:t>
      </w:r>
      <w:r>
        <w:rPr>
          <w:b w:val="0"/>
          <w:bCs w:val="0"/>
        </w:rPr>
      </w:r>
    </w:p>
    <w:p>
      <w:pPr>
        <w:pStyle w:val="BodyText"/>
        <w:spacing w:line="240" w:lineRule="auto" w:before="97"/>
        <w:ind w:right="-15"/>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tabs>
          <w:tab w:pos="1267" w:val="left" w:leader="none"/>
        </w:tabs>
        <w:spacing w:line="240" w:lineRule="auto"/>
        <w:ind w:right="0"/>
        <w:jc w:val="left"/>
      </w:pPr>
      <w:r>
        <w:rPr/>
        <w:t>单位：元</w:t>
        <w:tab/>
        <w:t>币种：人民币</w:t>
      </w:r>
    </w:p>
    <w:p>
      <w:pPr>
        <w:spacing w:after="0" w:line="240" w:lineRule="auto"/>
        <w:jc w:val="left"/>
        <w:sectPr>
          <w:type w:val="continuous"/>
          <w:pgSz w:w="11910" w:h="16840"/>
          <w:pgMar w:top="1080" w:bottom="1380" w:left="1580" w:right="1040"/>
          <w:cols w:num="2" w:equalWidth="0">
            <w:col w:w="4191" w:space="2332"/>
            <w:col w:w="2767"/>
          </w:cols>
        </w:sectPr>
      </w:pP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608"/>
        <w:gridCol w:w="626"/>
        <w:gridCol w:w="628"/>
        <w:gridCol w:w="625"/>
        <w:gridCol w:w="626"/>
        <w:gridCol w:w="626"/>
        <w:gridCol w:w="625"/>
        <w:gridCol w:w="626"/>
        <w:gridCol w:w="626"/>
        <w:gridCol w:w="1432"/>
      </w:tblGrid>
      <w:tr>
        <w:trPr>
          <w:trHeight w:val="635" w:hRule="exact"/>
        </w:trPr>
        <w:tc>
          <w:tcPr>
            <w:tcW w:w="26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06" w:right="0"/>
              <w:jc w:val="left"/>
              <w:rPr>
                <w:rFonts w:ascii="宋体" w:hAnsi="宋体" w:cs="宋体" w:eastAsia="宋体" w:hint="default"/>
                <w:sz w:val="21"/>
                <w:szCs w:val="21"/>
              </w:rPr>
            </w:pPr>
            <w:r>
              <w:rPr>
                <w:rFonts w:ascii="宋体" w:hAnsi="宋体" w:cs="宋体" w:eastAsia="宋体" w:hint="default"/>
                <w:sz w:val="21"/>
                <w:szCs w:val="21"/>
              </w:rPr>
              <w:t>种植业</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04" w:right="0"/>
              <w:jc w:val="left"/>
              <w:rPr>
                <w:rFonts w:ascii="宋体" w:hAnsi="宋体" w:cs="宋体" w:eastAsia="宋体" w:hint="default"/>
                <w:sz w:val="21"/>
                <w:szCs w:val="21"/>
              </w:rPr>
            </w:pPr>
            <w:r>
              <w:rPr>
                <w:rFonts w:ascii="宋体" w:hAnsi="宋体" w:cs="宋体" w:eastAsia="宋体" w:hint="default"/>
                <w:sz w:val="21"/>
                <w:szCs w:val="21"/>
              </w:rPr>
              <w:t>种植业</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畜牧养殖</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业</w:t>
            </w:r>
          </w:p>
        </w:tc>
        <w:tc>
          <w:tcPr>
            <w:tcW w:w="12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畜牧养殖</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业</w:t>
            </w:r>
          </w:p>
        </w:tc>
        <w:tc>
          <w:tcPr>
            <w:tcW w:w="14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634" w:hRule="exact"/>
        </w:trPr>
        <w:tc>
          <w:tcPr>
            <w:tcW w:w="2608" w:type="dxa"/>
            <w:vMerge/>
            <w:tcBorders>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2" w:right="0"/>
              <w:jc w:val="left"/>
              <w:rPr>
                <w:rFonts w:ascii="宋体" w:hAnsi="宋体" w:cs="宋体" w:eastAsia="宋体" w:hint="default"/>
                <w:sz w:val="21"/>
                <w:szCs w:val="21"/>
              </w:rPr>
            </w:pPr>
            <w:r>
              <w:rPr>
                <w:rFonts w:ascii="宋体" w:hAnsi="宋体" w:cs="宋体" w:eastAsia="宋体" w:hint="default"/>
                <w:sz w:val="21"/>
                <w:szCs w:val="21"/>
              </w:rPr>
              <w:t>类</w:t>
            </w:r>
          </w:p>
          <w:p>
            <w:pPr>
              <w:pStyle w:val="TableParagraph"/>
              <w:spacing w:line="240" w:lineRule="auto" w:before="37"/>
              <w:ind w:left="202" w:right="0"/>
              <w:jc w:val="left"/>
              <w:rPr>
                <w:rFonts w:ascii="宋体" w:hAnsi="宋体" w:cs="宋体" w:eastAsia="宋体" w:hint="default"/>
                <w:sz w:val="21"/>
                <w:szCs w:val="21"/>
              </w:rPr>
            </w:pPr>
            <w:r>
              <w:rPr>
                <w:rFonts w:ascii="宋体" w:hAnsi="宋体" w:cs="宋体" w:eastAsia="宋体" w:hint="default"/>
                <w:sz w:val="21"/>
                <w:szCs w:val="21"/>
              </w:rPr>
              <w:t>别</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4" w:right="0"/>
              <w:jc w:val="left"/>
              <w:rPr>
                <w:rFonts w:ascii="宋体" w:hAnsi="宋体" w:cs="宋体" w:eastAsia="宋体" w:hint="default"/>
                <w:sz w:val="21"/>
                <w:szCs w:val="21"/>
              </w:rPr>
            </w:pPr>
            <w:r>
              <w:rPr>
                <w:rFonts w:ascii="宋体" w:hAnsi="宋体" w:cs="宋体" w:eastAsia="宋体" w:hint="default"/>
                <w:sz w:val="21"/>
                <w:szCs w:val="21"/>
              </w:rPr>
              <w:t>类</w:t>
            </w:r>
          </w:p>
          <w:p>
            <w:pPr>
              <w:pStyle w:val="TableParagraph"/>
              <w:spacing w:line="240" w:lineRule="auto" w:before="37"/>
              <w:ind w:left="204" w:right="0"/>
              <w:jc w:val="left"/>
              <w:rPr>
                <w:rFonts w:ascii="宋体" w:hAnsi="宋体" w:cs="宋体" w:eastAsia="宋体" w:hint="default"/>
                <w:sz w:val="21"/>
                <w:szCs w:val="21"/>
              </w:rPr>
            </w:pPr>
            <w:r>
              <w:rPr>
                <w:rFonts w:ascii="宋体" w:hAnsi="宋体" w:cs="宋体" w:eastAsia="宋体" w:hint="default"/>
                <w:sz w:val="21"/>
                <w:szCs w:val="21"/>
              </w:rPr>
              <w:t>别</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1" w:right="0"/>
              <w:jc w:val="left"/>
              <w:rPr>
                <w:rFonts w:ascii="宋体" w:hAnsi="宋体" w:cs="宋体" w:eastAsia="宋体" w:hint="default"/>
                <w:sz w:val="21"/>
                <w:szCs w:val="21"/>
              </w:rPr>
            </w:pPr>
            <w:r>
              <w:rPr>
                <w:rFonts w:ascii="宋体" w:hAnsi="宋体" w:cs="宋体" w:eastAsia="宋体" w:hint="default"/>
                <w:sz w:val="21"/>
                <w:szCs w:val="21"/>
              </w:rPr>
              <w:t>类</w:t>
            </w:r>
          </w:p>
          <w:p>
            <w:pPr>
              <w:pStyle w:val="TableParagraph"/>
              <w:spacing w:line="240" w:lineRule="auto" w:before="37"/>
              <w:ind w:left="201" w:right="0"/>
              <w:jc w:val="left"/>
              <w:rPr>
                <w:rFonts w:ascii="宋体" w:hAnsi="宋体" w:cs="宋体" w:eastAsia="宋体" w:hint="default"/>
                <w:sz w:val="21"/>
                <w:szCs w:val="21"/>
              </w:rPr>
            </w:pPr>
            <w:r>
              <w:rPr>
                <w:rFonts w:ascii="宋体" w:hAnsi="宋体" w:cs="宋体" w:eastAsia="宋体" w:hint="default"/>
                <w:sz w:val="21"/>
                <w:szCs w:val="21"/>
              </w:rPr>
              <w:t>别</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2" w:right="0"/>
              <w:jc w:val="left"/>
              <w:rPr>
                <w:rFonts w:ascii="宋体" w:hAnsi="宋体" w:cs="宋体" w:eastAsia="宋体" w:hint="default"/>
                <w:sz w:val="21"/>
                <w:szCs w:val="21"/>
              </w:rPr>
            </w:pPr>
            <w:r>
              <w:rPr>
                <w:rFonts w:ascii="宋体" w:hAnsi="宋体" w:cs="宋体" w:eastAsia="宋体" w:hint="default"/>
                <w:sz w:val="21"/>
                <w:szCs w:val="21"/>
              </w:rPr>
              <w:t>类</w:t>
            </w:r>
          </w:p>
          <w:p>
            <w:pPr>
              <w:pStyle w:val="TableParagraph"/>
              <w:spacing w:line="240" w:lineRule="auto" w:before="37"/>
              <w:ind w:left="202" w:right="0"/>
              <w:jc w:val="left"/>
              <w:rPr>
                <w:rFonts w:ascii="宋体" w:hAnsi="宋体" w:cs="宋体" w:eastAsia="宋体" w:hint="default"/>
                <w:sz w:val="21"/>
                <w:szCs w:val="21"/>
              </w:rPr>
            </w:pPr>
            <w:r>
              <w:rPr>
                <w:rFonts w:ascii="宋体" w:hAnsi="宋体" w:cs="宋体" w:eastAsia="宋体" w:hint="default"/>
                <w:sz w:val="21"/>
                <w:szCs w:val="21"/>
              </w:rPr>
              <w:t>别</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1" w:right="0"/>
              <w:jc w:val="left"/>
              <w:rPr>
                <w:rFonts w:ascii="宋体" w:hAnsi="宋体" w:cs="宋体" w:eastAsia="宋体" w:hint="default"/>
                <w:sz w:val="21"/>
                <w:szCs w:val="21"/>
              </w:rPr>
            </w:pPr>
            <w:r>
              <w:rPr>
                <w:rFonts w:ascii="宋体" w:hAnsi="宋体" w:cs="宋体" w:eastAsia="宋体" w:hint="default"/>
                <w:sz w:val="21"/>
                <w:szCs w:val="21"/>
              </w:rPr>
              <w:t>类</w:t>
            </w:r>
          </w:p>
          <w:p>
            <w:pPr>
              <w:pStyle w:val="TableParagraph"/>
              <w:spacing w:line="240" w:lineRule="auto" w:before="37"/>
              <w:ind w:left="201" w:right="0"/>
              <w:jc w:val="left"/>
              <w:rPr>
                <w:rFonts w:ascii="宋体" w:hAnsi="宋体" w:cs="宋体" w:eastAsia="宋体" w:hint="default"/>
                <w:sz w:val="21"/>
                <w:szCs w:val="21"/>
              </w:rPr>
            </w:pPr>
            <w:r>
              <w:rPr>
                <w:rFonts w:ascii="宋体" w:hAnsi="宋体" w:cs="宋体" w:eastAsia="宋体" w:hint="default"/>
                <w:sz w:val="21"/>
                <w:szCs w:val="21"/>
              </w:rPr>
              <w:t>别</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1" w:right="0"/>
              <w:jc w:val="left"/>
              <w:rPr>
                <w:rFonts w:ascii="宋体" w:hAnsi="宋体" w:cs="宋体" w:eastAsia="宋体" w:hint="default"/>
                <w:sz w:val="21"/>
                <w:szCs w:val="21"/>
              </w:rPr>
            </w:pPr>
            <w:r>
              <w:rPr>
                <w:rFonts w:ascii="宋体" w:hAnsi="宋体" w:cs="宋体" w:eastAsia="宋体" w:hint="default"/>
                <w:sz w:val="21"/>
                <w:szCs w:val="21"/>
              </w:rPr>
              <w:t>类</w:t>
            </w:r>
          </w:p>
          <w:p>
            <w:pPr>
              <w:pStyle w:val="TableParagraph"/>
              <w:spacing w:line="240" w:lineRule="auto" w:before="37"/>
              <w:ind w:left="201" w:right="0"/>
              <w:jc w:val="left"/>
              <w:rPr>
                <w:rFonts w:ascii="宋体" w:hAnsi="宋体" w:cs="宋体" w:eastAsia="宋体" w:hint="default"/>
                <w:sz w:val="21"/>
                <w:szCs w:val="21"/>
              </w:rPr>
            </w:pPr>
            <w:r>
              <w:rPr>
                <w:rFonts w:ascii="宋体" w:hAnsi="宋体" w:cs="宋体" w:eastAsia="宋体" w:hint="default"/>
                <w:sz w:val="21"/>
                <w:szCs w:val="21"/>
              </w:rPr>
              <w:t>别</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2" w:right="0"/>
              <w:jc w:val="left"/>
              <w:rPr>
                <w:rFonts w:ascii="宋体" w:hAnsi="宋体" w:cs="宋体" w:eastAsia="宋体" w:hint="default"/>
                <w:sz w:val="21"/>
                <w:szCs w:val="21"/>
              </w:rPr>
            </w:pPr>
            <w:r>
              <w:rPr>
                <w:rFonts w:ascii="宋体" w:hAnsi="宋体" w:cs="宋体" w:eastAsia="宋体" w:hint="default"/>
                <w:sz w:val="21"/>
                <w:szCs w:val="21"/>
              </w:rPr>
              <w:t>类</w:t>
            </w:r>
          </w:p>
          <w:p>
            <w:pPr>
              <w:pStyle w:val="TableParagraph"/>
              <w:spacing w:line="240" w:lineRule="auto" w:before="37"/>
              <w:ind w:left="202" w:right="0"/>
              <w:jc w:val="left"/>
              <w:rPr>
                <w:rFonts w:ascii="宋体" w:hAnsi="宋体" w:cs="宋体" w:eastAsia="宋体" w:hint="default"/>
                <w:sz w:val="21"/>
                <w:szCs w:val="21"/>
              </w:rPr>
            </w:pPr>
            <w:r>
              <w:rPr>
                <w:rFonts w:ascii="宋体" w:hAnsi="宋体" w:cs="宋体" w:eastAsia="宋体" w:hint="default"/>
                <w:sz w:val="21"/>
                <w:szCs w:val="21"/>
              </w:rPr>
              <w:t>别</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1" w:right="0"/>
              <w:jc w:val="left"/>
              <w:rPr>
                <w:rFonts w:ascii="宋体" w:hAnsi="宋体" w:cs="宋体" w:eastAsia="宋体" w:hint="default"/>
                <w:sz w:val="21"/>
                <w:szCs w:val="21"/>
              </w:rPr>
            </w:pPr>
            <w:r>
              <w:rPr>
                <w:rFonts w:ascii="宋体" w:hAnsi="宋体" w:cs="宋体" w:eastAsia="宋体" w:hint="default"/>
                <w:sz w:val="21"/>
                <w:szCs w:val="21"/>
              </w:rPr>
              <w:t>类</w:t>
            </w:r>
          </w:p>
          <w:p>
            <w:pPr>
              <w:pStyle w:val="TableParagraph"/>
              <w:spacing w:line="240" w:lineRule="auto" w:before="37"/>
              <w:ind w:left="201" w:right="0"/>
              <w:jc w:val="left"/>
              <w:rPr>
                <w:rFonts w:ascii="宋体" w:hAnsi="宋体" w:cs="宋体" w:eastAsia="宋体" w:hint="default"/>
                <w:sz w:val="21"/>
                <w:szCs w:val="21"/>
              </w:rPr>
            </w:pPr>
            <w:r>
              <w:rPr>
                <w:rFonts w:ascii="宋体" w:hAnsi="宋体" w:cs="宋体" w:eastAsia="宋体" w:hint="default"/>
                <w:sz w:val="21"/>
                <w:szCs w:val="21"/>
              </w:rPr>
              <w:t>别</w:t>
            </w:r>
          </w:p>
        </w:tc>
        <w:tc>
          <w:tcPr>
            <w:tcW w:w="1432" w:type="dxa"/>
            <w:vMerge/>
            <w:tcBorders>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626"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1.期初余额</w:t>
            </w:r>
          </w:p>
        </w:tc>
        <w:tc>
          <w:tcPr>
            <w:tcW w:w="626"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2.本期增加金额</w:t>
            </w:r>
          </w:p>
        </w:tc>
        <w:tc>
          <w:tcPr>
            <w:tcW w:w="626"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608"/>
        <w:gridCol w:w="626"/>
        <w:gridCol w:w="628"/>
        <w:gridCol w:w="625"/>
        <w:gridCol w:w="626"/>
        <w:gridCol w:w="626"/>
        <w:gridCol w:w="625"/>
        <w:gridCol w:w="626"/>
        <w:gridCol w:w="626"/>
        <w:gridCol w:w="1432"/>
      </w:tblGrid>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38" w:right="0"/>
              <w:jc w:val="left"/>
              <w:rPr>
                <w:rFonts w:ascii="宋体" w:hAnsi="宋体" w:cs="宋体" w:eastAsia="宋体" w:hint="default"/>
                <w:sz w:val="21"/>
                <w:szCs w:val="21"/>
              </w:rPr>
            </w:pPr>
            <w:r>
              <w:rPr>
                <w:rFonts w:ascii="宋体" w:hAnsi="宋体" w:cs="宋体" w:eastAsia="宋体" w:hint="default"/>
                <w:sz w:val="21"/>
                <w:szCs w:val="21"/>
              </w:rPr>
              <w:t>(1)外购</w:t>
            </w:r>
          </w:p>
        </w:tc>
        <w:tc>
          <w:tcPr>
            <w:tcW w:w="626"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603"/>
              <w:jc w:val="right"/>
              <w:rPr>
                <w:rFonts w:ascii="宋体" w:hAnsi="宋体" w:cs="宋体" w:eastAsia="宋体" w:hint="default"/>
                <w:sz w:val="21"/>
                <w:szCs w:val="21"/>
              </w:rPr>
            </w:pPr>
            <w:r>
              <w:rPr>
                <w:rFonts w:ascii="宋体" w:hAnsi="宋体" w:cs="宋体" w:eastAsia="宋体" w:hint="default"/>
                <w:spacing w:val="-1"/>
                <w:sz w:val="21"/>
                <w:szCs w:val="21"/>
              </w:rPr>
              <w:t>(2)自行培育</w:t>
            </w:r>
          </w:p>
        </w:tc>
        <w:tc>
          <w:tcPr>
            <w:tcW w:w="626"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03"/>
              <w:jc w:val="right"/>
              <w:rPr>
                <w:rFonts w:ascii="宋体" w:hAnsi="宋体" w:cs="宋体" w:eastAsia="宋体" w:hint="default"/>
                <w:sz w:val="21"/>
                <w:szCs w:val="21"/>
              </w:rPr>
            </w:pPr>
            <w:r>
              <w:rPr>
                <w:rFonts w:ascii="宋体" w:hAnsi="宋体" w:cs="宋体" w:eastAsia="宋体" w:hint="default"/>
                <w:spacing w:val="-1"/>
                <w:sz w:val="21"/>
                <w:szCs w:val="21"/>
              </w:rPr>
              <w:t>3.本期减少金额</w:t>
            </w:r>
          </w:p>
        </w:tc>
        <w:tc>
          <w:tcPr>
            <w:tcW w:w="626"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38" w:right="0"/>
              <w:jc w:val="left"/>
              <w:rPr>
                <w:rFonts w:ascii="宋体" w:hAnsi="宋体" w:cs="宋体" w:eastAsia="宋体" w:hint="default"/>
                <w:sz w:val="21"/>
                <w:szCs w:val="21"/>
              </w:rPr>
            </w:pPr>
            <w:r>
              <w:rPr>
                <w:rFonts w:ascii="宋体" w:hAnsi="宋体" w:cs="宋体" w:eastAsia="宋体" w:hint="default"/>
                <w:sz w:val="21"/>
                <w:szCs w:val="21"/>
              </w:rPr>
              <w:t>(1)处置</w:t>
            </w:r>
          </w:p>
        </w:tc>
        <w:tc>
          <w:tcPr>
            <w:tcW w:w="626"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38" w:right="0"/>
              <w:jc w:val="left"/>
              <w:rPr>
                <w:rFonts w:ascii="宋体" w:hAnsi="宋体" w:cs="宋体" w:eastAsia="宋体" w:hint="default"/>
                <w:sz w:val="21"/>
                <w:szCs w:val="21"/>
              </w:rPr>
            </w:pPr>
            <w:r>
              <w:rPr>
                <w:rFonts w:ascii="宋体" w:hAnsi="宋体" w:cs="宋体" w:eastAsia="宋体" w:hint="default"/>
                <w:sz w:val="21"/>
                <w:szCs w:val="21"/>
              </w:rPr>
              <w:t>(2)其他</w:t>
            </w:r>
          </w:p>
        </w:tc>
        <w:tc>
          <w:tcPr>
            <w:tcW w:w="626"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4.期末余额</w:t>
            </w:r>
          </w:p>
        </w:tc>
        <w:tc>
          <w:tcPr>
            <w:tcW w:w="626"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626"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1.期初余额</w:t>
            </w:r>
          </w:p>
        </w:tc>
        <w:tc>
          <w:tcPr>
            <w:tcW w:w="626"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603"/>
              <w:jc w:val="right"/>
              <w:rPr>
                <w:rFonts w:ascii="宋体" w:hAnsi="宋体" w:cs="宋体" w:eastAsia="宋体" w:hint="default"/>
                <w:sz w:val="21"/>
                <w:szCs w:val="21"/>
              </w:rPr>
            </w:pPr>
            <w:r>
              <w:rPr>
                <w:rFonts w:ascii="宋体" w:hAnsi="宋体" w:cs="宋体" w:eastAsia="宋体" w:hint="default"/>
                <w:spacing w:val="-1"/>
                <w:sz w:val="21"/>
                <w:szCs w:val="21"/>
              </w:rPr>
              <w:t>2.本期增加金额</w:t>
            </w:r>
          </w:p>
        </w:tc>
        <w:tc>
          <w:tcPr>
            <w:tcW w:w="626"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3" w:right="0"/>
              <w:jc w:val="left"/>
              <w:rPr>
                <w:rFonts w:ascii="宋体" w:hAnsi="宋体" w:cs="宋体" w:eastAsia="宋体" w:hint="default"/>
                <w:sz w:val="21"/>
                <w:szCs w:val="21"/>
              </w:rPr>
            </w:pPr>
            <w:r>
              <w:rPr>
                <w:rFonts w:ascii="宋体" w:hAnsi="宋体" w:cs="宋体" w:eastAsia="宋体" w:hint="default"/>
                <w:sz w:val="21"/>
                <w:szCs w:val="21"/>
              </w:rPr>
              <w:t>(1)计提</w:t>
            </w:r>
          </w:p>
        </w:tc>
        <w:tc>
          <w:tcPr>
            <w:tcW w:w="626"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03"/>
              <w:jc w:val="right"/>
              <w:rPr>
                <w:rFonts w:ascii="宋体" w:hAnsi="宋体" w:cs="宋体" w:eastAsia="宋体" w:hint="default"/>
                <w:sz w:val="21"/>
                <w:szCs w:val="21"/>
              </w:rPr>
            </w:pPr>
            <w:r>
              <w:rPr>
                <w:rFonts w:ascii="宋体" w:hAnsi="宋体" w:cs="宋体" w:eastAsia="宋体" w:hint="default"/>
                <w:spacing w:val="-1"/>
                <w:sz w:val="21"/>
                <w:szCs w:val="21"/>
              </w:rPr>
              <w:t>3.本期减少金额</w:t>
            </w:r>
          </w:p>
        </w:tc>
        <w:tc>
          <w:tcPr>
            <w:tcW w:w="626"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3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处置</w:t>
            </w:r>
          </w:p>
        </w:tc>
        <w:tc>
          <w:tcPr>
            <w:tcW w:w="626"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38" w:right="0"/>
              <w:jc w:val="left"/>
              <w:rPr>
                <w:rFonts w:ascii="宋体" w:hAnsi="宋体" w:cs="宋体" w:eastAsia="宋体" w:hint="default"/>
                <w:sz w:val="21"/>
                <w:szCs w:val="21"/>
              </w:rPr>
            </w:pPr>
            <w:r>
              <w:rPr>
                <w:rFonts w:ascii="宋体" w:hAnsi="宋体" w:cs="宋体" w:eastAsia="宋体" w:hint="default"/>
                <w:sz w:val="21"/>
                <w:szCs w:val="21"/>
              </w:rPr>
              <w:t>(2)其他</w:t>
            </w:r>
          </w:p>
        </w:tc>
        <w:tc>
          <w:tcPr>
            <w:tcW w:w="626"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4.期末余额</w:t>
            </w:r>
          </w:p>
        </w:tc>
        <w:tc>
          <w:tcPr>
            <w:tcW w:w="626"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626"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1.期初余额</w:t>
            </w:r>
          </w:p>
        </w:tc>
        <w:tc>
          <w:tcPr>
            <w:tcW w:w="626"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03"/>
              <w:jc w:val="right"/>
              <w:rPr>
                <w:rFonts w:ascii="宋体" w:hAnsi="宋体" w:cs="宋体" w:eastAsia="宋体" w:hint="default"/>
                <w:sz w:val="21"/>
                <w:szCs w:val="21"/>
              </w:rPr>
            </w:pPr>
            <w:r>
              <w:rPr>
                <w:rFonts w:ascii="宋体" w:hAnsi="宋体" w:cs="宋体" w:eastAsia="宋体" w:hint="default"/>
                <w:spacing w:val="-1"/>
                <w:sz w:val="21"/>
                <w:szCs w:val="21"/>
              </w:rPr>
              <w:t>2.本期增加金额</w:t>
            </w:r>
          </w:p>
        </w:tc>
        <w:tc>
          <w:tcPr>
            <w:tcW w:w="626"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3" w:right="0"/>
              <w:jc w:val="left"/>
              <w:rPr>
                <w:rFonts w:ascii="宋体" w:hAnsi="宋体" w:cs="宋体" w:eastAsia="宋体" w:hint="default"/>
                <w:sz w:val="21"/>
                <w:szCs w:val="21"/>
              </w:rPr>
            </w:pPr>
            <w:r>
              <w:rPr>
                <w:rFonts w:ascii="宋体" w:hAnsi="宋体" w:cs="宋体" w:eastAsia="宋体" w:hint="default"/>
                <w:sz w:val="21"/>
                <w:szCs w:val="21"/>
              </w:rPr>
              <w:t>(1)计提</w:t>
            </w:r>
          </w:p>
        </w:tc>
        <w:tc>
          <w:tcPr>
            <w:tcW w:w="626"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03"/>
              <w:jc w:val="right"/>
              <w:rPr>
                <w:rFonts w:ascii="宋体" w:hAnsi="宋体" w:cs="宋体" w:eastAsia="宋体" w:hint="default"/>
                <w:sz w:val="21"/>
                <w:szCs w:val="21"/>
              </w:rPr>
            </w:pPr>
            <w:r>
              <w:rPr>
                <w:rFonts w:ascii="宋体" w:hAnsi="宋体" w:cs="宋体" w:eastAsia="宋体" w:hint="default"/>
                <w:spacing w:val="-1"/>
                <w:sz w:val="21"/>
                <w:szCs w:val="21"/>
              </w:rPr>
              <w:t>3.本期减少金额</w:t>
            </w:r>
          </w:p>
        </w:tc>
        <w:tc>
          <w:tcPr>
            <w:tcW w:w="626"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38" w:right="0"/>
              <w:jc w:val="left"/>
              <w:rPr>
                <w:rFonts w:ascii="宋体" w:hAnsi="宋体" w:cs="宋体" w:eastAsia="宋体" w:hint="default"/>
                <w:sz w:val="21"/>
                <w:szCs w:val="21"/>
              </w:rPr>
            </w:pPr>
            <w:r>
              <w:rPr>
                <w:rFonts w:ascii="宋体" w:hAnsi="宋体" w:cs="宋体" w:eastAsia="宋体" w:hint="default"/>
                <w:sz w:val="21"/>
                <w:szCs w:val="21"/>
              </w:rPr>
              <w:t>(1)处置</w:t>
            </w:r>
          </w:p>
        </w:tc>
        <w:tc>
          <w:tcPr>
            <w:tcW w:w="626"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38" w:right="0"/>
              <w:jc w:val="left"/>
              <w:rPr>
                <w:rFonts w:ascii="宋体" w:hAnsi="宋体" w:cs="宋体" w:eastAsia="宋体" w:hint="default"/>
                <w:sz w:val="21"/>
                <w:szCs w:val="21"/>
              </w:rPr>
            </w:pPr>
            <w:r>
              <w:rPr>
                <w:rFonts w:ascii="宋体" w:hAnsi="宋体" w:cs="宋体" w:eastAsia="宋体" w:hint="default"/>
                <w:sz w:val="21"/>
                <w:szCs w:val="21"/>
              </w:rPr>
              <w:t>(2)其他</w:t>
            </w:r>
          </w:p>
        </w:tc>
        <w:tc>
          <w:tcPr>
            <w:tcW w:w="626"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8"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4.期末余额</w:t>
            </w:r>
          </w:p>
        </w:tc>
        <w:tc>
          <w:tcPr>
            <w:tcW w:w="626"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626"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02"/>
              <w:jc w:val="right"/>
              <w:rPr>
                <w:rFonts w:ascii="宋体" w:hAnsi="宋体" w:cs="宋体" w:eastAsia="宋体" w:hint="default"/>
                <w:sz w:val="21"/>
                <w:szCs w:val="21"/>
              </w:rPr>
            </w:pPr>
            <w:r>
              <w:rPr>
                <w:rFonts w:ascii="宋体" w:hAnsi="宋体" w:cs="宋体" w:eastAsia="宋体" w:hint="default"/>
                <w:spacing w:val="-1"/>
                <w:sz w:val="21"/>
                <w:szCs w:val="21"/>
              </w:rPr>
              <w:t>1.期末账面价值</w:t>
            </w:r>
          </w:p>
        </w:tc>
        <w:tc>
          <w:tcPr>
            <w:tcW w:w="626"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02"/>
              <w:jc w:val="right"/>
              <w:rPr>
                <w:rFonts w:ascii="宋体" w:hAnsi="宋体" w:cs="宋体" w:eastAsia="宋体" w:hint="default"/>
                <w:sz w:val="21"/>
                <w:szCs w:val="21"/>
              </w:rPr>
            </w:pPr>
            <w:r>
              <w:rPr>
                <w:rFonts w:ascii="宋体" w:hAnsi="宋体" w:cs="宋体" w:eastAsia="宋体" w:hint="default"/>
                <w:spacing w:val="-1"/>
                <w:sz w:val="21"/>
                <w:szCs w:val="21"/>
              </w:rPr>
              <w:t>2.期初账面价值</w:t>
            </w:r>
          </w:p>
        </w:tc>
        <w:tc>
          <w:tcPr>
            <w:tcW w:w="626"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1197" w:top="1120" w:bottom="1380" w:left="1580" w:right="1040"/>
        </w:sectPr>
      </w:pPr>
    </w:p>
    <w:p>
      <w:pPr>
        <w:pStyle w:val="Heading3"/>
        <w:spacing w:line="240" w:lineRule="auto"/>
        <w:ind w:right="-14"/>
        <w:jc w:val="left"/>
        <w:rPr>
          <w:b w:val="0"/>
          <w:bCs w:val="0"/>
        </w:rPr>
      </w:pPr>
      <w:r>
        <w:rPr/>
        <w:t>(2).</w:t>
      </w:r>
      <w:r>
        <w:rPr>
          <w:spacing w:val="67"/>
        </w:rPr>
        <w:t> </w:t>
      </w:r>
      <w:r>
        <w:rPr/>
        <w:t>采用公允价值计量模式的生产性生物资产</w:t>
      </w:r>
      <w:r>
        <w:rPr>
          <w:b w:val="0"/>
          <w:bCs w:val="0"/>
        </w:rPr>
      </w:r>
    </w:p>
    <w:p>
      <w:pPr>
        <w:pStyle w:val="BodyText"/>
        <w:spacing w:line="240" w:lineRule="auto" w:before="97"/>
        <w:ind w:right="-14"/>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tabs>
          <w:tab w:pos="1267" w:val="left" w:leader="none"/>
        </w:tabs>
        <w:spacing w:line="240" w:lineRule="auto"/>
        <w:ind w:right="0"/>
        <w:jc w:val="left"/>
      </w:pPr>
      <w:r>
        <w:rPr/>
        <w:t>单位：元</w:t>
        <w:tab/>
        <w:t>币种：人民币</w:t>
      </w:r>
    </w:p>
    <w:p>
      <w:pPr>
        <w:spacing w:after="0" w:line="240" w:lineRule="auto"/>
        <w:jc w:val="left"/>
        <w:sectPr>
          <w:type w:val="continuous"/>
          <w:pgSz w:w="11910" w:h="16840"/>
          <w:pgMar w:top="1080" w:bottom="1380" w:left="1580" w:right="1040"/>
          <w:cols w:num="2" w:equalWidth="0">
            <w:col w:w="4615" w:space="1908"/>
            <w:col w:w="2767"/>
          </w:cols>
        </w:sectPr>
      </w:pP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533"/>
        <w:gridCol w:w="644"/>
        <w:gridCol w:w="646"/>
        <w:gridCol w:w="646"/>
        <w:gridCol w:w="647"/>
        <w:gridCol w:w="646"/>
        <w:gridCol w:w="646"/>
        <w:gridCol w:w="647"/>
        <w:gridCol w:w="646"/>
        <w:gridCol w:w="1350"/>
      </w:tblGrid>
      <w:tr>
        <w:trPr>
          <w:trHeight w:val="350" w:hRule="exact"/>
        </w:trPr>
        <w:tc>
          <w:tcPr>
            <w:tcW w:w="2533" w:type="dxa"/>
            <w:vMerge w:val="restart"/>
            <w:tcBorders>
              <w:top w:val="single" w:sz="4" w:space="0" w:color="000000"/>
              <w:left w:val="single" w:sz="4" w:space="0" w:color="000000"/>
              <w:right w:val="single" w:sz="4" w:space="0" w:color="000000"/>
            </w:tcBorders>
          </w:tcPr>
          <w:p>
            <w:pPr>
              <w:pStyle w:val="TableParagraph"/>
              <w:spacing w:line="240" w:lineRule="auto" w:before="174"/>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4" w:right="0"/>
              <w:jc w:val="left"/>
              <w:rPr>
                <w:rFonts w:ascii="宋体" w:hAnsi="宋体" w:cs="宋体" w:eastAsia="宋体" w:hint="default"/>
                <w:sz w:val="21"/>
                <w:szCs w:val="21"/>
              </w:rPr>
            </w:pPr>
            <w:r>
              <w:rPr>
                <w:rFonts w:ascii="宋体" w:hAnsi="宋体" w:cs="宋体" w:eastAsia="宋体" w:hint="default"/>
                <w:sz w:val="21"/>
                <w:szCs w:val="21"/>
              </w:rPr>
              <w:t>种植业</w:t>
            </w:r>
          </w:p>
        </w:tc>
        <w:tc>
          <w:tcPr>
            <w:tcW w:w="1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5" w:right="0"/>
              <w:jc w:val="left"/>
              <w:rPr>
                <w:rFonts w:ascii="宋体" w:hAnsi="宋体" w:cs="宋体" w:eastAsia="宋体" w:hint="default"/>
                <w:sz w:val="21"/>
                <w:szCs w:val="21"/>
              </w:rPr>
            </w:pPr>
            <w:r>
              <w:rPr>
                <w:rFonts w:ascii="宋体" w:hAnsi="宋体" w:cs="宋体" w:eastAsia="宋体" w:hint="default"/>
                <w:sz w:val="21"/>
                <w:szCs w:val="21"/>
              </w:rPr>
              <w:t>种植业</w:t>
            </w:r>
          </w:p>
        </w:tc>
        <w:tc>
          <w:tcPr>
            <w:tcW w:w="12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畜牧养殖业</w:t>
            </w:r>
          </w:p>
        </w:tc>
        <w:tc>
          <w:tcPr>
            <w:tcW w:w="1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6" w:right="0"/>
              <w:jc w:val="left"/>
              <w:rPr>
                <w:rFonts w:ascii="宋体" w:hAnsi="宋体" w:cs="宋体" w:eastAsia="宋体" w:hint="default"/>
                <w:sz w:val="21"/>
                <w:szCs w:val="21"/>
              </w:rPr>
            </w:pPr>
            <w:r>
              <w:rPr>
                <w:rFonts w:ascii="宋体" w:hAnsi="宋体" w:cs="宋体" w:eastAsia="宋体" w:hint="default"/>
                <w:sz w:val="21"/>
                <w:szCs w:val="21"/>
              </w:rPr>
              <w:t>畜牧养殖业</w:t>
            </w:r>
          </w:p>
        </w:tc>
        <w:tc>
          <w:tcPr>
            <w:tcW w:w="1350" w:type="dxa"/>
            <w:vMerge w:val="restart"/>
            <w:tcBorders>
              <w:top w:val="single" w:sz="4" w:space="0" w:color="000000"/>
              <w:left w:val="single" w:sz="4" w:space="0" w:color="000000"/>
              <w:right w:val="single" w:sz="4" w:space="0" w:color="000000"/>
            </w:tcBorders>
          </w:tcPr>
          <w:p>
            <w:pPr>
              <w:pStyle w:val="TableParagraph"/>
              <w:spacing w:line="240" w:lineRule="auto" w:before="174"/>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2533" w:type="dxa"/>
            <w:vMerge/>
            <w:tcBorders>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1350" w:type="dxa"/>
            <w:vMerge/>
            <w:tcBorders>
              <w:left w:val="single" w:sz="4" w:space="0" w:color="000000"/>
              <w:bottom w:val="single" w:sz="4" w:space="0" w:color="000000"/>
              <w:right w:val="single" w:sz="4" w:space="0" w:color="000000"/>
            </w:tcBorders>
          </w:tcPr>
          <w:p>
            <w:pPr/>
          </w:p>
        </w:tc>
      </w:tr>
      <w:tr>
        <w:trPr>
          <w:trHeight w:val="349"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一、期初余额</w:t>
            </w:r>
          </w:p>
        </w:tc>
        <w:tc>
          <w:tcPr>
            <w:tcW w:w="64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二、本期变动</w:t>
            </w:r>
          </w:p>
        </w:tc>
        <w:tc>
          <w:tcPr>
            <w:tcW w:w="64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533"/>
        <w:gridCol w:w="644"/>
        <w:gridCol w:w="646"/>
        <w:gridCol w:w="646"/>
        <w:gridCol w:w="647"/>
        <w:gridCol w:w="646"/>
        <w:gridCol w:w="646"/>
        <w:gridCol w:w="647"/>
        <w:gridCol w:w="646"/>
        <w:gridCol w:w="1350"/>
      </w:tblGrid>
      <w:tr>
        <w:trPr>
          <w:trHeight w:val="350"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加：外购</w:t>
            </w:r>
          </w:p>
        </w:tc>
        <w:tc>
          <w:tcPr>
            <w:tcW w:w="64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43" w:right="0"/>
              <w:jc w:val="left"/>
              <w:rPr>
                <w:rFonts w:ascii="宋体" w:hAnsi="宋体" w:cs="宋体" w:eastAsia="宋体" w:hint="default"/>
                <w:sz w:val="21"/>
                <w:szCs w:val="21"/>
              </w:rPr>
            </w:pPr>
            <w:r>
              <w:rPr>
                <w:rFonts w:ascii="宋体" w:hAnsi="宋体" w:cs="宋体" w:eastAsia="宋体" w:hint="default"/>
                <w:sz w:val="21"/>
                <w:szCs w:val="21"/>
              </w:rPr>
              <w:t>自行培育</w:t>
            </w:r>
          </w:p>
        </w:tc>
        <w:tc>
          <w:tcPr>
            <w:tcW w:w="64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944" w:right="0"/>
              <w:jc w:val="left"/>
              <w:rPr>
                <w:rFonts w:ascii="宋体" w:hAnsi="宋体" w:cs="宋体" w:eastAsia="宋体" w:hint="default"/>
                <w:sz w:val="21"/>
                <w:szCs w:val="21"/>
              </w:rPr>
            </w:pPr>
            <w:r>
              <w:rPr>
                <w:rFonts w:ascii="宋体" w:hAnsi="宋体" w:cs="宋体" w:eastAsia="宋体" w:hint="default"/>
                <w:sz w:val="21"/>
                <w:szCs w:val="21"/>
              </w:rPr>
              <w:t>企业合并增加</w:t>
            </w:r>
          </w:p>
        </w:tc>
        <w:tc>
          <w:tcPr>
            <w:tcW w:w="64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减：处置</w:t>
            </w:r>
          </w:p>
        </w:tc>
        <w:tc>
          <w:tcPr>
            <w:tcW w:w="64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38" w:right="0"/>
              <w:jc w:val="left"/>
              <w:rPr>
                <w:rFonts w:ascii="宋体" w:hAnsi="宋体" w:cs="宋体" w:eastAsia="宋体" w:hint="default"/>
                <w:sz w:val="21"/>
                <w:szCs w:val="21"/>
              </w:rPr>
            </w:pPr>
            <w:r>
              <w:rPr>
                <w:rFonts w:ascii="宋体" w:hAnsi="宋体" w:cs="宋体" w:eastAsia="宋体" w:hint="default"/>
                <w:sz w:val="21"/>
                <w:szCs w:val="21"/>
              </w:rPr>
              <w:t>其他转出</w:t>
            </w:r>
          </w:p>
        </w:tc>
        <w:tc>
          <w:tcPr>
            <w:tcW w:w="64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23" w:right="0"/>
              <w:jc w:val="left"/>
              <w:rPr>
                <w:rFonts w:ascii="宋体" w:hAnsi="宋体" w:cs="宋体" w:eastAsia="宋体" w:hint="default"/>
                <w:sz w:val="21"/>
                <w:szCs w:val="21"/>
              </w:rPr>
            </w:pPr>
            <w:r>
              <w:rPr>
                <w:rFonts w:ascii="宋体" w:hAnsi="宋体" w:cs="宋体" w:eastAsia="宋体" w:hint="default"/>
                <w:sz w:val="21"/>
                <w:szCs w:val="21"/>
              </w:rPr>
              <w:t>公允价值变动</w:t>
            </w:r>
          </w:p>
        </w:tc>
        <w:tc>
          <w:tcPr>
            <w:tcW w:w="64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3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三、期末余额</w:t>
            </w:r>
          </w:p>
        </w:tc>
        <w:tc>
          <w:tcPr>
            <w:tcW w:w="64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BodyText"/>
        <w:spacing w:line="240" w:lineRule="auto" w:before="35"/>
        <w:ind w:right="114"/>
        <w:jc w:val="left"/>
      </w:pPr>
      <w:r>
        <w:rPr/>
        <w:t>其他说明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3"/>
        <w:spacing w:line="240" w:lineRule="auto" w:before="0"/>
        <w:ind w:right="114"/>
        <w:jc w:val="left"/>
        <w:rPr>
          <w:b w:val="0"/>
          <w:bCs w:val="0"/>
        </w:rPr>
      </w:pPr>
      <w:r>
        <w:rPr/>
        <w:t>24、</w:t>
      </w:r>
      <w:r>
        <w:rPr>
          <w:spacing w:val="-26"/>
        </w:rPr>
        <w:t> </w:t>
      </w:r>
      <w:r>
        <w:rPr/>
        <w:t>油气资产</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006"/>
        <w:gridCol w:w="1330"/>
        <w:gridCol w:w="1406"/>
        <w:gridCol w:w="1384"/>
        <w:gridCol w:w="1386"/>
        <w:gridCol w:w="1537"/>
      </w:tblGrid>
      <w:tr>
        <w:trPr>
          <w:trHeight w:val="635"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探明矿区</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权益</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未探明矿区</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权益</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井及相关</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设施</w:t>
            </w: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49"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2" w:right="0"/>
              <w:jc w:val="left"/>
              <w:rPr>
                <w:rFonts w:ascii="宋体" w:hAnsi="宋体" w:cs="宋体" w:eastAsia="宋体" w:hint="default"/>
                <w:sz w:val="21"/>
                <w:szCs w:val="21"/>
              </w:rPr>
            </w:pPr>
            <w:r>
              <w:rPr>
                <w:rFonts w:ascii="宋体" w:hAnsi="宋体" w:cs="宋体" w:eastAsia="宋体" w:hint="default"/>
                <w:sz w:val="21"/>
                <w:szCs w:val="21"/>
              </w:rPr>
              <w:t>1.期初余额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2.本期增加金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3" w:right="0"/>
              <w:jc w:val="left"/>
              <w:rPr>
                <w:rFonts w:ascii="宋体" w:hAnsi="宋体" w:cs="宋体" w:eastAsia="宋体" w:hint="default"/>
                <w:sz w:val="21"/>
                <w:szCs w:val="21"/>
              </w:rPr>
            </w:pPr>
            <w:r>
              <w:rPr>
                <w:rFonts w:ascii="宋体" w:hAnsi="宋体" w:cs="宋体" w:eastAsia="宋体" w:hint="default"/>
                <w:sz w:val="21"/>
                <w:szCs w:val="21"/>
              </w:rPr>
              <w:t>(1)外购</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自行建</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造</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3.本期减少金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3" w:right="0"/>
              <w:jc w:val="left"/>
              <w:rPr>
                <w:rFonts w:ascii="宋体" w:hAnsi="宋体" w:cs="宋体" w:eastAsia="宋体" w:hint="default"/>
                <w:sz w:val="21"/>
                <w:szCs w:val="21"/>
              </w:rPr>
            </w:pPr>
            <w:r>
              <w:rPr>
                <w:rFonts w:ascii="宋体" w:hAnsi="宋体" w:cs="宋体" w:eastAsia="宋体" w:hint="default"/>
                <w:sz w:val="21"/>
                <w:szCs w:val="21"/>
              </w:rPr>
              <w:t>(1)处置</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4.期末余额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1.期初余额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2.本期增加金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3" w:right="0"/>
              <w:jc w:val="left"/>
              <w:rPr>
                <w:rFonts w:ascii="宋体" w:hAnsi="宋体" w:cs="宋体" w:eastAsia="宋体" w:hint="default"/>
                <w:sz w:val="21"/>
                <w:szCs w:val="21"/>
              </w:rPr>
            </w:pPr>
            <w:r>
              <w:rPr>
                <w:rFonts w:ascii="宋体" w:hAnsi="宋体" w:cs="宋体" w:eastAsia="宋体" w:hint="default"/>
                <w:sz w:val="21"/>
                <w:szCs w:val="21"/>
              </w:rPr>
              <w:t>（1）计提</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00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23" w:right="0"/>
              <w:jc w:val="left"/>
              <w:rPr>
                <w:rFonts w:ascii="宋体" w:hAnsi="宋体" w:cs="宋体" w:eastAsia="宋体" w:hint="default"/>
                <w:sz w:val="21"/>
                <w:szCs w:val="21"/>
              </w:rPr>
            </w:pPr>
            <w:r>
              <w:rPr>
                <w:rFonts w:ascii="宋体" w:hAnsi="宋体" w:cs="宋体" w:eastAsia="宋体" w:hint="default"/>
                <w:sz w:val="21"/>
                <w:szCs w:val="21"/>
              </w:rPr>
              <w:t>3.本期减少金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3" w:right="0"/>
              <w:jc w:val="left"/>
              <w:rPr>
                <w:rFonts w:ascii="宋体" w:hAnsi="宋体" w:cs="宋体" w:eastAsia="宋体" w:hint="default"/>
                <w:sz w:val="21"/>
                <w:szCs w:val="21"/>
              </w:rPr>
            </w:pPr>
            <w:r>
              <w:rPr>
                <w:rFonts w:ascii="宋体" w:hAnsi="宋体" w:cs="宋体" w:eastAsia="宋体" w:hint="default"/>
                <w:sz w:val="21"/>
                <w:szCs w:val="21"/>
              </w:rPr>
              <w:t>(1)处置</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4.期末余额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7"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006"/>
        <w:gridCol w:w="1330"/>
        <w:gridCol w:w="1406"/>
        <w:gridCol w:w="1384"/>
        <w:gridCol w:w="1386"/>
        <w:gridCol w:w="1537"/>
      </w:tblGrid>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1.期初余额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2.本期增加金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3" w:right="0"/>
              <w:jc w:val="left"/>
              <w:rPr>
                <w:rFonts w:ascii="宋体" w:hAnsi="宋体" w:cs="宋体" w:eastAsia="宋体" w:hint="default"/>
                <w:sz w:val="21"/>
                <w:szCs w:val="21"/>
              </w:rPr>
            </w:pPr>
            <w:r>
              <w:rPr>
                <w:rFonts w:ascii="宋体" w:hAnsi="宋体" w:cs="宋体" w:eastAsia="宋体" w:hint="default"/>
                <w:sz w:val="21"/>
                <w:szCs w:val="21"/>
              </w:rPr>
              <w:t>（1）计提</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3.本期减少金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3" w:right="0"/>
              <w:jc w:val="left"/>
              <w:rPr>
                <w:rFonts w:ascii="宋体" w:hAnsi="宋体" w:cs="宋体" w:eastAsia="宋体" w:hint="default"/>
                <w:sz w:val="21"/>
                <w:szCs w:val="21"/>
              </w:rPr>
            </w:pPr>
            <w:r>
              <w:rPr>
                <w:rFonts w:ascii="宋体" w:hAnsi="宋体" w:cs="宋体" w:eastAsia="宋体" w:hint="default"/>
                <w:sz w:val="21"/>
                <w:szCs w:val="21"/>
              </w:rPr>
              <w:t>(1)处置</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4.期末余额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2" w:right="0"/>
              <w:jc w:val="left"/>
              <w:rPr>
                <w:rFonts w:ascii="宋体" w:hAnsi="宋体" w:cs="宋体" w:eastAsia="宋体" w:hint="default"/>
                <w:sz w:val="21"/>
                <w:szCs w:val="21"/>
              </w:rPr>
            </w:pPr>
            <w:r>
              <w:rPr>
                <w:rFonts w:ascii="宋体" w:hAnsi="宋体" w:cs="宋体" w:eastAsia="宋体" w:hint="default"/>
                <w:sz w:val="21"/>
                <w:szCs w:val="21"/>
              </w:rPr>
              <w:t>1.期末账面价</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值</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22" w:right="0"/>
              <w:jc w:val="left"/>
              <w:rPr>
                <w:rFonts w:ascii="宋体" w:hAnsi="宋体" w:cs="宋体" w:eastAsia="宋体" w:hint="default"/>
                <w:sz w:val="21"/>
                <w:szCs w:val="21"/>
              </w:rPr>
            </w:pPr>
            <w:r>
              <w:rPr>
                <w:rFonts w:ascii="宋体" w:hAnsi="宋体" w:cs="宋体" w:eastAsia="宋体" w:hint="default"/>
                <w:sz w:val="21"/>
                <w:szCs w:val="21"/>
              </w:rPr>
              <w:t>2.期初账面价</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值</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0" w:lineRule="exact"/>
        <w:ind w:right="114"/>
        <w:jc w:val="left"/>
      </w:pPr>
      <w:r>
        <w:rPr/>
        <w:t>其他说明：</w:t>
      </w:r>
    </w:p>
    <w:p>
      <w:pPr>
        <w:spacing w:line="240" w:lineRule="auto" w:before="13"/>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7" w:top="1120" w:bottom="1380" w:left="1580" w:right="1040"/>
        </w:sectPr>
      </w:pPr>
    </w:p>
    <w:p>
      <w:pPr>
        <w:pStyle w:val="Heading3"/>
        <w:spacing w:line="240" w:lineRule="auto"/>
        <w:ind w:right="-16"/>
        <w:jc w:val="left"/>
        <w:rPr>
          <w:b w:val="0"/>
          <w:bCs w:val="0"/>
        </w:rPr>
      </w:pPr>
      <w:r>
        <w:rPr/>
        <w:t>25、</w:t>
      </w:r>
      <w:r>
        <w:rPr>
          <w:spacing w:val="-26"/>
        </w:rPr>
        <w:t> </w:t>
      </w:r>
      <w:r>
        <w:rPr/>
        <w:t>无形资产</w:t>
      </w:r>
      <w:r>
        <w:rPr>
          <w:b w:val="0"/>
          <w:bCs w:val="0"/>
        </w:rPr>
      </w:r>
    </w:p>
    <w:p>
      <w:pPr>
        <w:pStyle w:val="Heading3"/>
        <w:spacing w:line="240" w:lineRule="auto" w:before="97"/>
        <w:ind w:right="-16"/>
        <w:jc w:val="left"/>
        <w:rPr>
          <w:b w:val="0"/>
          <w:bCs w:val="0"/>
        </w:rPr>
      </w:pPr>
      <w:r>
        <w:rPr/>
        <w:t>(1).</w:t>
      </w:r>
      <w:r>
        <w:rPr>
          <w:spacing w:val="68"/>
        </w:rPr>
        <w:t> </w:t>
      </w:r>
      <w:r>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7"/>
          <w:szCs w:val="17"/>
        </w:rPr>
      </w:pPr>
    </w:p>
    <w:p>
      <w:pPr>
        <w:pStyle w:val="BodyText"/>
        <w:tabs>
          <w:tab w:pos="1267" w:val="left" w:leader="none"/>
        </w:tabs>
        <w:spacing w:line="240" w:lineRule="auto"/>
        <w:ind w:right="0"/>
        <w:jc w:val="left"/>
      </w:pPr>
      <w:r>
        <w:rPr/>
        <w:t>单位：元</w:t>
        <w:tab/>
        <w:t>币种：人民币</w:t>
      </w:r>
    </w:p>
    <w:p>
      <w:pPr>
        <w:spacing w:after="0" w:line="240" w:lineRule="auto"/>
        <w:jc w:val="left"/>
        <w:sectPr>
          <w:type w:val="continuous"/>
          <w:pgSz w:w="11910" w:h="16840"/>
          <w:pgMar w:top="1080" w:bottom="1380" w:left="1580" w:right="1040"/>
          <w:cols w:num="2" w:equalWidth="0">
            <w:col w:w="2084" w:space="4439"/>
            <w:col w:w="2767"/>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858"/>
        <w:gridCol w:w="1582"/>
        <w:gridCol w:w="1580"/>
        <w:gridCol w:w="1195"/>
        <w:gridCol w:w="1253"/>
        <w:gridCol w:w="1582"/>
      </w:tblGrid>
      <w:tr>
        <w:trPr>
          <w:trHeight w:val="63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6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软件</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非专利技</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术</w:t>
            </w:r>
          </w:p>
        </w:tc>
        <w:tc>
          <w:tcPr>
            <w:tcW w:w="125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2"/>
              <w:jc w:val="right"/>
              <w:rPr>
                <w:rFonts w:ascii="宋体" w:hAnsi="宋体" w:cs="宋体" w:eastAsia="宋体" w:hint="default"/>
                <w:sz w:val="21"/>
                <w:szCs w:val="21"/>
              </w:rPr>
            </w:pPr>
            <w:r>
              <w:rPr>
                <w:rFonts w:ascii="宋体" w:hAnsi="宋体" w:cs="宋体" w:eastAsia="宋体" w:hint="default"/>
                <w:spacing w:val="-1"/>
                <w:sz w:val="21"/>
                <w:szCs w:val="21"/>
              </w:rPr>
              <w:t>1.期初余额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14,526,191.58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9,950,849.47</w:t>
            </w:r>
            <w:r>
              <w:rPr>
                <w:rFonts w:ascii="宋体"/>
                <w:sz w:val="21"/>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24,477,041.05</w:t>
            </w:r>
          </w:p>
        </w:tc>
      </w:tr>
      <w:tr>
        <w:trPr>
          <w:trHeight w:val="63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2.本期增加</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43,723,500.00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246,460.17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43,969,960.17</w:t>
            </w:r>
          </w:p>
        </w:tc>
      </w:tr>
      <w:tr>
        <w:trPr>
          <w:trHeight w:val="35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76"/>
              <w:jc w:val="right"/>
              <w:rPr>
                <w:rFonts w:ascii="宋体" w:hAnsi="宋体" w:cs="宋体" w:eastAsia="宋体" w:hint="default"/>
                <w:sz w:val="21"/>
                <w:szCs w:val="21"/>
              </w:rPr>
            </w:pPr>
            <w:r>
              <w:rPr>
                <w:rFonts w:ascii="宋体" w:hAnsi="宋体" w:cs="宋体" w:eastAsia="宋体" w:hint="default"/>
                <w:spacing w:val="-1"/>
                <w:sz w:val="21"/>
                <w:szCs w:val="21"/>
              </w:rPr>
              <w:t>(1)购置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43,723,500.00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246,460.17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43,969,960.17</w:t>
            </w:r>
          </w:p>
        </w:tc>
      </w:tr>
      <w:tr>
        <w:trPr>
          <w:trHeight w:val="63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3" w:right="0"/>
              <w:jc w:val="left"/>
              <w:rPr>
                <w:rFonts w:ascii="宋体" w:hAnsi="宋体" w:cs="宋体" w:eastAsia="宋体" w:hint="default"/>
                <w:sz w:val="21"/>
                <w:szCs w:val="21"/>
              </w:rPr>
            </w:pPr>
            <w:r>
              <w:rPr>
                <w:rFonts w:ascii="宋体" w:hAnsi="宋体" w:cs="宋体" w:eastAsia="宋体" w:hint="default"/>
                <w:sz w:val="21"/>
                <w:szCs w:val="21"/>
              </w:rPr>
              <w:t>(2)内部研</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发</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3" w:right="0"/>
              <w:jc w:val="left"/>
              <w:rPr>
                <w:rFonts w:ascii="宋体" w:hAnsi="宋体" w:cs="宋体" w:eastAsia="宋体" w:hint="default"/>
                <w:sz w:val="21"/>
                <w:szCs w:val="21"/>
              </w:rPr>
            </w:pPr>
            <w:r>
              <w:rPr>
                <w:rFonts w:ascii="宋体" w:hAnsi="宋体" w:cs="宋体" w:eastAsia="宋体" w:hint="default"/>
                <w:sz w:val="21"/>
                <w:szCs w:val="21"/>
              </w:rPr>
              <w:t>(3)企业合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并增加</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5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3.本期减少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76"/>
              <w:jc w:val="right"/>
              <w:rPr>
                <w:rFonts w:ascii="宋体" w:hAnsi="宋体" w:cs="宋体" w:eastAsia="宋体" w:hint="default"/>
                <w:sz w:val="21"/>
                <w:szCs w:val="21"/>
              </w:rPr>
            </w:pPr>
            <w:r>
              <w:rPr>
                <w:rFonts w:ascii="宋体" w:hAnsi="宋体" w:cs="宋体" w:eastAsia="宋体" w:hint="default"/>
                <w:spacing w:val="-1"/>
                <w:sz w:val="21"/>
                <w:szCs w:val="21"/>
              </w:rPr>
              <w:t>(1)处置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5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8" w:right="0"/>
              <w:jc w:val="left"/>
              <w:rPr>
                <w:rFonts w:ascii="宋体" w:hAnsi="宋体" w:cs="宋体" w:eastAsia="宋体" w:hint="default"/>
                <w:sz w:val="21"/>
                <w:szCs w:val="21"/>
              </w:rPr>
            </w:pPr>
            <w:r>
              <w:rPr>
                <w:rFonts w:ascii="宋体" w:hAnsi="宋体" w:cs="宋体" w:eastAsia="宋体" w:hint="default"/>
                <w:sz w:val="21"/>
                <w:szCs w:val="21"/>
              </w:rPr>
              <w:t>4.期末余额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58,249,691.58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10,197,309.64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68,447,001.22</w:t>
            </w:r>
          </w:p>
        </w:tc>
      </w:tr>
      <w:tr>
        <w:trPr>
          <w:trHeight w:val="35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1"/>
              <w:jc w:val="right"/>
              <w:rPr>
                <w:rFonts w:ascii="宋体" w:hAnsi="宋体" w:cs="宋体" w:eastAsia="宋体" w:hint="default"/>
                <w:sz w:val="21"/>
                <w:szCs w:val="21"/>
              </w:rPr>
            </w:pPr>
            <w:r>
              <w:rPr>
                <w:rFonts w:ascii="宋体" w:hAnsi="宋体" w:cs="宋体" w:eastAsia="宋体" w:hint="default"/>
                <w:sz w:val="21"/>
                <w:szCs w:val="21"/>
              </w:rPr>
              <w:t>1.期初余额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891,278.78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1,681,692.60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2,572,971.38</w:t>
            </w:r>
          </w:p>
        </w:tc>
      </w:tr>
      <w:tr>
        <w:trPr>
          <w:trHeight w:val="35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1"/>
              <w:jc w:val="right"/>
              <w:rPr>
                <w:rFonts w:ascii="宋体" w:hAnsi="宋体" w:cs="宋体" w:eastAsia="宋体" w:hint="default"/>
                <w:sz w:val="21"/>
                <w:szCs w:val="21"/>
              </w:rPr>
            </w:pPr>
            <w:r>
              <w:rPr>
                <w:rFonts w:ascii="宋体" w:hAnsi="宋体" w:cs="宋体" w:eastAsia="宋体" w:hint="default"/>
                <w:sz w:val="21"/>
                <w:szCs w:val="21"/>
              </w:rPr>
              <w:t>2.本期增加</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950,288.94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1,874,534.89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2,824,823.83</w:t>
            </w:r>
          </w:p>
        </w:tc>
      </w:tr>
    </w:tbl>
    <w:p>
      <w:pPr>
        <w:spacing w:after="0" w:line="260" w:lineRule="exact"/>
        <w:jc w:val="right"/>
        <w:rPr>
          <w:rFonts w:ascii="宋体" w:hAnsi="宋体" w:cs="宋体" w:eastAsia="宋体" w:hint="default"/>
          <w:sz w:val="21"/>
          <w:szCs w:val="21"/>
        </w:rPr>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858"/>
        <w:gridCol w:w="1582"/>
        <w:gridCol w:w="1580"/>
        <w:gridCol w:w="1195"/>
        <w:gridCol w:w="1253"/>
        <w:gridCol w:w="1582"/>
      </w:tblGrid>
      <w:tr>
        <w:trPr>
          <w:trHeight w:val="35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67"/>
              <w:jc w:val="right"/>
              <w:rPr>
                <w:rFonts w:ascii="宋体" w:hAnsi="宋体" w:cs="宋体" w:eastAsia="宋体" w:hint="default"/>
                <w:sz w:val="21"/>
                <w:szCs w:val="21"/>
              </w:rPr>
            </w:pPr>
            <w:r>
              <w:rPr>
                <w:rFonts w:ascii="宋体" w:hAnsi="宋体" w:cs="宋体" w:eastAsia="宋体" w:hint="default"/>
                <w:sz w:val="21"/>
                <w:szCs w:val="21"/>
              </w:rPr>
              <w:t>（1）计提</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950,288.94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1,874,534.89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2,824,823.83</w:t>
            </w:r>
          </w:p>
        </w:tc>
      </w:tr>
      <w:tr>
        <w:trPr>
          <w:trHeight w:val="350" w:hRule="exact"/>
        </w:trPr>
        <w:tc>
          <w:tcPr>
            <w:tcW w:w="185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3.本期减少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2"/>
              <w:jc w:val="right"/>
              <w:rPr>
                <w:rFonts w:ascii="宋体" w:hAnsi="宋体" w:cs="宋体" w:eastAsia="宋体" w:hint="default"/>
                <w:sz w:val="21"/>
                <w:szCs w:val="21"/>
              </w:rPr>
            </w:pPr>
            <w:r>
              <w:rPr>
                <w:rFonts w:ascii="宋体" w:hAnsi="宋体" w:cs="宋体" w:eastAsia="宋体" w:hint="default"/>
                <w:spacing w:val="-1"/>
                <w:sz w:val="21"/>
                <w:szCs w:val="21"/>
              </w:rPr>
              <w:t>(1)处置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85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1"/>
              <w:jc w:val="right"/>
              <w:rPr>
                <w:rFonts w:ascii="宋体" w:hAnsi="宋体" w:cs="宋体" w:eastAsia="宋体" w:hint="default"/>
                <w:sz w:val="21"/>
                <w:szCs w:val="21"/>
              </w:rPr>
            </w:pPr>
            <w:r>
              <w:rPr>
                <w:rFonts w:ascii="宋体" w:hAnsi="宋体" w:cs="宋体" w:eastAsia="宋体" w:hint="default"/>
                <w:sz w:val="21"/>
                <w:szCs w:val="21"/>
              </w:rPr>
              <w:t>4.期末余额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1,841,567.72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3,556,227.49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5,397,795.21</w:t>
            </w:r>
          </w:p>
        </w:tc>
      </w:tr>
      <w:tr>
        <w:trPr>
          <w:trHeight w:val="35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1"/>
              <w:jc w:val="right"/>
              <w:rPr>
                <w:rFonts w:ascii="宋体" w:hAnsi="宋体" w:cs="宋体" w:eastAsia="宋体" w:hint="default"/>
                <w:sz w:val="21"/>
                <w:szCs w:val="21"/>
              </w:rPr>
            </w:pPr>
            <w:r>
              <w:rPr>
                <w:rFonts w:ascii="宋体" w:hAnsi="宋体" w:cs="宋体" w:eastAsia="宋体" w:hint="default"/>
                <w:sz w:val="21"/>
                <w:szCs w:val="21"/>
              </w:rPr>
              <w:t>1.期初余额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14,888.89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14,888.89</w:t>
            </w:r>
          </w:p>
        </w:tc>
      </w:tr>
      <w:tr>
        <w:trPr>
          <w:trHeight w:val="635"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23" w:right="0"/>
              <w:jc w:val="left"/>
              <w:rPr>
                <w:rFonts w:ascii="宋体" w:hAnsi="宋体" w:cs="宋体" w:eastAsia="宋体" w:hint="default"/>
                <w:sz w:val="21"/>
                <w:szCs w:val="21"/>
              </w:rPr>
            </w:pPr>
            <w:r>
              <w:rPr>
                <w:rFonts w:ascii="宋体" w:hAnsi="宋体" w:cs="宋体" w:eastAsia="宋体" w:hint="default"/>
                <w:sz w:val="21"/>
                <w:szCs w:val="21"/>
              </w:rPr>
              <w:t>2.本期增加</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7"/>
              <w:jc w:val="right"/>
              <w:rPr>
                <w:rFonts w:ascii="宋体" w:hAnsi="宋体" w:cs="宋体" w:eastAsia="宋体" w:hint="default"/>
                <w:sz w:val="21"/>
                <w:szCs w:val="21"/>
              </w:rPr>
            </w:pPr>
            <w:r>
              <w:rPr>
                <w:rFonts w:ascii="宋体" w:hAnsi="宋体" w:cs="宋体" w:eastAsia="宋体" w:hint="default"/>
                <w:sz w:val="21"/>
                <w:szCs w:val="21"/>
              </w:rPr>
              <w:t>（1）计提</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5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3.本期减少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3" w:right="0"/>
              <w:jc w:val="left"/>
              <w:rPr>
                <w:rFonts w:ascii="宋体" w:hAnsi="宋体" w:cs="宋体" w:eastAsia="宋体" w:hint="default"/>
                <w:sz w:val="21"/>
                <w:szCs w:val="21"/>
              </w:rPr>
            </w:pPr>
            <w:r>
              <w:rPr>
                <w:rFonts w:ascii="宋体" w:hAnsi="宋体" w:cs="宋体" w:eastAsia="宋体" w:hint="default"/>
                <w:sz w:val="21"/>
                <w:szCs w:val="21"/>
              </w:rPr>
              <w:t>(1)处置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5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1"/>
              <w:jc w:val="right"/>
              <w:rPr>
                <w:rFonts w:ascii="宋体" w:hAnsi="宋体" w:cs="宋体" w:eastAsia="宋体" w:hint="default"/>
                <w:sz w:val="21"/>
                <w:szCs w:val="21"/>
              </w:rPr>
            </w:pPr>
            <w:r>
              <w:rPr>
                <w:rFonts w:ascii="宋体" w:hAnsi="宋体" w:cs="宋体" w:eastAsia="宋体" w:hint="default"/>
                <w:sz w:val="21"/>
                <w:szCs w:val="21"/>
              </w:rPr>
              <w:t>4.期末余额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14,888.89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14,888.89</w:t>
            </w:r>
          </w:p>
        </w:tc>
      </w:tr>
      <w:tr>
        <w:trPr>
          <w:trHeight w:val="35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1.期末账面</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56,408,123.86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6,626,193.26</w:t>
            </w:r>
            <w:r>
              <w:rPr>
                <w:rFonts w:ascii="宋体"/>
                <w:sz w:val="21"/>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63,034,317.12</w:t>
            </w:r>
          </w:p>
        </w:tc>
      </w:tr>
      <w:tr>
        <w:trPr>
          <w:trHeight w:val="635"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23" w:right="0"/>
              <w:jc w:val="left"/>
              <w:rPr>
                <w:rFonts w:ascii="宋体" w:hAnsi="宋体" w:cs="宋体" w:eastAsia="宋体" w:hint="default"/>
                <w:sz w:val="21"/>
                <w:szCs w:val="21"/>
              </w:rPr>
            </w:pPr>
            <w:r>
              <w:rPr>
                <w:rFonts w:ascii="宋体" w:hAnsi="宋体" w:cs="宋体" w:eastAsia="宋体" w:hint="default"/>
                <w:sz w:val="21"/>
                <w:szCs w:val="21"/>
              </w:rPr>
              <w:t>2.期初账面</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13,634,912.80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8,254,267.98</w:t>
            </w:r>
            <w:r>
              <w:rPr>
                <w:rFonts w:ascii="宋体"/>
                <w:sz w:val="21"/>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21,889,180.78</w:t>
            </w:r>
          </w:p>
        </w:tc>
      </w:tr>
    </w:tbl>
    <w:p>
      <w:pPr>
        <w:spacing w:line="240" w:lineRule="auto" w:before="6"/>
        <w:rPr>
          <w:rFonts w:ascii="宋体" w:hAnsi="宋体" w:cs="宋体" w:eastAsia="宋体" w:hint="default"/>
          <w:sz w:val="18"/>
          <w:szCs w:val="18"/>
        </w:rPr>
      </w:pPr>
    </w:p>
    <w:p>
      <w:pPr>
        <w:pStyle w:val="BodyText"/>
        <w:tabs>
          <w:tab w:pos="6727" w:val="left" w:leader="none"/>
        </w:tabs>
        <w:spacing w:line="240" w:lineRule="auto" w:before="35"/>
        <w:ind w:right="114"/>
        <w:jc w:val="left"/>
        <w:rPr>
          <w:rFonts w:ascii="Times New Roman" w:hAnsi="Times New Roman" w:cs="Times New Roman" w:eastAsia="Times New Roman" w:hint="default"/>
        </w:rPr>
      </w:pPr>
      <w:r>
        <w:rPr/>
        <w:t>本期末通过公司内部研发形成的无形资产占无形资产余额的比例</w:t>
      </w:r>
      <w:r>
        <w:rPr>
          <w:rFonts w:ascii="Times New Roman" w:hAnsi="Times New Roman" w:cs="Times New Roman" w:eastAsia="Times New Roman" w:hint="default"/>
        </w:rPr>
      </w:r>
      <w:r>
        <w:rPr>
          <w:rFonts w:ascii="Times New Roman" w:hAnsi="Times New Roman" w:cs="Times New Roman" w:eastAsia="Times New Roman" w:hint="default"/>
          <w:u w:val="single" w:color="33339A"/>
        </w:rPr>
        <w:t> </w:t>
        <w:tab/>
      </w:r>
      <w:r>
        <w:rPr>
          <w:rFonts w:ascii="Times New Roman" w:hAnsi="Times New Roman" w:cs="Times New Roman" w:eastAsia="Times New Roman" w:hint="default"/>
        </w:rPr>
      </w:r>
    </w:p>
    <w:p>
      <w:pPr>
        <w:spacing w:line="240" w:lineRule="auto" w:before="5"/>
        <w:rPr>
          <w:rFonts w:ascii="Times New Roman" w:hAnsi="Times New Roman" w:cs="Times New Roman" w:eastAsia="Times New Roman" w:hint="default"/>
          <w:sz w:val="27"/>
          <w:szCs w:val="27"/>
        </w:rPr>
      </w:pPr>
    </w:p>
    <w:p>
      <w:pPr>
        <w:pStyle w:val="Heading3"/>
        <w:spacing w:line="240" w:lineRule="auto"/>
        <w:ind w:right="114"/>
        <w:jc w:val="left"/>
        <w:rPr>
          <w:b w:val="0"/>
          <w:bCs w:val="0"/>
        </w:rPr>
      </w:pPr>
      <w:r>
        <w:rPr/>
        <w:t>(2).</w:t>
      </w:r>
      <w:r>
        <w:rPr>
          <w:spacing w:val="66"/>
        </w:rPr>
        <w:t> </w:t>
      </w:r>
      <w:r>
        <w:rPr/>
        <w:t>未办妥产权证书的土地使用权情况：</w:t>
      </w:r>
      <w:r>
        <w:rPr>
          <w:b w:val="0"/>
          <w:bCs w:val="0"/>
        </w:rPr>
      </w:r>
    </w:p>
    <w:p>
      <w:pPr>
        <w:spacing w:line="240" w:lineRule="auto" w:before="7"/>
        <w:rPr>
          <w:rFonts w:ascii="宋体" w:hAnsi="宋体" w:cs="宋体" w:eastAsia="宋体" w:hint="default"/>
          <w:b/>
          <w:bCs/>
          <w:sz w:val="8"/>
          <w:szCs w:val="8"/>
        </w:rPr>
      </w:pPr>
    </w:p>
    <w:tbl>
      <w:tblPr>
        <w:tblW w:w="0" w:type="auto"/>
        <w:jc w:val="left"/>
        <w:tblInd w:w="104" w:type="dxa"/>
        <w:tblLayout w:type="fixed"/>
        <w:tblCellMar>
          <w:top w:w="0" w:type="dxa"/>
          <w:left w:w="0" w:type="dxa"/>
          <w:bottom w:w="0" w:type="dxa"/>
          <w:right w:w="0" w:type="dxa"/>
        </w:tblCellMar>
        <w:tblLook w:val="01E0"/>
      </w:tblPr>
      <w:tblGrid>
        <w:gridCol w:w="3016"/>
        <w:gridCol w:w="3017"/>
        <w:gridCol w:w="3017"/>
      </w:tblGrid>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52"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323" w:hRule="exact"/>
        </w:trPr>
        <w:tc>
          <w:tcPr>
            <w:tcW w:w="3016"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b/>
          <w:bCs/>
          <w:sz w:val="16"/>
          <w:szCs w:val="16"/>
        </w:rPr>
      </w:pPr>
    </w:p>
    <w:p>
      <w:pPr>
        <w:pStyle w:val="BodyText"/>
        <w:spacing w:line="240" w:lineRule="auto" w:before="35"/>
        <w:ind w:right="114"/>
        <w:jc w:val="left"/>
      </w:pPr>
      <w:r>
        <w:rPr/>
        <w:t>其他说明：</w:t>
      </w:r>
    </w:p>
    <w:p>
      <w:pPr>
        <w:spacing w:line="240" w:lineRule="auto" w:before="13"/>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a">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3"/>
          <w:szCs w:val="23"/>
        </w:rPr>
      </w:pPr>
    </w:p>
    <w:p>
      <w:pPr>
        <w:pStyle w:val="Heading3"/>
        <w:spacing w:line="240" w:lineRule="auto"/>
        <w:ind w:right="114"/>
        <w:jc w:val="left"/>
        <w:rPr>
          <w:b w:val="0"/>
          <w:bCs w:val="0"/>
        </w:rPr>
      </w:pPr>
      <w:r>
        <w:rPr/>
        <w:t>26、</w:t>
      </w:r>
      <w:r>
        <w:rPr>
          <w:spacing w:val="-26"/>
        </w:rPr>
        <w:t> </w:t>
      </w:r>
      <w:r>
        <w:rPr/>
        <w:t>开发支出</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160"/>
        <w:gridCol w:w="973"/>
        <w:gridCol w:w="1003"/>
        <w:gridCol w:w="959"/>
        <w:gridCol w:w="979"/>
        <w:gridCol w:w="1015"/>
        <w:gridCol w:w="1015"/>
        <w:gridCol w:w="956"/>
        <w:gridCol w:w="988"/>
      </w:tblGrid>
      <w:tr>
        <w:trPr>
          <w:trHeight w:val="323" w:hRule="exact"/>
        </w:trPr>
        <w:tc>
          <w:tcPr>
            <w:tcW w:w="11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97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73" w:lineRule="auto"/>
              <w:ind w:left="271" w:right="270"/>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29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835"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9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99"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98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73" w:lineRule="auto"/>
              <w:ind w:left="277" w:right="278"/>
              <w:jc w:val="left"/>
              <w:rPr>
                <w:rFonts w:ascii="宋体" w:hAnsi="宋体" w:cs="宋体" w:eastAsia="宋体" w:hint="default"/>
                <w:sz w:val="21"/>
                <w:szCs w:val="21"/>
              </w:rPr>
            </w:pPr>
            <w:r>
              <w:rPr>
                <w:rFonts w:ascii="宋体" w:hAnsi="宋体" w:cs="宋体" w:eastAsia="宋体" w:hint="default"/>
                <w:sz w:val="21"/>
                <w:szCs w:val="21"/>
              </w:rPr>
              <w:t>期末 余额</w:t>
            </w:r>
          </w:p>
        </w:tc>
      </w:tr>
      <w:tr>
        <w:trPr>
          <w:trHeight w:val="946" w:hRule="exact"/>
        </w:trPr>
        <w:tc>
          <w:tcPr>
            <w:tcW w:w="1160" w:type="dxa"/>
            <w:vMerge/>
            <w:tcBorders>
              <w:left w:val="single" w:sz="4" w:space="0" w:color="000000"/>
              <w:bottom w:val="single" w:sz="4" w:space="0" w:color="000000"/>
              <w:right w:val="single" w:sz="4" w:space="0" w:color="000000"/>
            </w:tcBorders>
          </w:tcPr>
          <w:p>
            <w:pPr/>
          </w:p>
        </w:tc>
        <w:tc>
          <w:tcPr>
            <w:tcW w:w="973" w:type="dxa"/>
            <w:vMerge/>
            <w:tcBorders>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81" w:right="180"/>
              <w:jc w:val="left"/>
              <w:rPr>
                <w:rFonts w:ascii="宋体" w:hAnsi="宋体" w:cs="宋体" w:eastAsia="宋体" w:hint="default"/>
                <w:sz w:val="21"/>
                <w:szCs w:val="21"/>
              </w:rPr>
            </w:pPr>
            <w:r>
              <w:rPr>
                <w:rFonts w:ascii="宋体" w:hAnsi="宋体" w:cs="宋体" w:eastAsia="宋体" w:hint="default"/>
                <w:sz w:val="21"/>
                <w:szCs w:val="21"/>
              </w:rPr>
              <w:t>内部开 发支出</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6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7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87" w:right="0"/>
              <w:jc w:val="left"/>
              <w:rPr>
                <w:rFonts w:ascii="宋体" w:hAnsi="宋体" w:cs="宋体" w:eastAsia="宋体" w:hint="default"/>
                <w:sz w:val="21"/>
                <w:szCs w:val="21"/>
              </w:rPr>
            </w:pPr>
            <w:r>
              <w:rPr>
                <w:rFonts w:ascii="宋体" w:hAnsi="宋体" w:cs="宋体" w:eastAsia="宋体" w:hint="default"/>
                <w:sz w:val="21"/>
                <w:szCs w:val="21"/>
              </w:rPr>
              <w:t>确认为</w:t>
            </w:r>
          </w:p>
          <w:p>
            <w:pPr>
              <w:pStyle w:val="TableParagraph"/>
              <w:spacing w:line="273" w:lineRule="auto" w:before="37"/>
              <w:ind w:left="397" w:right="186" w:hanging="210"/>
              <w:jc w:val="left"/>
              <w:rPr>
                <w:rFonts w:ascii="宋体" w:hAnsi="宋体" w:cs="宋体" w:eastAsia="宋体" w:hint="default"/>
                <w:sz w:val="21"/>
                <w:szCs w:val="21"/>
              </w:rPr>
            </w:pPr>
            <w:r>
              <w:rPr>
                <w:rFonts w:ascii="宋体" w:hAnsi="宋体" w:cs="宋体" w:eastAsia="宋体" w:hint="default"/>
                <w:sz w:val="21"/>
                <w:szCs w:val="21"/>
              </w:rPr>
              <w:t>无形资 产</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87" w:right="186"/>
              <w:jc w:val="left"/>
              <w:rPr>
                <w:rFonts w:ascii="宋体" w:hAnsi="宋体" w:cs="宋体" w:eastAsia="宋体" w:hint="default"/>
                <w:sz w:val="21"/>
                <w:szCs w:val="21"/>
              </w:rPr>
            </w:pPr>
            <w:r>
              <w:rPr>
                <w:rFonts w:ascii="宋体" w:hAnsi="宋体" w:cs="宋体" w:eastAsia="宋体" w:hint="default"/>
                <w:sz w:val="21"/>
                <w:szCs w:val="21"/>
              </w:rPr>
              <w:t>转入当 期损益</w:t>
            </w:r>
          </w:p>
        </w:tc>
        <w:tc>
          <w:tcPr>
            <w:tcW w:w="956" w:type="dxa"/>
            <w:tcBorders>
              <w:top w:val="single" w:sz="4" w:space="0" w:color="000000"/>
              <w:left w:val="single" w:sz="4" w:space="0" w:color="000000"/>
              <w:bottom w:val="single" w:sz="4" w:space="0" w:color="000000"/>
              <w:right w:val="single" w:sz="4" w:space="0" w:color="000000"/>
            </w:tcBorders>
          </w:tcPr>
          <w:p>
            <w:pPr/>
          </w:p>
        </w:tc>
        <w:tc>
          <w:tcPr>
            <w:tcW w:w="988" w:type="dxa"/>
            <w:vMerge/>
            <w:tcBorders>
              <w:left w:val="single" w:sz="4" w:space="0" w:color="000000"/>
              <w:bottom w:val="single" w:sz="4" w:space="0" w:color="000000"/>
              <w:right w:val="single" w:sz="4" w:space="0" w:color="000000"/>
            </w:tcBorders>
          </w:tcPr>
          <w:p>
            <w:pPr/>
          </w:p>
        </w:tc>
      </w:tr>
      <w:tr>
        <w:trPr>
          <w:trHeight w:val="323" w:hRule="exact"/>
        </w:trPr>
        <w:tc>
          <w:tcPr>
            <w:tcW w:w="1160"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7"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160"/>
        <w:gridCol w:w="973"/>
        <w:gridCol w:w="1003"/>
        <w:gridCol w:w="959"/>
        <w:gridCol w:w="979"/>
        <w:gridCol w:w="1015"/>
        <w:gridCol w:w="1015"/>
        <w:gridCol w:w="956"/>
        <w:gridCol w:w="988"/>
      </w:tblGrid>
      <w:tr>
        <w:trPr>
          <w:trHeight w:val="322" w:hRule="exact"/>
        </w:trPr>
        <w:tc>
          <w:tcPr>
            <w:tcW w:w="1160"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6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7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8"/>
          <w:szCs w:val="18"/>
        </w:rPr>
      </w:pPr>
    </w:p>
    <w:p>
      <w:pPr>
        <w:pStyle w:val="BodyText"/>
        <w:spacing w:line="240" w:lineRule="auto" w:before="35"/>
        <w:ind w:right="114"/>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a">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7" w:top="1120" w:bottom="1380" w:left="1580" w:right="1040"/>
        </w:sectPr>
      </w:pPr>
    </w:p>
    <w:p>
      <w:pPr>
        <w:pStyle w:val="Heading3"/>
        <w:spacing w:line="240" w:lineRule="auto"/>
        <w:ind w:right="-16"/>
        <w:jc w:val="left"/>
        <w:rPr>
          <w:b w:val="0"/>
          <w:bCs w:val="0"/>
        </w:rPr>
      </w:pPr>
      <w:r>
        <w:rPr/>
        <w:t>27、</w:t>
      </w:r>
      <w:r>
        <w:rPr>
          <w:spacing w:val="-27"/>
        </w:rPr>
        <w:t> </w:t>
      </w:r>
      <w:r>
        <w:rPr/>
        <w:t>商誉</w:t>
      </w:r>
      <w:r>
        <w:rPr>
          <w:b w:val="0"/>
          <w:bCs w:val="0"/>
        </w:rPr>
      </w:r>
    </w:p>
    <w:p>
      <w:pPr>
        <w:pStyle w:val="Heading3"/>
        <w:spacing w:line="240" w:lineRule="auto" w:before="97"/>
        <w:ind w:right="-16"/>
        <w:jc w:val="left"/>
        <w:rPr>
          <w:b w:val="0"/>
          <w:bCs w:val="0"/>
        </w:rPr>
      </w:pPr>
      <w:r>
        <w:rPr/>
        <w:t>(1).</w:t>
      </w:r>
      <w:r>
        <w:rPr>
          <w:spacing w:val="54"/>
        </w:rPr>
        <w:t> </w:t>
      </w:r>
      <w:r>
        <w:rPr/>
        <w:t>商誉账面原值</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tabs>
          <w:tab w:pos="1267" w:val="left" w:leader="none"/>
        </w:tabs>
        <w:spacing w:line="240" w:lineRule="auto"/>
        <w:ind w:right="0"/>
        <w:jc w:val="left"/>
      </w:pPr>
      <w:r>
        <w:rPr/>
        <w:t>单位：元</w:t>
        <w:tab/>
        <w:t>币种：人民币</w:t>
      </w:r>
    </w:p>
    <w:p>
      <w:pPr>
        <w:spacing w:after="0" w:line="240" w:lineRule="auto"/>
        <w:jc w:val="left"/>
        <w:sectPr>
          <w:type w:val="continuous"/>
          <w:pgSz w:w="11910" w:h="16840"/>
          <w:pgMar w:top="1080" w:bottom="1380" w:left="1580" w:right="1040"/>
          <w:cols w:num="2" w:equalWidth="0">
            <w:col w:w="2070" w:space="4454"/>
            <w:col w:w="2766"/>
          </w:cols>
        </w:sectPr>
      </w:pP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938"/>
        <w:gridCol w:w="1178"/>
        <w:gridCol w:w="1204"/>
        <w:gridCol w:w="1178"/>
        <w:gridCol w:w="1201"/>
        <w:gridCol w:w="1192"/>
        <w:gridCol w:w="1158"/>
      </w:tblGrid>
      <w:tr>
        <w:trPr>
          <w:trHeight w:val="294" w:hRule="exact"/>
        </w:trPr>
        <w:tc>
          <w:tcPr>
            <w:tcW w:w="1938" w:type="dxa"/>
            <w:vMerge w:val="restart"/>
            <w:tcBorders>
              <w:top w:val="single" w:sz="4" w:space="0" w:color="000000"/>
              <w:left w:val="single" w:sz="4" w:space="0" w:color="000000"/>
              <w:right w:val="single" w:sz="4" w:space="0" w:color="000000"/>
            </w:tcBorders>
          </w:tcPr>
          <w:p>
            <w:pPr>
              <w:pStyle w:val="TableParagraph"/>
              <w:spacing w:line="272" w:lineRule="exact" w:before="140"/>
              <w:ind w:left="229" w:right="122" w:hanging="106"/>
              <w:jc w:val="left"/>
              <w:rPr>
                <w:rFonts w:ascii="宋体" w:hAnsi="宋体" w:cs="宋体" w:eastAsia="宋体" w:hint="default"/>
                <w:sz w:val="21"/>
                <w:szCs w:val="21"/>
              </w:rPr>
            </w:pPr>
            <w:r>
              <w:rPr>
                <w:rFonts w:ascii="宋体" w:hAnsi="宋体" w:cs="宋体" w:eastAsia="宋体" w:hint="default"/>
                <w:sz w:val="21"/>
                <w:szCs w:val="21"/>
              </w:rPr>
              <w:t>被投资单位名称或 形成商誉的事项</w:t>
            </w:r>
          </w:p>
        </w:tc>
        <w:tc>
          <w:tcPr>
            <w:tcW w:w="11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76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1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938" w:type="dxa"/>
            <w:vMerge/>
            <w:tcBorders>
              <w:left w:val="single" w:sz="4" w:space="0" w:color="000000"/>
              <w:bottom w:val="single" w:sz="4" w:space="0" w:color="000000"/>
              <w:right w:val="single" w:sz="4" w:space="0" w:color="000000"/>
            </w:tcBorders>
          </w:tcPr>
          <w:p>
            <w:pPr/>
          </w:p>
        </w:tc>
        <w:tc>
          <w:tcPr>
            <w:tcW w:w="1178" w:type="dxa"/>
            <w:vMerge/>
            <w:tcBorders>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企业合并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形成的</w:t>
            </w:r>
          </w:p>
        </w:tc>
        <w:tc>
          <w:tcPr>
            <w:tcW w:w="117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5"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58" w:type="dxa"/>
            <w:vMerge/>
            <w:tcBorders>
              <w:left w:val="single" w:sz="4" w:space="0" w:color="000000"/>
              <w:bottom w:val="single" w:sz="4" w:space="0" w:color="000000"/>
              <w:right w:val="single" w:sz="4" w:space="0" w:color="000000"/>
            </w:tcBorders>
          </w:tcPr>
          <w:p>
            <w:pPr/>
          </w:p>
        </w:tc>
      </w:tr>
      <w:tr>
        <w:trPr>
          <w:trHeight w:val="348" w:hRule="exact"/>
        </w:trPr>
        <w:tc>
          <w:tcPr>
            <w:tcW w:w="1938"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938"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7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24"/>
          <w:szCs w:val="24"/>
        </w:rPr>
      </w:pPr>
    </w:p>
    <w:p>
      <w:pPr>
        <w:pStyle w:val="Heading3"/>
        <w:spacing w:line="240" w:lineRule="auto"/>
        <w:ind w:right="114"/>
        <w:jc w:val="left"/>
        <w:rPr>
          <w:b w:val="0"/>
          <w:bCs w:val="0"/>
        </w:rPr>
      </w:pPr>
      <w:r>
        <w:rPr/>
        <w:t>(2).</w:t>
      </w:r>
      <w:r>
        <w:rPr>
          <w:spacing w:val="54"/>
        </w:rPr>
        <w:t> </w:t>
      </w:r>
      <w:r>
        <w:rPr/>
        <w:t>商誉减值准备</w:t>
      </w:r>
      <w:r>
        <w:rPr>
          <w:b w:val="0"/>
          <w:bCs w:val="0"/>
        </w:rPr>
      </w:r>
    </w:p>
    <w:p>
      <w:pPr>
        <w:spacing w:line="240" w:lineRule="auto" w:before="7"/>
        <w:rPr>
          <w:rFonts w:ascii="宋体" w:hAnsi="宋体" w:cs="宋体" w:eastAsia="宋体" w:hint="default"/>
          <w:b/>
          <w:bCs/>
          <w:sz w:val="8"/>
          <w:szCs w:val="8"/>
        </w:rPr>
      </w:pPr>
    </w:p>
    <w:tbl>
      <w:tblPr>
        <w:tblW w:w="0" w:type="auto"/>
        <w:jc w:val="left"/>
        <w:tblInd w:w="104" w:type="dxa"/>
        <w:tblLayout w:type="fixed"/>
        <w:tblCellMar>
          <w:top w:w="0" w:type="dxa"/>
          <w:left w:w="0" w:type="dxa"/>
          <w:bottom w:w="0" w:type="dxa"/>
          <w:right w:w="0" w:type="dxa"/>
        </w:tblCellMar>
        <w:tblLook w:val="01E0"/>
      </w:tblPr>
      <w:tblGrid>
        <w:gridCol w:w="1943"/>
        <w:gridCol w:w="1175"/>
        <w:gridCol w:w="1205"/>
        <w:gridCol w:w="1176"/>
        <w:gridCol w:w="1187"/>
        <w:gridCol w:w="1238"/>
        <w:gridCol w:w="1126"/>
      </w:tblGrid>
      <w:tr>
        <w:trPr>
          <w:trHeight w:val="283" w:hRule="exact"/>
        </w:trPr>
        <w:tc>
          <w:tcPr>
            <w:tcW w:w="1943" w:type="dxa"/>
            <w:vMerge w:val="restart"/>
            <w:tcBorders>
              <w:top w:val="single" w:sz="4" w:space="0" w:color="000000"/>
              <w:left w:val="single" w:sz="4" w:space="0" w:color="000000"/>
              <w:right w:val="single" w:sz="4" w:space="0" w:color="000000"/>
            </w:tcBorders>
          </w:tcPr>
          <w:p>
            <w:pPr>
              <w:pStyle w:val="TableParagraph"/>
              <w:spacing w:line="272" w:lineRule="exact" w:before="10"/>
              <w:ind w:left="231" w:right="125" w:hanging="106"/>
              <w:jc w:val="left"/>
              <w:rPr>
                <w:rFonts w:ascii="宋体" w:hAnsi="宋体" w:cs="宋体" w:eastAsia="宋体" w:hint="default"/>
                <w:sz w:val="21"/>
                <w:szCs w:val="21"/>
              </w:rPr>
            </w:pPr>
            <w:r>
              <w:rPr>
                <w:rFonts w:ascii="宋体" w:hAnsi="宋体" w:cs="宋体" w:eastAsia="宋体" w:hint="default"/>
                <w:sz w:val="21"/>
                <w:szCs w:val="21"/>
              </w:rPr>
              <w:t>被投资单位名称或 形成商誉的事项</w:t>
            </w:r>
          </w:p>
        </w:tc>
        <w:tc>
          <w:tcPr>
            <w:tcW w:w="1175" w:type="dxa"/>
            <w:vMerge w:val="restart"/>
            <w:tcBorders>
              <w:top w:val="single" w:sz="4" w:space="0" w:color="000000"/>
              <w:left w:val="single" w:sz="4" w:space="0" w:color="000000"/>
              <w:right w:val="single" w:sz="4" w:space="0" w:color="000000"/>
            </w:tcBorders>
          </w:tcPr>
          <w:p>
            <w:pPr>
              <w:pStyle w:val="TableParagraph"/>
              <w:spacing w:line="240" w:lineRule="auto" w:before="118"/>
              <w:ind w:left="16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4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118"/>
              <w:ind w:left="13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06" w:hRule="exact"/>
        </w:trPr>
        <w:tc>
          <w:tcPr>
            <w:tcW w:w="1943" w:type="dxa"/>
            <w:vMerge/>
            <w:tcBorders>
              <w:left w:val="single" w:sz="4" w:space="0" w:color="000000"/>
              <w:bottom w:val="single" w:sz="4" w:space="0" w:color="000000"/>
              <w:right w:val="single" w:sz="4" w:space="0" w:color="000000"/>
            </w:tcBorders>
          </w:tcPr>
          <w:p>
            <w:pPr/>
          </w:p>
        </w:tc>
        <w:tc>
          <w:tcPr>
            <w:tcW w:w="1175"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386"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376"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238" w:type="dxa"/>
            <w:tcBorders>
              <w:top w:val="single" w:sz="4" w:space="0" w:color="000000"/>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r>
      <w:tr>
        <w:trPr>
          <w:trHeight w:val="332" w:hRule="exact"/>
        </w:trPr>
        <w:tc>
          <w:tcPr>
            <w:tcW w:w="194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334" w:hRule="exact"/>
        </w:trPr>
        <w:tc>
          <w:tcPr>
            <w:tcW w:w="194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7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0" w:lineRule="exact"/>
        <w:ind w:right="114"/>
        <w:jc w:val="left"/>
      </w:pPr>
      <w:r>
        <w:rPr/>
        <w:t>说明商誉减值测试过程、参数及商誉减值损失的确认方法</w:t>
      </w:r>
    </w:p>
    <w:p>
      <w:pPr>
        <w:spacing w:line="240" w:lineRule="auto" w:before="13"/>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pStyle w:val="BodyText"/>
        <w:spacing w:line="240" w:lineRule="auto" w:before="15"/>
        <w:ind w:right="114"/>
        <w:jc w:val="left"/>
      </w:pPr>
      <w:r>
        <w:rPr/>
        <w:t>其他说明</w:t>
      </w:r>
    </w:p>
    <w:p>
      <w:pPr>
        <w:spacing w:line="240" w:lineRule="auto" w:before="5"/>
        <w:rPr>
          <w:rFonts w:ascii="宋体" w:hAnsi="宋体" w:cs="宋体" w:eastAsia="宋体" w:hint="default"/>
          <w:sz w:val="22"/>
          <w:szCs w:val="22"/>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pStyle w:val="Heading3"/>
        <w:spacing w:line="240" w:lineRule="auto" w:before="56"/>
        <w:ind w:right="114"/>
        <w:jc w:val="left"/>
        <w:rPr>
          <w:b w:val="0"/>
          <w:bCs w:val="0"/>
        </w:rPr>
      </w:pPr>
      <w:r>
        <w:rPr/>
        <w:t>28、</w:t>
      </w:r>
      <w:r>
        <w:rPr>
          <w:spacing w:val="-29"/>
        </w:rPr>
        <w:t> </w:t>
      </w:r>
      <w:r>
        <w:rPr/>
        <w:t>长期待摊费用</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447"/>
        <w:gridCol w:w="1496"/>
        <w:gridCol w:w="1498"/>
        <w:gridCol w:w="1496"/>
        <w:gridCol w:w="1520"/>
        <w:gridCol w:w="1591"/>
      </w:tblGrid>
      <w:tr>
        <w:trPr>
          <w:trHeight w:val="32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06"/>
              <w:jc w:val="right"/>
              <w:rPr>
                <w:rFonts w:ascii="宋体" w:hAnsi="宋体" w:cs="宋体" w:eastAsia="宋体" w:hint="default"/>
                <w:sz w:val="21"/>
                <w:szCs w:val="21"/>
              </w:rPr>
            </w:pPr>
            <w:r>
              <w:rPr>
                <w:rFonts w:ascii="宋体" w:hAnsi="宋体" w:cs="宋体" w:eastAsia="宋体" w:hint="default"/>
                <w:sz w:val="21"/>
                <w:szCs w:val="21"/>
              </w:rPr>
              <w:t>项目</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4"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13"/>
              <w:jc w:val="right"/>
              <w:rPr>
                <w:rFonts w:ascii="宋体" w:hAnsi="宋体" w:cs="宋体" w:eastAsia="宋体" w:hint="default"/>
                <w:sz w:val="21"/>
                <w:szCs w:val="21"/>
              </w:rPr>
            </w:pPr>
            <w:r>
              <w:rPr>
                <w:rFonts w:ascii="宋体" w:hAnsi="宋体" w:cs="宋体" w:eastAsia="宋体" w:hint="default"/>
                <w:sz w:val="21"/>
                <w:szCs w:val="21"/>
              </w:rPr>
              <w:t>本期摊销金额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7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1" w:right="0"/>
              <w:jc w:val="center"/>
              <w:rPr>
                <w:rFonts w:ascii="宋体" w:hAnsi="宋体" w:cs="宋体" w:eastAsia="宋体" w:hint="default"/>
                <w:sz w:val="21"/>
                <w:szCs w:val="21"/>
              </w:rPr>
            </w:pPr>
            <w:r>
              <w:rPr>
                <w:rFonts w:ascii="宋体"/>
                <w:sz w:val="21"/>
              </w:rPr>
              <w:t>2,690,727.40</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1,852,303.69</w:t>
            </w:r>
            <w:r>
              <w:rPr>
                <w:rFonts w:ascii="宋体"/>
                <w:sz w:val="21"/>
              </w:rPr>
            </w:r>
          </w:p>
        </w:tc>
        <w:tc>
          <w:tcPr>
            <w:tcW w:w="152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838,423.71</w:t>
            </w:r>
            <w:r>
              <w:rPr>
                <w:rFonts w:ascii="宋体"/>
                <w:sz w:val="21"/>
              </w:rPr>
            </w:r>
          </w:p>
        </w:tc>
      </w:tr>
      <w:tr>
        <w:trPr>
          <w:trHeight w:val="63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33"/>
                <w:sz w:val="21"/>
                <w:szCs w:val="21"/>
              </w:rPr>
              <w:t>高尔夫会</w:t>
            </w:r>
            <w:r>
              <w:rPr>
                <w:rFonts w:ascii="宋体" w:hAnsi="宋体" w:cs="宋体" w:eastAsia="宋体" w:hint="default"/>
                <w:spacing w:val="-58"/>
                <w:sz w:val="21"/>
                <w:szCs w:val="21"/>
              </w:rPr>
              <w:t> </w:t>
            </w:r>
            <w:r>
              <w:rPr>
                <w:rFonts w:ascii="宋体" w:hAnsi="宋体" w:cs="宋体" w:eastAsia="宋体" w:hint="default"/>
                <w:sz w:val="21"/>
                <w:szCs w:val="21"/>
              </w:rPr>
              <w:t>籍</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费</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1" w:right="0"/>
              <w:jc w:val="center"/>
              <w:rPr>
                <w:rFonts w:ascii="宋体" w:hAnsi="宋体" w:cs="宋体" w:eastAsia="宋体" w:hint="default"/>
                <w:sz w:val="21"/>
                <w:szCs w:val="21"/>
              </w:rPr>
            </w:pPr>
            <w:r>
              <w:rPr>
                <w:rFonts w:ascii="宋体"/>
                <w:sz w:val="21"/>
              </w:rPr>
              <w:t>3,161,756.85</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527,360.04</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2,634,396.81</w:t>
            </w:r>
            <w:r>
              <w:rPr>
                <w:rFonts w:ascii="宋体"/>
                <w:sz w:val="21"/>
              </w:rPr>
            </w:r>
          </w:p>
        </w:tc>
      </w:tr>
      <w:tr>
        <w:trPr>
          <w:trHeight w:val="32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07"/>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 w:right="0"/>
              <w:jc w:val="center"/>
              <w:rPr>
                <w:rFonts w:ascii="宋体" w:hAnsi="宋体" w:cs="宋体" w:eastAsia="宋体" w:hint="default"/>
                <w:sz w:val="21"/>
                <w:szCs w:val="21"/>
              </w:rPr>
            </w:pPr>
            <w:r>
              <w:rPr>
                <w:rFonts w:ascii="宋体"/>
                <w:sz w:val="21"/>
              </w:rPr>
              <w:t>5,852,484.25</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2,379,663.73</w:t>
            </w:r>
            <w:r>
              <w:rPr>
                <w:rFonts w:ascii="宋体"/>
                <w:sz w:val="21"/>
              </w:rPr>
            </w:r>
          </w:p>
        </w:tc>
        <w:tc>
          <w:tcPr>
            <w:tcW w:w="152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3,472,820.52</w:t>
            </w:r>
            <w:r>
              <w:rPr>
                <w:rFonts w:ascii="宋体"/>
                <w:sz w:val="21"/>
              </w:rPr>
            </w:r>
          </w:p>
        </w:tc>
      </w:tr>
    </w:tbl>
    <w:p>
      <w:pPr>
        <w:pStyle w:val="BodyText"/>
        <w:spacing w:line="260" w:lineRule="exact"/>
        <w:ind w:right="114"/>
        <w:jc w:val="left"/>
      </w:pPr>
      <w:r>
        <w:rPr/>
        <w:t>其他说明：</w:t>
      </w:r>
    </w:p>
    <w:p>
      <w:pPr>
        <w:spacing w:line="240" w:lineRule="auto" w:before="13"/>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a">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080" w:bottom="1380" w:left="1580" w:right="1040"/>
        </w:sectPr>
      </w:pPr>
    </w:p>
    <w:p>
      <w:pPr>
        <w:pStyle w:val="Heading3"/>
        <w:spacing w:line="324" w:lineRule="auto"/>
        <w:ind w:right="-16"/>
        <w:jc w:val="left"/>
        <w:rPr>
          <w:b w:val="0"/>
          <w:bCs w:val="0"/>
        </w:rPr>
      </w:pPr>
      <w:r>
        <w:rPr/>
        <w:t>29、 递延所得税资产/</w:t>
      </w:r>
      <w:r>
        <w:rPr>
          <w:spacing w:val="-29"/>
        </w:rPr>
        <w:t> </w:t>
      </w:r>
      <w:r>
        <w:rPr/>
        <w:t>递延所得税负债</w:t>
      </w:r>
      <w:r>
        <w:rPr>
          <w:w w:val="99"/>
        </w:rPr>
        <w:t> </w:t>
      </w:r>
      <w:r>
        <w:rPr/>
        <w:t>(1).</w:t>
      </w:r>
      <w:r>
        <w:rPr>
          <w:spacing w:val="53"/>
        </w:rPr>
        <w:t> </w:t>
      </w:r>
      <w:r>
        <w:rPr/>
        <w:t>未经抵销的递延所得税资产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tabs>
          <w:tab w:pos="1267" w:val="left" w:leader="none"/>
        </w:tabs>
        <w:spacing w:line="240" w:lineRule="auto"/>
        <w:ind w:right="0"/>
        <w:jc w:val="left"/>
      </w:pPr>
      <w:r>
        <w:rPr/>
        <w:t>单位：元</w:t>
        <w:tab/>
        <w:t>币种：人民币</w:t>
      </w:r>
    </w:p>
    <w:p>
      <w:pPr>
        <w:spacing w:after="0" w:line="240" w:lineRule="auto"/>
        <w:jc w:val="left"/>
        <w:sectPr>
          <w:type w:val="continuous"/>
          <w:pgSz w:w="11910" w:h="16840"/>
          <w:pgMar w:top="1080" w:bottom="1380" w:left="1580" w:right="1040"/>
          <w:cols w:num="2" w:equalWidth="0">
            <w:col w:w="3884" w:space="2639"/>
            <w:col w:w="2767"/>
          </w:cols>
        </w:sectPr>
      </w:pP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444"/>
        <w:gridCol w:w="1651"/>
        <w:gridCol w:w="1646"/>
        <w:gridCol w:w="1664"/>
        <w:gridCol w:w="1645"/>
      </w:tblGrid>
      <w:tr>
        <w:trPr>
          <w:trHeight w:val="322"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635" w:hRule="exact"/>
        </w:trPr>
        <w:tc>
          <w:tcPr>
            <w:tcW w:w="2444" w:type="dxa"/>
            <w:vMerge/>
            <w:tcBorders>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差异</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资产</w:t>
            </w:r>
          </w:p>
        </w:tc>
      </w:tr>
    </w:tbl>
    <w:p>
      <w:pPr>
        <w:spacing w:after="0" w:line="240" w:lineRule="auto"/>
        <w:jc w:val="center"/>
        <w:rPr>
          <w:rFonts w:ascii="宋体" w:hAnsi="宋体" w:cs="宋体" w:eastAsia="宋体" w:hint="default"/>
          <w:sz w:val="21"/>
          <w:szCs w:val="21"/>
        </w:rPr>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444"/>
        <w:gridCol w:w="1651"/>
        <w:gridCol w:w="1646"/>
        <w:gridCol w:w="1664"/>
        <w:gridCol w:w="1645"/>
      </w:tblGrid>
      <w:tr>
        <w:trPr>
          <w:trHeight w:val="322"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3"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313" w:right="0"/>
              <w:jc w:val="left"/>
              <w:rPr>
                <w:rFonts w:ascii="宋体" w:hAnsi="宋体" w:cs="宋体" w:eastAsia="宋体" w:hint="default"/>
                <w:sz w:val="21"/>
                <w:szCs w:val="21"/>
              </w:rPr>
            </w:pPr>
            <w:r>
              <w:rPr>
                <w:rFonts w:ascii="宋体" w:hAnsi="宋体" w:cs="宋体" w:eastAsia="宋体" w:hint="default"/>
                <w:sz w:val="21"/>
                <w:szCs w:val="21"/>
              </w:rPr>
              <w:t>因资产减值准备等因</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素形成的部分</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pacing w:val="-1"/>
                <w:sz w:val="21"/>
              </w:rPr>
              <w:t>28,440,671.31</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pacing w:val="-1"/>
                <w:sz w:val="21"/>
              </w:rPr>
              <w:t>3,468,273.29</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82" w:right="0"/>
              <w:jc w:val="center"/>
              <w:rPr>
                <w:rFonts w:ascii="宋体" w:hAnsi="宋体" w:cs="宋体" w:eastAsia="宋体" w:hint="default"/>
                <w:sz w:val="21"/>
                <w:szCs w:val="21"/>
              </w:rPr>
            </w:pPr>
            <w:r>
              <w:rPr>
                <w:rFonts w:ascii="宋体"/>
                <w:sz w:val="21"/>
              </w:rPr>
              <w:t>26,495,484.93</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pacing w:val="-1"/>
                <w:sz w:val="21"/>
              </w:rPr>
              <w:t>3,016,543.21</w:t>
            </w:r>
          </w:p>
        </w:tc>
      </w:tr>
      <w:tr>
        <w:trPr>
          <w:trHeight w:val="63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预收款项计入应纳税所</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得形成的部分</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226,823.58</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34,023.54</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87" w:right="0"/>
              <w:jc w:val="center"/>
              <w:rPr>
                <w:rFonts w:ascii="宋体" w:hAnsi="宋体" w:cs="宋体" w:eastAsia="宋体" w:hint="default"/>
                <w:sz w:val="21"/>
                <w:szCs w:val="21"/>
              </w:rPr>
            </w:pPr>
            <w:r>
              <w:rPr>
                <w:rFonts w:ascii="宋体"/>
                <w:sz w:val="21"/>
              </w:rPr>
              <w:t>1,220,258.54</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183,038.78</w:t>
            </w:r>
          </w:p>
        </w:tc>
      </w:tr>
      <w:tr>
        <w:trPr>
          <w:trHeight w:val="63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股份支付确认费用形成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暂时性差异的部分</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2,868,031.26</w:t>
            </w:r>
            <w:r>
              <w:rPr>
                <w:rFonts w:ascii="宋体"/>
                <w:sz w:val="21"/>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286,803.13</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87" w:right="0"/>
              <w:jc w:val="center"/>
              <w:rPr>
                <w:rFonts w:ascii="宋体" w:hAnsi="宋体" w:cs="宋体" w:eastAsia="宋体" w:hint="default"/>
                <w:sz w:val="21"/>
                <w:szCs w:val="21"/>
              </w:rPr>
            </w:pPr>
            <w:r>
              <w:rPr>
                <w:rFonts w:ascii="宋体"/>
                <w:sz w:val="21"/>
              </w:rPr>
              <w:t>6,785,652.78</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678,565.28</w:t>
            </w:r>
          </w:p>
        </w:tc>
      </w:tr>
      <w:tr>
        <w:trPr>
          <w:trHeight w:val="63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与收益相关政府补助形</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成的部分</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87" w:right="0"/>
              <w:jc w:val="center"/>
              <w:rPr>
                <w:rFonts w:ascii="宋体" w:hAnsi="宋体" w:cs="宋体" w:eastAsia="宋体" w:hint="default"/>
                <w:sz w:val="21"/>
                <w:szCs w:val="21"/>
              </w:rPr>
            </w:pPr>
            <w:r>
              <w:rPr>
                <w:rFonts w:ascii="宋体"/>
                <w:sz w:val="21"/>
              </w:rPr>
              <w:t>1,500,000.00</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pacing w:val="-1"/>
                <w:sz w:val="21"/>
              </w:rPr>
              <w:t>225,000.00</w:t>
            </w:r>
          </w:p>
        </w:tc>
      </w:tr>
      <w:tr>
        <w:trPr>
          <w:trHeight w:val="63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可供出售金融资产减值</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准备形成的部分</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4,800,000.00</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pacing w:val="-1"/>
                <w:sz w:val="21"/>
              </w:rPr>
              <w:t>480,000.00</w:t>
            </w:r>
          </w:p>
        </w:tc>
        <w:tc>
          <w:tcPr>
            <w:tcW w:w="1664"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36,335,526.15</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4,269,099.96</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3" w:right="0"/>
              <w:jc w:val="center"/>
              <w:rPr>
                <w:rFonts w:ascii="宋体" w:hAnsi="宋体" w:cs="宋体" w:eastAsia="宋体" w:hint="default"/>
                <w:sz w:val="21"/>
                <w:szCs w:val="21"/>
              </w:rPr>
            </w:pPr>
            <w:r>
              <w:rPr>
                <w:rFonts w:ascii="宋体"/>
                <w:sz w:val="21"/>
              </w:rPr>
              <w:t>36,001,396.25</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4,103,147.27</w:t>
            </w:r>
          </w:p>
        </w:tc>
      </w:tr>
    </w:tbl>
    <w:p>
      <w:pPr>
        <w:spacing w:line="240" w:lineRule="auto" w:before="8"/>
        <w:rPr>
          <w:rFonts w:ascii="宋体" w:hAnsi="宋体" w:cs="宋体" w:eastAsia="宋体" w:hint="default"/>
          <w:sz w:val="24"/>
          <w:szCs w:val="24"/>
        </w:rPr>
      </w:pPr>
    </w:p>
    <w:p>
      <w:pPr>
        <w:pStyle w:val="Heading3"/>
        <w:spacing w:line="240" w:lineRule="auto"/>
        <w:ind w:right="114"/>
        <w:jc w:val="left"/>
        <w:rPr>
          <w:b w:val="0"/>
          <w:bCs w:val="0"/>
        </w:rPr>
      </w:pPr>
      <w:r>
        <w:rPr/>
        <w:t>(2).</w:t>
      </w:r>
      <w:r>
        <w:rPr>
          <w:spacing w:val="53"/>
        </w:rPr>
        <w:t> </w:t>
      </w:r>
      <w:r>
        <w:rPr/>
        <w:t>未经抵销的递延所得税负债</w:t>
      </w:r>
      <w:r>
        <w:rPr>
          <w:b w:val="0"/>
          <w:bCs w:val="0"/>
        </w:rPr>
      </w:r>
    </w:p>
    <w:p>
      <w:pPr>
        <w:spacing w:line="240" w:lineRule="auto" w:before="7"/>
        <w:rPr>
          <w:rFonts w:ascii="宋体" w:hAnsi="宋体" w:cs="宋体" w:eastAsia="宋体" w:hint="default"/>
          <w:b/>
          <w:bCs/>
          <w:sz w:val="8"/>
          <w:szCs w:val="8"/>
        </w:rPr>
      </w:pPr>
    </w:p>
    <w:tbl>
      <w:tblPr>
        <w:tblW w:w="0" w:type="auto"/>
        <w:jc w:val="left"/>
        <w:tblInd w:w="104" w:type="dxa"/>
        <w:tblLayout w:type="fixed"/>
        <w:tblCellMar>
          <w:top w:w="0" w:type="dxa"/>
          <w:left w:w="0" w:type="dxa"/>
          <w:bottom w:w="0" w:type="dxa"/>
          <w:right w:w="0" w:type="dxa"/>
        </w:tblCellMar>
        <w:tblLook w:val="01E0"/>
      </w:tblPr>
      <w:tblGrid>
        <w:gridCol w:w="2374"/>
        <w:gridCol w:w="1676"/>
        <w:gridCol w:w="1666"/>
        <w:gridCol w:w="1657"/>
        <w:gridCol w:w="1676"/>
      </w:tblGrid>
      <w:tr>
        <w:trPr>
          <w:trHeight w:val="322"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634" w:hRule="exact"/>
        </w:trPr>
        <w:tc>
          <w:tcPr>
            <w:tcW w:w="2374" w:type="dxa"/>
            <w:vMerge/>
            <w:tcBorders>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差异</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差异</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63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p>
        </w:tc>
        <w:tc>
          <w:tcPr>
            <w:tcW w:w="167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可供出售金融资产公允</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167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b/>
          <w:bCs/>
          <w:sz w:val="24"/>
          <w:szCs w:val="24"/>
        </w:rPr>
      </w:pPr>
    </w:p>
    <w:p>
      <w:pPr>
        <w:pStyle w:val="Heading3"/>
        <w:spacing w:line="240" w:lineRule="auto"/>
        <w:ind w:right="114"/>
        <w:jc w:val="left"/>
        <w:rPr>
          <w:b w:val="0"/>
          <w:bCs w:val="0"/>
        </w:rPr>
      </w:pPr>
      <w:r>
        <w:rPr/>
        <w:t>(3).</w:t>
      </w:r>
      <w:r>
        <w:rPr>
          <w:spacing w:val="52"/>
        </w:rPr>
        <w:t> </w:t>
      </w:r>
      <w:r>
        <w:rPr/>
        <w:t>以抵销后净额列示的递延所得税资产或负债：</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363"/>
        <w:gridCol w:w="1676"/>
        <w:gridCol w:w="1661"/>
        <w:gridCol w:w="1690"/>
        <w:gridCol w:w="1660"/>
      </w:tblGrid>
      <w:tr>
        <w:trPr>
          <w:trHeight w:val="317" w:hRule="exact"/>
        </w:trPr>
        <w:tc>
          <w:tcPr>
            <w:tcW w:w="2363" w:type="dxa"/>
            <w:tcBorders>
              <w:top w:val="single" w:sz="4" w:space="0" w:color="000000"/>
              <w:left w:val="single" w:sz="4" w:space="0" w:color="000000"/>
              <w:bottom w:val="nil" w:sz="6" w:space="0" w:color="auto"/>
              <w:right w:val="single" w:sz="4" w:space="0" w:color="000000"/>
            </w:tcBorders>
          </w:tcPr>
          <w:p>
            <w:pPr/>
          </w:p>
        </w:tc>
        <w:tc>
          <w:tcPr>
            <w:tcW w:w="1676"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递延所得税资</w:t>
            </w:r>
          </w:p>
        </w:tc>
        <w:tc>
          <w:tcPr>
            <w:tcW w:w="1661"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抵销后递延所</w:t>
            </w:r>
          </w:p>
        </w:tc>
        <w:tc>
          <w:tcPr>
            <w:tcW w:w="1690"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递延所得税资产</w:t>
            </w:r>
          </w:p>
        </w:tc>
        <w:tc>
          <w:tcPr>
            <w:tcW w:w="1660"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抵销后递延所</w:t>
            </w:r>
          </w:p>
        </w:tc>
      </w:tr>
      <w:tr>
        <w:trPr>
          <w:trHeight w:val="312" w:hRule="exact"/>
        </w:trPr>
        <w:tc>
          <w:tcPr>
            <w:tcW w:w="2363"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产和负债期末</w:t>
            </w:r>
          </w:p>
        </w:tc>
        <w:tc>
          <w:tcPr>
            <w:tcW w:w="1661"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得税资产或负</w:t>
            </w:r>
          </w:p>
        </w:tc>
        <w:tc>
          <w:tcPr>
            <w:tcW w:w="169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和负债期初互抵</w:t>
            </w:r>
          </w:p>
        </w:tc>
        <w:tc>
          <w:tcPr>
            <w:tcW w:w="166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得税资产或负</w:t>
            </w:r>
          </w:p>
        </w:tc>
      </w:tr>
      <w:tr>
        <w:trPr>
          <w:trHeight w:val="318" w:hRule="exact"/>
        </w:trPr>
        <w:tc>
          <w:tcPr>
            <w:tcW w:w="2363" w:type="dxa"/>
            <w:tcBorders>
              <w:top w:val="nil" w:sz="6" w:space="0" w:color="auto"/>
              <w:left w:val="single" w:sz="4" w:space="0" w:color="000000"/>
              <w:bottom w:val="single" w:sz="4" w:space="0" w:color="000000"/>
              <w:right w:val="single" w:sz="4" w:space="0" w:color="000000"/>
            </w:tcBorders>
          </w:tcPr>
          <w:p>
            <w:pPr/>
          </w:p>
        </w:tc>
        <w:tc>
          <w:tcPr>
            <w:tcW w:w="1676"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互抵金额</w:t>
            </w:r>
          </w:p>
        </w:tc>
        <w:tc>
          <w:tcPr>
            <w:tcW w:w="1661"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债期末余额</w:t>
            </w:r>
          </w:p>
        </w:tc>
        <w:tc>
          <w:tcPr>
            <w:tcW w:w="169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6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债期初余额</w:t>
            </w:r>
          </w:p>
        </w:tc>
      </w:tr>
      <w:tr>
        <w:trPr>
          <w:trHeight w:val="322"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7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7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24"/>
          <w:szCs w:val="24"/>
        </w:rPr>
      </w:pPr>
    </w:p>
    <w:p>
      <w:pPr>
        <w:pStyle w:val="Heading3"/>
        <w:spacing w:line="240" w:lineRule="auto"/>
        <w:ind w:right="114"/>
        <w:jc w:val="left"/>
        <w:rPr>
          <w:b w:val="0"/>
          <w:bCs w:val="0"/>
        </w:rPr>
      </w:pPr>
      <w:r>
        <w:rPr/>
        <w:t>(4).</w:t>
      </w:r>
      <w:r>
        <w:rPr>
          <w:spacing w:val="53"/>
        </w:rPr>
        <w:t> </w:t>
      </w:r>
      <w:r>
        <w:rPr/>
        <w:t>未确认递延所得税资产明细</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890"/>
        <w:gridCol w:w="3082"/>
        <w:gridCol w:w="3078"/>
      </w:tblGrid>
      <w:tr>
        <w:trPr>
          <w:trHeight w:val="322"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229"/>
              <w:jc w:val="right"/>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368,979.09</w:t>
            </w:r>
          </w:p>
        </w:tc>
        <w:tc>
          <w:tcPr>
            <w:tcW w:w="30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4,130,667.09</w:t>
            </w:r>
            <w:r>
              <w:rPr>
                <w:rFonts w:ascii="宋体"/>
                <w:sz w:val="21"/>
              </w:rPr>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1,053,547.84</w:t>
            </w:r>
            <w:r>
              <w:rPr>
                <w:rFonts w:ascii="宋体"/>
                <w:sz w:val="21"/>
              </w:rPr>
            </w:r>
          </w:p>
        </w:tc>
      </w:tr>
      <w:tr>
        <w:trPr>
          <w:trHeight w:val="322" w:hRule="exact"/>
        </w:trPr>
        <w:tc>
          <w:tcPr>
            <w:tcW w:w="2890"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
        </w:tc>
        <w:tc>
          <w:tcPr>
            <w:tcW w:w="30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0"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
        </w:tc>
        <w:tc>
          <w:tcPr>
            <w:tcW w:w="30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228"/>
              <w:jc w:val="right"/>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4,499,646.18</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1,053,547.84</w:t>
            </w:r>
          </w:p>
        </w:tc>
      </w:tr>
    </w:tbl>
    <w:p>
      <w:pPr>
        <w:spacing w:after="0" w:line="261" w:lineRule="exact"/>
        <w:jc w:val="right"/>
        <w:rPr>
          <w:rFonts w:ascii="宋体" w:hAnsi="宋体" w:cs="宋体" w:eastAsia="宋体" w:hint="default"/>
          <w:sz w:val="21"/>
          <w:szCs w:val="21"/>
        </w:rPr>
        <w:sectPr>
          <w:pgSz w:w="11910" w:h="16840"/>
          <w:pgMar w:header="0" w:footer="1197"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right="114"/>
        <w:jc w:val="left"/>
        <w:rPr>
          <w:b w:val="0"/>
          <w:bCs w:val="0"/>
        </w:rPr>
      </w:pPr>
      <w:r>
        <w:rPr/>
        <w:t>(5).</w:t>
      </w:r>
      <w:r>
        <w:rPr>
          <w:spacing w:val="52"/>
        </w:rPr>
        <w:t> </w:t>
      </w:r>
      <w:r>
        <w:rPr/>
        <w:t>未确认递延所得税资产的可抵扣亏损将于以下年度到期</w:t>
      </w:r>
      <w:r>
        <w:rPr>
          <w:b w:val="0"/>
          <w:bCs w:val="0"/>
        </w:rPr>
      </w:r>
    </w:p>
    <w:p>
      <w:pPr>
        <w:pStyle w:val="BodyText"/>
        <w:tabs>
          <w:tab w:pos="1049" w:val="left" w:leader="none"/>
        </w:tabs>
        <w:spacing w:line="240" w:lineRule="auto" w:before="97"/>
        <w:ind w:left="0" w:right="289"/>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084"/>
        <w:gridCol w:w="2286"/>
        <w:gridCol w:w="2323"/>
        <w:gridCol w:w="2356"/>
      </w:tblGrid>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826"/>
              <w:jc w:val="right"/>
              <w:rPr>
                <w:rFonts w:ascii="宋体" w:hAnsi="宋体" w:cs="宋体" w:eastAsia="宋体" w:hint="default"/>
                <w:sz w:val="21"/>
                <w:szCs w:val="21"/>
              </w:rPr>
            </w:pPr>
            <w:r>
              <w:rPr>
                <w:rFonts w:ascii="宋体" w:hAnsi="宋体" w:cs="宋体" w:eastAsia="宋体" w:hint="default"/>
                <w:sz w:val="21"/>
                <w:szCs w:val="21"/>
              </w:rPr>
              <w:t>年份</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16"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5"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c>
          <w:tcPr>
            <w:tcW w:w="2323"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84"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c>
          <w:tcPr>
            <w:tcW w:w="2323"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826"/>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2286" w:type="dxa"/>
            <w:tcBorders>
              <w:top w:val="single" w:sz="4" w:space="0" w:color="000000"/>
              <w:left w:val="single" w:sz="4" w:space="0" w:color="000000"/>
              <w:bottom w:val="single" w:sz="4" w:space="0" w:color="000000"/>
              <w:right w:val="single" w:sz="4" w:space="0" w:color="000000"/>
            </w:tcBorders>
          </w:tcPr>
          <w:p>
            <w:pPr/>
          </w:p>
        </w:tc>
        <w:tc>
          <w:tcPr>
            <w:tcW w:w="2323"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BodyText"/>
        <w:spacing w:line="273" w:lineRule="auto" w:before="35"/>
        <w:ind w:right="227"/>
        <w:jc w:val="left"/>
      </w:pPr>
      <w:r>
        <w:rPr/>
        <w:t>其他说明： 由于部分子公司业务萎缩或尚未开展业务，未来能否获得足够的应纳税所得额具有不确定性，因 此没有确认为递延所得税资产的可抵扣暂时性差异和可抵扣亏损。</w:t>
      </w:r>
    </w:p>
    <w:p>
      <w:pPr>
        <w:spacing w:line="240" w:lineRule="auto" w:before="4"/>
        <w:rPr>
          <w:rFonts w:ascii="宋体" w:hAnsi="宋体" w:cs="宋体" w:eastAsia="宋体" w:hint="default"/>
          <w:sz w:val="26"/>
          <w:szCs w:val="26"/>
        </w:rPr>
      </w:pPr>
    </w:p>
    <w:p>
      <w:pPr>
        <w:pStyle w:val="Heading3"/>
        <w:spacing w:line="240" w:lineRule="auto"/>
        <w:ind w:right="114"/>
        <w:jc w:val="left"/>
        <w:rPr>
          <w:b w:val="0"/>
          <w:bCs w:val="0"/>
        </w:rPr>
      </w:pPr>
      <w:r>
        <w:rPr/>
        <w:t>30、</w:t>
      </w:r>
      <w:r>
        <w:rPr>
          <w:spacing w:val="-29"/>
        </w:rPr>
        <w:t> </w:t>
      </w:r>
      <w:r>
        <w:rPr/>
        <w:t>其他非流动资产</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2815"/>
        <w:gridCol w:w="3079"/>
        <w:gridCol w:w="2999"/>
      </w:tblGrid>
      <w:tr>
        <w:trPr>
          <w:trHeight w:val="328"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6" w:hRule="exact"/>
        </w:trPr>
        <w:tc>
          <w:tcPr>
            <w:tcW w:w="2815" w:type="dxa"/>
            <w:tcBorders>
              <w:top w:val="single" w:sz="6" w:space="0" w:color="000000"/>
              <w:left w:val="single" w:sz="6" w:space="0" w:color="000000"/>
              <w:bottom w:val="single" w:sz="6" w:space="0" w:color="000000"/>
              <w:right w:val="single" w:sz="6" w:space="0" w:color="000000"/>
            </w:tcBorders>
          </w:tcPr>
          <w:p>
            <w:pPr/>
          </w:p>
        </w:tc>
        <w:tc>
          <w:tcPr>
            <w:tcW w:w="3079" w:type="dxa"/>
            <w:tcBorders>
              <w:top w:val="single" w:sz="6" w:space="0" w:color="000000"/>
              <w:left w:val="single" w:sz="6" w:space="0" w:color="000000"/>
              <w:bottom w:val="single" w:sz="6" w:space="0" w:color="000000"/>
              <w:right w:val="single" w:sz="6" w:space="0" w:color="000000"/>
            </w:tcBorders>
          </w:tcPr>
          <w:p>
            <w:pPr/>
          </w:p>
        </w:tc>
        <w:tc>
          <w:tcPr>
            <w:tcW w:w="299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815" w:type="dxa"/>
            <w:tcBorders>
              <w:top w:val="single" w:sz="6" w:space="0" w:color="000000"/>
              <w:left w:val="single" w:sz="6" w:space="0" w:color="000000"/>
              <w:bottom w:val="single" w:sz="6" w:space="0" w:color="000000"/>
              <w:right w:val="single" w:sz="6" w:space="0" w:color="000000"/>
            </w:tcBorders>
          </w:tcPr>
          <w:p>
            <w:pPr/>
          </w:p>
        </w:tc>
        <w:tc>
          <w:tcPr>
            <w:tcW w:w="3079" w:type="dxa"/>
            <w:tcBorders>
              <w:top w:val="single" w:sz="6" w:space="0" w:color="000000"/>
              <w:left w:val="single" w:sz="6" w:space="0" w:color="000000"/>
              <w:bottom w:val="single" w:sz="6" w:space="0" w:color="000000"/>
              <w:right w:val="single" w:sz="6" w:space="0" w:color="000000"/>
            </w:tcBorders>
          </w:tcPr>
          <w:p>
            <w:pPr/>
          </w:p>
        </w:tc>
        <w:tc>
          <w:tcPr>
            <w:tcW w:w="299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79" w:type="dxa"/>
            <w:tcBorders>
              <w:top w:val="single" w:sz="6" w:space="0" w:color="000000"/>
              <w:left w:val="single" w:sz="6" w:space="0" w:color="000000"/>
              <w:bottom w:val="single" w:sz="6" w:space="0" w:color="000000"/>
              <w:right w:val="single" w:sz="6" w:space="0" w:color="000000"/>
            </w:tcBorders>
          </w:tcPr>
          <w:p>
            <w:pPr/>
          </w:p>
        </w:tc>
        <w:tc>
          <w:tcPr>
            <w:tcW w:w="29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61" w:lineRule="exact"/>
        <w:ind w:right="114"/>
        <w:jc w:val="left"/>
      </w:pPr>
      <w:r>
        <w:rPr/>
        <w:t>其他说明：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7" w:top="1120" w:bottom="1380" w:left="1580" w:right="1040"/>
        </w:sectPr>
      </w:pPr>
    </w:p>
    <w:p>
      <w:pPr>
        <w:spacing w:line="240" w:lineRule="auto" w:before="1"/>
        <w:rPr>
          <w:rFonts w:ascii="宋体" w:hAnsi="宋体" w:cs="宋体" w:eastAsia="宋体" w:hint="default"/>
          <w:sz w:val="15"/>
          <w:szCs w:val="15"/>
        </w:rPr>
      </w:pPr>
    </w:p>
    <w:p>
      <w:pPr>
        <w:pStyle w:val="Heading3"/>
        <w:tabs>
          <w:tab w:pos="847" w:val="left" w:leader="none"/>
        </w:tabs>
        <w:spacing w:line="324" w:lineRule="auto" w:before="0"/>
        <w:ind w:right="0"/>
        <w:jc w:val="left"/>
        <w:rPr>
          <w:b w:val="0"/>
          <w:bCs w:val="0"/>
        </w:rPr>
      </w:pPr>
      <w:r>
        <w:rPr/>
        <w:t>31、</w:t>
      </w:r>
      <w:r>
        <w:rPr>
          <w:spacing w:val="-26"/>
        </w:rPr>
        <w:t> </w:t>
      </w:r>
      <w:r>
        <w:rPr/>
        <w:t>短期借款</w:t>
      </w:r>
      <w:r>
        <w:rPr>
          <w:spacing w:val="1"/>
          <w:w w:val="99"/>
        </w:rPr>
        <w:t> </w:t>
      </w:r>
      <w:r>
        <w:rPr>
          <w:w w:val="95"/>
        </w:rPr>
        <w:t>(1).</w:t>
        <w:tab/>
      </w:r>
      <w:r>
        <w:rPr/>
        <w:t>短期借款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56"/>
        <w:ind w:right="0"/>
        <w:jc w:val="left"/>
      </w:pPr>
      <w:r>
        <w:rPr/>
        <w:t>单位：元</w:t>
        <w:tab/>
        <w:t>币种：人民币</w:t>
      </w:r>
    </w:p>
    <w:p>
      <w:pPr>
        <w:spacing w:after="0" w:line="240" w:lineRule="auto"/>
        <w:jc w:val="left"/>
        <w:sectPr>
          <w:type w:val="continuous"/>
          <w:pgSz w:w="11910" w:h="16840"/>
          <w:pgMar w:top="1080" w:bottom="1380" w:left="1580" w:right="1040"/>
          <w:cols w:num="2" w:equalWidth="0">
            <w:col w:w="1693" w:space="4830"/>
            <w:col w:w="2767"/>
          </w:cols>
        </w:sectPr>
      </w:pPr>
    </w:p>
    <w:p>
      <w:pPr>
        <w:spacing w:line="240" w:lineRule="auto" w:before="13"/>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2870"/>
        <w:gridCol w:w="3002"/>
        <w:gridCol w:w="3020"/>
      </w:tblGrid>
      <w:tr>
        <w:trPr>
          <w:trHeight w:val="326"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2"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2"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125,500,000.00</w:t>
            </w:r>
            <w:r>
              <w:rPr>
                <w:rFonts w:ascii="宋体"/>
                <w:sz w:val="21"/>
              </w:rPr>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208,000,000.00</w:t>
            </w:r>
            <w:r>
              <w:rPr>
                <w:rFonts w:ascii="宋体"/>
                <w:sz w:val="21"/>
              </w:rPr>
            </w:r>
          </w:p>
        </w:tc>
      </w:tr>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2"/>
              <w:jc w:val="right"/>
              <w:rPr>
                <w:rFonts w:ascii="宋体" w:hAnsi="宋体" w:cs="宋体" w:eastAsia="宋体" w:hint="default"/>
                <w:sz w:val="21"/>
                <w:szCs w:val="21"/>
              </w:rPr>
            </w:pPr>
            <w:r>
              <w:rPr>
                <w:rFonts w:ascii="宋体"/>
                <w:spacing w:val="-1"/>
                <w:sz w:val="21"/>
              </w:rPr>
              <w:t>29,870,000.00</w:t>
            </w:r>
            <w:r>
              <w:rPr>
                <w:rFonts w:ascii="宋体"/>
                <w:sz w:val="21"/>
              </w:rPr>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2"/>
              <w:jc w:val="right"/>
              <w:rPr>
                <w:rFonts w:ascii="宋体" w:hAnsi="宋体" w:cs="宋体" w:eastAsia="宋体" w:hint="default"/>
                <w:sz w:val="21"/>
                <w:szCs w:val="21"/>
              </w:rPr>
            </w:pPr>
            <w:r>
              <w:rPr>
                <w:rFonts w:ascii="宋体"/>
                <w:spacing w:val="-1"/>
                <w:sz w:val="21"/>
              </w:rPr>
              <w:t>22,090,433.93</w:t>
            </w:r>
            <w:r>
              <w:rPr>
                <w:rFonts w:ascii="宋体"/>
                <w:sz w:val="21"/>
              </w:rPr>
            </w:r>
          </w:p>
        </w:tc>
      </w:tr>
      <w:tr>
        <w:trPr>
          <w:trHeight w:val="288" w:hRule="exact"/>
        </w:trPr>
        <w:tc>
          <w:tcPr>
            <w:tcW w:w="2870" w:type="dxa"/>
            <w:tcBorders>
              <w:top w:val="single" w:sz="6" w:space="0" w:color="000000"/>
              <w:left w:val="single" w:sz="6" w:space="0" w:color="000000"/>
              <w:bottom w:val="single" w:sz="6" w:space="0" w:color="000000"/>
              <w:right w:val="single" w:sz="6" w:space="0" w:color="000000"/>
            </w:tcBorders>
          </w:tcPr>
          <w:p>
            <w:pPr/>
          </w:p>
        </w:tc>
        <w:tc>
          <w:tcPr>
            <w:tcW w:w="3002"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
        </w:tc>
        <w:tc>
          <w:tcPr>
            <w:tcW w:w="3002"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14"/>
              <w:jc w:val="right"/>
              <w:rPr>
                <w:rFonts w:ascii="宋体" w:hAnsi="宋体" w:cs="宋体" w:eastAsia="宋体" w:hint="default"/>
                <w:sz w:val="21"/>
                <w:szCs w:val="21"/>
              </w:rPr>
            </w:pPr>
            <w:r>
              <w:rPr>
                <w:rFonts w:ascii="宋体" w:hAnsi="宋体" w:cs="宋体" w:eastAsia="宋体" w:hint="default"/>
                <w:sz w:val="21"/>
                <w:szCs w:val="21"/>
              </w:rPr>
              <w:t>合计</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pacing w:val="-1"/>
                <w:sz w:val="21"/>
              </w:rPr>
              <w:t>155,370,000.00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pacing w:val="-1"/>
                <w:sz w:val="21"/>
              </w:rPr>
              <w:t>230,090,433.93</w:t>
            </w:r>
          </w:p>
        </w:tc>
      </w:tr>
    </w:tbl>
    <w:p>
      <w:pPr>
        <w:pStyle w:val="BodyText"/>
        <w:spacing w:line="241" w:lineRule="exact"/>
        <w:ind w:right="114"/>
        <w:jc w:val="left"/>
      </w:pPr>
      <w:r>
        <w:rPr/>
        <w:t>短期借款的说明：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80" w:bottom="1380" w:left="1580" w:right="1040"/>
        </w:sectPr>
      </w:pPr>
    </w:p>
    <w:p>
      <w:pPr>
        <w:pStyle w:val="Heading3"/>
        <w:tabs>
          <w:tab w:pos="847" w:val="left" w:leader="none"/>
        </w:tabs>
        <w:spacing w:line="240" w:lineRule="auto"/>
        <w:ind w:right="0"/>
        <w:jc w:val="left"/>
        <w:rPr>
          <w:b w:val="0"/>
          <w:bCs w:val="0"/>
        </w:rPr>
      </w:pPr>
      <w:r>
        <w:rPr>
          <w:w w:val="95"/>
        </w:rPr>
        <w:t>(2).</w:t>
        <w:tab/>
      </w:r>
      <w:r>
        <w:rPr/>
        <w:t>已逾期未偿还的短期借款情况</w:t>
      </w:r>
      <w:r>
        <w:rPr>
          <w:b w:val="0"/>
          <w:bCs w:val="0"/>
        </w:rPr>
      </w:r>
    </w:p>
    <w:p>
      <w:pPr>
        <w:pStyle w:val="BodyText"/>
        <w:tabs>
          <w:tab w:pos="4417" w:val="left" w:leader="none"/>
        </w:tabs>
        <w:spacing w:line="273" w:lineRule="auto" w:before="97"/>
        <w:ind w:right="0"/>
        <w:jc w:val="left"/>
      </w:pPr>
      <w:r>
        <w:rPr/>
        <w:t>本期末已逾期未偿还的短期借款总额为</w:t>
      </w:r>
      <w:r>
        <w:rPr>
          <w:rFonts w:ascii="Times New Roman" w:hAnsi="Times New Roman" w:cs="Times New Roman" w:eastAsia="Times New Roman" w:hint="default"/>
        </w:rPr>
      </w:r>
      <w:r>
        <w:rPr>
          <w:rFonts w:ascii="Times New Roman" w:hAnsi="Times New Roman" w:cs="Times New Roman" w:eastAsia="Times New Roman" w:hint="default"/>
          <w:u w:val="single" w:color="33339A"/>
        </w:rPr>
        <w:t> </w:t>
        <w:tab/>
      </w:r>
      <w:r>
        <w:rPr>
          <w:rFonts w:ascii="Times New Roman" w:hAnsi="Times New Roman" w:cs="Times New Roman" w:eastAsia="Times New Roman" w:hint="default"/>
        </w:rPr>
      </w:r>
      <w:r>
        <w:rPr/>
        <w:t>元 其中重要的已逾期未偿还的短期借款情况如下：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tabs>
          <w:tab w:pos="1267" w:val="left" w:leader="none"/>
        </w:tabs>
        <w:spacing w:line="240" w:lineRule="auto"/>
        <w:ind w:right="0"/>
        <w:jc w:val="left"/>
      </w:pPr>
      <w:r>
        <w:rPr/>
        <w:t>单位：元</w:t>
        <w:tab/>
        <w:t>币种：人民币</w:t>
      </w:r>
    </w:p>
    <w:p>
      <w:pPr>
        <w:spacing w:after="0" w:line="240" w:lineRule="auto"/>
        <w:jc w:val="left"/>
        <w:sectPr>
          <w:type w:val="continuous"/>
          <w:pgSz w:w="11910" w:h="16840"/>
          <w:pgMar w:top="1080" w:bottom="1380" w:left="1580" w:right="1040"/>
          <w:cols w:num="2" w:equalWidth="0">
            <w:col w:w="4733" w:space="1765"/>
            <w:col w:w="2792"/>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206"/>
        <w:gridCol w:w="1542"/>
        <w:gridCol w:w="1895"/>
        <w:gridCol w:w="1709"/>
        <w:gridCol w:w="1542"/>
      </w:tblGrid>
      <w:tr>
        <w:trPr>
          <w:trHeight w:val="287" w:hRule="exact"/>
        </w:trPr>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借款单位</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4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借款利率</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逾期时间</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逾期利率</w:t>
            </w:r>
          </w:p>
        </w:tc>
      </w:tr>
      <w:tr>
        <w:trPr>
          <w:trHeight w:val="288" w:hRule="exact"/>
        </w:trPr>
        <w:tc>
          <w:tcPr>
            <w:tcW w:w="2206" w:type="dxa"/>
            <w:tcBorders>
              <w:top w:val="single" w:sz="6" w:space="0" w:color="000000"/>
              <w:left w:val="single" w:sz="6" w:space="0" w:color="000000"/>
              <w:bottom w:val="single" w:sz="6" w:space="0" w:color="000000"/>
              <w:right w:val="single" w:sz="6" w:space="0" w:color="000000"/>
            </w:tcBorders>
          </w:tcPr>
          <w:p>
            <w:pPr/>
          </w:p>
        </w:tc>
        <w:tc>
          <w:tcPr>
            <w:tcW w:w="1542"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54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06" w:type="dxa"/>
            <w:tcBorders>
              <w:top w:val="single" w:sz="6" w:space="0" w:color="000000"/>
              <w:left w:val="single" w:sz="6" w:space="0" w:color="000000"/>
              <w:bottom w:val="single" w:sz="6" w:space="0" w:color="000000"/>
              <w:right w:val="single" w:sz="6" w:space="0" w:color="000000"/>
            </w:tcBorders>
          </w:tcPr>
          <w:p>
            <w:pPr/>
          </w:p>
        </w:tc>
        <w:tc>
          <w:tcPr>
            <w:tcW w:w="1542"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54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42"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after="0" w:line="241" w:lineRule="exact"/>
        <w:jc w:val="center"/>
        <w:rPr>
          <w:rFonts w:ascii="宋体" w:hAnsi="宋体" w:cs="宋体" w:eastAsia="宋体" w:hint="default"/>
          <w:sz w:val="21"/>
          <w:szCs w:val="21"/>
        </w:rPr>
        <w:sectPr>
          <w:type w:val="continuous"/>
          <w:pgSz w:w="11910" w:h="16840"/>
          <w:pgMar w:top="1080" w:bottom="1380" w:left="1580" w:right="1040"/>
        </w:sectPr>
      </w:pPr>
    </w:p>
    <w:p>
      <w:pPr>
        <w:spacing w:line="240" w:lineRule="auto" w:before="10"/>
        <w:rPr>
          <w:rFonts w:ascii="宋体" w:hAnsi="宋体" w:cs="宋体" w:eastAsia="宋体" w:hint="default"/>
          <w:sz w:val="26"/>
          <w:szCs w:val="26"/>
        </w:rPr>
      </w:pPr>
    </w:p>
    <w:p>
      <w:pPr>
        <w:pStyle w:val="BodyText"/>
        <w:spacing w:line="240" w:lineRule="auto" w:before="35"/>
        <w:ind w:right="114"/>
        <w:jc w:val="left"/>
      </w:pPr>
      <w:r>
        <w:rPr/>
        <w:t>其他说明</w:t>
      </w:r>
    </w:p>
    <w:p>
      <w:pPr>
        <w:spacing w:line="240" w:lineRule="auto" w:before="13"/>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a">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pStyle w:val="Heading3"/>
        <w:spacing w:line="240" w:lineRule="auto"/>
        <w:ind w:right="114"/>
        <w:jc w:val="left"/>
        <w:rPr>
          <w:b w:val="0"/>
          <w:bCs w:val="0"/>
        </w:rPr>
      </w:pPr>
      <w:r>
        <w:rPr/>
        <w:t>32、</w:t>
      </w:r>
      <w:r>
        <w:rPr>
          <w:spacing w:val="-32"/>
        </w:rPr>
        <w:t> </w:t>
      </w:r>
      <w:r>
        <w:rPr/>
        <w:t>以公允价值计量且其变动计入当期损益的金融负债</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3298"/>
        <w:gridCol w:w="2891"/>
        <w:gridCol w:w="2861"/>
      </w:tblGrid>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3"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指定为以公允价值计量且其变动</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right="114"/>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a">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5"/>
          <w:szCs w:val="25"/>
        </w:rPr>
      </w:pPr>
    </w:p>
    <w:p>
      <w:pPr>
        <w:pStyle w:val="Heading3"/>
        <w:spacing w:line="240" w:lineRule="auto"/>
        <w:ind w:right="114"/>
        <w:jc w:val="left"/>
        <w:rPr>
          <w:b w:val="0"/>
          <w:bCs w:val="0"/>
        </w:rPr>
      </w:pPr>
      <w:r>
        <w:rPr/>
        <w:t>33、</w:t>
      </w:r>
      <w:r>
        <w:rPr>
          <w:spacing w:val="-29"/>
        </w:rPr>
        <w:t> </w:t>
      </w:r>
      <w:r>
        <w:rPr/>
        <w:t>衍生金融负债</w:t>
      </w:r>
      <w:r>
        <w:rPr>
          <w:b w:val="0"/>
          <w:bCs w:val="0"/>
        </w:rPr>
      </w:r>
    </w:p>
    <w:p>
      <w:pPr>
        <w:pStyle w:val="BodyText"/>
        <w:spacing w:line="240" w:lineRule="auto" w:before="97"/>
        <w:ind w:right="114"/>
        <w:jc w:val="left"/>
      </w:pPr>
      <w:r>
        <w:rPr/>
        <w:t>□适用</w:t>
      </w:r>
      <w:r>
        <w:rPr>
          <w:spacing w:val="-2"/>
        </w:rPr>
        <w:t> </w:t>
      </w:r>
      <w:r>
        <w:rPr/>
        <w:t>□不适用</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3299"/>
        <w:gridCol w:w="2905"/>
        <w:gridCol w:w="2845"/>
      </w:tblGrid>
      <w:tr>
        <w:trPr>
          <w:trHeight w:val="324" w:hRule="exact"/>
        </w:trPr>
        <w:tc>
          <w:tcPr>
            <w:tcW w:w="3299" w:type="dxa"/>
            <w:tcBorders>
              <w:top w:val="single" w:sz="4" w:space="0" w:color="000000"/>
              <w:left w:val="single" w:sz="4" w:space="0" w:color="000000"/>
              <w:bottom w:val="single" w:sz="6" w:space="0" w:color="000000"/>
              <w:right w:val="single" w:sz="6"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05" w:type="dxa"/>
            <w:tcBorders>
              <w:top w:val="single" w:sz="4"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6" w:space="0" w:color="000000"/>
              <w:bottom w:val="single" w:sz="6"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8" w:hRule="exact"/>
        </w:trPr>
        <w:tc>
          <w:tcPr>
            <w:tcW w:w="3299" w:type="dxa"/>
            <w:tcBorders>
              <w:top w:val="single" w:sz="6" w:space="0" w:color="000000"/>
              <w:left w:val="single" w:sz="4" w:space="0" w:color="000000"/>
              <w:bottom w:val="single" w:sz="6" w:space="0" w:color="000000"/>
              <w:right w:val="single" w:sz="6" w:space="0" w:color="000000"/>
            </w:tcBorders>
          </w:tcPr>
          <w:p>
            <w:pPr/>
          </w:p>
        </w:tc>
        <w:tc>
          <w:tcPr>
            <w:tcW w:w="2905"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3299" w:type="dxa"/>
            <w:tcBorders>
              <w:top w:val="single" w:sz="6" w:space="0" w:color="000000"/>
              <w:left w:val="single" w:sz="4" w:space="0" w:color="000000"/>
              <w:bottom w:val="single" w:sz="6" w:space="0" w:color="000000"/>
              <w:right w:val="single" w:sz="6" w:space="0" w:color="000000"/>
            </w:tcBorders>
          </w:tcPr>
          <w:p>
            <w:pPr/>
          </w:p>
        </w:tc>
        <w:tc>
          <w:tcPr>
            <w:tcW w:w="2905"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4" w:space="0" w:color="000000"/>
            </w:tcBorders>
          </w:tcPr>
          <w:p>
            <w:pPr/>
          </w:p>
        </w:tc>
      </w:tr>
      <w:tr>
        <w:trPr>
          <w:trHeight w:val="325" w:hRule="exact"/>
        </w:trPr>
        <w:tc>
          <w:tcPr>
            <w:tcW w:w="3299" w:type="dxa"/>
            <w:tcBorders>
              <w:top w:val="single" w:sz="6" w:space="0" w:color="000000"/>
              <w:left w:val="single" w:sz="4" w:space="0" w:color="000000"/>
              <w:bottom w:val="single" w:sz="4"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05" w:type="dxa"/>
            <w:tcBorders>
              <w:top w:val="single" w:sz="6" w:space="0" w:color="000000"/>
              <w:left w:val="single" w:sz="6" w:space="0" w:color="000000"/>
              <w:bottom w:val="single" w:sz="4" w:space="0" w:color="000000"/>
              <w:right w:val="single" w:sz="6" w:space="0" w:color="000000"/>
            </w:tcBorders>
          </w:tcPr>
          <w:p>
            <w:pPr/>
          </w:p>
        </w:tc>
        <w:tc>
          <w:tcPr>
            <w:tcW w:w="2845"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60" w:lineRule="exact"/>
        <w:ind w:right="114"/>
        <w:jc w:val="left"/>
      </w:pPr>
      <w:r>
        <w:rPr/>
        <w:t>其他说明:</w:t>
      </w:r>
    </w:p>
    <w:p>
      <w:pPr>
        <w:spacing w:line="240" w:lineRule="auto" w:before="13"/>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a">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pStyle w:val="Heading3"/>
        <w:spacing w:line="240" w:lineRule="auto"/>
        <w:ind w:right="114"/>
        <w:jc w:val="left"/>
        <w:rPr>
          <w:b w:val="0"/>
          <w:bCs w:val="0"/>
        </w:rPr>
      </w:pPr>
      <w:r>
        <w:rPr/>
        <w:t>34、</w:t>
      </w:r>
      <w:r>
        <w:rPr>
          <w:spacing w:val="-26"/>
        </w:rPr>
        <w:t> </w:t>
      </w:r>
      <w:r>
        <w:rPr/>
        <w:t>应付票据</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2311"/>
        <w:gridCol w:w="3338"/>
        <w:gridCol w:w="3244"/>
      </w:tblGrid>
      <w:tr>
        <w:trPr>
          <w:trHeight w:val="288"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6"/>
              <w:jc w:val="right"/>
              <w:rPr>
                <w:rFonts w:ascii="宋体" w:hAnsi="宋体" w:cs="宋体" w:eastAsia="宋体" w:hint="default"/>
                <w:sz w:val="21"/>
                <w:szCs w:val="21"/>
              </w:rPr>
            </w:pPr>
            <w:r>
              <w:rPr>
                <w:rFonts w:ascii="宋体" w:hAnsi="宋体" w:cs="宋体" w:eastAsia="宋体" w:hint="default"/>
                <w:sz w:val="21"/>
                <w:szCs w:val="21"/>
              </w:rPr>
              <w:t>种类</w:t>
            </w:r>
          </w:p>
        </w:tc>
        <w:tc>
          <w:tcPr>
            <w:tcW w:w="33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6"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8" w:type="dxa"/>
            <w:tcBorders>
              <w:top w:val="single" w:sz="6" w:space="0" w:color="000000"/>
              <w:left w:val="single" w:sz="6" w:space="0" w:color="000000"/>
              <w:bottom w:val="single" w:sz="6" w:space="0" w:color="000000"/>
              <w:right w:val="single" w:sz="6" w:space="0" w:color="000000"/>
            </w:tcBorders>
          </w:tcPr>
          <w:p>
            <w:pPr/>
          </w:p>
        </w:tc>
        <w:tc>
          <w:tcPr>
            <w:tcW w:w="324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4"/>
              <w:jc w:val="right"/>
              <w:rPr>
                <w:rFonts w:ascii="宋体" w:hAnsi="宋体" w:cs="宋体" w:eastAsia="宋体" w:hint="default"/>
                <w:sz w:val="21"/>
                <w:szCs w:val="21"/>
              </w:rPr>
            </w:pPr>
            <w:r>
              <w:rPr>
                <w:rFonts w:ascii="宋体"/>
                <w:spacing w:val="-1"/>
                <w:sz w:val="21"/>
              </w:rPr>
              <w:t>11,800,929.00</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
              <w:jc w:val="right"/>
              <w:rPr>
                <w:rFonts w:ascii="宋体" w:hAnsi="宋体" w:cs="宋体" w:eastAsia="宋体" w:hint="default"/>
                <w:sz w:val="21"/>
                <w:szCs w:val="21"/>
              </w:rPr>
            </w:pPr>
            <w:r>
              <w:rPr>
                <w:rFonts w:ascii="宋体"/>
                <w:spacing w:val="-1"/>
                <w:sz w:val="21"/>
              </w:rPr>
              <w:t>10,106,598.00</w:t>
            </w:r>
          </w:p>
        </w:tc>
      </w:tr>
      <w:tr>
        <w:trPr>
          <w:trHeight w:val="326"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37"/>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333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2"/>
              <w:jc w:val="right"/>
              <w:rPr>
                <w:rFonts w:ascii="宋体" w:hAnsi="宋体" w:cs="宋体" w:eastAsia="宋体" w:hint="default"/>
                <w:sz w:val="21"/>
                <w:szCs w:val="21"/>
              </w:rPr>
            </w:pPr>
            <w:r>
              <w:rPr>
                <w:rFonts w:ascii="宋体"/>
                <w:spacing w:val="-1"/>
                <w:sz w:val="21"/>
              </w:rPr>
              <w:t>11,800,929.00</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10,106,598.00</w:t>
            </w:r>
          </w:p>
        </w:tc>
      </w:tr>
    </w:tbl>
    <w:p>
      <w:pPr>
        <w:pStyle w:val="BodyText"/>
        <w:tabs>
          <w:tab w:pos="4417" w:val="left" w:leader="none"/>
        </w:tabs>
        <w:spacing w:line="241" w:lineRule="exact"/>
        <w:ind w:right="114"/>
        <w:jc w:val="left"/>
      </w:pPr>
      <w:r>
        <w:rPr/>
        <w:t>本期末已到期未支付的应付票据总额为</w:t>
      </w:r>
      <w:r>
        <w:rPr>
          <w:rFonts w:ascii="Times New Roman" w:hAnsi="Times New Roman" w:cs="Times New Roman" w:eastAsia="Times New Roman" w:hint="default"/>
        </w:rPr>
      </w:r>
      <w:r>
        <w:rPr>
          <w:rFonts w:ascii="Times New Roman" w:hAnsi="Times New Roman" w:cs="Times New Roman" w:eastAsia="Times New Roman" w:hint="default"/>
          <w:u w:val="single" w:color="33339A"/>
        </w:rPr>
        <w:t> </w:t>
        <w:tab/>
      </w:r>
      <w:r>
        <w:rPr>
          <w:rFonts w:ascii="Times New Roman" w:hAnsi="Times New Roman" w:cs="Times New Roman" w:eastAsia="Times New Roman" w:hint="default"/>
        </w:rPr>
      </w:r>
      <w:r>
        <w:rPr/>
        <w:t>元。</w:t>
      </w:r>
    </w:p>
    <w:p>
      <w:pPr>
        <w:spacing w:line="240" w:lineRule="auto" w:before="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114"/>
          <w:pgSz w:w="11910" w:h="16840"/>
          <w:pgMar w:footer="1197" w:header="0" w:top="1120" w:bottom="1380" w:left="1580" w:right="1040"/>
        </w:sectPr>
      </w:pPr>
    </w:p>
    <w:p>
      <w:pPr>
        <w:pStyle w:val="Heading3"/>
        <w:spacing w:line="240" w:lineRule="auto"/>
        <w:ind w:right="-16"/>
        <w:jc w:val="left"/>
        <w:rPr>
          <w:b w:val="0"/>
          <w:bCs w:val="0"/>
        </w:rPr>
      </w:pPr>
      <w:r>
        <w:rPr/>
        <w:t>35、</w:t>
      </w:r>
      <w:r>
        <w:rPr>
          <w:spacing w:val="-26"/>
        </w:rPr>
        <w:t> </w:t>
      </w:r>
      <w:r>
        <w:rPr/>
        <w:t>应付账款</w:t>
      </w:r>
      <w:r>
        <w:rPr>
          <w:b w:val="0"/>
          <w:bCs w:val="0"/>
        </w:rPr>
      </w:r>
    </w:p>
    <w:p>
      <w:pPr>
        <w:pStyle w:val="Heading3"/>
        <w:spacing w:line="240" w:lineRule="auto" w:before="97"/>
        <w:ind w:right="-16"/>
        <w:jc w:val="left"/>
        <w:rPr>
          <w:b w:val="0"/>
          <w:bCs w:val="0"/>
        </w:rPr>
      </w:pPr>
      <w:r>
        <w:rPr/>
        <w:t>(1).</w:t>
      </w:r>
      <w:r>
        <w:rPr>
          <w:spacing w:val="54"/>
        </w:rPr>
        <w:t> </w:t>
      </w:r>
      <w:r>
        <w:rPr/>
        <w:t>应付账款列示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tabs>
          <w:tab w:pos="1267" w:val="left" w:leader="none"/>
        </w:tabs>
        <w:spacing w:line="240" w:lineRule="auto"/>
        <w:ind w:right="0"/>
        <w:jc w:val="left"/>
      </w:pPr>
      <w:r>
        <w:rPr/>
        <w:t>单位：元</w:t>
        <w:tab/>
        <w:t>币种：人民币</w:t>
      </w:r>
    </w:p>
    <w:p>
      <w:pPr>
        <w:spacing w:after="0" w:line="240" w:lineRule="auto"/>
        <w:jc w:val="left"/>
        <w:sectPr>
          <w:type w:val="continuous"/>
          <w:pgSz w:w="11910" w:h="16840"/>
          <w:pgMar w:top="1080" w:bottom="1380" w:left="1580" w:right="1040"/>
          <w:cols w:num="2" w:equalWidth="0">
            <w:col w:w="2070" w:space="4454"/>
            <w:col w:w="2766"/>
          </w:cols>
        </w:sectPr>
      </w:pP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842"/>
        <w:gridCol w:w="2867"/>
        <w:gridCol w:w="3341"/>
      </w:tblGrid>
      <w:tr>
        <w:trPr>
          <w:trHeight w:val="32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324,810,186.34</w:t>
            </w:r>
            <w:r>
              <w:rPr>
                <w:rFonts w:ascii="宋体"/>
                <w:sz w:val="21"/>
              </w:rPr>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241,332,964.11</w:t>
            </w:r>
            <w:r>
              <w:rPr>
                <w:rFonts w:ascii="宋体"/>
                <w:sz w:val="21"/>
              </w:rPr>
            </w:r>
          </w:p>
        </w:tc>
      </w:tr>
      <w:tr>
        <w:trPr>
          <w:trHeight w:val="32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08"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4,585,787.12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4,773,196.45</w:t>
            </w:r>
          </w:p>
        </w:tc>
      </w:tr>
      <w:tr>
        <w:trPr>
          <w:trHeight w:val="32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8"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1,934,828.84</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3,884,348.27</w:t>
            </w:r>
          </w:p>
        </w:tc>
      </w:tr>
    </w:tbl>
    <w:p>
      <w:pPr>
        <w:spacing w:after="0" w:line="260" w:lineRule="exact"/>
        <w:jc w:val="right"/>
        <w:rPr>
          <w:rFonts w:ascii="宋体" w:hAnsi="宋体" w:cs="宋体" w:eastAsia="宋体" w:hint="default"/>
          <w:sz w:val="21"/>
          <w:szCs w:val="21"/>
        </w:rPr>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842"/>
        <w:gridCol w:w="2867"/>
        <w:gridCol w:w="3341"/>
      </w:tblGrid>
      <w:tr>
        <w:trPr>
          <w:trHeight w:val="32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5,281,294.92</w:t>
            </w:r>
            <w:r>
              <w:rPr>
                <w:rFonts w:ascii="宋体"/>
                <w:sz w:val="21"/>
              </w:rPr>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3,121,868.24</w:t>
            </w:r>
            <w:r>
              <w:rPr>
                <w:rFonts w:ascii="宋体"/>
                <w:sz w:val="21"/>
              </w:rPr>
            </w:r>
          </w:p>
        </w:tc>
      </w:tr>
      <w:tr>
        <w:trPr>
          <w:trHeight w:val="32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336,612,097.22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253,112,377.07</w:t>
            </w:r>
          </w:p>
        </w:tc>
      </w:tr>
    </w:tbl>
    <w:p>
      <w:pPr>
        <w:spacing w:line="240" w:lineRule="auto" w:before="8"/>
        <w:rPr>
          <w:rFonts w:ascii="宋体" w:hAnsi="宋体" w:cs="宋体" w:eastAsia="宋体" w:hint="default"/>
          <w:sz w:val="24"/>
          <w:szCs w:val="24"/>
        </w:rPr>
      </w:pPr>
    </w:p>
    <w:p>
      <w:pPr>
        <w:pStyle w:val="Heading3"/>
        <w:spacing w:line="240" w:lineRule="auto"/>
        <w:ind w:right="114"/>
        <w:jc w:val="left"/>
        <w:rPr>
          <w:b w:val="0"/>
          <w:bCs w:val="0"/>
        </w:rPr>
      </w:pPr>
      <w:r>
        <w:rPr/>
        <w:t>(2). 账龄超过 </w:t>
      </w:r>
      <w:r>
        <w:rPr>
          <w:rFonts w:ascii="Cambria" w:hAnsi="Cambria" w:cs="Cambria" w:eastAsia="Cambria" w:hint="default"/>
        </w:rPr>
        <w:t>1</w:t>
      </w:r>
      <w:r>
        <w:rPr>
          <w:rFonts w:ascii="Cambria" w:hAnsi="Cambria" w:cs="Cambria" w:eastAsia="Cambria" w:hint="default"/>
          <w:spacing w:val="7"/>
        </w:rPr>
        <w:t> </w:t>
      </w:r>
      <w:r>
        <w:rPr/>
        <w:t>年的重要应付账款</w:t>
      </w:r>
      <w:r>
        <w:rPr>
          <w:b w:val="0"/>
          <w:bCs w:val="0"/>
        </w:rPr>
      </w:r>
    </w:p>
    <w:p>
      <w:pPr>
        <w:pStyle w:val="BodyText"/>
        <w:tabs>
          <w:tab w:pos="1049" w:val="left" w:leader="none"/>
        </w:tabs>
        <w:spacing w:line="240" w:lineRule="auto" w:before="80"/>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3283"/>
        <w:gridCol w:w="2827"/>
        <w:gridCol w:w="2939"/>
      </w:tblGrid>
      <w:tr>
        <w:trPr>
          <w:trHeight w:val="322" w:hRule="exact"/>
        </w:trPr>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322" w:hRule="exact"/>
        </w:trPr>
        <w:tc>
          <w:tcPr>
            <w:tcW w:w="3283" w:type="dxa"/>
            <w:tcBorders>
              <w:top w:val="single" w:sz="4" w:space="0" w:color="000000"/>
              <w:left w:val="single" w:sz="4" w:space="0" w:color="000000"/>
              <w:bottom w:val="single" w:sz="4" w:space="0" w:color="000000"/>
              <w:right w:val="single" w:sz="4" w:space="0" w:color="000000"/>
            </w:tcBorders>
          </w:tcPr>
          <w:p>
            <w:pPr/>
          </w:p>
        </w:tc>
        <w:tc>
          <w:tcPr>
            <w:tcW w:w="2827" w:type="dxa"/>
            <w:tcBorders>
              <w:top w:val="single" w:sz="4" w:space="0" w:color="000000"/>
              <w:left w:val="single" w:sz="4" w:space="0" w:color="000000"/>
              <w:bottom w:val="single" w:sz="4" w:space="0" w:color="000000"/>
              <w:right w:val="single" w:sz="4" w:space="0" w:color="000000"/>
            </w:tcBorders>
          </w:tcPr>
          <w:p>
            <w:pPr/>
          </w:p>
        </w:tc>
        <w:tc>
          <w:tcPr>
            <w:tcW w:w="293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83" w:type="dxa"/>
            <w:tcBorders>
              <w:top w:val="single" w:sz="4" w:space="0" w:color="000000"/>
              <w:left w:val="single" w:sz="4" w:space="0" w:color="000000"/>
              <w:bottom w:val="single" w:sz="4" w:space="0" w:color="000000"/>
              <w:right w:val="single" w:sz="4" w:space="0" w:color="000000"/>
            </w:tcBorders>
          </w:tcPr>
          <w:p>
            <w:pPr/>
          </w:p>
        </w:tc>
        <w:tc>
          <w:tcPr>
            <w:tcW w:w="2827" w:type="dxa"/>
            <w:tcBorders>
              <w:top w:val="single" w:sz="4" w:space="0" w:color="000000"/>
              <w:left w:val="single" w:sz="4" w:space="0" w:color="000000"/>
              <w:bottom w:val="single" w:sz="4" w:space="0" w:color="000000"/>
              <w:right w:val="single" w:sz="4" w:space="0" w:color="000000"/>
            </w:tcBorders>
          </w:tcPr>
          <w:p>
            <w:pPr/>
          </w:p>
        </w:tc>
        <w:tc>
          <w:tcPr>
            <w:tcW w:w="29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7" w:type="dxa"/>
            <w:tcBorders>
              <w:top w:val="single" w:sz="4" w:space="0" w:color="000000"/>
              <w:left w:val="single" w:sz="4" w:space="0" w:color="000000"/>
              <w:bottom w:val="single" w:sz="4" w:space="0" w:color="000000"/>
              <w:right w:val="single" w:sz="4" w:space="0" w:color="000000"/>
            </w:tcBorders>
          </w:tcPr>
          <w:p>
            <w:pP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right="114"/>
        <w:jc w:val="left"/>
      </w:pPr>
      <w:r>
        <w:rPr/>
        <w:t>其他说明</w:t>
      </w:r>
    </w:p>
    <w:p>
      <w:pPr>
        <w:spacing w:line="240" w:lineRule="auto" w:before="13"/>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a">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115"/>
          <w:pgSz w:w="11910" w:h="16840"/>
          <w:pgMar w:footer="1197" w:header="0" w:top="1120" w:bottom="1380" w:left="1580" w:right="1040"/>
          <w:pgNumType w:start="131"/>
        </w:sectPr>
      </w:pPr>
    </w:p>
    <w:p>
      <w:pPr>
        <w:pStyle w:val="Heading3"/>
        <w:spacing w:line="240" w:lineRule="auto"/>
        <w:ind w:right="-12"/>
        <w:jc w:val="left"/>
        <w:rPr>
          <w:b w:val="0"/>
          <w:bCs w:val="0"/>
        </w:rPr>
      </w:pPr>
      <w:r>
        <w:rPr/>
        <w:t>36、</w:t>
      </w:r>
      <w:r>
        <w:rPr>
          <w:spacing w:val="-26"/>
        </w:rPr>
        <w:t> </w:t>
      </w:r>
      <w:r>
        <w:rPr/>
        <w:t>预收款项</w:t>
      </w:r>
      <w:r>
        <w:rPr>
          <w:b w:val="0"/>
          <w:bCs w:val="0"/>
        </w:rPr>
      </w:r>
    </w:p>
    <w:p>
      <w:pPr>
        <w:pStyle w:val="Heading3"/>
        <w:spacing w:line="240" w:lineRule="auto" w:before="97"/>
        <w:ind w:right="-12"/>
        <w:jc w:val="left"/>
        <w:rPr>
          <w:b w:val="0"/>
          <w:bCs w:val="0"/>
        </w:rPr>
      </w:pPr>
      <w:r>
        <w:rPr/>
        <w:t>(1).</w:t>
      </w:r>
      <w:r>
        <w:rPr>
          <w:spacing w:val="-9"/>
        </w:rPr>
        <w:t> </w:t>
      </w:r>
      <w:r>
        <w:rPr/>
        <w:t>预收账款项列示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tabs>
          <w:tab w:pos="1267" w:val="left" w:leader="none"/>
        </w:tabs>
        <w:spacing w:line="240" w:lineRule="auto"/>
        <w:ind w:right="0"/>
        <w:jc w:val="left"/>
      </w:pPr>
      <w:r>
        <w:rPr/>
        <w:t>单位：元</w:t>
        <w:tab/>
        <w:t>币种：人民币</w:t>
      </w:r>
    </w:p>
    <w:p>
      <w:pPr>
        <w:spacing w:after="0" w:line="240" w:lineRule="auto"/>
        <w:jc w:val="left"/>
        <w:sectPr>
          <w:type w:val="continuous"/>
          <w:pgSz w:w="11910" w:h="16840"/>
          <w:pgMar w:top="1080" w:bottom="1380" w:left="1580" w:right="1040"/>
          <w:cols w:num="2" w:equalWidth="0">
            <w:col w:w="2222" w:space="4302"/>
            <w:col w:w="2766"/>
          </w:cols>
        </w:sectPr>
      </w:pP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898"/>
        <w:gridCol w:w="3078"/>
        <w:gridCol w:w="3073"/>
      </w:tblGrid>
      <w:tr>
        <w:trPr>
          <w:trHeight w:val="32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166,945,985.31</w:t>
            </w:r>
            <w:r>
              <w:rPr>
                <w:rFonts w:ascii="宋体"/>
                <w:sz w:val="21"/>
              </w:rPr>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254,201,957.49</w:t>
            </w:r>
            <w:r>
              <w:rPr>
                <w:rFonts w:ascii="宋体"/>
                <w:sz w:val="21"/>
              </w:rPr>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8"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25,476,649.22</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6,986,202.79</w:t>
            </w:r>
            <w:r>
              <w:rPr>
                <w:rFonts w:ascii="宋体"/>
                <w:sz w:val="21"/>
              </w:rPr>
            </w:r>
          </w:p>
        </w:tc>
      </w:tr>
      <w:tr>
        <w:trPr>
          <w:trHeight w:val="32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08"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3,553,462.16</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1,255,449.61</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2,756,741.57</w:t>
            </w:r>
            <w:r>
              <w:rPr>
                <w:rFonts w:ascii="宋体"/>
                <w:sz w:val="21"/>
              </w:rPr>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5,490,378.83</w:t>
            </w:r>
            <w:r>
              <w:rPr>
                <w:rFonts w:ascii="宋体"/>
                <w:sz w:val="21"/>
              </w:rPr>
            </w:r>
          </w:p>
        </w:tc>
      </w:tr>
      <w:tr>
        <w:trPr>
          <w:trHeight w:val="32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231"/>
              <w:jc w:val="right"/>
              <w:rPr>
                <w:rFonts w:ascii="宋体" w:hAnsi="宋体" w:cs="宋体" w:eastAsia="宋体" w:hint="default"/>
                <w:sz w:val="21"/>
                <w:szCs w:val="21"/>
              </w:rPr>
            </w:pPr>
            <w:r>
              <w:rPr>
                <w:rFonts w:ascii="宋体" w:hAnsi="宋体" w:cs="宋体" w:eastAsia="宋体" w:hint="default"/>
                <w:sz w:val="21"/>
                <w:szCs w:val="21"/>
              </w:rPr>
              <w:t>合计</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198,732,838.26</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267,933,988.72</w:t>
            </w:r>
          </w:p>
        </w:tc>
      </w:tr>
    </w:tbl>
    <w:p>
      <w:pPr>
        <w:spacing w:line="240" w:lineRule="auto" w:before="8"/>
        <w:rPr>
          <w:rFonts w:ascii="宋体" w:hAnsi="宋体" w:cs="宋体" w:eastAsia="宋体" w:hint="default"/>
          <w:sz w:val="24"/>
          <w:szCs w:val="24"/>
        </w:rPr>
      </w:pPr>
    </w:p>
    <w:p>
      <w:pPr>
        <w:pStyle w:val="Heading3"/>
        <w:spacing w:line="240" w:lineRule="auto"/>
        <w:ind w:right="114"/>
        <w:jc w:val="left"/>
        <w:rPr>
          <w:b w:val="0"/>
          <w:bCs w:val="0"/>
        </w:rPr>
      </w:pPr>
      <w:r>
        <w:rPr/>
        <w:t>(2). 账龄超过</w:t>
      </w:r>
      <w:r>
        <w:rPr>
          <w:spacing w:val="-55"/>
        </w:rPr>
        <w:t> </w:t>
      </w:r>
      <w:r>
        <w:rPr>
          <w:rFonts w:ascii="Cambria" w:hAnsi="Cambria" w:cs="Cambria" w:eastAsia="Cambria" w:hint="default"/>
        </w:rPr>
        <w:t>1</w:t>
      </w:r>
      <w:r>
        <w:rPr>
          <w:rFonts w:ascii="Cambria" w:hAnsi="Cambria" w:cs="Cambria" w:eastAsia="Cambria" w:hint="default"/>
          <w:spacing w:val="4"/>
        </w:rPr>
        <w:t> </w:t>
      </w:r>
      <w:r>
        <w:rPr/>
        <w:t>年的重要预收款项</w:t>
      </w:r>
      <w:r>
        <w:rPr>
          <w:b w:val="0"/>
          <w:bCs w:val="0"/>
        </w:rPr>
      </w:r>
    </w:p>
    <w:p>
      <w:pPr>
        <w:pStyle w:val="BodyText"/>
        <w:tabs>
          <w:tab w:pos="1049" w:val="left" w:leader="none"/>
        </w:tabs>
        <w:spacing w:line="240" w:lineRule="auto" w:before="80"/>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989"/>
        <w:gridCol w:w="3012"/>
        <w:gridCol w:w="3048"/>
      </w:tblGrid>
      <w:tr>
        <w:trPr>
          <w:trHeight w:val="322"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72"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634"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中国证券登记结算有限责任公</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13,788,000.00</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项目尚未完工验收交付</w:t>
            </w:r>
          </w:p>
        </w:tc>
      </w:tr>
      <w:tr>
        <w:trPr>
          <w:trHeight w:val="323" w:hRule="exact"/>
        </w:trPr>
        <w:tc>
          <w:tcPr>
            <w:tcW w:w="2989" w:type="dxa"/>
            <w:tcBorders>
              <w:top w:val="single" w:sz="4" w:space="0" w:color="000000"/>
              <w:left w:val="single" w:sz="4" w:space="0" w:color="000000"/>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13,788,000.00</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3"/>
        <w:spacing w:line="240" w:lineRule="auto"/>
        <w:ind w:right="114"/>
        <w:jc w:val="left"/>
        <w:rPr>
          <w:b w:val="0"/>
          <w:bCs w:val="0"/>
        </w:rPr>
      </w:pPr>
      <w:r>
        <w:rPr/>
        <w:t>(3).</w:t>
      </w:r>
      <w:r>
        <w:rPr>
          <w:spacing w:val="-4"/>
        </w:rPr>
        <w:t> </w:t>
      </w:r>
      <w:r>
        <w:rPr/>
        <w:t>期末建造合同形成的已结算未完工项目情况：</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4446"/>
        <w:gridCol w:w="4450"/>
      </w:tblGrid>
      <w:tr>
        <w:trPr>
          <w:trHeight w:val="328"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4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6"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累计已发生成本</w:t>
            </w:r>
          </w:p>
        </w:tc>
        <w:tc>
          <w:tcPr>
            <w:tcW w:w="445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10,286,822.74</w:t>
            </w:r>
          </w:p>
        </w:tc>
      </w:tr>
      <w:tr>
        <w:trPr>
          <w:trHeight w:val="328"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累计已确认毛利</w:t>
            </w:r>
          </w:p>
        </w:tc>
        <w:tc>
          <w:tcPr>
            <w:tcW w:w="44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3"/>
              <w:jc w:val="right"/>
              <w:rPr>
                <w:rFonts w:ascii="宋体" w:hAnsi="宋体" w:cs="宋体" w:eastAsia="宋体" w:hint="default"/>
                <w:sz w:val="21"/>
                <w:szCs w:val="21"/>
              </w:rPr>
            </w:pPr>
            <w:r>
              <w:rPr>
                <w:rFonts w:ascii="宋体"/>
                <w:spacing w:val="-1"/>
                <w:sz w:val="21"/>
              </w:rPr>
              <w:t>1,144,259.49</w:t>
            </w:r>
            <w:r>
              <w:rPr>
                <w:rFonts w:ascii="宋体"/>
                <w:sz w:val="21"/>
              </w:rPr>
            </w:r>
          </w:p>
        </w:tc>
      </w:tr>
      <w:tr>
        <w:trPr>
          <w:trHeight w:val="326"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减：预计损失</w:t>
            </w:r>
          </w:p>
        </w:tc>
        <w:tc>
          <w:tcPr>
            <w:tcW w:w="445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4" w:right="0"/>
              <w:jc w:val="left"/>
              <w:rPr>
                <w:rFonts w:ascii="宋体" w:hAnsi="宋体" w:cs="宋体" w:eastAsia="宋体" w:hint="default"/>
                <w:sz w:val="21"/>
                <w:szCs w:val="21"/>
              </w:rPr>
            </w:pPr>
            <w:r>
              <w:rPr>
                <w:rFonts w:ascii="宋体" w:hAnsi="宋体" w:cs="宋体" w:eastAsia="宋体" w:hint="default"/>
                <w:sz w:val="21"/>
                <w:szCs w:val="21"/>
              </w:rPr>
              <w:t>已办理结算的金额</w:t>
            </w:r>
          </w:p>
        </w:tc>
        <w:tc>
          <w:tcPr>
            <w:tcW w:w="44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
              <w:jc w:val="right"/>
              <w:rPr>
                <w:rFonts w:ascii="宋体" w:hAnsi="宋体" w:cs="宋体" w:eastAsia="宋体" w:hint="default"/>
                <w:sz w:val="21"/>
                <w:szCs w:val="21"/>
              </w:rPr>
            </w:pPr>
            <w:r>
              <w:rPr>
                <w:rFonts w:ascii="宋体"/>
                <w:sz w:val="21"/>
              </w:rPr>
              <w:t>18,191,979.88</w:t>
            </w:r>
          </w:p>
        </w:tc>
      </w:tr>
      <w:tr>
        <w:trPr>
          <w:trHeight w:val="326"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建造合同形成的已完工未结算项目</w:t>
            </w:r>
          </w:p>
        </w:tc>
        <w:tc>
          <w:tcPr>
            <w:tcW w:w="445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6,760,897.65</w:t>
            </w:r>
            <w:r>
              <w:rPr>
                <w:rFonts w:ascii="宋体"/>
                <w:sz w:val="21"/>
              </w:rPr>
            </w:r>
          </w:p>
        </w:tc>
      </w:tr>
    </w:tbl>
    <w:p>
      <w:pPr>
        <w:spacing w:after="0" w:line="260" w:lineRule="exact"/>
        <w:jc w:val="right"/>
        <w:rPr>
          <w:rFonts w:ascii="宋体" w:hAnsi="宋体" w:cs="宋体" w:eastAsia="宋体" w:hint="default"/>
          <w:sz w:val="21"/>
          <w:szCs w:val="21"/>
        </w:rPr>
        <w:sectPr>
          <w:type w:val="continuous"/>
          <w:pgSz w:w="11910" w:h="16840"/>
          <w:pgMar w:top="1080" w:bottom="1380" w:left="1580" w:right="1040"/>
        </w:sectPr>
      </w:pPr>
    </w:p>
    <w:p>
      <w:pPr>
        <w:spacing w:line="240" w:lineRule="auto" w:before="10"/>
        <w:rPr>
          <w:rFonts w:ascii="宋体" w:hAnsi="宋体" w:cs="宋体" w:eastAsia="宋体" w:hint="default"/>
          <w:sz w:val="26"/>
          <w:szCs w:val="26"/>
        </w:rPr>
      </w:pPr>
    </w:p>
    <w:p>
      <w:pPr>
        <w:pStyle w:val="BodyText"/>
        <w:spacing w:line="240" w:lineRule="auto" w:before="35"/>
        <w:ind w:right="0"/>
        <w:jc w:val="left"/>
      </w:pPr>
      <w:r>
        <w:rPr/>
        <w:t>其他说明</w:t>
      </w:r>
    </w:p>
    <w:p>
      <w:pPr>
        <w:spacing w:line="240" w:lineRule="auto" w:before="13"/>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a">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7" w:top="1120" w:bottom="1380" w:left="1580" w:right="900"/>
        </w:sectPr>
      </w:pPr>
    </w:p>
    <w:p>
      <w:pPr>
        <w:pStyle w:val="Heading3"/>
        <w:spacing w:line="324" w:lineRule="auto"/>
        <w:ind w:right="-17"/>
        <w:jc w:val="left"/>
        <w:rPr>
          <w:b w:val="0"/>
          <w:bCs w:val="0"/>
        </w:rPr>
      </w:pPr>
      <w:r>
        <w:rPr/>
        <w:t>37、</w:t>
      </w:r>
      <w:r>
        <w:rPr>
          <w:spacing w:val="-26"/>
        </w:rPr>
        <w:t> </w:t>
      </w:r>
      <w:r>
        <w:rPr/>
        <w:t>应付职工薪酬</w:t>
      </w:r>
      <w:r>
        <w:rPr>
          <w:w w:val="99"/>
        </w:rPr>
        <w:t> </w:t>
      </w:r>
      <w:r>
        <w:rPr/>
        <w:t>(1).应付职工薪酬列示：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tabs>
          <w:tab w:pos="1267" w:val="left" w:leader="none"/>
        </w:tabs>
        <w:spacing w:line="240" w:lineRule="auto"/>
        <w:ind w:right="0"/>
        <w:jc w:val="left"/>
      </w:pPr>
      <w:r>
        <w:rPr/>
        <w:t>单位：元</w:t>
        <w:tab/>
        <w:t>币种：人民币</w:t>
      </w:r>
    </w:p>
    <w:p>
      <w:pPr>
        <w:spacing w:after="0" w:line="240" w:lineRule="auto"/>
        <w:jc w:val="left"/>
        <w:sectPr>
          <w:type w:val="continuous"/>
          <w:pgSz w:w="11910" w:h="16840"/>
          <w:pgMar w:top="1080" w:bottom="1380" w:left="1580" w:right="900"/>
          <w:cols w:num="2" w:equalWidth="0">
            <w:col w:w="2541" w:space="3982"/>
            <w:col w:w="2907"/>
          </w:cols>
        </w:sectPr>
      </w:pPr>
    </w:p>
    <w:p>
      <w:pPr>
        <w:spacing w:line="240" w:lineRule="auto" w:before="13"/>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094"/>
        <w:gridCol w:w="1612"/>
        <w:gridCol w:w="1792"/>
        <w:gridCol w:w="1699"/>
        <w:gridCol w:w="1842"/>
      </w:tblGrid>
      <w:tr>
        <w:trPr>
          <w:trHeight w:val="326" w:hRule="exact"/>
        </w:trPr>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7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6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2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9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8" w:hRule="exact"/>
        </w:trPr>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77,058,761.19</w:t>
            </w:r>
            <w:r>
              <w:rPr>
                <w:rFonts w:ascii="宋体"/>
                <w:sz w:val="21"/>
              </w:rPr>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7"/>
              <w:jc w:val="right"/>
              <w:rPr>
                <w:rFonts w:ascii="宋体" w:hAnsi="宋体" w:cs="宋体" w:eastAsia="宋体" w:hint="default"/>
                <w:sz w:val="21"/>
                <w:szCs w:val="21"/>
              </w:rPr>
            </w:pPr>
            <w:r>
              <w:rPr>
                <w:rFonts w:ascii="宋体"/>
                <w:spacing w:val="-1"/>
                <w:sz w:val="21"/>
              </w:rPr>
              <w:t>259,625,312.92</w:t>
            </w:r>
            <w:r>
              <w:rPr>
                <w:rFonts w:ascii="宋体"/>
                <w:sz w:val="21"/>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230,566,442.68</w:t>
            </w:r>
            <w:r>
              <w:rPr>
                <w:rFonts w:ascii="宋体"/>
                <w:sz w:val="21"/>
              </w:rPr>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106,117,631.43</w:t>
            </w:r>
            <w:r>
              <w:rPr>
                <w:rFonts w:ascii="宋体"/>
                <w:sz w:val="21"/>
              </w:rPr>
            </w:r>
          </w:p>
        </w:tc>
      </w:tr>
      <w:tr>
        <w:trPr>
          <w:trHeight w:val="638" w:hRule="exact"/>
        </w:trPr>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二、离职后福利-设</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定提存计划</w:t>
            </w:r>
          </w:p>
        </w:tc>
        <w:tc>
          <w:tcPr>
            <w:tcW w:w="1612"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437,255.96</w:t>
            </w:r>
          </w:p>
        </w:tc>
        <w:tc>
          <w:tcPr>
            <w:tcW w:w="179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12,256,547.70</w:t>
            </w:r>
          </w:p>
        </w:tc>
        <w:tc>
          <w:tcPr>
            <w:tcW w:w="169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12,697,364.98</w:t>
            </w:r>
          </w:p>
        </w:tc>
        <w:tc>
          <w:tcPr>
            <w:tcW w:w="184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-3,561.32</w:t>
            </w:r>
          </w:p>
        </w:tc>
      </w:tr>
      <w:tr>
        <w:trPr>
          <w:trHeight w:val="328" w:hRule="exact"/>
        </w:trPr>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12" w:type="dxa"/>
            <w:tcBorders>
              <w:top w:val="single" w:sz="4" w:space="0" w:color="000000"/>
              <w:left w:val="single" w:sz="6"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0"/>
              <w:jc w:val="right"/>
              <w:rPr>
                <w:rFonts w:ascii="宋体" w:hAnsi="宋体" w:cs="宋体" w:eastAsia="宋体" w:hint="default"/>
                <w:sz w:val="21"/>
                <w:szCs w:val="21"/>
              </w:rPr>
            </w:pPr>
            <w:r>
              <w:rPr>
                <w:rFonts w:ascii="宋体"/>
                <w:sz w:val="21"/>
              </w:rPr>
              <w:t>316,637.00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2"/>
              <w:jc w:val="right"/>
              <w:rPr>
                <w:rFonts w:ascii="宋体" w:hAnsi="宋体" w:cs="宋体" w:eastAsia="宋体" w:hint="default"/>
                <w:sz w:val="21"/>
                <w:szCs w:val="21"/>
              </w:rPr>
            </w:pPr>
            <w:r>
              <w:rPr>
                <w:rFonts w:ascii="宋体"/>
                <w:sz w:val="21"/>
              </w:rPr>
              <w:t>316,637.00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z w:val="21"/>
              </w:rPr>
              <w:t>-</w:t>
            </w:r>
          </w:p>
        </w:tc>
      </w:tr>
      <w:tr>
        <w:trPr>
          <w:trHeight w:val="638" w:hRule="exact"/>
        </w:trPr>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四、一年内到期的其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他福利</w:t>
            </w:r>
          </w:p>
        </w:tc>
        <w:tc>
          <w:tcPr>
            <w:tcW w:w="1612" w:type="dxa"/>
            <w:tcBorders>
              <w:top w:val="single" w:sz="4" w:space="0" w:color="000000"/>
              <w:left w:val="single" w:sz="6"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328" w:hRule="exact"/>
        </w:trPr>
        <w:tc>
          <w:tcPr>
            <w:tcW w:w="2094" w:type="dxa"/>
            <w:tcBorders>
              <w:top w:val="single" w:sz="6" w:space="0" w:color="000000"/>
              <w:left w:val="single" w:sz="4" w:space="0" w:color="000000"/>
              <w:bottom w:val="single" w:sz="6"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094" w:type="dxa"/>
            <w:tcBorders>
              <w:top w:val="single" w:sz="6" w:space="0" w:color="000000"/>
              <w:left w:val="single" w:sz="4" w:space="0" w:color="000000"/>
              <w:bottom w:val="single" w:sz="6"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328" w:hRule="exact"/>
        </w:trPr>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2" w:type="dxa"/>
            <w:tcBorders>
              <w:top w:val="single" w:sz="4" w:space="0" w:color="000000"/>
              <w:left w:val="single" w:sz="6" w:space="0" w:color="000000"/>
              <w:bottom w:val="single" w:sz="4" w:space="0" w:color="000000"/>
              <w:right w:val="single" w:sz="4" w:space="0" w:color="000000"/>
            </w:tcBorders>
          </w:tcPr>
          <w:p>
            <w:pPr>
              <w:pStyle w:val="TableParagraph"/>
              <w:spacing w:line="264" w:lineRule="exact"/>
              <w:ind w:right="99"/>
              <w:jc w:val="right"/>
              <w:rPr>
                <w:rFonts w:ascii="宋体" w:hAnsi="宋体" w:cs="宋体" w:eastAsia="宋体" w:hint="default"/>
                <w:sz w:val="21"/>
                <w:szCs w:val="21"/>
              </w:rPr>
            </w:pPr>
            <w:r>
              <w:rPr>
                <w:rFonts w:ascii="宋体"/>
                <w:spacing w:val="-1"/>
                <w:sz w:val="21"/>
              </w:rPr>
              <w:t>77,496,017.15</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99"/>
              <w:jc w:val="right"/>
              <w:rPr>
                <w:rFonts w:ascii="宋体" w:hAnsi="宋体" w:cs="宋体" w:eastAsia="宋体" w:hint="default"/>
                <w:sz w:val="21"/>
                <w:szCs w:val="21"/>
              </w:rPr>
            </w:pPr>
            <w:r>
              <w:rPr>
                <w:rFonts w:ascii="宋体"/>
                <w:spacing w:val="-1"/>
                <w:sz w:val="21"/>
              </w:rPr>
              <w:t>272,198,497.62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243,580,444.66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106,114,070.11</w:t>
            </w:r>
          </w:p>
        </w:tc>
      </w:tr>
    </w:tbl>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r>
        <w:rPr/>
        <w:t>(2).短期薪酬列示：</w:t>
      </w:r>
      <w:r>
        <w:rPr>
          <w:b w:val="0"/>
          <w:bCs w:val="0"/>
        </w:rPr>
      </w:r>
    </w:p>
    <w:p>
      <w:pPr>
        <w:pStyle w:val="BodyText"/>
        <w:tabs>
          <w:tab w:pos="1050" w:val="left" w:leader="none"/>
        </w:tabs>
        <w:spacing w:line="240" w:lineRule="auto" w:before="97"/>
        <w:ind w:left="0" w:right="370"/>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332"/>
        <w:gridCol w:w="1583"/>
        <w:gridCol w:w="1751"/>
        <w:gridCol w:w="1814"/>
        <w:gridCol w:w="1717"/>
      </w:tblGrid>
      <w:tr>
        <w:trPr>
          <w:trHeight w:val="323" w:hRule="exact"/>
        </w:trPr>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36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4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8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3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634" w:hRule="exact"/>
        </w:trPr>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和补贴</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56,444,691.54</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241,214,322.04</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211,429,932.81</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86,229,080.77</w:t>
            </w:r>
          </w:p>
        </w:tc>
      </w:tr>
      <w:tr>
        <w:trPr>
          <w:trHeight w:val="322" w:hRule="exact"/>
        </w:trPr>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83"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3,916,233.77</w:t>
            </w:r>
            <w:r>
              <w:rPr>
                <w:rFonts w:ascii="宋体"/>
                <w:sz w:val="21"/>
              </w:rPr>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3,916,233.77</w:t>
            </w:r>
            <w:r>
              <w:rPr>
                <w:rFonts w:ascii="宋体"/>
                <w:sz w:val="21"/>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w:t>
            </w:r>
          </w:p>
        </w:tc>
      </w:tr>
      <w:tr>
        <w:trPr>
          <w:trHeight w:val="323" w:hRule="exact"/>
        </w:trPr>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225,487.74</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5,758,571.72</w:t>
            </w:r>
            <w:r>
              <w:rPr>
                <w:rFonts w:ascii="宋体"/>
                <w:sz w:val="21"/>
              </w:rPr>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5,984,059.46</w:t>
            </w:r>
            <w:r>
              <w:rPr>
                <w:rFonts w:ascii="宋体"/>
                <w:sz w:val="21"/>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w:t>
            </w:r>
          </w:p>
        </w:tc>
      </w:tr>
      <w:tr>
        <w:trPr>
          <w:trHeight w:val="322" w:hRule="exact"/>
        </w:trPr>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197,967.22</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5,041,605.42</w:t>
            </w:r>
            <w:r>
              <w:rPr>
                <w:rFonts w:ascii="宋体"/>
                <w:sz w:val="21"/>
              </w:rPr>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5,239,572.64</w:t>
            </w:r>
            <w:r>
              <w:rPr>
                <w:rFonts w:ascii="宋体"/>
                <w:sz w:val="21"/>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w:t>
            </w:r>
          </w:p>
        </w:tc>
      </w:tr>
      <w:tr>
        <w:trPr>
          <w:trHeight w:val="322" w:hRule="exact"/>
        </w:trPr>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3"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12,220.00</w:t>
            </w:r>
            <w:r>
              <w:rPr>
                <w:rFonts w:ascii="宋体"/>
                <w:sz w:val="21"/>
              </w:rPr>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220,652.81</w:t>
            </w:r>
            <w:r>
              <w:rPr>
                <w:rFonts w:ascii="宋体"/>
                <w:sz w:val="21"/>
              </w:rPr>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232,872.81</w:t>
            </w:r>
            <w:r>
              <w:rPr>
                <w:rFonts w:ascii="宋体"/>
                <w:sz w:val="21"/>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w:t>
            </w:r>
          </w:p>
        </w:tc>
      </w:tr>
      <w:tr>
        <w:trPr>
          <w:trHeight w:val="323" w:hRule="exact"/>
        </w:trPr>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33"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15,300.52</w:t>
            </w:r>
            <w:r>
              <w:rPr>
                <w:rFonts w:ascii="宋体"/>
                <w:sz w:val="21"/>
              </w:rPr>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441,530.40</w:t>
            </w:r>
            <w:r>
              <w:rPr>
                <w:rFonts w:ascii="宋体"/>
                <w:sz w:val="21"/>
              </w:rPr>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456,830.92</w:t>
            </w:r>
            <w:r>
              <w:rPr>
                <w:rFonts w:ascii="宋体"/>
                <w:sz w:val="21"/>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w:t>
            </w:r>
          </w:p>
        </w:tc>
      </w:tr>
      <w:tr>
        <w:trPr>
          <w:trHeight w:val="634" w:hRule="exact"/>
        </w:trPr>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3" w:right="0"/>
              <w:jc w:val="left"/>
              <w:rPr>
                <w:rFonts w:ascii="宋体" w:hAnsi="宋体" w:cs="宋体" w:eastAsia="宋体" w:hint="default"/>
                <w:sz w:val="21"/>
                <w:szCs w:val="21"/>
              </w:rPr>
            </w:pPr>
            <w:r>
              <w:rPr>
                <w:rFonts w:ascii="宋体" w:hAnsi="宋体" w:cs="宋体" w:eastAsia="宋体" w:hint="default"/>
                <w:sz w:val="21"/>
                <w:szCs w:val="21"/>
              </w:rPr>
              <w:t>残疾人就业保障</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金等</w:t>
            </w:r>
          </w:p>
        </w:tc>
        <w:tc>
          <w:tcPr>
            <w:tcW w:w="1583"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54,783.09</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54,783.09</w:t>
            </w:r>
            <w:r>
              <w:rPr>
                <w:rFonts w:ascii="宋体"/>
                <w:sz w:val="21"/>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w:t>
            </w:r>
          </w:p>
        </w:tc>
      </w:tr>
      <w:tr>
        <w:trPr>
          <w:trHeight w:val="322" w:hRule="exact"/>
        </w:trPr>
        <w:tc>
          <w:tcPr>
            <w:tcW w:w="2332"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-2,108.00</w:t>
            </w:r>
            <w:r>
              <w:rPr>
                <w:rFonts w:ascii="宋体"/>
                <w:sz w:val="21"/>
              </w:rPr>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8,606,215.47</w:t>
            </w:r>
            <w:r>
              <w:rPr>
                <w:rFonts w:ascii="宋体"/>
                <w:sz w:val="21"/>
              </w:rPr>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8,608,455.47</w:t>
            </w:r>
            <w:r>
              <w:rPr>
                <w:rFonts w:ascii="宋体"/>
                <w:sz w:val="21"/>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-4,348.00</w:t>
            </w:r>
            <w:r>
              <w:rPr>
                <w:rFonts w:ascii="宋体"/>
                <w:sz w:val="21"/>
              </w:rPr>
            </w:r>
          </w:p>
        </w:tc>
      </w:tr>
      <w:tr>
        <w:trPr>
          <w:trHeight w:val="634" w:hRule="exact"/>
        </w:trPr>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育经费</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20,390,689.91</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129,969.92</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627,761.17</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19,892,898.66</w:t>
            </w:r>
          </w:p>
        </w:tc>
      </w:tr>
      <w:tr>
        <w:trPr>
          <w:trHeight w:val="322" w:hRule="exact"/>
        </w:trPr>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583"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583"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32"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32"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77,058,761.19</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259,625,312.92</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230,566,442.68</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106,117,631.43</w:t>
            </w:r>
          </w:p>
        </w:tc>
      </w:tr>
    </w:tbl>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r>
        <w:rPr/>
        <w:t>(3).设定提存计划列示</w:t>
      </w:r>
      <w:r>
        <w:rPr>
          <w:b w:val="0"/>
          <w:bCs w:val="0"/>
        </w:rPr>
      </w:r>
    </w:p>
    <w:p>
      <w:pPr>
        <w:spacing w:line="240" w:lineRule="auto" w:before="7"/>
        <w:rPr>
          <w:rFonts w:ascii="宋体" w:hAnsi="宋体" w:cs="宋体" w:eastAsia="宋体" w:hint="default"/>
          <w:b/>
          <w:bCs/>
          <w:sz w:val="8"/>
          <w:szCs w:val="8"/>
        </w:rPr>
      </w:pPr>
    </w:p>
    <w:tbl>
      <w:tblPr>
        <w:tblW w:w="0" w:type="auto"/>
        <w:jc w:val="left"/>
        <w:tblInd w:w="102" w:type="dxa"/>
        <w:tblLayout w:type="fixed"/>
        <w:tblCellMar>
          <w:top w:w="0" w:type="dxa"/>
          <w:left w:w="0" w:type="dxa"/>
          <w:bottom w:w="0" w:type="dxa"/>
          <w:right w:w="0" w:type="dxa"/>
        </w:tblCellMar>
        <w:tblLook w:val="01E0"/>
      </w:tblPr>
      <w:tblGrid>
        <w:gridCol w:w="2586"/>
        <w:gridCol w:w="1624"/>
        <w:gridCol w:w="1608"/>
        <w:gridCol w:w="1638"/>
        <w:gridCol w:w="1594"/>
      </w:tblGrid>
      <w:tr>
        <w:trPr>
          <w:trHeight w:val="326"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69"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60" w:lineRule="exact"/>
        <w:jc w:val="left"/>
        <w:rPr>
          <w:rFonts w:ascii="宋体" w:hAnsi="宋体" w:cs="宋体" w:eastAsia="宋体" w:hint="default"/>
          <w:sz w:val="21"/>
          <w:szCs w:val="21"/>
        </w:rPr>
        <w:sectPr>
          <w:type w:val="continuous"/>
          <w:pgSz w:w="11910" w:h="16840"/>
          <w:pgMar w:top="1080" w:bottom="1380" w:left="1580" w:right="90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2" w:type="dxa"/>
        <w:tblLayout w:type="fixed"/>
        <w:tblCellMar>
          <w:top w:w="0" w:type="dxa"/>
          <w:left w:w="0" w:type="dxa"/>
          <w:bottom w:w="0" w:type="dxa"/>
          <w:right w:w="0" w:type="dxa"/>
        </w:tblCellMar>
        <w:tblLook w:val="01E0"/>
      </w:tblPr>
      <w:tblGrid>
        <w:gridCol w:w="2586"/>
        <w:gridCol w:w="1624"/>
        <w:gridCol w:w="1608"/>
        <w:gridCol w:w="1638"/>
        <w:gridCol w:w="1594"/>
      </w:tblGrid>
      <w:tr>
        <w:trPr>
          <w:trHeight w:val="326"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1、基本养老保险</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405,447.96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11,411,791.23</w:t>
            </w:r>
            <w:r>
              <w:rPr>
                <w:rFonts w:ascii="宋体"/>
                <w:sz w:val="21"/>
              </w:rPr>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spacing w:val="-1"/>
                <w:sz w:val="21"/>
              </w:rPr>
              <w:t>11,820,800.51</w:t>
            </w:r>
            <w:r>
              <w:rPr>
                <w:rFonts w:ascii="宋体"/>
                <w:sz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-3,561.32</w:t>
            </w:r>
            <w:r>
              <w:rPr>
                <w:rFonts w:ascii="宋体"/>
                <w:sz w:val="21"/>
              </w:rPr>
            </w:r>
          </w:p>
        </w:tc>
      </w:tr>
      <w:tr>
        <w:trPr>
          <w:trHeight w:val="32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2、失业保险费</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31,808.00</w:t>
            </w:r>
            <w:r>
              <w:rPr>
                <w:rFonts w:ascii="宋体"/>
                <w:sz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844,756.47</w:t>
            </w:r>
            <w:r>
              <w:rPr>
                <w:rFonts w:ascii="宋体"/>
                <w:sz w:val="21"/>
              </w:rPr>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876,564.47</w:t>
            </w:r>
            <w:r>
              <w:rPr>
                <w:rFonts w:ascii="宋体"/>
                <w:sz w:val="21"/>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3、企业年金缴费</w:t>
            </w:r>
          </w:p>
        </w:tc>
        <w:tc>
          <w:tcPr>
            <w:tcW w:w="1624"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8" w:hRule="exact"/>
        </w:trPr>
        <w:tc>
          <w:tcPr>
            <w:tcW w:w="2586"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86"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64" w:lineRule="exact"/>
              <w:ind w:right="99"/>
              <w:jc w:val="right"/>
              <w:rPr>
                <w:rFonts w:ascii="宋体" w:hAnsi="宋体" w:cs="宋体" w:eastAsia="宋体" w:hint="default"/>
                <w:sz w:val="21"/>
                <w:szCs w:val="21"/>
              </w:rPr>
            </w:pPr>
            <w:r>
              <w:rPr>
                <w:rFonts w:ascii="宋体"/>
                <w:spacing w:val="-1"/>
                <w:sz w:val="21"/>
              </w:rPr>
              <w:t>437,255.96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0"/>
              <w:jc w:val="right"/>
              <w:rPr>
                <w:rFonts w:ascii="宋体" w:hAnsi="宋体" w:cs="宋体" w:eastAsia="宋体" w:hint="default"/>
                <w:sz w:val="21"/>
                <w:szCs w:val="21"/>
              </w:rPr>
            </w:pPr>
            <w:r>
              <w:rPr>
                <w:rFonts w:ascii="宋体"/>
                <w:spacing w:val="-1"/>
                <w:sz w:val="21"/>
              </w:rPr>
              <w:t>12,256,547.70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0"/>
              <w:jc w:val="right"/>
              <w:rPr>
                <w:rFonts w:ascii="宋体" w:hAnsi="宋体" w:cs="宋体" w:eastAsia="宋体" w:hint="default"/>
                <w:sz w:val="21"/>
                <w:szCs w:val="21"/>
              </w:rPr>
            </w:pPr>
            <w:r>
              <w:rPr>
                <w:rFonts w:ascii="宋体"/>
                <w:spacing w:val="-1"/>
                <w:sz w:val="21"/>
              </w:rPr>
              <w:t>12,697,364.98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0"/>
              <w:jc w:val="right"/>
              <w:rPr>
                <w:rFonts w:ascii="宋体" w:hAnsi="宋体" w:cs="宋体" w:eastAsia="宋体" w:hint="default"/>
                <w:sz w:val="21"/>
                <w:szCs w:val="21"/>
              </w:rPr>
            </w:pPr>
            <w:r>
              <w:rPr>
                <w:rFonts w:ascii="宋体"/>
                <w:spacing w:val="-1"/>
                <w:sz w:val="21"/>
              </w:rPr>
              <w:t>-3,561.32</w:t>
            </w:r>
          </w:p>
        </w:tc>
      </w:tr>
    </w:tbl>
    <w:p>
      <w:pPr>
        <w:spacing w:line="240" w:lineRule="auto" w:before="0"/>
        <w:rPr>
          <w:rFonts w:ascii="宋体" w:hAnsi="宋体" w:cs="宋体" w:eastAsia="宋体" w:hint="default"/>
          <w:b/>
          <w:bCs/>
          <w:sz w:val="20"/>
          <w:szCs w:val="20"/>
        </w:rPr>
      </w:pPr>
    </w:p>
    <w:p>
      <w:pPr>
        <w:pStyle w:val="BodyText"/>
        <w:spacing w:line="240" w:lineRule="auto" w:before="35"/>
        <w:ind w:right="114"/>
        <w:jc w:val="left"/>
      </w:pPr>
      <w:r>
        <w:rPr/>
        <w:t>其他说明：</w:t>
      </w:r>
    </w:p>
    <w:p>
      <w:pPr>
        <w:spacing w:line="240" w:lineRule="auto" w:before="13"/>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a">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pStyle w:val="Heading3"/>
        <w:spacing w:line="240" w:lineRule="auto"/>
        <w:ind w:right="114"/>
        <w:jc w:val="left"/>
        <w:rPr>
          <w:b w:val="0"/>
          <w:bCs w:val="0"/>
        </w:rPr>
      </w:pPr>
      <w:r>
        <w:rPr/>
        <w:t>38、</w:t>
      </w:r>
      <w:r>
        <w:rPr>
          <w:spacing w:val="-26"/>
        </w:rPr>
        <w:t> </w:t>
      </w:r>
      <w:r>
        <w:rPr/>
        <w:t>应交税费</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2981"/>
        <w:gridCol w:w="2954"/>
        <w:gridCol w:w="2960"/>
      </w:tblGrid>
      <w:tr>
        <w:trPr>
          <w:trHeight w:val="32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5"/>
              <w:jc w:val="right"/>
              <w:rPr>
                <w:rFonts w:ascii="宋体" w:hAnsi="宋体" w:cs="宋体" w:eastAsia="宋体" w:hint="default"/>
                <w:sz w:val="21"/>
                <w:szCs w:val="21"/>
              </w:rPr>
            </w:pPr>
            <w:r>
              <w:rPr>
                <w:rFonts w:ascii="宋体"/>
                <w:spacing w:val="-1"/>
                <w:sz w:val="21"/>
              </w:rPr>
              <w:t>7,754,340.30</w:t>
            </w:r>
            <w:r>
              <w:rPr>
                <w:rFonts w:ascii="宋体"/>
                <w:sz w:val="21"/>
              </w:rPr>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3"/>
              <w:jc w:val="right"/>
              <w:rPr>
                <w:rFonts w:ascii="宋体" w:hAnsi="宋体" w:cs="宋体" w:eastAsia="宋体" w:hint="default"/>
                <w:sz w:val="21"/>
                <w:szCs w:val="21"/>
              </w:rPr>
            </w:pPr>
            <w:r>
              <w:rPr>
                <w:rFonts w:ascii="宋体"/>
                <w:spacing w:val="-1"/>
                <w:sz w:val="21"/>
              </w:rPr>
              <w:t>4,926,798.15</w:t>
            </w:r>
            <w:r>
              <w:rPr>
                <w:rFonts w:ascii="宋体"/>
                <w:sz w:val="21"/>
              </w:rPr>
            </w:r>
          </w:p>
        </w:tc>
      </w:tr>
      <w:tr>
        <w:trPr>
          <w:trHeight w:val="32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4" w:type="dxa"/>
            <w:tcBorders>
              <w:top w:val="single" w:sz="6" w:space="0" w:color="000000"/>
              <w:left w:val="single" w:sz="6" w:space="0" w:color="000000"/>
              <w:bottom w:val="single" w:sz="6" w:space="0" w:color="000000"/>
              <w:right w:val="single" w:sz="6" w:space="0" w:color="000000"/>
            </w:tcBorders>
          </w:tcPr>
          <w:p>
            <w:pPr/>
          </w:p>
        </w:tc>
        <w:tc>
          <w:tcPr>
            <w:tcW w:w="296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3"/>
              <w:jc w:val="right"/>
              <w:rPr>
                <w:rFonts w:ascii="宋体" w:hAnsi="宋体" w:cs="宋体" w:eastAsia="宋体" w:hint="default"/>
                <w:sz w:val="21"/>
                <w:szCs w:val="21"/>
              </w:rPr>
            </w:pPr>
            <w:r>
              <w:rPr>
                <w:rFonts w:ascii="宋体"/>
                <w:spacing w:val="-1"/>
                <w:sz w:val="21"/>
              </w:rPr>
              <w:t>5,721,043.04</w:t>
            </w:r>
            <w:r>
              <w:rPr>
                <w:rFonts w:ascii="宋体"/>
                <w:sz w:val="21"/>
              </w:rPr>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2"/>
              <w:jc w:val="right"/>
              <w:rPr>
                <w:rFonts w:ascii="宋体" w:hAnsi="宋体" w:cs="宋体" w:eastAsia="宋体" w:hint="default"/>
                <w:sz w:val="21"/>
                <w:szCs w:val="21"/>
              </w:rPr>
            </w:pPr>
            <w:r>
              <w:rPr>
                <w:rFonts w:ascii="宋体"/>
                <w:spacing w:val="-1"/>
                <w:sz w:val="21"/>
              </w:rPr>
              <w:t>110,538.87</w:t>
            </w:r>
            <w:r>
              <w:rPr>
                <w:rFonts w:ascii="宋体"/>
                <w:sz w:val="21"/>
              </w:rPr>
            </w:r>
          </w:p>
        </w:tc>
      </w:tr>
      <w:tr>
        <w:trPr>
          <w:trHeight w:val="32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4"/>
              <w:jc w:val="right"/>
              <w:rPr>
                <w:rFonts w:ascii="宋体" w:hAnsi="宋体" w:cs="宋体" w:eastAsia="宋体" w:hint="default"/>
                <w:sz w:val="21"/>
                <w:szCs w:val="21"/>
              </w:rPr>
            </w:pPr>
            <w:r>
              <w:rPr>
                <w:rFonts w:ascii="宋体"/>
                <w:spacing w:val="-1"/>
                <w:sz w:val="21"/>
              </w:rPr>
              <w:t>17,029,504.32</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2"/>
              <w:jc w:val="right"/>
              <w:rPr>
                <w:rFonts w:ascii="宋体" w:hAnsi="宋体" w:cs="宋体" w:eastAsia="宋体" w:hint="default"/>
                <w:sz w:val="21"/>
                <w:szCs w:val="21"/>
              </w:rPr>
            </w:pPr>
            <w:r>
              <w:rPr>
                <w:rFonts w:ascii="宋体"/>
                <w:spacing w:val="-1"/>
                <w:sz w:val="21"/>
              </w:rPr>
              <w:t>10,286,962.77</w:t>
            </w:r>
            <w:r>
              <w:rPr>
                <w:rFonts w:ascii="宋体"/>
                <w:sz w:val="21"/>
              </w:rPr>
            </w:r>
          </w:p>
        </w:tc>
      </w:tr>
      <w:tr>
        <w:trPr>
          <w:trHeight w:val="32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3"/>
              <w:jc w:val="right"/>
              <w:rPr>
                <w:rFonts w:ascii="宋体" w:hAnsi="宋体" w:cs="宋体" w:eastAsia="宋体" w:hint="default"/>
                <w:sz w:val="21"/>
                <w:szCs w:val="21"/>
              </w:rPr>
            </w:pPr>
            <w:r>
              <w:rPr>
                <w:rFonts w:ascii="宋体"/>
                <w:spacing w:val="-1"/>
                <w:sz w:val="21"/>
              </w:rPr>
              <w:t>2,292,904.64</w:t>
            </w:r>
            <w:r>
              <w:rPr>
                <w:rFonts w:ascii="宋体"/>
                <w:sz w:val="21"/>
              </w:rPr>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2"/>
              <w:jc w:val="right"/>
              <w:rPr>
                <w:rFonts w:ascii="宋体" w:hAnsi="宋体" w:cs="宋体" w:eastAsia="宋体" w:hint="default"/>
                <w:sz w:val="21"/>
                <w:szCs w:val="21"/>
              </w:rPr>
            </w:pPr>
            <w:r>
              <w:rPr>
                <w:rFonts w:ascii="宋体"/>
                <w:spacing w:val="-1"/>
                <w:sz w:val="21"/>
              </w:rPr>
              <w:t>694,200.82</w:t>
            </w:r>
            <w:r>
              <w:rPr>
                <w:rFonts w:ascii="宋体"/>
                <w:sz w:val="21"/>
              </w:rPr>
            </w:r>
          </w:p>
        </w:tc>
      </w:tr>
      <w:tr>
        <w:trPr>
          <w:trHeight w:val="32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4"/>
              <w:jc w:val="right"/>
              <w:rPr>
                <w:rFonts w:ascii="宋体" w:hAnsi="宋体" w:cs="宋体" w:eastAsia="宋体" w:hint="default"/>
                <w:sz w:val="21"/>
                <w:szCs w:val="21"/>
              </w:rPr>
            </w:pPr>
            <w:r>
              <w:rPr>
                <w:rFonts w:ascii="宋体"/>
                <w:sz w:val="21"/>
              </w:rPr>
              <w:t>924,372.62</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
              <w:jc w:val="right"/>
              <w:rPr>
                <w:rFonts w:ascii="宋体" w:hAnsi="宋体" w:cs="宋体" w:eastAsia="宋体" w:hint="default"/>
                <w:sz w:val="21"/>
                <w:szCs w:val="21"/>
              </w:rPr>
            </w:pPr>
            <w:r>
              <w:rPr>
                <w:rFonts w:ascii="宋体"/>
                <w:sz w:val="21"/>
              </w:rPr>
              <w:t>330,473.03</w:t>
            </w:r>
          </w:p>
        </w:tc>
      </w:tr>
      <w:tr>
        <w:trPr>
          <w:trHeight w:val="32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3"/>
              <w:jc w:val="right"/>
              <w:rPr>
                <w:rFonts w:ascii="宋体" w:hAnsi="宋体" w:cs="宋体" w:eastAsia="宋体" w:hint="default"/>
                <w:sz w:val="21"/>
                <w:szCs w:val="21"/>
              </w:rPr>
            </w:pPr>
            <w:r>
              <w:rPr>
                <w:rFonts w:ascii="宋体"/>
                <w:sz w:val="21"/>
              </w:rPr>
              <w:t>396,204.40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142,447.24</w:t>
            </w:r>
          </w:p>
        </w:tc>
      </w:tr>
      <w:tr>
        <w:trPr>
          <w:trHeight w:val="32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9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4"/>
              <w:jc w:val="right"/>
              <w:rPr>
                <w:rFonts w:ascii="宋体" w:hAnsi="宋体" w:cs="宋体" w:eastAsia="宋体" w:hint="default"/>
                <w:sz w:val="21"/>
                <w:szCs w:val="21"/>
              </w:rPr>
            </w:pPr>
            <w:r>
              <w:rPr>
                <w:rFonts w:ascii="宋体"/>
                <w:sz w:val="21"/>
              </w:rPr>
              <w:t>264,127.62</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2"/>
              <w:jc w:val="right"/>
              <w:rPr>
                <w:rFonts w:ascii="宋体" w:hAnsi="宋体" w:cs="宋体" w:eastAsia="宋体" w:hint="default"/>
                <w:sz w:val="21"/>
                <w:szCs w:val="21"/>
              </w:rPr>
            </w:pPr>
            <w:r>
              <w:rPr>
                <w:rFonts w:ascii="宋体"/>
                <w:sz w:val="21"/>
              </w:rPr>
              <w:t>93,670.81</w:t>
            </w:r>
          </w:p>
        </w:tc>
      </w:tr>
      <w:tr>
        <w:trPr>
          <w:trHeight w:val="32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2954" w:type="dxa"/>
            <w:tcBorders>
              <w:top w:val="single" w:sz="6" w:space="0" w:color="000000"/>
              <w:left w:val="single" w:sz="6" w:space="0" w:color="000000"/>
              <w:bottom w:val="single" w:sz="6" w:space="0" w:color="000000"/>
              <w:right w:val="single" w:sz="6" w:space="0" w:color="000000"/>
            </w:tcBorders>
          </w:tcPr>
          <w:p>
            <w:pP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2"/>
              <w:jc w:val="right"/>
              <w:rPr>
                <w:rFonts w:ascii="宋体" w:hAnsi="宋体" w:cs="宋体" w:eastAsia="宋体" w:hint="default"/>
                <w:sz w:val="21"/>
                <w:szCs w:val="21"/>
              </w:rPr>
            </w:pPr>
            <w:r>
              <w:rPr>
                <w:rFonts w:ascii="宋体"/>
                <w:spacing w:val="-1"/>
                <w:sz w:val="21"/>
              </w:rPr>
              <w:t>24,295.09</w:t>
            </w:r>
          </w:p>
        </w:tc>
      </w:tr>
      <w:tr>
        <w:trPr>
          <w:trHeight w:val="32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4"/>
              <w:jc w:val="right"/>
              <w:rPr>
                <w:rFonts w:ascii="宋体" w:hAnsi="宋体" w:cs="宋体" w:eastAsia="宋体" w:hint="default"/>
                <w:sz w:val="21"/>
                <w:szCs w:val="21"/>
              </w:rPr>
            </w:pPr>
            <w:r>
              <w:rPr>
                <w:rFonts w:ascii="宋体"/>
                <w:sz w:val="21"/>
              </w:rPr>
              <w:t>199,034.53</w:t>
            </w:r>
          </w:p>
        </w:tc>
        <w:tc>
          <w:tcPr>
            <w:tcW w:w="296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4"/>
              <w:jc w:val="right"/>
              <w:rPr>
                <w:rFonts w:ascii="宋体" w:hAnsi="宋体" w:cs="宋体" w:eastAsia="宋体" w:hint="default"/>
                <w:sz w:val="21"/>
                <w:szCs w:val="21"/>
              </w:rPr>
            </w:pPr>
            <w:r>
              <w:rPr>
                <w:rFonts w:ascii="宋体"/>
                <w:sz w:val="21"/>
              </w:rPr>
              <w:t>36,743.95</w:t>
            </w:r>
          </w:p>
        </w:tc>
        <w:tc>
          <w:tcPr>
            <w:tcW w:w="296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3"/>
              <w:jc w:val="right"/>
              <w:rPr>
                <w:rFonts w:ascii="宋体" w:hAnsi="宋体" w:cs="宋体" w:eastAsia="宋体" w:hint="default"/>
                <w:sz w:val="21"/>
                <w:szCs w:val="21"/>
              </w:rPr>
            </w:pPr>
            <w:r>
              <w:rPr>
                <w:rFonts w:ascii="宋体"/>
                <w:spacing w:val="-1"/>
                <w:sz w:val="21"/>
              </w:rPr>
              <w:t>216.78</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2"/>
              <w:jc w:val="right"/>
              <w:rPr>
                <w:rFonts w:ascii="宋体" w:hAnsi="宋体" w:cs="宋体" w:eastAsia="宋体" w:hint="default"/>
                <w:sz w:val="21"/>
                <w:szCs w:val="21"/>
              </w:rPr>
            </w:pPr>
            <w:r>
              <w:rPr>
                <w:rFonts w:ascii="宋体"/>
                <w:spacing w:val="-1"/>
                <w:sz w:val="21"/>
              </w:rPr>
              <w:t>52,180.22</w:t>
            </w:r>
          </w:p>
        </w:tc>
      </w:tr>
      <w:tr>
        <w:trPr>
          <w:trHeight w:val="32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325"/>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295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5"/>
              <w:jc w:val="right"/>
              <w:rPr>
                <w:rFonts w:ascii="宋体" w:hAnsi="宋体" w:cs="宋体" w:eastAsia="宋体" w:hint="default"/>
                <w:sz w:val="21"/>
                <w:szCs w:val="21"/>
              </w:rPr>
            </w:pPr>
            <w:r>
              <w:rPr>
                <w:rFonts w:ascii="宋体"/>
                <w:spacing w:val="-1"/>
                <w:sz w:val="21"/>
              </w:rPr>
              <w:t>34,618,492.20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2"/>
              <w:jc w:val="right"/>
              <w:rPr>
                <w:rFonts w:ascii="宋体" w:hAnsi="宋体" w:cs="宋体" w:eastAsia="宋体" w:hint="default"/>
                <w:sz w:val="21"/>
                <w:szCs w:val="21"/>
              </w:rPr>
            </w:pPr>
            <w:r>
              <w:rPr>
                <w:rFonts w:ascii="宋体"/>
                <w:spacing w:val="-1"/>
                <w:sz w:val="21"/>
              </w:rPr>
              <w:t>16,661,567.00</w:t>
            </w:r>
          </w:p>
        </w:tc>
      </w:tr>
    </w:tbl>
    <w:p>
      <w:pPr>
        <w:pStyle w:val="BodyText"/>
        <w:spacing w:line="261" w:lineRule="exact"/>
        <w:ind w:right="114"/>
        <w:jc w:val="left"/>
      </w:pPr>
      <w:r>
        <w:rPr/>
        <w:t>其他说明：</w:t>
      </w:r>
    </w:p>
    <w:p>
      <w:pPr>
        <w:spacing w:line="240" w:lineRule="auto" w:before="13"/>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pStyle w:val="Heading3"/>
        <w:spacing w:line="240" w:lineRule="auto"/>
        <w:ind w:right="114"/>
        <w:jc w:val="left"/>
        <w:rPr>
          <w:b w:val="0"/>
          <w:bCs w:val="0"/>
        </w:rPr>
      </w:pPr>
      <w:r>
        <w:rPr/>
        <w:t>39、</w:t>
      </w:r>
      <w:r>
        <w:rPr>
          <w:spacing w:val="-26"/>
        </w:rPr>
        <w:t> </w:t>
      </w:r>
      <w:r>
        <w:rPr/>
        <w:t>应付利息</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3415"/>
        <w:gridCol w:w="2586"/>
        <w:gridCol w:w="3048"/>
      </w:tblGrid>
      <w:tr>
        <w:trPr>
          <w:trHeight w:val="282" w:hRule="exact"/>
        </w:trPr>
        <w:tc>
          <w:tcPr>
            <w:tcW w:w="3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center"/>
              <w:rPr>
                <w:rFonts w:ascii="宋体" w:hAnsi="宋体" w:cs="宋体" w:eastAsia="宋体" w:hint="default"/>
                <w:sz w:val="21"/>
                <w:szCs w:val="21"/>
              </w:rPr>
            </w:pPr>
            <w:r>
              <w:rPr>
                <w:rFonts w:ascii="宋体" w:hAnsi="宋体" w:cs="宋体" w:eastAsia="宋体" w:hint="default"/>
                <w:sz w:val="21"/>
                <w:szCs w:val="21"/>
              </w:rPr>
              <w:t>项目</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1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划分为金融负债的优先股\永续债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415"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15"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15"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415"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1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7"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4"/>
        <w:ind w:right="114"/>
        <w:jc w:val="left"/>
      </w:pPr>
      <w:r>
        <w:rPr/>
        <w:t>重要的已逾期未支付的利息情况：</w:t>
      </w:r>
    </w:p>
    <w:p>
      <w:pPr>
        <w:pStyle w:val="BodyText"/>
        <w:tabs>
          <w:tab w:pos="1049" w:val="left" w:leader="none"/>
        </w:tabs>
        <w:spacing w:line="240" w:lineRule="auto" w:before="3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3308"/>
        <w:gridCol w:w="2563"/>
        <w:gridCol w:w="3022"/>
      </w:tblGrid>
      <w:tr>
        <w:trPr>
          <w:trHeight w:val="326"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借款单位</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逾期金额</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逾期原因</w:t>
            </w:r>
          </w:p>
        </w:tc>
      </w:tr>
      <w:tr>
        <w:trPr>
          <w:trHeight w:val="328" w:hRule="exact"/>
        </w:trPr>
        <w:tc>
          <w:tcPr>
            <w:tcW w:w="3308" w:type="dxa"/>
            <w:tcBorders>
              <w:top w:val="single" w:sz="6" w:space="0" w:color="000000"/>
              <w:left w:val="single" w:sz="6" w:space="0" w:color="000000"/>
              <w:bottom w:val="single" w:sz="6" w:space="0" w:color="000000"/>
              <w:right w:val="single" w:sz="6" w:space="0" w:color="000000"/>
            </w:tcBorders>
          </w:tcPr>
          <w:p>
            <w:pPr/>
          </w:p>
        </w:tc>
        <w:tc>
          <w:tcPr>
            <w:tcW w:w="2563"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08" w:type="dxa"/>
            <w:tcBorders>
              <w:top w:val="single" w:sz="6" w:space="0" w:color="000000"/>
              <w:left w:val="single" w:sz="6" w:space="0" w:color="000000"/>
              <w:bottom w:val="single" w:sz="6" w:space="0" w:color="000000"/>
              <w:right w:val="single" w:sz="6" w:space="0" w:color="000000"/>
            </w:tcBorders>
          </w:tcPr>
          <w:p>
            <w:pPr/>
          </w:p>
        </w:tc>
        <w:tc>
          <w:tcPr>
            <w:tcW w:w="2563"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563"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
              <w:jc w:val="center"/>
              <w:rPr>
                <w:rFonts w:ascii="宋体" w:hAnsi="宋体" w:cs="宋体" w:eastAsia="宋体" w:hint="default"/>
                <w:sz w:val="21"/>
                <w:szCs w:val="21"/>
              </w:rPr>
            </w:pPr>
            <w:r>
              <w:rPr>
                <w:rFonts w:ascii="宋体"/>
                <w:sz w:val="21"/>
              </w:rPr>
              <w:t>/</w:t>
            </w:r>
          </w:p>
        </w:tc>
      </w:tr>
    </w:tbl>
    <w:p>
      <w:pPr>
        <w:spacing w:line="240" w:lineRule="auto" w:before="9"/>
        <w:rPr>
          <w:rFonts w:ascii="宋体" w:hAnsi="宋体" w:cs="宋体" w:eastAsia="宋体" w:hint="default"/>
          <w:sz w:val="24"/>
          <w:szCs w:val="24"/>
        </w:rPr>
      </w:pPr>
    </w:p>
    <w:p>
      <w:pPr>
        <w:pStyle w:val="BodyText"/>
        <w:spacing w:line="240" w:lineRule="auto" w:before="35"/>
        <w:ind w:right="114"/>
        <w:jc w:val="left"/>
      </w:pPr>
      <w:r>
        <w:rPr/>
        <w:t>其他说明：</w:t>
      </w:r>
    </w:p>
    <w:p>
      <w:pPr>
        <w:spacing w:line="240" w:lineRule="auto" w:before="7"/>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pStyle w:val="Heading3"/>
        <w:spacing w:line="240" w:lineRule="auto"/>
        <w:ind w:right="114"/>
        <w:jc w:val="left"/>
        <w:rPr>
          <w:b w:val="0"/>
          <w:bCs w:val="0"/>
        </w:rPr>
      </w:pPr>
      <w:r>
        <w:rPr/>
        <w:t>40、</w:t>
      </w:r>
      <w:r>
        <w:rPr>
          <w:spacing w:val="-26"/>
        </w:rPr>
        <w:t> </w:t>
      </w:r>
      <w:r>
        <w:rPr/>
        <w:t>应付股利</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2860"/>
        <w:gridCol w:w="3017"/>
        <w:gridCol w:w="3019"/>
      </w:tblGrid>
      <w:tr>
        <w:trPr>
          <w:trHeight w:val="328"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6"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1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划分为权益工具的优先股\永</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续债股利</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1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60"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1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860"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1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60"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1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860"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1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1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right="114"/>
        <w:jc w:val="left"/>
      </w:pPr>
      <w:r>
        <w:rPr/>
        <w:t>其他说明，包括重要的超过</w:t>
      </w:r>
      <w:r>
        <w:rPr>
          <w:spacing w:val="-54"/>
        </w:rPr>
        <w:t> </w:t>
      </w:r>
      <w:r>
        <w:rPr/>
        <w:t>1</w:t>
      </w:r>
      <w:r>
        <w:rPr>
          <w:spacing w:val="-53"/>
        </w:rPr>
        <w:t> </w:t>
      </w:r>
      <w:r>
        <w:rPr/>
        <w:t>年未支付的应付股利，应披露未支付原因：</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7" w:top="1120" w:bottom="1380" w:left="1580" w:right="1040"/>
        </w:sectPr>
      </w:pPr>
    </w:p>
    <w:p>
      <w:pPr>
        <w:pStyle w:val="Heading3"/>
        <w:spacing w:line="240" w:lineRule="auto"/>
        <w:ind w:right="-15"/>
        <w:jc w:val="left"/>
        <w:rPr>
          <w:b w:val="0"/>
          <w:bCs w:val="0"/>
        </w:rPr>
      </w:pPr>
      <w:r>
        <w:rPr/>
        <w:t>41、</w:t>
      </w:r>
      <w:r>
        <w:rPr>
          <w:spacing w:val="-28"/>
        </w:rPr>
        <w:t> </w:t>
      </w:r>
      <w:r>
        <w:rPr/>
        <w:t>其他应付款</w:t>
      </w:r>
      <w:r>
        <w:rPr>
          <w:b w:val="0"/>
          <w:bCs w:val="0"/>
        </w:rPr>
      </w:r>
    </w:p>
    <w:p>
      <w:pPr>
        <w:pStyle w:val="Heading3"/>
        <w:spacing w:line="240" w:lineRule="auto" w:before="97"/>
        <w:ind w:right="-15"/>
        <w:jc w:val="left"/>
        <w:rPr>
          <w:b w:val="0"/>
          <w:bCs w:val="0"/>
        </w:rPr>
      </w:pPr>
      <w:r>
        <w:rPr/>
        <w:t>(1).</w:t>
      </w:r>
      <w:r>
        <w:rPr>
          <w:spacing w:val="-7"/>
        </w:rPr>
        <w:t> </w:t>
      </w:r>
      <w:r>
        <w:rPr/>
        <w:t>按款项性质列示其他应付款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tabs>
          <w:tab w:pos="1267" w:val="left" w:leader="none"/>
        </w:tabs>
        <w:spacing w:line="240" w:lineRule="auto"/>
        <w:ind w:right="0"/>
        <w:jc w:val="left"/>
      </w:pPr>
      <w:r>
        <w:rPr/>
        <w:t>单位：元</w:t>
        <w:tab/>
        <w:t>币种：人民币</w:t>
      </w:r>
    </w:p>
    <w:p>
      <w:pPr>
        <w:spacing w:after="0" w:line="240" w:lineRule="auto"/>
        <w:jc w:val="left"/>
        <w:sectPr>
          <w:type w:val="continuous"/>
          <w:pgSz w:w="11910" w:h="16840"/>
          <w:pgMar w:top="1080" w:bottom="1380" w:left="1580" w:right="1040"/>
          <w:cols w:num="2" w:equalWidth="0">
            <w:col w:w="3275" w:space="3248"/>
            <w:col w:w="2767"/>
          </w:cols>
        </w:sectPr>
      </w:pP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923"/>
        <w:gridCol w:w="2999"/>
        <w:gridCol w:w="3127"/>
      </w:tblGrid>
      <w:tr>
        <w:trPr>
          <w:trHeight w:val="32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47,097,612.91</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80,194,408.85</w:t>
            </w:r>
            <w:r>
              <w:rPr>
                <w:rFonts w:ascii="宋体"/>
                <w:sz w:val="21"/>
              </w:rPr>
            </w:r>
          </w:p>
        </w:tc>
      </w:tr>
      <w:tr>
        <w:trPr>
          <w:trHeight w:val="32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3,971,410.56</w:t>
            </w:r>
            <w:r>
              <w:rPr>
                <w:rFonts w:ascii="宋体"/>
                <w:sz w:val="21"/>
              </w:rPr>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6,252,566.81</w:t>
            </w:r>
            <w:r>
              <w:rPr>
                <w:rFonts w:ascii="宋体"/>
                <w:sz w:val="21"/>
              </w:rPr>
            </w:r>
          </w:p>
        </w:tc>
      </w:tr>
      <w:tr>
        <w:trPr>
          <w:trHeight w:val="32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2,494,593.60</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1,884,674.80</w:t>
            </w:r>
          </w:p>
        </w:tc>
      </w:tr>
      <w:tr>
        <w:trPr>
          <w:trHeight w:val="32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预提成本费用</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9,686,669.52</w:t>
            </w:r>
            <w:r>
              <w:rPr>
                <w:rFonts w:ascii="宋体"/>
                <w:sz w:val="21"/>
              </w:rPr>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12,794,221.18</w:t>
            </w:r>
          </w:p>
        </w:tc>
      </w:tr>
      <w:tr>
        <w:trPr>
          <w:trHeight w:val="32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3,751,704.40</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1,928,829.78</w:t>
            </w:r>
          </w:p>
        </w:tc>
      </w:tr>
      <w:tr>
        <w:trPr>
          <w:trHeight w:val="32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245"/>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67,001,990.99</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103,054,701.42</w:t>
            </w:r>
            <w:r>
              <w:rPr>
                <w:rFonts w:ascii="宋体"/>
                <w:sz w:val="21"/>
              </w:rPr>
            </w:r>
          </w:p>
        </w:tc>
      </w:tr>
    </w:tbl>
    <w:p>
      <w:pPr>
        <w:spacing w:line="240" w:lineRule="auto" w:before="8"/>
        <w:rPr>
          <w:rFonts w:ascii="宋体" w:hAnsi="宋体" w:cs="宋体" w:eastAsia="宋体" w:hint="default"/>
          <w:sz w:val="24"/>
          <w:szCs w:val="24"/>
        </w:rPr>
      </w:pPr>
    </w:p>
    <w:p>
      <w:pPr>
        <w:pStyle w:val="Heading3"/>
        <w:spacing w:line="240" w:lineRule="auto"/>
        <w:ind w:right="114"/>
        <w:jc w:val="left"/>
        <w:rPr>
          <w:b w:val="0"/>
          <w:bCs w:val="0"/>
        </w:rPr>
      </w:pPr>
      <w:r>
        <w:rPr/>
        <w:t>(2). 账龄超过</w:t>
      </w:r>
      <w:r>
        <w:rPr>
          <w:spacing w:val="-55"/>
        </w:rPr>
        <w:t> </w:t>
      </w:r>
      <w:r>
        <w:rPr>
          <w:rFonts w:ascii="Cambria" w:hAnsi="Cambria" w:cs="Cambria" w:eastAsia="Cambria" w:hint="default"/>
        </w:rPr>
        <w:t>1</w:t>
      </w:r>
      <w:r>
        <w:rPr>
          <w:rFonts w:ascii="Cambria" w:hAnsi="Cambria" w:cs="Cambria" w:eastAsia="Cambria" w:hint="default"/>
          <w:spacing w:val="4"/>
        </w:rPr>
        <w:t> </w:t>
      </w:r>
      <w:r>
        <w:rPr/>
        <w:t>年的重要其他应付款</w:t>
      </w:r>
      <w:r>
        <w:rPr>
          <w:b w:val="0"/>
          <w:bCs w:val="0"/>
        </w:rPr>
      </w:r>
    </w:p>
    <w:p>
      <w:pPr>
        <w:spacing w:line="240" w:lineRule="auto" w:before="3"/>
        <w:rPr>
          <w:rFonts w:ascii="宋体" w:hAnsi="宋体" w:cs="宋体" w:eastAsia="宋体" w:hint="default"/>
          <w:b/>
          <w:bCs/>
          <w:sz w:val="7"/>
          <w:szCs w:val="7"/>
        </w:rPr>
      </w:pPr>
    </w:p>
    <w:tbl>
      <w:tblPr>
        <w:tblW w:w="0" w:type="auto"/>
        <w:jc w:val="left"/>
        <w:tblInd w:w="104" w:type="dxa"/>
        <w:tblLayout w:type="fixed"/>
        <w:tblCellMar>
          <w:top w:w="0" w:type="dxa"/>
          <w:left w:w="0" w:type="dxa"/>
          <w:bottom w:w="0" w:type="dxa"/>
          <w:right w:w="0" w:type="dxa"/>
        </w:tblCellMar>
        <w:tblLook w:val="01E0"/>
      </w:tblPr>
      <w:tblGrid>
        <w:gridCol w:w="2908"/>
        <w:gridCol w:w="3029"/>
        <w:gridCol w:w="3113"/>
      </w:tblGrid>
      <w:tr>
        <w:trPr>
          <w:trHeight w:val="32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60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634"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眉山市华林恒峰商贸有限公</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50" w:right="0"/>
              <w:jc w:val="left"/>
              <w:rPr>
                <w:rFonts w:ascii="宋体" w:hAnsi="宋体" w:cs="宋体" w:eastAsia="宋体" w:hint="default"/>
                <w:sz w:val="21"/>
                <w:szCs w:val="21"/>
              </w:rPr>
            </w:pPr>
            <w:r>
              <w:rPr>
                <w:rFonts w:ascii="宋体"/>
                <w:sz w:val="21"/>
              </w:rPr>
              <w:t>40,423,796.47</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BT</w:t>
            </w:r>
            <w:r>
              <w:rPr>
                <w:rFonts w:ascii="宋体" w:hAnsi="宋体" w:cs="宋体" w:eastAsia="宋体" w:hint="default"/>
                <w:spacing w:val="-54"/>
                <w:sz w:val="21"/>
                <w:szCs w:val="21"/>
              </w:rPr>
              <w:t> </w:t>
            </w:r>
            <w:r>
              <w:rPr>
                <w:rFonts w:ascii="宋体" w:hAnsi="宋体" w:cs="宋体" w:eastAsia="宋体" w:hint="default"/>
                <w:sz w:val="21"/>
                <w:szCs w:val="21"/>
              </w:rPr>
              <w:t>项目管理保证金</w:t>
            </w:r>
          </w:p>
        </w:tc>
      </w:tr>
      <w:tr>
        <w:trPr>
          <w:trHeight w:val="323" w:hRule="exact"/>
        </w:trPr>
        <w:tc>
          <w:tcPr>
            <w:tcW w:w="2908" w:type="dxa"/>
            <w:tcBorders>
              <w:top w:val="single" w:sz="4" w:space="0" w:color="000000"/>
              <w:left w:val="single" w:sz="4" w:space="0" w:color="000000"/>
              <w:bottom w:val="single" w:sz="4" w:space="0" w:color="000000"/>
              <w:right w:val="single" w:sz="4" w:space="0" w:color="000000"/>
            </w:tcBorders>
          </w:tcPr>
          <w:p>
            <w:pPr/>
          </w:p>
        </w:tc>
        <w:tc>
          <w:tcPr>
            <w:tcW w:w="3029"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8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4" w:type="dxa"/>
        <w:tblLayout w:type="fixed"/>
        <w:tblCellMar>
          <w:top w:w="0" w:type="dxa"/>
          <w:left w:w="0" w:type="dxa"/>
          <w:bottom w:w="0" w:type="dxa"/>
          <w:right w:w="0" w:type="dxa"/>
        </w:tblCellMar>
        <w:tblLook w:val="01E0"/>
      </w:tblPr>
      <w:tblGrid>
        <w:gridCol w:w="2908"/>
        <w:gridCol w:w="3029"/>
        <w:gridCol w:w="3113"/>
      </w:tblGrid>
      <w:tr>
        <w:trPr>
          <w:trHeight w:val="32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51" w:right="0"/>
              <w:jc w:val="left"/>
              <w:rPr>
                <w:rFonts w:ascii="宋体" w:hAnsi="宋体" w:cs="宋体" w:eastAsia="宋体" w:hint="default"/>
                <w:sz w:val="21"/>
                <w:szCs w:val="21"/>
              </w:rPr>
            </w:pPr>
            <w:r>
              <w:rPr>
                <w:rFonts w:ascii="宋体"/>
                <w:sz w:val="21"/>
              </w:rPr>
              <w:t>40,423,796.47</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b/>
          <w:bCs/>
          <w:sz w:val="20"/>
          <w:szCs w:val="20"/>
        </w:rPr>
      </w:pPr>
    </w:p>
    <w:p>
      <w:pPr>
        <w:pStyle w:val="Heading3"/>
        <w:spacing w:line="268" w:lineRule="auto"/>
        <w:ind w:right="118"/>
        <w:jc w:val="left"/>
        <w:rPr>
          <w:b w:val="0"/>
          <w:bCs w:val="0"/>
        </w:rPr>
      </w:pPr>
      <w:r>
        <w:rPr>
          <w:rFonts w:ascii="宋体" w:hAnsi="宋体" w:cs="宋体" w:eastAsia="宋体" w:hint="default"/>
          <w:b w:val="0"/>
          <w:bCs w:val="0"/>
        </w:rPr>
        <w:t>其他说明 </w:t>
      </w:r>
      <w:r>
        <w:rPr>
          <w:spacing w:val="-8"/>
        </w:rPr>
        <w:t>注：本公司与眉山市华林恒峰商贸有限公司签订《项目管理协议》及《项目管理协议（补充协议）》</w:t>
      </w:r>
      <w:r>
        <w:rPr>
          <w:spacing w:val="-101"/>
        </w:rPr>
        <w:t> </w:t>
      </w:r>
      <w:r>
        <w:rPr>
          <w:spacing w:val="-101"/>
        </w:rPr>
      </w:r>
      <w:r>
        <w:rPr/>
        <w:t>约定：本公司聘请眉山市华林恒峰商贸有限公司组建眉山市“两宋荣光”眉州大道改造工程“两</w:t>
      </w:r>
      <w:r>
        <w:rPr>
          <w:w w:val="99"/>
        </w:rPr>
        <w:t> </w:t>
      </w:r>
      <w:r>
        <w:rPr/>
        <w:t>桥一站”项目部对该项目进行管理；为确保项目管理协议的执行，眉山市华林恒峰商贸有限公司</w:t>
      </w:r>
      <w:r>
        <w:rPr>
          <w:w w:val="99"/>
        </w:rPr>
        <w:t> </w:t>
      </w:r>
      <w:r>
        <w:rPr/>
        <w:t>共应支付本公司</w:t>
      </w:r>
      <w:r>
        <w:rPr>
          <w:spacing w:val="-59"/>
        </w:rPr>
        <w:t> </w:t>
      </w:r>
      <w:r>
        <w:rPr>
          <w:rFonts w:ascii="Times New Roman" w:hAnsi="Times New Roman" w:cs="Times New Roman" w:eastAsia="Times New Roman" w:hint="default"/>
        </w:rPr>
        <w:t>9000</w:t>
      </w:r>
      <w:r>
        <w:rPr>
          <w:rFonts w:ascii="Times New Roman" w:hAnsi="Times New Roman" w:cs="Times New Roman" w:eastAsia="Times New Roman" w:hint="default"/>
          <w:spacing w:val="-7"/>
        </w:rPr>
        <w:t> </w:t>
      </w:r>
      <w:r>
        <w:rPr/>
        <w:t>万元履约保证金（后补充协议增至</w:t>
      </w:r>
      <w:r>
        <w:rPr>
          <w:spacing w:val="-60"/>
        </w:rPr>
        <w:t> </w:t>
      </w:r>
      <w:r>
        <w:rPr>
          <w:rFonts w:ascii="Times New Roman" w:hAnsi="Times New Roman" w:cs="Times New Roman" w:eastAsia="Times New Roman" w:hint="default"/>
        </w:rPr>
        <w:t>11500</w:t>
      </w:r>
      <w:r>
        <w:rPr>
          <w:rFonts w:ascii="Times New Roman" w:hAnsi="Times New Roman" w:cs="Times New Roman" w:eastAsia="Times New Roman" w:hint="default"/>
          <w:spacing w:val="-7"/>
        </w:rPr>
        <w:t> </w:t>
      </w:r>
      <w:r>
        <w:rPr/>
        <w:t>万元），如项目出现问题或风险，</w:t>
      </w:r>
      <w:r>
        <w:rPr>
          <w:w w:val="99"/>
        </w:rPr>
        <w:t> </w:t>
      </w:r>
      <w:r>
        <w:rPr/>
        <w:t>造成了实际可计量的经济损失，本公司有权直接从履约保证金中扣减相应的金额，余额退还眉山</w:t>
      </w:r>
      <w:r>
        <w:rPr>
          <w:w w:val="99"/>
        </w:rPr>
        <w:t> </w:t>
      </w:r>
      <w:r>
        <w:rPr/>
        <w:t>市华林恒峰商贸有限公司，本公司共收到其缴纳的履约保证金合计</w:t>
      </w:r>
      <w:r>
        <w:rPr>
          <w:spacing w:val="-68"/>
        </w:rPr>
        <w:t> </w:t>
      </w:r>
      <w:r>
        <w:rPr>
          <w:rFonts w:ascii="Times New Roman" w:hAnsi="Times New Roman" w:cs="Times New Roman" w:eastAsia="Times New Roman" w:hint="default"/>
        </w:rPr>
        <w:t>9,550.00</w:t>
      </w:r>
      <w:r>
        <w:rPr>
          <w:rFonts w:ascii="Times New Roman" w:hAnsi="Times New Roman" w:cs="Times New Roman" w:eastAsia="Times New Roman" w:hint="default"/>
          <w:spacing w:val="-15"/>
        </w:rPr>
        <w:t> </w:t>
      </w:r>
      <w:r>
        <w:rPr/>
        <w:t>万元，项目完工后暂</w:t>
      </w:r>
      <w:r>
        <w:rPr>
          <w:b w:val="0"/>
          <w:bCs w:val="0"/>
        </w:rPr>
      </w:r>
    </w:p>
    <w:p>
      <w:pPr>
        <w:pStyle w:val="Heading3"/>
        <w:spacing w:line="284" w:lineRule="exact" w:before="0"/>
        <w:ind w:right="114"/>
        <w:jc w:val="left"/>
        <w:rPr>
          <w:b w:val="0"/>
          <w:bCs w:val="0"/>
        </w:rPr>
      </w:pPr>
      <w:r>
        <w:rPr/>
        <w:t>退还其保证金</w:t>
      </w:r>
      <w:r>
        <w:rPr>
          <w:spacing w:val="-56"/>
        </w:rPr>
        <w:t> </w:t>
      </w:r>
      <w:r>
        <w:rPr>
          <w:rFonts w:ascii="Times New Roman" w:hAnsi="Times New Roman" w:cs="Times New Roman" w:eastAsia="Times New Roman" w:hint="default"/>
        </w:rPr>
        <w:t>55,076,203.53</w:t>
      </w:r>
      <w:r>
        <w:rPr>
          <w:rFonts w:ascii="Times New Roman" w:hAnsi="Times New Roman" w:cs="Times New Roman" w:eastAsia="Times New Roman" w:hint="default"/>
          <w:spacing w:val="-5"/>
        </w:rPr>
        <w:t> </w:t>
      </w:r>
      <w:r>
        <w:rPr/>
        <w:t>元。</w:t>
      </w:r>
      <w:r>
        <w:rPr>
          <w:b w:val="0"/>
          <w:bCs w:val="0"/>
        </w:rPr>
      </w:r>
    </w:p>
    <w:p>
      <w:pPr>
        <w:spacing w:line="240" w:lineRule="auto" w:before="5"/>
        <w:rPr>
          <w:rFonts w:ascii="宋体" w:hAnsi="宋体" w:cs="宋体" w:eastAsia="宋体" w:hint="default"/>
          <w:b/>
          <w:bCs/>
          <w:sz w:val="27"/>
          <w:szCs w:val="27"/>
        </w:rPr>
      </w:pPr>
    </w:p>
    <w:p>
      <w:pPr>
        <w:pStyle w:val="Heading3"/>
        <w:spacing w:line="240" w:lineRule="auto"/>
        <w:ind w:right="114"/>
        <w:jc w:val="left"/>
        <w:rPr>
          <w:b w:val="0"/>
          <w:bCs w:val="0"/>
        </w:rPr>
      </w:pPr>
      <w:r>
        <w:rPr/>
        <w:t>42、</w:t>
      </w:r>
      <w:r>
        <w:rPr>
          <w:spacing w:val="-29"/>
        </w:rPr>
        <w:t> </w:t>
      </w:r>
      <w:r>
        <w:rPr/>
        <w:t>划分为持有待售的负债</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2830"/>
        <w:gridCol w:w="3038"/>
        <w:gridCol w:w="3025"/>
      </w:tblGrid>
      <w:tr>
        <w:trPr>
          <w:trHeight w:val="328" w:hRule="exact"/>
        </w:trPr>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6" w:hRule="exact"/>
        </w:trPr>
        <w:tc>
          <w:tcPr>
            <w:tcW w:w="2830" w:type="dxa"/>
            <w:tcBorders>
              <w:top w:val="single" w:sz="6" w:space="0" w:color="000000"/>
              <w:left w:val="single" w:sz="6" w:space="0" w:color="000000"/>
              <w:bottom w:val="single" w:sz="6" w:space="0" w:color="000000"/>
              <w:right w:val="single" w:sz="6" w:space="0" w:color="000000"/>
            </w:tcBorders>
          </w:tcPr>
          <w:p>
            <w:pPr/>
          </w:p>
        </w:tc>
        <w:tc>
          <w:tcPr>
            <w:tcW w:w="3038" w:type="dxa"/>
            <w:tcBorders>
              <w:top w:val="single" w:sz="6" w:space="0" w:color="000000"/>
              <w:left w:val="single" w:sz="6" w:space="0" w:color="000000"/>
              <w:bottom w:val="single" w:sz="6" w:space="0" w:color="000000"/>
              <w:right w:val="single" w:sz="6" w:space="0" w:color="000000"/>
            </w:tcBorders>
          </w:tcPr>
          <w:p>
            <w:pPr/>
          </w:p>
        </w:tc>
        <w:tc>
          <w:tcPr>
            <w:tcW w:w="3025"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830" w:type="dxa"/>
            <w:tcBorders>
              <w:top w:val="single" w:sz="6" w:space="0" w:color="000000"/>
              <w:left w:val="single" w:sz="6" w:space="0" w:color="000000"/>
              <w:bottom w:val="single" w:sz="6" w:space="0" w:color="000000"/>
              <w:right w:val="single" w:sz="6" w:space="0" w:color="000000"/>
            </w:tcBorders>
          </w:tcPr>
          <w:p>
            <w:pPr/>
          </w:p>
        </w:tc>
        <w:tc>
          <w:tcPr>
            <w:tcW w:w="3038" w:type="dxa"/>
            <w:tcBorders>
              <w:top w:val="single" w:sz="6" w:space="0" w:color="000000"/>
              <w:left w:val="single" w:sz="6" w:space="0" w:color="000000"/>
              <w:bottom w:val="single" w:sz="6" w:space="0" w:color="000000"/>
              <w:right w:val="single" w:sz="6" w:space="0" w:color="000000"/>
            </w:tcBorders>
          </w:tcPr>
          <w:p>
            <w:pPr/>
          </w:p>
        </w:tc>
        <w:tc>
          <w:tcPr>
            <w:tcW w:w="302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8" w:type="dxa"/>
            <w:tcBorders>
              <w:top w:val="single" w:sz="6" w:space="0" w:color="000000"/>
              <w:left w:val="single" w:sz="6" w:space="0" w:color="000000"/>
              <w:bottom w:val="single" w:sz="6" w:space="0" w:color="000000"/>
              <w:right w:val="single" w:sz="6" w:space="0" w:color="000000"/>
            </w:tcBorders>
          </w:tcPr>
          <w:p>
            <w:pPr/>
          </w:p>
        </w:tc>
        <w:tc>
          <w:tcPr>
            <w:tcW w:w="3025"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61" w:lineRule="exact"/>
        <w:ind w:right="114"/>
        <w:jc w:val="left"/>
      </w:pPr>
      <w:r>
        <w:rPr/>
        <w:t>其他说明：</w:t>
      </w:r>
    </w:p>
    <w:p>
      <w:pPr>
        <w:spacing w:line="240" w:lineRule="auto" w:before="13"/>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pStyle w:val="Heading3"/>
        <w:spacing w:line="240" w:lineRule="auto"/>
        <w:ind w:right="114"/>
        <w:jc w:val="left"/>
        <w:rPr>
          <w:b w:val="0"/>
          <w:bCs w:val="0"/>
        </w:rPr>
      </w:pPr>
      <w:r>
        <w:rPr/>
        <w:t>43、 1</w:t>
      </w:r>
      <w:r>
        <w:rPr>
          <w:spacing w:val="-83"/>
        </w:rPr>
        <w:t> </w:t>
      </w:r>
      <w:r>
        <w:rPr/>
        <w:t>年内到期的非流动负债</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908"/>
        <w:gridCol w:w="3037"/>
        <w:gridCol w:w="3104"/>
      </w:tblGrid>
      <w:tr>
        <w:trPr>
          <w:trHeight w:val="32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37"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3037"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年内到期的长期应付款</w:t>
            </w:r>
          </w:p>
        </w:tc>
        <w:tc>
          <w:tcPr>
            <w:tcW w:w="3037"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08" w:type="dxa"/>
            <w:tcBorders>
              <w:top w:val="single" w:sz="4" w:space="0" w:color="000000"/>
              <w:left w:val="single" w:sz="4" w:space="0" w:color="000000"/>
              <w:bottom w:val="single" w:sz="4" w:space="0" w:color="000000"/>
              <w:right w:val="single" w:sz="4" w:space="0" w:color="000000"/>
            </w:tcBorders>
          </w:tcPr>
          <w:p>
            <w:pPr/>
          </w:p>
        </w:tc>
        <w:tc>
          <w:tcPr>
            <w:tcW w:w="3037"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8" w:type="dxa"/>
            <w:tcBorders>
              <w:top w:val="single" w:sz="4" w:space="0" w:color="000000"/>
              <w:left w:val="single" w:sz="4" w:space="0" w:color="000000"/>
              <w:bottom w:val="single" w:sz="4" w:space="0" w:color="000000"/>
              <w:right w:val="single" w:sz="4" w:space="0" w:color="000000"/>
            </w:tcBorders>
          </w:tcPr>
          <w:p>
            <w:pPr/>
          </w:p>
        </w:tc>
        <w:tc>
          <w:tcPr>
            <w:tcW w:w="3037"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37"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5"/>
        <w:ind w:right="114"/>
        <w:jc w:val="left"/>
      </w:pPr>
      <w:r>
        <w:rPr/>
        <w:t>其他说明：</w:t>
      </w:r>
    </w:p>
    <w:p>
      <w:pPr>
        <w:spacing w:line="240" w:lineRule="auto" w:before="7"/>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pStyle w:val="Heading3"/>
        <w:spacing w:line="240" w:lineRule="auto" w:before="75"/>
        <w:ind w:right="114"/>
        <w:jc w:val="left"/>
        <w:rPr>
          <w:b w:val="0"/>
          <w:bCs w:val="0"/>
        </w:rPr>
      </w:pPr>
      <w:r>
        <w:rPr/>
        <w:t>44、</w:t>
      </w:r>
      <w:r>
        <w:rPr>
          <w:spacing w:val="-29"/>
        </w:rPr>
        <w:t> </w:t>
      </w:r>
      <w:r>
        <w:rPr/>
        <w:t>其他流动负债</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802"/>
        <w:gridCol w:w="3118"/>
        <w:gridCol w:w="3130"/>
      </w:tblGrid>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802"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c>
          <w:tcPr>
            <w:tcW w:w="31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02"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c>
          <w:tcPr>
            <w:tcW w:w="31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184"/>
              <w:jc w:val="right"/>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right="114"/>
        <w:jc w:val="left"/>
      </w:pPr>
      <w:r>
        <w:rPr/>
        <w:t>短期应付债券的增减变动：</w:t>
      </w:r>
    </w:p>
    <w:p>
      <w:pPr>
        <w:pStyle w:val="BodyText"/>
        <w:tabs>
          <w:tab w:pos="1049" w:val="left" w:leader="none"/>
        </w:tabs>
        <w:spacing w:line="240" w:lineRule="auto" w:before="37"/>
        <w:ind w:left="0" w:right="231"/>
        <w:jc w:val="right"/>
      </w:pPr>
      <w:r>
        <w:rPr/>
        <w:t>单位：元</w:t>
        <w:tab/>
        <w:t>币种：人民币</w:t>
      </w:r>
    </w:p>
    <w:p>
      <w:pPr>
        <w:spacing w:after="0" w:line="240" w:lineRule="auto"/>
        <w:jc w:val="right"/>
        <w:sectPr>
          <w:pgSz w:w="11910" w:h="16840"/>
          <w:pgMar w:header="0" w:footer="1197"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767"/>
        <w:gridCol w:w="767"/>
        <w:gridCol w:w="768"/>
        <w:gridCol w:w="767"/>
        <w:gridCol w:w="764"/>
        <w:gridCol w:w="766"/>
        <w:gridCol w:w="764"/>
        <w:gridCol w:w="892"/>
        <w:gridCol w:w="901"/>
        <w:gridCol w:w="841"/>
        <w:gridCol w:w="896"/>
      </w:tblGrid>
      <w:tr>
        <w:trPr>
          <w:trHeight w:val="950" w:hRule="exact"/>
        </w:trPr>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65" w:right="164"/>
              <w:jc w:val="left"/>
              <w:rPr>
                <w:rFonts w:ascii="宋体" w:hAnsi="宋体" w:cs="宋体" w:eastAsia="宋体" w:hint="default"/>
                <w:sz w:val="21"/>
                <w:szCs w:val="21"/>
              </w:rPr>
            </w:pPr>
            <w:r>
              <w:rPr>
                <w:rFonts w:ascii="宋体" w:hAnsi="宋体" w:cs="宋体" w:eastAsia="宋体" w:hint="default"/>
                <w:sz w:val="21"/>
                <w:szCs w:val="21"/>
              </w:rPr>
              <w:t>债券 名称</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面值</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65" w:right="166"/>
              <w:jc w:val="left"/>
              <w:rPr>
                <w:rFonts w:ascii="宋体" w:hAnsi="宋体" w:cs="宋体" w:eastAsia="宋体" w:hint="default"/>
                <w:sz w:val="21"/>
                <w:szCs w:val="21"/>
              </w:rPr>
            </w:pPr>
            <w:r>
              <w:rPr>
                <w:rFonts w:ascii="宋体" w:hAnsi="宋体" w:cs="宋体" w:eastAsia="宋体" w:hint="default"/>
                <w:sz w:val="21"/>
                <w:szCs w:val="21"/>
              </w:rPr>
              <w:t>发行 日期</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64" w:right="166"/>
              <w:jc w:val="left"/>
              <w:rPr>
                <w:rFonts w:ascii="宋体" w:hAnsi="宋体" w:cs="宋体" w:eastAsia="宋体" w:hint="default"/>
                <w:sz w:val="21"/>
                <w:szCs w:val="21"/>
              </w:rPr>
            </w:pPr>
            <w:r>
              <w:rPr>
                <w:rFonts w:ascii="宋体" w:hAnsi="宋体" w:cs="宋体" w:eastAsia="宋体" w:hint="default"/>
                <w:sz w:val="21"/>
                <w:szCs w:val="21"/>
              </w:rPr>
              <w:t>债券 期限</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64" w:right="163"/>
              <w:jc w:val="left"/>
              <w:rPr>
                <w:rFonts w:ascii="宋体" w:hAnsi="宋体" w:cs="宋体" w:eastAsia="宋体" w:hint="default"/>
                <w:sz w:val="21"/>
                <w:szCs w:val="21"/>
              </w:rPr>
            </w:pPr>
            <w:r>
              <w:rPr>
                <w:rFonts w:ascii="宋体" w:hAnsi="宋体" w:cs="宋体" w:eastAsia="宋体" w:hint="default"/>
                <w:sz w:val="21"/>
                <w:szCs w:val="21"/>
              </w:rPr>
              <w:t>发行 金额</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65" w:right="163"/>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64" w:right="163"/>
              <w:jc w:val="left"/>
              <w:rPr>
                <w:rFonts w:ascii="宋体" w:hAnsi="宋体" w:cs="宋体" w:eastAsia="宋体" w:hint="default"/>
                <w:sz w:val="21"/>
                <w:szCs w:val="21"/>
              </w:rPr>
            </w:pPr>
            <w:r>
              <w:rPr>
                <w:rFonts w:ascii="宋体" w:hAnsi="宋体" w:cs="宋体" w:eastAsia="宋体" w:hint="default"/>
                <w:sz w:val="21"/>
                <w:szCs w:val="21"/>
              </w:rPr>
              <w:t>本期 发行</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23" w:right="0"/>
              <w:jc w:val="left"/>
              <w:rPr>
                <w:rFonts w:ascii="宋体" w:hAnsi="宋体" w:cs="宋体" w:eastAsia="宋体" w:hint="default"/>
                <w:sz w:val="21"/>
                <w:szCs w:val="21"/>
              </w:rPr>
            </w:pPr>
            <w:r>
              <w:rPr>
                <w:rFonts w:ascii="宋体" w:hAnsi="宋体" w:cs="宋体" w:eastAsia="宋体" w:hint="default"/>
                <w:sz w:val="21"/>
                <w:szCs w:val="21"/>
              </w:rPr>
              <w:t>按面值</w:t>
            </w:r>
          </w:p>
          <w:p>
            <w:pPr>
              <w:pStyle w:val="TableParagraph"/>
              <w:spacing w:line="273" w:lineRule="auto" w:before="37"/>
              <w:ind w:left="333" w:right="121" w:hanging="210"/>
              <w:jc w:val="left"/>
              <w:rPr>
                <w:rFonts w:ascii="宋体" w:hAnsi="宋体" w:cs="宋体" w:eastAsia="宋体" w:hint="default"/>
                <w:sz w:val="21"/>
                <w:szCs w:val="21"/>
              </w:rPr>
            </w:pPr>
            <w:r>
              <w:rPr>
                <w:rFonts w:ascii="宋体" w:hAnsi="宋体" w:cs="宋体" w:eastAsia="宋体" w:hint="default"/>
                <w:sz w:val="21"/>
                <w:szCs w:val="21"/>
              </w:rPr>
              <w:t>计提利 息</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37" w:right="22" w:hanging="315"/>
              <w:jc w:val="left"/>
              <w:rPr>
                <w:rFonts w:ascii="宋体" w:hAnsi="宋体" w:cs="宋体" w:eastAsia="宋体" w:hint="default"/>
                <w:sz w:val="21"/>
                <w:szCs w:val="21"/>
              </w:rPr>
            </w:pPr>
            <w:r>
              <w:rPr>
                <w:rFonts w:ascii="宋体" w:hAnsi="宋体" w:cs="宋体" w:eastAsia="宋体" w:hint="default"/>
                <w:sz w:val="21"/>
                <w:szCs w:val="21"/>
              </w:rPr>
              <w:t>溢折价摊 销</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202" w:right="202"/>
              <w:jc w:val="left"/>
              <w:rPr>
                <w:rFonts w:ascii="宋体" w:hAnsi="宋体" w:cs="宋体" w:eastAsia="宋体" w:hint="default"/>
                <w:sz w:val="21"/>
                <w:szCs w:val="21"/>
              </w:rPr>
            </w:pPr>
            <w:r>
              <w:rPr>
                <w:rFonts w:ascii="宋体" w:hAnsi="宋体" w:cs="宋体" w:eastAsia="宋体" w:hint="default"/>
                <w:sz w:val="21"/>
                <w:szCs w:val="21"/>
              </w:rPr>
              <w:t>本期 偿还</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230" w:right="229"/>
              <w:jc w:val="left"/>
              <w:rPr>
                <w:rFonts w:ascii="宋体" w:hAnsi="宋体" w:cs="宋体" w:eastAsia="宋体" w:hint="default"/>
                <w:sz w:val="21"/>
                <w:szCs w:val="21"/>
              </w:rPr>
            </w:pPr>
            <w:r>
              <w:rPr>
                <w:rFonts w:ascii="宋体" w:hAnsi="宋体" w:cs="宋体" w:eastAsia="宋体" w:hint="default"/>
                <w:sz w:val="21"/>
                <w:szCs w:val="21"/>
              </w:rPr>
              <w:t>期末 余额</w:t>
            </w:r>
          </w:p>
        </w:tc>
      </w:tr>
      <w:tr>
        <w:trPr>
          <w:trHeight w:val="335" w:hRule="exact"/>
        </w:trPr>
        <w:tc>
          <w:tcPr>
            <w:tcW w:w="767" w:type="dxa"/>
            <w:tcBorders>
              <w:top w:val="single" w:sz="6" w:space="0" w:color="000000"/>
              <w:left w:val="single" w:sz="6" w:space="0" w:color="000000"/>
              <w:bottom w:val="single" w:sz="6" w:space="0" w:color="000000"/>
              <w:right w:val="single" w:sz="6" w:space="0" w:color="000000"/>
            </w:tcBorders>
          </w:tcPr>
          <w:p>
            <w:pPr/>
          </w:p>
        </w:tc>
        <w:tc>
          <w:tcPr>
            <w:tcW w:w="767" w:type="dxa"/>
            <w:tcBorders>
              <w:top w:val="single" w:sz="6" w:space="0" w:color="000000"/>
              <w:left w:val="single" w:sz="6" w:space="0" w:color="000000"/>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767"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r>
      <w:tr>
        <w:trPr>
          <w:trHeight w:val="334" w:hRule="exact"/>
        </w:trPr>
        <w:tc>
          <w:tcPr>
            <w:tcW w:w="767" w:type="dxa"/>
            <w:tcBorders>
              <w:top w:val="single" w:sz="6" w:space="0" w:color="000000"/>
              <w:left w:val="single" w:sz="6" w:space="0" w:color="000000"/>
              <w:bottom w:val="single" w:sz="6" w:space="0" w:color="000000"/>
              <w:right w:val="single" w:sz="6" w:space="0" w:color="000000"/>
            </w:tcBorders>
          </w:tcPr>
          <w:p>
            <w:pPr/>
          </w:p>
        </w:tc>
        <w:tc>
          <w:tcPr>
            <w:tcW w:w="767" w:type="dxa"/>
            <w:tcBorders>
              <w:top w:val="single" w:sz="6" w:space="0" w:color="000000"/>
              <w:left w:val="single" w:sz="6" w:space="0" w:color="000000"/>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767"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r>
      <w:tr>
        <w:trPr>
          <w:trHeight w:val="334" w:hRule="exact"/>
        </w:trPr>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16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w:t>
            </w:r>
          </w:p>
        </w:tc>
        <w:tc>
          <w:tcPr>
            <w:tcW w:w="764"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9"/>
        <w:rPr>
          <w:rFonts w:ascii="宋体" w:hAnsi="宋体" w:cs="宋体" w:eastAsia="宋体" w:hint="default"/>
          <w:sz w:val="24"/>
          <w:szCs w:val="24"/>
        </w:rPr>
      </w:pPr>
    </w:p>
    <w:p>
      <w:pPr>
        <w:pStyle w:val="BodyText"/>
        <w:spacing w:line="240" w:lineRule="auto" w:before="35"/>
        <w:ind w:left="137" w:right="4941"/>
        <w:jc w:val="left"/>
      </w:pPr>
      <w:r>
        <w:rPr/>
        <w:t>其他说明：</w:t>
      </w:r>
    </w:p>
    <w:p>
      <w:pPr>
        <w:spacing w:line="240" w:lineRule="auto" w:before="7"/>
        <w:rPr>
          <w:rFonts w:ascii="宋体" w:hAnsi="宋体" w:cs="宋体" w:eastAsia="宋体" w:hint="default"/>
          <w:sz w:val="28"/>
          <w:szCs w:val="28"/>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7" w:top="1120" w:bottom="1380" w:left="1660" w:right="1120"/>
        </w:sectPr>
      </w:pPr>
    </w:p>
    <w:p>
      <w:pPr>
        <w:pStyle w:val="Heading3"/>
        <w:spacing w:line="240" w:lineRule="auto"/>
        <w:ind w:left="137" w:right="0"/>
        <w:jc w:val="left"/>
        <w:rPr>
          <w:b w:val="0"/>
          <w:bCs w:val="0"/>
        </w:rPr>
      </w:pPr>
      <w:r>
        <w:rPr/>
        <w:t>45、</w:t>
      </w:r>
      <w:r>
        <w:rPr>
          <w:spacing w:val="-26"/>
        </w:rPr>
        <w:t> </w:t>
      </w:r>
      <w:r>
        <w:rPr/>
        <w:t>长期借款</w:t>
      </w:r>
      <w:r>
        <w:rPr>
          <w:b w:val="0"/>
          <w:bCs w:val="0"/>
        </w:rPr>
      </w:r>
    </w:p>
    <w:p>
      <w:pPr>
        <w:pStyle w:val="Heading3"/>
        <w:tabs>
          <w:tab w:pos="767" w:val="left" w:leader="none"/>
        </w:tabs>
        <w:spacing w:line="240" w:lineRule="auto" w:before="97"/>
        <w:ind w:left="137" w:right="0"/>
        <w:jc w:val="left"/>
        <w:rPr>
          <w:b w:val="0"/>
          <w:bCs w:val="0"/>
        </w:rPr>
      </w:pPr>
      <w:r>
        <w:rPr>
          <w:w w:val="95"/>
        </w:rPr>
        <w:t>(1).</w:t>
        <w:tab/>
        <w:t>长期借款分类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tabs>
          <w:tab w:pos="1187" w:val="left" w:leader="none"/>
        </w:tabs>
        <w:spacing w:line="240" w:lineRule="auto"/>
        <w:ind w:left="137" w:right="0"/>
        <w:jc w:val="left"/>
      </w:pPr>
      <w:r>
        <w:rPr/>
        <w:t>单位：元</w:t>
        <w:tab/>
        <w:t>币种：人民币</w:t>
      </w:r>
    </w:p>
    <w:p>
      <w:pPr>
        <w:spacing w:after="0" w:line="240" w:lineRule="auto"/>
        <w:jc w:val="left"/>
        <w:sectPr>
          <w:type w:val="continuous"/>
          <w:pgSz w:w="11910" w:h="16840"/>
          <w:pgMar w:top="1080" w:bottom="1380" w:left="1660" w:right="1120"/>
          <w:cols w:num="2" w:equalWidth="0">
            <w:col w:w="2032" w:space="4492"/>
            <w:col w:w="2606"/>
          </w:cols>
        </w:sectPr>
      </w:pPr>
    </w:p>
    <w:p>
      <w:pPr>
        <w:spacing w:line="240" w:lineRule="auto" w:before="13"/>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2998"/>
        <w:gridCol w:w="3000"/>
        <w:gridCol w:w="2896"/>
      </w:tblGrid>
      <w:tr>
        <w:trPr>
          <w:trHeight w:val="326"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279"/>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8"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0" w:type="dxa"/>
            <w:tcBorders>
              <w:top w:val="single" w:sz="6" w:space="0" w:color="000000"/>
              <w:left w:val="single" w:sz="6" w:space="0" w:color="000000"/>
              <w:bottom w:val="single" w:sz="6" w:space="0" w:color="000000"/>
              <w:right w:val="single" w:sz="6" w:space="0" w:color="000000"/>
            </w:tcBorders>
          </w:tcPr>
          <w:p>
            <w:pPr/>
          </w:p>
        </w:tc>
        <w:tc>
          <w:tcPr>
            <w:tcW w:w="289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0" w:type="dxa"/>
            <w:tcBorders>
              <w:top w:val="single" w:sz="6" w:space="0" w:color="000000"/>
              <w:left w:val="single" w:sz="6" w:space="0" w:color="000000"/>
              <w:bottom w:val="single" w:sz="6" w:space="0" w:color="000000"/>
              <w:right w:val="single" w:sz="6" w:space="0" w:color="000000"/>
            </w:tcBorders>
          </w:tcPr>
          <w:p>
            <w:pPr/>
          </w:p>
        </w:tc>
        <w:tc>
          <w:tcPr>
            <w:tcW w:w="289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01"/>
              <w:jc w:val="right"/>
              <w:rPr>
                <w:rFonts w:ascii="宋体" w:hAnsi="宋体" w:cs="宋体" w:eastAsia="宋体" w:hint="default"/>
                <w:sz w:val="21"/>
                <w:szCs w:val="21"/>
              </w:rPr>
            </w:pPr>
            <w:r>
              <w:rPr>
                <w:rFonts w:ascii="宋体"/>
                <w:spacing w:val="-1"/>
                <w:sz w:val="21"/>
              </w:rPr>
              <w:t>40,000,000.00</w:t>
            </w:r>
          </w:p>
        </w:tc>
        <w:tc>
          <w:tcPr>
            <w:tcW w:w="289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0" w:type="dxa"/>
            <w:tcBorders>
              <w:top w:val="single" w:sz="6" w:space="0" w:color="000000"/>
              <w:left w:val="single" w:sz="6" w:space="0" w:color="000000"/>
              <w:bottom w:val="single" w:sz="6" w:space="0" w:color="000000"/>
              <w:right w:val="single" w:sz="6" w:space="0" w:color="000000"/>
            </w:tcBorders>
          </w:tcPr>
          <w:p>
            <w:pPr/>
          </w:p>
        </w:tc>
        <w:tc>
          <w:tcPr>
            <w:tcW w:w="289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998" w:type="dxa"/>
            <w:tcBorders>
              <w:top w:val="single" w:sz="6" w:space="0" w:color="000000"/>
              <w:left w:val="single" w:sz="6" w:space="0" w:color="000000"/>
              <w:bottom w:val="single" w:sz="6" w:space="0" w:color="000000"/>
              <w:right w:val="single" w:sz="6" w:space="0" w:color="000000"/>
            </w:tcBorders>
          </w:tcPr>
          <w:p>
            <w:pPr/>
          </w:p>
        </w:tc>
        <w:tc>
          <w:tcPr>
            <w:tcW w:w="3000" w:type="dxa"/>
            <w:tcBorders>
              <w:top w:val="single" w:sz="6" w:space="0" w:color="000000"/>
              <w:left w:val="single" w:sz="6" w:space="0" w:color="000000"/>
              <w:bottom w:val="single" w:sz="6" w:space="0" w:color="000000"/>
              <w:right w:val="single" w:sz="6" w:space="0" w:color="000000"/>
            </w:tcBorders>
          </w:tcPr>
          <w:p>
            <w:pPr/>
          </w:p>
        </w:tc>
        <w:tc>
          <w:tcPr>
            <w:tcW w:w="289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998" w:type="dxa"/>
            <w:tcBorders>
              <w:top w:val="single" w:sz="6" w:space="0" w:color="000000"/>
              <w:left w:val="single" w:sz="6" w:space="0" w:color="000000"/>
              <w:bottom w:val="single" w:sz="6" w:space="0" w:color="000000"/>
              <w:right w:val="single" w:sz="6" w:space="0" w:color="000000"/>
            </w:tcBorders>
          </w:tcPr>
          <w:p>
            <w:pPr/>
          </w:p>
        </w:tc>
        <w:tc>
          <w:tcPr>
            <w:tcW w:w="3000" w:type="dxa"/>
            <w:tcBorders>
              <w:top w:val="single" w:sz="6" w:space="0" w:color="000000"/>
              <w:left w:val="single" w:sz="6" w:space="0" w:color="000000"/>
              <w:bottom w:val="single" w:sz="6" w:space="0" w:color="000000"/>
              <w:right w:val="single" w:sz="6" w:space="0" w:color="000000"/>
            </w:tcBorders>
          </w:tcPr>
          <w:p>
            <w:pPr/>
          </w:p>
        </w:tc>
        <w:tc>
          <w:tcPr>
            <w:tcW w:w="289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278"/>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01"/>
              <w:jc w:val="right"/>
              <w:rPr>
                <w:rFonts w:ascii="宋体" w:hAnsi="宋体" w:cs="宋体" w:eastAsia="宋体" w:hint="default"/>
                <w:sz w:val="21"/>
                <w:szCs w:val="21"/>
              </w:rPr>
            </w:pPr>
            <w:r>
              <w:rPr>
                <w:rFonts w:ascii="宋体"/>
                <w:spacing w:val="-1"/>
                <w:sz w:val="21"/>
              </w:rPr>
              <w:t>40,000,000.00</w:t>
            </w:r>
          </w:p>
        </w:tc>
        <w:tc>
          <w:tcPr>
            <w:tcW w:w="289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26"/>
        <w:ind w:left="137" w:right="4941"/>
        <w:jc w:val="left"/>
      </w:pPr>
      <w:r>
        <w:rPr/>
        <w:t>长期借款分类的说明：</w:t>
      </w:r>
    </w:p>
    <w:p>
      <w:pPr>
        <w:spacing w:line="240" w:lineRule="auto" w:before="7"/>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left="137" w:right="4941"/>
        <w:jc w:val="left"/>
      </w:pPr>
      <w:r>
        <w:rPr/>
        <w:t>其他说明，包括利率区间：</w:t>
      </w:r>
    </w:p>
    <w:p>
      <w:pPr>
        <w:spacing w:line="240" w:lineRule="auto" w:before="12"/>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080" w:bottom="1380" w:left="1660" w:right="1120"/>
        </w:sectPr>
      </w:pPr>
    </w:p>
    <w:p>
      <w:pPr>
        <w:pStyle w:val="Heading3"/>
        <w:tabs>
          <w:tab w:pos="809" w:val="left" w:leader="none"/>
        </w:tabs>
        <w:spacing w:line="324" w:lineRule="auto"/>
        <w:ind w:left="137" w:right="0"/>
        <w:jc w:val="left"/>
        <w:rPr>
          <w:b w:val="0"/>
          <w:bCs w:val="0"/>
        </w:rPr>
      </w:pPr>
      <w:r>
        <w:rPr/>
        <w:t>46、</w:t>
      </w:r>
      <w:r>
        <w:rPr>
          <w:spacing w:val="-26"/>
        </w:rPr>
        <w:t> </w:t>
      </w:r>
      <w:r>
        <w:rPr/>
        <w:t>应付债券</w:t>
      </w:r>
      <w:r>
        <w:rPr>
          <w:spacing w:val="1"/>
          <w:w w:val="99"/>
        </w:rPr>
        <w:t> </w:t>
      </w:r>
      <w:r>
        <w:rPr>
          <w:w w:val="95"/>
        </w:rPr>
        <w:t>(1).</w:t>
        <w:tab/>
      </w:r>
      <w:r>
        <w:rPr/>
        <w:t>应付债券</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tabs>
          <w:tab w:pos="1187" w:val="left" w:leader="none"/>
        </w:tabs>
        <w:spacing w:line="240" w:lineRule="auto"/>
        <w:ind w:left="137" w:right="0"/>
        <w:jc w:val="left"/>
      </w:pPr>
      <w:r>
        <w:rPr/>
        <w:t>单位：元</w:t>
        <w:tab/>
        <w:t>币种：人民币</w:t>
      </w:r>
    </w:p>
    <w:p>
      <w:pPr>
        <w:spacing w:after="0" w:line="240" w:lineRule="auto"/>
        <w:jc w:val="left"/>
        <w:sectPr>
          <w:type w:val="continuous"/>
          <w:pgSz w:w="11910" w:h="16840"/>
          <w:pgMar w:top="1080" w:bottom="1380" w:left="1660" w:right="1120"/>
          <w:cols w:num="2" w:equalWidth="0">
            <w:col w:w="1655" w:space="4868"/>
            <w:col w:w="2607"/>
          </w:cols>
        </w:sectPr>
      </w:pPr>
    </w:p>
    <w:p>
      <w:pPr>
        <w:spacing w:line="240" w:lineRule="auto" w:before="13"/>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2999"/>
        <w:gridCol w:w="3023"/>
        <w:gridCol w:w="2872"/>
      </w:tblGrid>
      <w:tr>
        <w:trPr>
          <w:trHeight w:val="328" w:hRule="exact"/>
        </w:trPr>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28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0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6" w:hRule="exact"/>
        </w:trPr>
        <w:tc>
          <w:tcPr>
            <w:tcW w:w="2999" w:type="dxa"/>
            <w:tcBorders>
              <w:top w:val="single" w:sz="6" w:space="0" w:color="000000"/>
              <w:left w:val="single" w:sz="6" w:space="0" w:color="000000"/>
              <w:bottom w:val="single" w:sz="6" w:space="0" w:color="000000"/>
              <w:right w:val="single" w:sz="6" w:space="0" w:color="000000"/>
            </w:tcBorders>
          </w:tcPr>
          <w:p>
            <w:pPr/>
          </w:p>
        </w:tc>
        <w:tc>
          <w:tcPr>
            <w:tcW w:w="3023" w:type="dxa"/>
            <w:tcBorders>
              <w:top w:val="single" w:sz="6" w:space="0" w:color="000000"/>
              <w:left w:val="single" w:sz="6" w:space="0" w:color="000000"/>
              <w:bottom w:val="single" w:sz="6" w:space="0" w:color="000000"/>
              <w:right w:val="single" w:sz="6" w:space="0" w:color="000000"/>
            </w:tcBorders>
          </w:tcPr>
          <w:p>
            <w:pPr/>
          </w:p>
        </w:tc>
        <w:tc>
          <w:tcPr>
            <w:tcW w:w="28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999" w:type="dxa"/>
            <w:tcBorders>
              <w:top w:val="single" w:sz="6" w:space="0" w:color="000000"/>
              <w:left w:val="single" w:sz="6" w:space="0" w:color="000000"/>
              <w:bottom w:val="single" w:sz="6" w:space="0" w:color="000000"/>
              <w:right w:val="single" w:sz="6" w:space="0" w:color="000000"/>
            </w:tcBorders>
          </w:tcPr>
          <w:p>
            <w:pPr/>
          </w:p>
        </w:tc>
        <w:tc>
          <w:tcPr>
            <w:tcW w:w="3023" w:type="dxa"/>
            <w:tcBorders>
              <w:top w:val="single" w:sz="6" w:space="0" w:color="000000"/>
              <w:left w:val="single" w:sz="6" w:space="0" w:color="000000"/>
              <w:bottom w:val="single" w:sz="6" w:space="0" w:color="000000"/>
              <w:right w:val="single" w:sz="6" w:space="0" w:color="000000"/>
            </w:tcBorders>
          </w:tcPr>
          <w:p>
            <w:pPr/>
          </w:p>
        </w:tc>
        <w:tc>
          <w:tcPr>
            <w:tcW w:w="28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28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23" w:type="dxa"/>
            <w:tcBorders>
              <w:top w:val="single" w:sz="6" w:space="0" w:color="000000"/>
              <w:left w:val="single" w:sz="6" w:space="0" w:color="000000"/>
              <w:bottom w:val="single" w:sz="6" w:space="0" w:color="000000"/>
              <w:right w:val="single" w:sz="6" w:space="0" w:color="000000"/>
            </w:tcBorders>
          </w:tcPr>
          <w:p>
            <w:pPr/>
          </w:p>
        </w:tc>
        <w:tc>
          <w:tcPr>
            <w:tcW w:w="287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9"/>
        <w:rPr>
          <w:rFonts w:ascii="宋体" w:hAnsi="宋体" w:cs="宋体" w:eastAsia="宋体" w:hint="default"/>
          <w:sz w:val="24"/>
          <w:szCs w:val="24"/>
        </w:rPr>
      </w:pPr>
    </w:p>
    <w:p>
      <w:pPr>
        <w:pStyle w:val="Heading3"/>
        <w:tabs>
          <w:tab w:pos="809" w:val="left" w:leader="none"/>
        </w:tabs>
        <w:spacing w:line="240" w:lineRule="auto"/>
        <w:ind w:left="137" w:right="121"/>
        <w:jc w:val="left"/>
        <w:rPr>
          <w:b w:val="0"/>
          <w:bCs w:val="0"/>
        </w:rPr>
      </w:pPr>
      <w:r>
        <w:rPr>
          <w:w w:val="99"/>
        </w:rPr>
        <w:t>(</w:t>
      </w:r>
      <w:r>
        <w:rPr>
          <w:spacing w:val="1"/>
          <w:w w:val="99"/>
        </w:rPr>
        <w:t>2</w:t>
      </w:r>
      <w:r>
        <w:rPr>
          <w:w w:val="99"/>
        </w:rPr>
        <w:t>).</w:t>
      </w:r>
      <w:r>
        <w:rPr/>
        <w:tab/>
      </w:r>
      <w:r>
        <w:rPr>
          <w:spacing w:val="1"/>
          <w:w w:val="99"/>
        </w:rPr>
        <w:t>应付债</w:t>
      </w:r>
      <w:r>
        <w:rPr>
          <w:w w:val="99"/>
        </w:rPr>
        <w:t>券的</w:t>
      </w:r>
      <w:r>
        <w:rPr>
          <w:spacing w:val="1"/>
          <w:w w:val="99"/>
        </w:rPr>
        <w:t>增减变动</w:t>
      </w:r>
      <w:r>
        <w:rPr>
          <w:spacing w:val="-106"/>
          <w:w w:val="99"/>
        </w:rPr>
        <w:t>：</w:t>
      </w:r>
      <w:r>
        <w:rPr>
          <w:w w:val="99"/>
        </w:rPr>
        <w:t>（</w:t>
      </w:r>
      <w:r>
        <w:rPr>
          <w:spacing w:val="1"/>
          <w:w w:val="99"/>
        </w:rPr>
        <w:t>不包括</w:t>
      </w:r>
      <w:r>
        <w:rPr>
          <w:w w:val="99"/>
        </w:rPr>
        <w:t>划分</w:t>
      </w:r>
      <w:r>
        <w:rPr>
          <w:spacing w:val="1"/>
          <w:w w:val="99"/>
        </w:rPr>
        <w:t>为金融</w:t>
      </w:r>
      <w:r>
        <w:rPr>
          <w:w w:val="99"/>
        </w:rPr>
        <w:t>负债</w:t>
      </w:r>
      <w:r>
        <w:rPr>
          <w:spacing w:val="1"/>
          <w:w w:val="99"/>
        </w:rPr>
        <w:t>的优先</w:t>
      </w:r>
      <w:r>
        <w:rPr>
          <w:w w:val="99"/>
        </w:rPr>
        <w:t>股、</w:t>
      </w:r>
      <w:r>
        <w:rPr>
          <w:spacing w:val="1"/>
          <w:w w:val="99"/>
        </w:rPr>
        <w:t>永续债</w:t>
      </w:r>
      <w:r>
        <w:rPr>
          <w:w w:val="99"/>
        </w:rPr>
        <w:t>等其</w:t>
      </w:r>
      <w:r>
        <w:rPr>
          <w:spacing w:val="1"/>
          <w:w w:val="99"/>
        </w:rPr>
        <w:t>他金融</w:t>
      </w:r>
      <w:r>
        <w:rPr>
          <w:w w:val="99"/>
        </w:rPr>
        <w:t>工具）</w:t>
      </w:r>
      <w:r>
        <w:rPr>
          <w:b w:val="0"/>
          <w:bCs w:val="0"/>
        </w:rPr>
      </w:r>
    </w:p>
    <w:p>
      <w:pPr>
        <w:pStyle w:val="BodyText"/>
        <w:tabs>
          <w:tab w:pos="1049" w:val="left" w:leader="none"/>
        </w:tabs>
        <w:spacing w:line="240" w:lineRule="auto" w:before="97"/>
        <w:ind w:left="0" w:right="15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788"/>
        <w:gridCol w:w="614"/>
        <w:gridCol w:w="758"/>
        <w:gridCol w:w="758"/>
        <w:gridCol w:w="757"/>
        <w:gridCol w:w="808"/>
        <w:gridCol w:w="838"/>
        <w:gridCol w:w="928"/>
        <w:gridCol w:w="848"/>
        <w:gridCol w:w="916"/>
        <w:gridCol w:w="880"/>
      </w:tblGrid>
      <w:tr>
        <w:trPr>
          <w:trHeight w:val="638" w:hRule="exact"/>
        </w:trPr>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76" w:right="0"/>
              <w:jc w:val="left"/>
              <w:rPr>
                <w:rFonts w:ascii="宋体" w:hAnsi="宋体" w:cs="宋体" w:eastAsia="宋体" w:hint="default"/>
                <w:sz w:val="21"/>
                <w:szCs w:val="21"/>
              </w:rPr>
            </w:pPr>
            <w:r>
              <w:rPr>
                <w:rFonts w:ascii="宋体" w:hAnsi="宋体" w:cs="宋体" w:eastAsia="宋体" w:hint="default"/>
                <w:sz w:val="21"/>
                <w:szCs w:val="21"/>
              </w:rPr>
              <w:t>债券</w:t>
            </w:r>
          </w:p>
          <w:p>
            <w:pPr>
              <w:pStyle w:val="TableParagraph"/>
              <w:spacing w:line="240" w:lineRule="auto" w:before="37"/>
              <w:ind w:left="176"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88" w:right="0"/>
              <w:jc w:val="left"/>
              <w:rPr>
                <w:rFonts w:ascii="宋体" w:hAnsi="宋体" w:cs="宋体" w:eastAsia="宋体" w:hint="default"/>
                <w:sz w:val="21"/>
                <w:szCs w:val="21"/>
              </w:rPr>
            </w:pPr>
            <w:r>
              <w:rPr>
                <w:rFonts w:ascii="宋体" w:hAnsi="宋体" w:cs="宋体" w:eastAsia="宋体" w:hint="default"/>
                <w:sz w:val="21"/>
                <w:szCs w:val="21"/>
              </w:rPr>
              <w:t>面值</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61"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40" w:lineRule="auto" w:before="37"/>
              <w:ind w:left="161" w:right="0"/>
              <w:jc w:val="left"/>
              <w:rPr>
                <w:rFonts w:ascii="宋体" w:hAnsi="宋体" w:cs="宋体" w:eastAsia="宋体" w:hint="default"/>
                <w:sz w:val="21"/>
                <w:szCs w:val="21"/>
              </w:rPr>
            </w:pPr>
            <w:r>
              <w:rPr>
                <w:rFonts w:ascii="宋体" w:hAnsi="宋体" w:cs="宋体" w:eastAsia="宋体" w:hint="default"/>
                <w:sz w:val="21"/>
                <w:szCs w:val="21"/>
              </w:rPr>
              <w:t>日期</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60" w:right="0"/>
              <w:jc w:val="left"/>
              <w:rPr>
                <w:rFonts w:ascii="宋体" w:hAnsi="宋体" w:cs="宋体" w:eastAsia="宋体" w:hint="default"/>
                <w:sz w:val="21"/>
                <w:szCs w:val="21"/>
              </w:rPr>
            </w:pPr>
            <w:r>
              <w:rPr>
                <w:rFonts w:ascii="宋体" w:hAnsi="宋体" w:cs="宋体" w:eastAsia="宋体" w:hint="default"/>
                <w:sz w:val="21"/>
                <w:szCs w:val="21"/>
              </w:rPr>
              <w:t>债券</w:t>
            </w:r>
          </w:p>
          <w:p>
            <w:pPr>
              <w:pStyle w:val="TableParagraph"/>
              <w:spacing w:line="240" w:lineRule="auto" w:before="37"/>
              <w:ind w:left="160" w:right="0"/>
              <w:jc w:val="left"/>
              <w:rPr>
                <w:rFonts w:ascii="宋体" w:hAnsi="宋体" w:cs="宋体" w:eastAsia="宋体" w:hint="default"/>
                <w:sz w:val="21"/>
                <w:szCs w:val="21"/>
              </w:rPr>
            </w:pPr>
            <w:r>
              <w:rPr>
                <w:rFonts w:ascii="宋体" w:hAnsi="宋体" w:cs="宋体" w:eastAsia="宋体" w:hint="default"/>
                <w:sz w:val="21"/>
                <w:szCs w:val="21"/>
              </w:rPr>
              <w:t>期限</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60"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40" w:lineRule="auto" w:before="37"/>
              <w:ind w:left="16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85" w:right="0"/>
              <w:jc w:val="left"/>
              <w:rPr>
                <w:rFonts w:ascii="宋体" w:hAnsi="宋体" w:cs="宋体" w:eastAsia="宋体" w:hint="default"/>
                <w:sz w:val="21"/>
                <w:szCs w:val="21"/>
              </w:rPr>
            </w:pPr>
            <w:r>
              <w:rPr>
                <w:rFonts w:ascii="宋体" w:hAnsi="宋体" w:cs="宋体" w:eastAsia="宋体" w:hint="default"/>
                <w:sz w:val="21"/>
                <w:szCs w:val="21"/>
              </w:rPr>
              <w:t>期初</w:t>
            </w:r>
          </w:p>
          <w:p>
            <w:pPr>
              <w:pStyle w:val="TableParagraph"/>
              <w:spacing w:line="240" w:lineRule="auto" w:before="37"/>
              <w:ind w:left="185"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00" w:right="0"/>
              <w:jc w:val="left"/>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40" w:lineRule="auto" w:before="37"/>
              <w:ind w:left="200" w:right="0"/>
              <w:jc w:val="left"/>
              <w:rPr>
                <w:rFonts w:ascii="宋体" w:hAnsi="宋体" w:cs="宋体" w:eastAsia="宋体" w:hint="default"/>
                <w:sz w:val="21"/>
                <w:szCs w:val="21"/>
              </w:rPr>
            </w:pPr>
            <w:r>
              <w:rPr>
                <w:rFonts w:ascii="宋体" w:hAnsi="宋体" w:cs="宋体" w:eastAsia="宋体" w:hint="default"/>
                <w:sz w:val="21"/>
                <w:szCs w:val="21"/>
              </w:rPr>
              <w:t>发行</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按面值计</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提利息</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溢折价</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摊销</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9" w:right="0"/>
              <w:jc w:val="left"/>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40" w:lineRule="auto" w:before="37"/>
              <w:ind w:left="239" w:right="0"/>
              <w:jc w:val="left"/>
              <w:rPr>
                <w:rFonts w:ascii="宋体" w:hAnsi="宋体" w:cs="宋体" w:eastAsia="宋体" w:hint="default"/>
                <w:sz w:val="21"/>
                <w:szCs w:val="21"/>
              </w:rPr>
            </w:pPr>
            <w:r>
              <w:rPr>
                <w:rFonts w:ascii="宋体" w:hAnsi="宋体" w:cs="宋体" w:eastAsia="宋体" w:hint="default"/>
                <w:sz w:val="21"/>
                <w:szCs w:val="21"/>
              </w:rPr>
              <w:t>偿还</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期末</w:t>
            </w:r>
          </w:p>
          <w:p>
            <w:pPr>
              <w:pStyle w:val="TableParagraph"/>
              <w:spacing w:line="240" w:lineRule="auto" w:before="37"/>
              <w:ind w:left="221" w:right="0"/>
              <w:jc w:val="left"/>
              <w:rPr>
                <w:rFonts w:ascii="宋体" w:hAnsi="宋体" w:cs="宋体" w:eastAsia="宋体" w:hint="default"/>
                <w:sz w:val="21"/>
                <w:szCs w:val="21"/>
              </w:rPr>
            </w:pPr>
            <w:r>
              <w:rPr>
                <w:rFonts w:ascii="宋体" w:hAnsi="宋体" w:cs="宋体" w:eastAsia="宋体" w:hint="default"/>
                <w:sz w:val="21"/>
                <w:szCs w:val="21"/>
              </w:rPr>
              <w:t>余额</w:t>
            </w:r>
          </w:p>
        </w:tc>
      </w:tr>
      <w:tr>
        <w:trPr>
          <w:trHeight w:val="328" w:hRule="exact"/>
        </w:trPr>
        <w:tc>
          <w:tcPr>
            <w:tcW w:w="788"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808"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928"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916"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788"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808"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928"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916"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08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0" w:type="dxa"/>
        <w:tblLayout w:type="fixed"/>
        <w:tblCellMar>
          <w:top w:w="0" w:type="dxa"/>
          <w:left w:w="0" w:type="dxa"/>
          <w:bottom w:w="0" w:type="dxa"/>
          <w:right w:w="0" w:type="dxa"/>
        </w:tblCellMar>
        <w:tblLook w:val="01E0"/>
      </w:tblPr>
      <w:tblGrid>
        <w:gridCol w:w="788"/>
        <w:gridCol w:w="614"/>
        <w:gridCol w:w="758"/>
        <w:gridCol w:w="758"/>
        <w:gridCol w:w="757"/>
        <w:gridCol w:w="808"/>
        <w:gridCol w:w="838"/>
        <w:gridCol w:w="928"/>
        <w:gridCol w:w="848"/>
        <w:gridCol w:w="916"/>
        <w:gridCol w:w="880"/>
      </w:tblGrid>
      <w:tr>
        <w:trPr>
          <w:trHeight w:val="326" w:hRule="exact"/>
        </w:trPr>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7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w:t>
            </w:r>
          </w:p>
        </w:tc>
        <w:tc>
          <w:tcPr>
            <w:tcW w:w="757" w:type="dxa"/>
            <w:tcBorders>
              <w:top w:val="single" w:sz="6" w:space="0" w:color="000000"/>
              <w:left w:val="single" w:sz="6" w:space="0" w:color="000000"/>
              <w:bottom w:val="single" w:sz="6" w:space="0" w:color="000000"/>
              <w:right w:val="single" w:sz="6" w:space="0" w:color="000000"/>
            </w:tcBorders>
          </w:tcPr>
          <w:p>
            <w:pPr/>
          </w:p>
        </w:tc>
        <w:tc>
          <w:tcPr>
            <w:tcW w:w="808"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928"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916"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9"/>
        <w:rPr>
          <w:rFonts w:ascii="宋体" w:hAnsi="宋体" w:cs="宋体" w:eastAsia="宋体" w:hint="default"/>
          <w:sz w:val="24"/>
          <w:szCs w:val="24"/>
        </w:rPr>
      </w:pPr>
    </w:p>
    <w:p>
      <w:pPr>
        <w:pStyle w:val="Heading3"/>
        <w:tabs>
          <w:tab w:pos="889" w:val="left" w:leader="none"/>
        </w:tabs>
        <w:spacing w:line="240" w:lineRule="auto"/>
        <w:ind w:right="114"/>
        <w:jc w:val="left"/>
        <w:rPr>
          <w:b w:val="0"/>
          <w:bCs w:val="0"/>
        </w:rPr>
      </w:pPr>
      <w:r>
        <w:rPr>
          <w:w w:val="95"/>
        </w:rPr>
        <w:t>(3).</w:t>
        <w:tab/>
      </w:r>
      <w:r>
        <w:rPr/>
        <w:t>可转换公司债券的转股条件、转股时间说明：</w:t>
      </w:r>
      <w:r>
        <w:rPr>
          <w:b w:val="0"/>
          <w:bCs w:val="0"/>
        </w:rPr>
      </w:r>
    </w:p>
    <w:p>
      <w:pPr>
        <w:spacing w:line="240" w:lineRule="auto" w:before="7"/>
        <w:rPr>
          <w:rFonts w:ascii="宋体" w:hAnsi="宋体" w:cs="宋体" w:eastAsia="宋体" w:hint="default"/>
          <w:b/>
          <w:bCs/>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tabs>
          <w:tab w:pos="889" w:val="left" w:leader="none"/>
        </w:tabs>
        <w:spacing w:line="324" w:lineRule="auto" w:before="0"/>
        <w:ind w:left="217" w:right="3814"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划分为金融负债的其他金融工具说明：</w:t>
      </w:r>
      <w:r>
        <w:rPr>
          <w:rFonts w:ascii="宋体" w:hAnsi="宋体" w:cs="宋体" w:eastAsia="宋体" w:hint="default"/>
          <w:b/>
          <w:bCs/>
          <w:w w:val="99"/>
          <w:sz w:val="21"/>
          <w:szCs w:val="21"/>
        </w:rPr>
        <w:t> </w:t>
      </w:r>
      <w:r>
        <w:rPr>
          <w:rFonts w:ascii="宋体" w:hAnsi="宋体" w:cs="宋体" w:eastAsia="宋体" w:hint="default"/>
          <w:sz w:val="21"/>
          <w:szCs w:val="21"/>
        </w:rPr>
        <w:t>期末发行在外的优先股、永续债等其他金融工具基本情况</w:t>
      </w:r>
    </w:p>
    <w:p>
      <w:pPr>
        <w:spacing w:line="240" w:lineRule="auto" w:before="5"/>
        <w:rPr>
          <w:rFonts w:ascii="宋体" w:hAnsi="宋体" w:cs="宋体" w:eastAsia="宋体" w:hint="default"/>
          <w:sz w:val="18"/>
          <w:szCs w:val="1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a">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2"/>
          <w:szCs w:val="22"/>
        </w:rPr>
      </w:pPr>
    </w:p>
    <w:p>
      <w:pPr>
        <w:pStyle w:val="BodyText"/>
        <w:spacing w:line="240" w:lineRule="auto" w:before="35"/>
        <w:ind w:right="114"/>
        <w:jc w:val="left"/>
      </w:pPr>
      <w:r>
        <w:rPr/>
        <w:t>期末发行在外的优先股、永续债等金融工具变动情况表</w:t>
      </w:r>
    </w:p>
    <w:p>
      <w:pPr>
        <w:spacing w:line="240" w:lineRule="auto" w:before="12"/>
        <w:rPr>
          <w:rFonts w:ascii="宋体" w:hAnsi="宋体" w:cs="宋体" w:eastAsia="宋体" w:hint="default"/>
          <w:sz w:val="9"/>
          <w:szCs w:val="9"/>
        </w:rPr>
      </w:pPr>
    </w:p>
    <w:tbl>
      <w:tblPr>
        <w:tblW w:w="0" w:type="auto"/>
        <w:jc w:val="left"/>
        <w:tblInd w:w="180" w:type="dxa"/>
        <w:tblLayout w:type="fixed"/>
        <w:tblCellMar>
          <w:top w:w="0" w:type="dxa"/>
          <w:left w:w="0" w:type="dxa"/>
          <w:bottom w:w="0" w:type="dxa"/>
          <w:right w:w="0" w:type="dxa"/>
        </w:tblCellMar>
        <w:tblLook w:val="01E0"/>
      </w:tblPr>
      <w:tblGrid>
        <w:gridCol w:w="1331"/>
        <w:gridCol w:w="947"/>
        <w:gridCol w:w="947"/>
        <w:gridCol w:w="946"/>
        <w:gridCol w:w="946"/>
        <w:gridCol w:w="947"/>
        <w:gridCol w:w="946"/>
        <w:gridCol w:w="946"/>
        <w:gridCol w:w="940"/>
      </w:tblGrid>
      <w:tr>
        <w:trPr>
          <w:trHeight w:val="326" w:hRule="exact"/>
        </w:trPr>
        <w:tc>
          <w:tcPr>
            <w:tcW w:w="1331" w:type="dxa"/>
            <w:vMerge w:val="restart"/>
            <w:tcBorders>
              <w:top w:val="single" w:sz="6" w:space="0" w:color="000000"/>
              <w:left w:val="single" w:sz="6" w:space="0" w:color="000000"/>
              <w:right w:val="single" w:sz="6" w:space="0" w:color="000000"/>
            </w:tcBorders>
          </w:tcPr>
          <w:p>
            <w:pPr>
              <w:pStyle w:val="TableParagraph"/>
              <w:spacing w:line="273" w:lineRule="auto"/>
              <w:ind w:left="343" w:right="26" w:hanging="316"/>
              <w:jc w:val="left"/>
              <w:rPr>
                <w:rFonts w:ascii="宋体" w:hAnsi="宋体" w:cs="宋体" w:eastAsia="宋体" w:hint="default"/>
                <w:sz w:val="21"/>
                <w:szCs w:val="21"/>
              </w:rPr>
            </w:pPr>
            <w:r>
              <w:rPr>
                <w:rFonts w:ascii="宋体" w:hAnsi="宋体" w:cs="宋体" w:eastAsia="宋体" w:hint="default"/>
                <w:sz w:val="21"/>
                <w:szCs w:val="21"/>
              </w:rPr>
              <w:t>发行在外的金 融工具</w:t>
            </w:r>
          </w:p>
        </w:tc>
        <w:tc>
          <w:tcPr>
            <w:tcW w:w="18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8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1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1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85" w:type="dxa"/>
            <w:gridSpan w:val="2"/>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期末</w:t>
            </w:r>
          </w:p>
        </w:tc>
      </w:tr>
      <w:tr>
        <w:trPr>
          <w:trHeight w:val="328" w:hRule="exact"/>
        </w:trPr>
        <w:tc>
          <w:tcPr>
            <w:tcW w:w="1331" w:type="dxa"/>
            <w:vMerge/>
            <w:tcBorders>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4"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26" w:hRule="exact"/>
        </w:trPr>
        <w:tc>
          <w:tcPr>
            <w:tcW w:w="1331"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31"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947"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6"/>
        <w:ind w:right="114"/>
        <w:jc w:val="left"/>
      </w:pPr>
      <w:r>
        <w:rPr/>
        <w:t>其他金融工具划分为金融负债的依据说明</w:t>
      </w:r>
    </w:p>
    <w:p>
      <w:pPr>
        <w:spacing w:line="240" w:lineRule="auto" w:before="7"/>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right="114"/>
        <w:jc w:val="left"/>
      </w:pPr>
      <w:r>
        <w:rPr/>
        <w:t>其他说明：</w:t>
      </w:r>
    </w:p>
    <w:p>
      <w:pPr>
        <w:spacing w:line="240" w:lineRule="auto" w:before="7"/>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7" w:top="1120" w:bottom="1380" w:left="1580" w:right="1040"/>
        </w:sectPr>
      </w:pPr>
    </w:p>
    <w:p>
      <w:pPr>
        <w:pStyle w:val="Heading3"/>
        <w:spacing w:line="240" w:lineRule="auto"/>
        <w:ind w:right="0"/>
        <w:jc w:val="left"/>
        <w:rPr>
          <w:b w:val="0"/>
          <w:bCs w:val="0"/>
        </w:rPr>
      </w:pPr>
      <w:r>
        <w:rPr/>
        <w:t>47、</w:t>
      </w:r>
      <w:r>
        <w:rPr>
          <w:spacing w:val="-28"/>
        </w:rPr>
        <w:t> </w:t>
      </w:r>
      <w:r>
        <w:rPr/>
        <w:t>长期应付款</w:t>
      </w:r>
      <w:r>
        <w:rPr>
          <w:b w:val="0"/>
          <w:bCs w:val="0"/>
        </w:rPr>
      </w:r>
    </w:p>
    <w:p>
      <w:pPr>
        <w:pStyle w:val="Heading3"/>
        <w:tabs>
          <w:tab w:pos="917" w:val="left" w:leader="none"/>
        </w:tabs>
        <w:spacing w:line="240" w:lineRule="auto" w:before="97"/>
        <w:ind w:right="0"/>
        <w:jc w:val="left"/>
        <w:rPr>
          <w:b w:val="0"/>
          <w:bCs w:val="0"/>
        </w:rPr>
      </w:pPr>
      <w:r>
        <w:rPr>
          <w:w w:val="95"/>
        </w:rPr>
        <w:t>(1).</w:t>
        <w:tab/>
        <w:t>按款项性质列示长期应付款：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tabs>
          <w:tab w:pos="1267" w:val="left" w:leader="none"/>
        </w:tabs>
        <w:spacing w:line="240" w:lineRule="auto"/>
        <w:ind w:right="0"/>
        <w:jc w:val="left"/>
      </w:pPr>
      <w:r>
        <w:rPr/>
        <w:t>单位：元</w:t>
        <w:tab/>
        <w:t>币种：人民币</w:t>
      </w:r>
    </w:p>
    <w:p>
      <w:pPr>
        <w:spacing w:after="0" w:line="240" w:lineRule="auto"/>
        <w:jc w:val="left"/>
        <w:sectPr>
          <w:type w:val="continuous"/>
          <w:pgSz w:w="11910" w:h="16840"/>
          <w:pgMar w:top="1080" w:bottom="1380" w:left="1580" w:right="1040"/>
          <w:cols w:num="2" w:equalWidth="0">
            <w:col w:w="3658" w:space="2865"/>
            <w:col w:w="2767"/>
          </w:cols>
        </w:sectPr>
      </w:pPr>
    </w:p>
    <w:p>
      <w:pPr>
        <w:spacing w:line="240" w:lineRule="auto" w:before="13"/>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3150"/>
        <w:gridCol w:w="2872"/>
        <w:gridCol w:w="2872"/>
      </w:tblGrid>
      <w:tr>
        <w:trPr>
          <w:trHeight w:val="326" w:hRule="exact"/>
        </w:trPr>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8" w:hRule="exact"/>
        </w:trPr>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个人借款</w:t>
            </w:r>
          </w:p>
        </w:tc>
        <w:tc>
          <w:tcPr>
            <w:tcW w:w="2872" w:type="dxa"/>
            <w:tcBorders>
              <w:top w:val="single" w:sz="6" w:space="0" w:color="000000"/>
              <w:left w:val="single" w:sz="6" w:space="0" w:color="000000"/>
              <w:bottom w:val="single" w:sz="6" w:space="0" w:color="000000"/>
              <w:right w:val="single" w:sz="6" w:space="0" w:color="000000"/>
            </w:tcBorders>
          </w:tcPr>
          <w:p>
            <w:pP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69" w:right="0"/>
              <w:jc w:val="left"/>
              <w:rPr>
                <w:rFonts w:ascii="宋体" w:hAnsi="宋体" w:cs="宋体" w:eastAsia="宋体" w:hint="default"/>
                <w:sz w:val="21"/>
                <w:szCs w:val="21"/>
              </w:rPr>
            </w:pPr>
            <w:r>
              <w:rPr>
                <w:rFonts w:ascii="宋体"/>
                <w:sz w:val="21"/>
              </w:rPr>
              <w:t>54,575,551.11</w:t>
            </w:r>
          </w:p>
        </w:tc>
      </w:tr>
      <w:tr>
        <w:trPr>
          <w:trHeight w:val="326" w:hRule="exact"/>
        </w:trPr>
        <w:tc>
          <w:tcPr>
            <w:tcW w:w="3150" w:type="dxa"/>
            <w:tcBorders>
              <w:top w:val="single" w:sz="6" w:space="0" w:color="000000"/>
              <w:left w:val="single" w:sz="6" w:space="0" w:color="000000"/>
              <w:bottom w:val="single" w:sz="6" w:space="0" w:color="000000"/>
              <w:right w:val="single" w:sz="6" w:space="0" w:color="000000"/>
            </w:tcBorders>
          </w:tcPr>
          <w:p>
            <w:pPr/>
          </w:p>
        </w:tc>
        <w:tc>
          <w:tcPr>
            <w:tcW w:w="2872" w:type="dxa"/>
            <w:tcBorders>
              <w:top w:val="single" w:sz="6" w:space="0" w:color="000000"/>
              <w:left w:val="single" w:sz="6" w:space="0" w:color="000000"/>
              <w:bottom w:val="single" w:sz="6" w:space="0" w:color="000000"/>
              <w:right w:val="single" w:sz="6" w:space="0" w:color="000000"/>
            </w:tcBorders>
          </w:tcPr>
          <w:p>
            <w:pPr/>
          </w:p>
        </w:tc>
        <w:tc>
          <w:tcPr>
            <w:tcW w:w="287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23"/>
          <w:szCs w:val="23"/>
        </w:rPr>
      </w:pPr>
    </w:p>
    <w:p>
      <w:pPr>
        <w:pStyle w:val="BodyText"/>
        <w:spacing w:line="240" w:lineRule="auto" w:before="35"/>
        <w:ind w:right="114"/>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080" w:bottom="1380" w:left="1580" w:right="1040"/>
        </w:sectPr>
      </w:pPr>
    </w:p>
    <w:p>
      <w:pPr>
        <w:pStyle w:val="Heading3"/>
        <w:spacing w:line="324" w:lineRule="auto"/>
        <w:ind w:right="-16"/>
        <w:jc w:val="left"/>
        <w:rPr>
          <w:b w:val="0"/>
          <w:bCs w:val="0"/>
        </w:rPr>
      </w:pPr>
      <w:r>
        <w:rPr/>
        <w:t>48、</w:t>
      </w:r>
      <w:r>
        <w:rPr>
          <w:spacing w:val="-26"/>
        </w:rPr>
        <w:t> </w:t>
      </w:r>
      <w:r>
        <w:rPr/>
        <w:t>长期应付职工薪酬</w:t>
      </w:r>
      <w:r>
        <w:rPr>
          <w:spacing w:val="1"/>
          <w:w w:val="99"/>
        </w:rPr>
        <w:t> </w:t>
      </w:r>
      <w:r>
        <w:rPr/>
        <w:t>(1)</w:t>
      </w:r>
      <w:r>
        <w:rPr>
          <w:spacing w:val="-6"/>
        </w:rPr>
        <w:t> </w:t>
      </w:r>
      <w:r>
        <w:rPr/>
        <w:t>长期应付职工薪酬表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tabs>
          <w:tab w:pos="1267" w:val="left" w:leader="none"/>
        </w:tabs>
        <w:spacing w:line="240" w:lineRule="auto"/>
        <w:ind w:right="0"/>
        <w:jc w:val="left"/>
      </w:pPr>
      <w:r>
        <w:rPr/>
        <w:t>单位：元</w:t>
        <w:tab/>
        <w:t>币种：人民币</w:t>
      </w:r>
    </w:p>
    <w:p>
      <w:pPr>
        <w:spacing w:after="0" w:line="240" w:lineRule="auto"/>
        <w:jc w:val="left"/>
        <w:sectPr>
          <w:type w:val="continuous"/>
          <w:pgSz w:w="11910" w:h="16840"/>
          <w:pgMar w:top="1080" w:bottom="1380" w:left="1580" w:right="1040"/>
          <w:cols w:num="2" w:equalWidth="0">
            <w:col w:w="2536" w:space="3987"/>
            <w:col w:w="2767"/>
          </w:cols>
        </w:sectPr>
      </w:pPr>
    </w:p>
    <w:p>
      <w:pPr>
        <w:spacing w:line="240" w:lineRule="auto" w:before="13"/>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654"/>
        <w:gridCol w:w="2632"/>
        <w:gridCol w:w="2764"/>
      </w:tblGrid>
      <w:tr>
        <w:trPr>
          <w:trHeight w:val="326"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一、离职后福利-设定受益计划净负债</w:t>
            </w:r>
          </w:p>
        </w:tc>
        <w:tc>
          <w:tcPr>
            <w:tcW w:w="2632" w:type="dxa"/>
            <w:tcBorders>
              <w:top w:val="single" w:sz="6" w:space="0" w:color="000000"/>
              <w:left w:val="single" w:sz="6" w:space="0" w:color="000000"/>
              <w:bottom w:val="single" w:sz="6" w:space="0" w:color="000000"/>
              <w:right w:val="single" w:sz="4" w:space="0" w:color="000000"/>
            </w:tcBorders>
          </w:tcPr>
          <w:p>
            <w:pPr/>
          </w:p>
        </w:tc>
        <w:tc>
          <w:tcPr>
            <w:tcW w:w="2764" w:type="dxa"/>
            <w:tcBorders>
              <w:top w:val="single" w:sz="6" w:space="0" w:color="000000"/>
              <w:left w:val="single" w:sz="4" w:space="0" w:color="000000"/>
              <w:bottom w:val="single" w:sz="6" w:space="0" w:color="000000"/>
              <w:right w:val="single" w:sz="4" w:space="0" w:color="000000"/>
            </w:tcBorders>
          </w:tcPr>
          <w:p>
            <w:pPr/>
          </w:p>
        </w:tc>
      </w:tr>
      <w:tr>
        <w:trPr>
          <w:trHeight w:val="326"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二、辞退福利</w:t>
            </w:r>
          </w:p>
        </w:tc>
        <w:tc>
          <w:tcPr>
            <w:tcW w:w="2632" w:type="dxa"/>
            <w:tcBorders>
              <w:top w:val="single" w:sz="6" w:space="0" w:color="000000"/>
              <w:left w:val="single" w:sz="6" w:space="0" w:color="000000"/>
              <w:bottom w:val="single" w:sz="4" w:space="0" w:color="000000"/>
              <w:right w:val="single" w:sz="4" w:space="0" w:color="000000"/>
            </w:tcBorders>
          </w:tcPr>
          <w:p>
            <w:pPr/>
          </w:p>
        </w:tc>
        <w:tc>
          <w:tcPr>
            <w:tcW w:w="2764" w:type="dxa"/>
            <w:tcBorders>
              <w:top w:val="single" w:sz="6" w:space="0" w:color="000000"/>
              <w:left w:val="single" w:sz="4" w:space="0" w:color="000000"/>
              <w:bottom w:val="single" w:sz="4" w:space="0" w:color="000000"/>
              <w:right w:val="single" w:sz="4" w:space="0" w:color="000000"/>
            </w:tcBorders>
          </w:tcPr>
          <w:p>
            <w:pPr/>
          </w:p>
        </w:tc>
      </w:tr>
      <w:tr>
        <w:trPr>
          <w:trHeight w:val="32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三、其他长期福利</w:t>
            </w:r>
          </w:p>
        </w:tc>
        <w:tc>
          <w:tcPr>
            <w:tcW w:w="2632" w:type="dxa"/>
            <w:tcBorders>
              <w:top w:val="single" w:sz="4" w:space="0" w:color="000000"/>
              <w:left w:val="single" w:sz="6"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654" w:type="dxa"/>
            <w:tcBorders>
              <w:top w:val="single" w:sz="6" w:space="0" w:color="000000"/>
              <w:left w:val="single" w:sz="4" w:space="0" w:color="000000"/>
              <w:bottom w:val="single" w:sz="6" w:space="0" w:color="000000"/>
              <w:right w:val="single" w:sz="4" w:space="0" w:color="000000"/>
            </w:tcBorders>
          </w:tcPr>
          <w:p>
            <w:pPr/>
          </w:p>
        </w:tc>
        <w:tc>
          <w:tcPr>
            <w:tcW w:w="2632"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328" w:hRule="exact"/>
        </w:trPr>
        <w:tc>
          <w:tcPr>
            <w:tcW w:w="3654" w:type="dxa"/>
            <w:tcBorders>
              <w:top w:val="single" w:sz="6" w:space="0" w:color="000000"/>
              <w:left w:val="single" w:sz="4" w:space="0" w:color="000000"/>
              <w:bottom w:val="single" w:sz="6" w:space="0" w:color="000000"/>
              <w:right w:val="single" w:sz="4" w:space="0" w:color="000000"/>
            </w:tcBorders>
          </w:tcPr>
          <w:p>
            <w:pPr/>
          </w:p>
        </w:tc>
        <w:tc>
          <w:tcPr>
            <w:tcW w:w="2632"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4"/>
        <w:gridCol w:w="2632"/>
        <w:gridCol w:w="2764"/>
      </w:tblGrid>
      <w:tr>
        <w:trPr>
          <w:trHeight w:val="32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632" w:type="dxa"/>
            <w:tcBorders>
              <w:top w:val="single" w:sz="4" w:space="0" w:color="000000"/>
              <w:left w:val="single" w:sz="6"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1197" w:top="1120" w:bottom="1380" w:left="1580" w:right="1040"/>
        </w:sectPr>
      </w:pPr>
    </w:p>
    <w:p>
      <w:pPr>
        <w:spacing w:line="324" w:lineRule="auto" w:before="35"/>
        <w:ind w:left="217" w:right="-1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
          <w:sz w:val="21"/>
          <w:szCs w:val="21"/>
        </w:rPr>
        <w:t> </w:t>
      </w:r>
      <w:r>
        <w:rPr>
          <w:rFonts w:ascii="宋体" w:hAnsi="宋体" w:cs="宋体" w:eastAsia="宋体" w:hint="default"/>
          <w:b/>
          <w:bCs/>
          <w:sz w:val="21"/>
          <w:szCs w:val="21"/>
        </w:rPr>
        <w:t>设定受益计划变动情况</w:t>
      </w:r>
      <w:r>
        <w:rPr>
          <w:rFonts w:ascii="宋体" w:hAnsi="宋体" w:cs="宋体" w:eastAsia="宋体" w:hint="default"/>
          <w:b/>
          <w:bCs/>
          <w:w w:val="99"/>
          <w:sz w:val="21"/>
          <w:szCs w:val="21"/>
        </w:rPr>
        <w:t> </w:t>
      </w:r>
      <w:r>
        <w:rPr>
          <w:rFonts w:ascii="宋体" w:hAnsi="宋体" w:cs="宋体" w:eastAsia="宋体" w:hint="default"/>
          <w:sz w:val="21"/>
          <w:szCs w:val="21"/>
        </w:rPr>
        <w:t>设定受益计划义务现值：</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tabs>
          <w:tab w:pos="1267" w:val="left" w:leader="none"/>
        </w:tabs>
        <w:spacing w:line="240" w:lineRule="auto"/>
        <w:ind w:right="0"/>
        <w:jc w:val="left"/>
      </w:pPr>
      <w:r>
        <w:rPr/>
        <w:t>单位：元</w:t>
        <w:tab/>
        <w:t>币种：人民币</w:t>
      </w:r>
    </w:p>
    <w:p>
      <w:pPr>
        <w:spacing w:after="0" w:line="240" w:lineRule="auto"/>
        <w:jc w:val="left"/>
        <w:sectPr>
          <w:type w:val="continuous"/>
          <w:pgSz w:w="11910" w:h="16840"/>
          <w:pgMar w:top="1080" w:bottom="1380" w:left="1580" w:right="1040"/>
          <w:cols w:num="2" w:equalWidth="0">
            <w:col w:w="2745" w:space="3778"/>
            <w:col w:w="2767"/>
          </w:cols>
        </w:sectPr>
      </w:pPr>
    </w:p>
    <w:p>
      <w:pPr>
        <w:spacing w:line="240" w:lineRule="auto" w:before="13"/>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482"/>
        <w:gridCol w:w="2785"/>
        <w:gridCol w:w="2782"/>
      </w:tblGrid>
      <w:tr>
        <w:trPr>
          <w:trHeight w:val="326" w:hRule="exact"/>
        </w:trPr>
        <w:tc>
          <w:tcPr>
            <w:tcW w:w="3482" w:type="dxa"/>
            <w:tcBorders>
              <w:top w:val="single" w:sz="4"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85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2" w:type="dxa"/>
            <w:tcBorders>
              <w:top w:val="single" w:sz="6" w:space="0" w:color="000000"/>
              <w:left w:val="single" w:sz="6" w:space="0" w:color="000000"/>
              <w:bottom w:val="single" w:sz="6" w:space="0" w:color="000000"/>
              <w:right w:val="single" w:sz="4" w:space="0" w:color="000000"/>
            </w:tcBorders>
          </w:tcPr>
          <w:p>
            <w:pPr>
              <w:pStyle w:val="TableParagraph"/>
              <w:spacing w:line="260" w:lineRule="exact"/>
              <w:ind w:left="85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一、期初余额</w:t>
            </w:r>
          </w:p>
        </w:tc>
        <w:tc>
          <w:tcPr>
            <w:tcW w:w="2785" w:type="dxa"/>
            <w:tcBorders>
              <w:top w:val="single" w:sz="6" w:space="0" w:color="000000"/>
              <w:left w:val="single" w:sz="6" w:space="0" w:color="000000"/>
              <w:bottom w:val="single" w:sz="4" w:space="0" w:color="000000"/>
              <w:right w:val="single" w:sz="6" w:space="0" w:color="000000"/>
            </w:tcBorders>
          </w:tcPr>
          <w:p>
            <w:pPr/>
          </w:p>
        </w:tc>
        <w:tc>
          <w:tcPr>
            <w:tcW w:w="2782" w:type="dxa"/>
            <w:tcBorders>
              <w:top w:val="single" w:sz="6" w:space="0" w:color="000000"/>
              <w:left w:val="single" w:sz="6" w:space="0" w:color="000000"/>
              <w:bottom w:val="single" w:sz="4" w:space="0" w:color="000000"/>
              <w:right w:val="single" w:sz="4" w:space="0" w:color="000000"/>
            </w:tcBorders>
          </w:tcPr>
          <w:p>
            <w:pPr/>
          </w:p>
        </w:tc>
      </w:tr>
      <w:tr>
        <w:trPr>
          <w:trHeight w:val="326" w:hRule="exact"/>
        </w:trPr>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二、计入当期损益的设定受益成本</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328" w:hRule="exact"/>
        </w:trPr>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1.当期服务成本</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326" w:hRule="exact"/>
        </w:trPr>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2.过去服务成本</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328" w:hRule="exact"/>
        </w:trPr>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3.结算利得（损失以“－”表示）</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326" w:hRule="exact"/>
        </w:trPr>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4、利息净额</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640" w:hRule="exact"/>
        </w:trPr>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94"/>
                <w:sz w:val="21"/>
                <w:szCs w:val="21"/>
              </w:rPr>
              <w:t>、</w:t>
            </w:r>
            <w:r>
              <w:rPr>
                <w:rFonts w:ascii="宋体" w:hAnsi="宋体" w:cs="宋体" w:eastAsia="宋体" w:hint="default"/>
                <w:sz w:val="21"/>
                <w:szCs w:val="21"/>
              </w:rPr>
              <w:t>计入其他综合收益的设定收益成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326" w:hRule="exact"/>
        </w:trPr>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1.精算利得（损失以“－”表示）</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328" w:hRule="exact"/>
        </w:trPr>
        <w:tc>
          <w:tcPr>
            <w:tcW w:w="3482" w:type="dxa"/>
            <w:tcBorders>
              <w:top w:val="single" w:sz="6" w:space="0" w:color="000000"/>
              <w:left w:val="single" w:sz="6" w:space="0" w:color="000000"/>
              <w:bottom w:val="single" w:sz="6" w:space="0" w:color="000000"/>
              <w:right w:val="single" w:sz="6" w:space="0" w:color="000000"/>
            </w:tcBorders>
          </w:tcPr>
          <w:p>
            <w:pP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326" w:hRule="exact"/>
        </w:trPr>
        <w:tc>
          <w:tcPr>
            <w:tcW w:w="3482" w:type="dxa"/>
            <w:tcBorders>
              <w:top w:val="single" w:sz="6" w:space="0" w:color="000000"/>
              <w:left w:val="single" w:sz="6" w:space="0" w:color="000000"/>
              <w:bottom w:val="single" w:sz="6" w:space="0" w:color="000000"/>
              <w:right w:val="single" w:sz="6" w:space="0" w:color="000000"/>
            </w:tcBorders>
          </w:tcPr>
          <w:p>
            <w:pP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328" w:hRule="exact"/>
        </w:trPr>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四、其他变动</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326" w:hRule="exact"/>
        </w:trPr>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1.结算时支付的对价</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328" w:hRule="exact"/>
        </w:trPr>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2.已支付的福利</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326" w:hRule="exact"/>
        </w:trPr>
        <w:tc>
          <w:tcPr>
            <w:tcW w:w="3482" w:type="dxa"/>
            <w:tcBorders>
              <w:top w:val="single" w:sz="6" w:space="0" w:color="000000"/>
              <w:left w:val="single" w:sz="4" w:space="0" w:color="000000"/>
              <w:bottom w:val="single" w:sz="6" w:space="0" w:color="000000"/>
              <w:right w:val="single" w:sz="6" w:space="0" w:color="000000"/>
            </w:tcBorders>
          </w:tcPr>
          <w:p>
            <w:pP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328" w:hRule="exact"/>
        </w:trPr>
        <w:tc>
          <w:tcPr>
            <w:tcW w:w="3482" w:type="dxa"/>
            <w:tcBorders>
              <w:top w:val="single" w:sz="6" w:space="0" w:color="000000"/>
              <w:left w:val="single" w:sz="4" w:space="0" w:color="000000"/>
              <w:bottom w:val="single" w:sz="6" w:space="0" w:color="000000"/>
              <w:right w:val="single" w:sz="6" w:space="0" w:color="000000"/>
            </w:tcBorders>
          </w:tcPr>
          <w:p>
            <w:pP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328" w:hRule="exact"/>
        </w:trPr>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五、期末余额</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right="114"/>
        <w:jc w:val="left"/>
      </w:pPr>
      <w:r>
        <w:rPr/>
        <w:t>计划资产：</w:t>
      </w:r>
    </w:p>
    <w:p>
      <w:pPr>
        <w:pStyle w:val="BodyText"/>
        <w:tabs>
          <w:tab w:pos="1049" w:val="left" w:leader="none"/>
        </w:tabs>
        <w:spacing w:line="240" w:lineRule="auto" w:before="3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467"/>
        <w:gridCol w:w="2801"/>
        <w:gridCol w:w="2782"/>
      </w:tblGrid>
      <w:tr>
        <w:trPr>
          <w:trHeight w:val="326" w:hRule="exact"/>
        </w:trPr>
        <w:tc>
          <w:tcPr>
            <w:tcW w:w="3467" w:type="dxa"/>
            <w:tcBorders>
              <w:top w:val="single" w:sz="4" w:space="0" w:color="000000"/>
              <w:left w:val="single" w:sz="6" w:space="0" w:color="000000"/>
              <w:bottom w:val="single" w:sz="6" w:space="0" w:color="000000"/>
              <w:right w:val="single" w:sz="6"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01" w:type="dxa"/>
            <w:tcBorders>
              <w:top w:val="single" w:sz="6" w:space="0" w:color="000000"/>
              <w:left w:val="single" w:sz="6" w:space="0" w:color="000000"/>
              <w:bottom w:val="single" w:sz="6" w:space="0" w:color="000000"/>
              <w:right w:val="single" w:sz="4" w:space="0" w:color="000000"/>
            </w:tcBorders>
          </w:tcPr>
          <w:p>
            <w:pPr>
              <w:pStyle w:val="TableParagraph"/>
              <w:spacing w:line="260" w:lineRule="exact"/>
              <w:ind w:left="86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2" w:type="dxa"/>
            <w:tcBorders>
              <w:top w:val="single" w:sz="6" w:space="0" w:color="000000"/>
              <w:left w:val="single" w:sz="4" w:space="0" w:color="000000"/>
              <w:bottom w:val="single" w:sz="6" w:space="0" w:color="000000"/>
              <w:right w:val="single" w:sz="4" w:space="0" w:color="000000"/>
            </w:tcBorders>
          </w:tcPr>
          <w:p>
            <w:pPr>
              <w:pStyle w:val="TableParagraph"/>
              <w:spacing w:line="260" w:lineRule="exact"/>
              <w:ind w:left="8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一、期初余额</w:t>
            </w:r>
          </w:p>
        </w:tc>
        <w:tc>
          <w:tcPr>
            <w:tcW w:w="2801" w:type="dxa"/>
            <w:tcBorders>
              <w:top w:val="single" w:sz="6" w:space="0" w:color="000000"/>
              <w:left w:val="single" w:sz="6" w:space="0" w:color="000000"/>
              <w:bottom w:val="single" w:sz="4" w:space="0" w:color="000000"/>
              <w:right w:val="single" w:sz="4" w:space="0" w:color="000000"/>
            </w:tcBorders>
          </w:tcPr>
          <w:p>
            <w:pPr/>
          </w:p>
        </w:tc>
        <w:tc>
          <w:tcPr>
            <w:tcW w:w="2782" w:type="dxa"/>
            <w:tcBorders>
              <w:top w:val="single" w:sz="6" w:space="0" w:color="000000"/>
              <w:left w:val="single" w:sz="4" w:space="0" w:color="000000"/>
              <w:bottom w:val="single" w:sz="4" w:space="0" w:color="000000"/>
              <w:right w:val="single" w:sz="4" w:space="0" w:color="000000"/>
            </w:tcBorders>
          </w:tcPr>
          <w:p>
            <w:pPr/>
          </w:p>
        </w:tc>
      </w:tr>
      <w:tr>
        <w:trPr>
          <w:trHeight w:val="326"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二、计入当期损益的设定受益成本</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328"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1、利息净额</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467" w:type="dxa"/>
            <w:tcBorders>
              <w:top w:val="single" w:sz="6" w:space="0" w:color="000000"/>
              <w:left w:val="single" w:sz="6" w:space="0" w:color="000000"/>
              <w:bottom w:val="single" w:sz="6"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328" w:hRule="exact"/>
        </w:trPr>
        <w:tc>
          <w:tcPr>
            <w:tcW w:w="3467" w:type="dxa"/>
            <w:tcBorders>
              <w:top w:val="single" w:sz="6" w:space="0" w:color="000000"/>
              <w:left w:val="single" w:sz="6" w:space="0" w:color="000000"/>
              <w:bottom w:val="single" w:sz="6"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638"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三、计入其他综合收益的设定收益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成本</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640"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1.计划资产回报（计入利息净额的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除外）</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638"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2.资产上限影响的变动（计入利息</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净额的除外）</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328" w:hRule="exact"/>
        </w:trPr>
        <w:tc>
          <w:tcPr>
            <w:tcW w:w="3467" w:type="dxa"/>
            <w:tcBorders>
              <w:top w:val="single" w:sz="6" w:space="0" w:color="000000"/>
              <w:left w:val="single" w:sz="6" w:space="0" w:color="000000"/>
              <w:bottom w:val="single" w:sz="6"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467" w:type="dxa"/>
            <w:tcBorders>
              <w:top w:val="single" w:sz="6" w:space="0" w:color="000000"/>
              <w:left w:val="single" w:sz="6" w:space="0" w:color="000000"/>
              <w:bottom w:val="single" w:sz="6"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328"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四、其他变动</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328" w:hRule="exact"/>
        </w:trPr>
        <w:tc>
          <w:tcPr>
            <w:tcW w:w="3467" w:type="dxa"/>
            <w:tcBorders>
              <w:top w:val="single" w:sz="6" w:space="0" w:color="000000"/>
              <w:left w:val="single" w:sz="4" w:space="0" w:color="000000"/>
              <w:bottom w:val="single" w:sz="6"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467"/>
        <w:gridCol w:w="2801"/>
        <w:gridCol w:w="2782"/>
      </w:tblGrid>
      <w:tr>
        <w:trPr>
          <w:trHeight w:val="324" w:hRule="exact"/>
        </w:trPr>
        <w:tc>
          <w:tcPr>
            <w:tcW w:w="3467" w:type="dxa"/>
            <w:tcBorders>
              <w:top w:val="single" w:sz="4" w:space="0" w:color="000000"/>
              <w:left w:val="single" w:sz="4" w:space="0" w:color="000000"/>
              <w:bottom w:val="single" w:sz="6"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328"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五、期末余额</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right="114"/>
        <w:jc w:val="left"/>
      </w:pPr>
      <w:r>
        <w:rPr/>
        <w:t>设定受益计划净负债（净资产）</w:t>
      </w:r>
    </w:p>
    <w:p>
      <w:pPr>
        <w:pStyle w:val="BodyText"/>
        <w:tabs>
          <w:tab w:pos="1049" w:val="left" w:leader="none"/>
        </w:tabs>
        <w:spacing w:line="240" w:lineRule="auto" w:before="3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503"/>
        <w:gridCol w:w="2773"/>
        <w:gridCol w:w="2773"/>
      </w:tblGrid>
      <w:tr>
        <w:trPr>
          <w:trHeight w:val="328" w:hRule="exact"/>
        </w:trPr>
        <w:tc>
          <w:tcPr>
            <w:tcW w:w="3503" w:type="dxa"/>
            <w:tcBorders>
              <w:top w:val="single" w:sz="4" w:space="0" w:color="000000"/>
              <w:left w:val="single" w:sz="6" w:space="0" w:color="000000"/>
              <w:bottom w:val="single" w:sz="6" w:space="0" w:color="000000"/>
              <w:right w:val="single" w:sz="6"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73" w:type="dxa"/>
            <w:tcBorders>
              <w:top w:val="single" w:sz="6" w:space="0" w:color="000000"/>
              <w:left w:val="single" w:sz="6" w:space="0" w:color="000000"/>
              <w:bottom w:val="single" w:sz="6" w:space="0" w:color="000000"/>
              <w:right w:val="single" w:sz="4" w:space="0" w:color="000000"/>
            </w:tcBorders>
          </w:tcPr>
          <w:p>
            <w:pPr>
              <w:pStyle w:val="TableParagraph"/>
              <w:spacing w:line="261" w:lineRule="exact"/>
              <w:ind w:left="8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73" w:type="dxa"/>
            <w:tcBorders>
              <w:top w:val="single" w:sz="6" w:space="0" w:color="000000"/>
              <w:left w:val="single" w:sz="4" w:space="0" w:color="000000"/>
              <w:bottom w:val="single" w:sz="6" w:space="0" w:color="000000"/>
              <w:right w:val="single" w:sz="4" w:space="0" w:color="000000"/>
            </w:tcBorders>
          </w:tcPr>
          <w:p>
            <w:pPr>
              <w:pStyle w:val="TableParagraph"/>
              <w:spacing w:line="261" w:lineRule="exact"/>
              <w:ind w:left="85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一、期初余额</w:t>
            </w:r>
          </w:p>
        </w:tc>
        <w:tc>
          <w:tcPr>
            <w:tcW w:w="2773" w:type="dxa"/>
            <w:tcBorders>
              <w:top w:val="single" w:sz="6" w:space="0" w:color="000000"/>
              <w:left w:val="single" w:sz="6" w:space="0" w:color="000000"/>
              <w:bottom w:val="single" w:sz="4" w:space="0" w:color="000000"/>
              <w:right w:val="single" w:sz="4" w:space="0" w:color="000000"/>
            </w:tcBorders>
          </w:tcPr>
          <w:p>
            <w:pPr/>
          </w:p>
        </w:tc>
        <w:tc>
          <w:tcPr>
            <w:tcW w:w="2773" w:type="dxa"/>
            <w:tcBorders>
              <w:top w:val="single" w:sz="6" w:space="0" w:color="000000"/>
              <w:left w:val="single" w:sz="4" w:space="0" w:color="000000"/>
              <w:bottom w:val="single" w:sz="4" w:space="0" w:color="000000"/>
              <w:right w:val="single" w:sz="4" w:space="0" w:color="000000"/>
            </w:tcBorders>
          </w:tcPr>
          <w:p>
            <w:pPr/>
          </w:p>
        </w:tc>
      </w:tr>
      <w:tr>
        <w:trPr>
          <w:trHeight w:val="328" w:hRule="exact"/>
        </w:trPr>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二、计入当期损益的设定受益成本</w:t>
            </w:r>
          </w:p>
        </w:tc>
        <w:tc>
          <w:tcPr>
            <w:tcW w:w="2773" w:type="dxa"/>
            <w:tcBorders>
              <w:top w:val="single" w:sz="4" w:space="0" w:color="000000"/>
              <w:left w:val="single" w:sz="6" w:space="0" w:color="000000"/>
              <w:bottom w:val="single" w:sz="4" w:space="0" w:color="000000"/>
              <w:right w:val="single" w:sz="4" w:space="0" w:color="000000"/>
            </w:tcBorders>
          </w:tcPr>
          <w:p>
            <w:pPr/>
          </w:p>
        </w:tc>
        <w:tc>
          <w:tcPr>
            <w:tcW w:w="2773" w:type="dxa"/>
            <w:tcBorders>
              <w:top w:val="single" w:sz="4" w:space="0" w:color="000000"/>
              <w:left w:val="single" w:sz="4" w:space="0" w:color="000000"/>
              <w:bottom w:val="single" w:sz="4" w:space="0" w:color="000000"/>
              <w:right w:val="single" w:sz="4" w:space="0" w:color="000000"/>
            </w:tcBorders>
          </w:tcPr>
          <w:p>
            <w:pPr/>
          </w:p>
        </w:tc>
      </w:tr>
      <w:tr>
        <w:trPr>
          <w:trHeight w:val="638" w:hRule="exact"/>
        </w:trPr>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三、计入其他综合收益的设定收益成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2773" w:type="dxa"/>
            <w:tcBorders>
              <w:top w:val="single" w:sz="4" w:space="0" w:color="000000"/>
              <w:left w:val="single" w:sz="6" w:space="0" w:color="000000"/>
              <w:bottom w:val="single" w:sz="4" w:space="0" w:color="000000"/>
              <w:right w:val="single" w:sz="4" w:space="0" w:color="000000"/>
            </w:tcBorders>
          </w:tcPr>
          <w:p>
            <w:pPr/>
          </w:p>
        </w:tc>
        <w:tc>
          <w:tcPr>
            <w:tcW w:w="2773" w:type="dxa"/>
            <w:tcBorders>
              <w:top w:val="single" w:sz="4" w:space="0" w:color="000000"/>
              <w:left w:val="single" w:sz="4" w:space="0" w:color="000000"/>
              <w:bottom w:val="single" w:sz="4" w:space="0" w:color="000000"/>
              <w:right w:val="single" w:sz="4" w:space="0" w:color="000000"/>
            </w:tcBorders>
          </w:tcPr>
          <w:p>
            <w:pPr/>
          </w:p>
        </w:tc>
      </w:tr>
      <w:tr>
        <w:trPr>
          <w:trHeight w:val="328" w:hRule="exact"/>
        </w:trPr>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四、其他变动</w:t>
            </w:r>
          </w:p>
        </w:tc>
        <w:tc>
          <w:tcPr>
            <w:tcW w:w="2773" w:type="dxa"/>
            <w:tcBorders>
              <w:top w:val="single" w:sz="4" w:space="0" w:color="000000"/>
              <w:left w:val="single" w:sz="6" w:space="0" w:color="000000"/>
              <w:bottom w:val="single" w:sz="4" w:space="0" w:color="000000"/>
              <w:right w:val="single" w:sz="4" w:space="0" w:color="000000"/>
            </w:tcBorders>
          </w:tcPr>
          <w:p>
            <w:pPr/>
          </w:p>
        </w:tc>
        <w:tc>
          <w:tcPr>
            <w:tcW w:w="2773" w:type="dxa"/>
            <w:tcBorders>
              <w:top w:val="single" w:sz="4" w:space="0" w:color="000000"/>
              <w:left w:val="single" w:sz="4" w:space="0" w:color="000000"/>
              <w:bottom w:val="single" w:sz="4" w:space="0" w:color="000000"/>
              <w:right w:val="single" w:sz="4" w:space="0" w:color="000000"/>
            </w:tcBorders>
          </w:tcPr>
          <w:p>
            <w:pPr/>
          </w:p>
        </w:tc>
      </w:tr>
      <w:tr>
        <w:trPr>
          <w:trHeight w:val="328" w:hRule="exact"/>
        </w:trPr>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五、期末余额</w:t>
            </w:r>
          </w:p>
        </w:tc>
        <w:tc>
          <w:tcPr>
            <w:tcW w:w="2773" w:type="dxa"/>
            <w:tcBorders>
              <w:top w:val="single" w:sz="4" w:space="0" w:color="000000"/>
              <w:left w:val="single" w:sz="6" w:space="0" w:color="000000"/>
              <w:bottom w:val="single" w:sz="4" w:space="0" w:color="000000"/>
              <w:right w:val="single" w:sz="4" w:space="0" w:color="000000"/>
            </w:tcBorders>
          </w:tcPr>
          <w:p>
            <w:pPr/>
          </w:p>
        </w:tc>
        <w:tc>
          <w:tcPr>
            <w:tcW w:w="277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right="114"/>
        <w:jc w:val="left"/>
      </w:pPr>
      <w:r>
        <w:rPr/>
        <w:t>设定受益计划的内容及与之相关风险、对公司未来现金流量、时间和不确定性的影响说明：</w:t>
      </w:r>
    </w:p>
    <w:p>
      <w:pPr>
        <w:spacing w:line="240" w:lineRule="auto" w:before="13"/>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a">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2"/>
          <w:szCs w:val="22"/>
        </w:rPr>
      </w:pPr>
    </w:p>
    <w:p>
      <w:pPr>
        <w:pStyle w:val="BodyText"/>
        <w:spacing w:line="240" w:lineRule="auto" w:before="35"/>
        <w:ind w:right="114"/>
        <w:jc w:val="left"/>
      </w:pPr>
      <w:r>
        <w:rPr/>
        <w:t>设定受益计划重大精算假设及敏感性分析结果说明</w:t>
      </w:r>
    </w:p>
    <w:p>
      <w:pPr>
        <w:spacing w:line="240" w:lineRule="auto" w:before="13"/>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a">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2"/>
          <w:szCs w:val="22"/>
        </w:rPr>
      </w:pPr>
    </w:p>
    <w:p>
      <w:pPr>
        <w:pStyle w:val="BodyText"/>
        <w:spacing w:line="240" w:lineRule="auto" w:before="35"/>
        <w:ind w:right="114"/>
        <w:jc w:val="left"/>
      </w:pPr>
      <w:r>
        <w:rPr/>
        <w:t>其他说明：</w:t>
      </w:r>
    </w:p>
    <w:p>
      <w:pPr>
        <w:spacing w:line="240" w:lineRule="auto" w:before="13"/>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pStyle w:val="Heading3"/>
        <w:spacing w:line="240" w:lineRule="auto"/>
        <w:ind w:right="114"/>
        <w:jc w:val="left"/>
        <w:rPr>
          <w:b w:val="0"/>
          <w:bCs w:val="0"/>
        </w:rPr>
      </w:pPr>
      <w:r>
        <w:rPr/>
        <w:t>49、</w:t>
      </w:r>
      <w:r>
        <w:rPr>
          <w:spacing w:val="-28"/>
        </w:rPr>
        <w:t> </w:t>
      </w:r>
      <w:r>
        <w:rPr/>
        <w:t>专项应付款</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1447"/>
        <w:gridCol w:w="1446"/>
        <w:gridCol w:w="1409"/>
        <w:gridCol w:w="1475"/>
        <w:gridCol w:w="1463"/>
        <w:gridCol w:w="1656"/>
      </w:tblGrid>
      <w:tr>
        <w:trPr>
          <w:trHeight w:val="326"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5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9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0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0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328" w:hRule="exact"/>
        </w:trPr>
        <w:tc>
          <w:tcPr>
            <w:tcW w:w="1447"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63"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47"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63"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46"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63"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w:t>
            </w:r>
          </w:p>
        </w:tc>
      </w:tr>
    </w:tbl>
    <w:p>
      <w:pPr>
        <w:pStyle w:val="BodyText"/>
        <w:spacing w:line="240" w:lineRule="auto" w:before="26"/>
        <w:ind w:right="114"/>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5"/>
          <w:szCs w:val="25"/>
        </w:rPr>
      </w:pPr>
    </w:p>
    <w:p>
      <w:pPr>
        <w:pStyle w:val="Heading3"/>
        <w:spacing w:line="240" w:lineRule="auto"/>
        <w:ind w:right="114"/>
        <w:jc w:val="left"/>
        <w:rPr>
          <w:b w:val="0"/>
          <w:bCs w:val="0"/>
        </w:rPr>
      </w:pPr>
      <w:r>
        <w:rPr/>
        <w:t>50、</w:t>
      </w:r>
      <w:r>
        <w:rPr>
          <w:spacing w:val="-26"/>
        </w:rPr>
        <w:t> </w:t>
      </w:r>
      <w:r>
        <w:rPr/>
        <w:t>预计负债</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2224"/>
        <w:gridCol w:w="2224"/>
        <w:gridCol w:w="2224"/>
        <w:gridCol w:w="2225"/>
      </w:tblGrid>
      <w:tr>
        <w:trPr>
          <w:trHeight w:val="326"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6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68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685"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32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对外提供担保</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重组义务</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待执行的亏损合同</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0" w:footer="1197"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2224"/>
        <w:gridCol w:w="2224"/>
        <w:gridCol w:w="2224"/>
        <w:gridCol w:w="2225"/>
      </w:tblGrid>
      <w:tr>
        <w:trPr>
          <w:trHeight w:val="326"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05"/>
              <w:jc w:val="center"/>
              <w:rPr>
                <w:rFonts w:ascii="宋体" w:hAnsi="宋体" w:cs="宋体" w:eastAsia="宋体" w:hint="default"/>
                <w:sz w:val="21"/>
                <w:szCs w:val="21"/>
              </w:rPr>
            </w:pPr>
            <w:r>
              <w:rPr>
                <w:rFonts w:ascii="宋体" w:hAnsi="宋体" w:cs="宋体" w:eastAsia="宋体" w:hint="default"/>
                <w:sz w:val="21"/>
                <w:szCs w:val="21"/>
              </w:rPr>
              <w:t>合计</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w:t>
            </w:r>
          </w:p>
        </w:tc>
      </w:tr>
    </w:tbl>
    <w:p>
      <w:pPr>
        <w:pStyle w:val="BodyText"/>
        <w:spacing w:line="240" w:lineRule="auto" w:before="26"/>
        <w:ind w:left="157" w:right="584"/>
        <w:jc w:val="left"/>
      </w:pPr>
      <w:r>
        <w:rPr/>
        <w:t>其他说明，包括重要预计负债的相关重要假设、估计说明：</w:t>
      </w:r>
    </w:p>
    <w:p>
      <w:pPr>
        <w:spacing w:line="240" w:lineRule="auto" w:before="1"/>
        <w:rPr>
          <w:rFonts w:ascii="宋体" w:hAnsi="宋体" w:cs="宋体" w:eastAsia="宋体" w:hint="default"/>
          <w:sz w:val="27"/>
          <w:szCs w:val="27"/>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pStyle w:val="Heading3"/>
        <w:spacing w:line="240" w:lineRule="auto"/>
        <w:ind w:left="157" w:right="584"/>
        <w:jc w:val="left"/>
        <w:rPr>
          <w:b w:val="0"/>
          <w:bCs w:val="0"/>
        </w:rPr>
      </w:pPr>
      <w:r>
        <w:rPr/>
        <w:t>51、</w:t>
      </w:r>
      <w:r>
        <w:rPr>
          <w:spacing w:val="-26"/>
        </w:rPr>
        <w:t> </w:t>
      </w:r>
      <w:r>
        <w:rPr/>
        <w:t>递延收益</w:t>
      </w:r>
      <w:r>
        <w:rPr>
          <w:b w:val="0"/>
          <w:bCs w:val="0"/>
        </w:rPr>
      </w:r>
    </w:p>
    <w:p>
      <w:pPr>
        <w:pStyle w:val="BodyText"/>
        <w:tabs>
          <w:tab w:pos="1049" w:val="left" w:leader="none"/>
        </w:tabs>
        <w:spacing w:line="240" w:lineRule="auto" w:before="97"/>
        <w:ind w:left="0" w:right="15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1501"/>
        <w:gridCol w:w="1442"/>
        <w:gridCol w:w="1457"/>
        <w:gridCol w:w="1441"/>
        <w:gridCol w:w="1484"/>
        <w:gridCol w:w="1567"/>
      </w:tblGrid>
      <w:tr>
        <w:trPr>
          <w:trHeight w:val="349"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0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56"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640"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与资产相关政</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府补助</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1"/>
              <w:jc w:val="right"/>
              <w:rPr>
                <w:rFonts w:ascii="宋体" w:hAnsi="宋体" w:cs="宋体" w:eastAsia="宋体" w:hint="default"/>
                <w:sz w:val="21"/>
                <w:szCs w:val="21"/>
              </w:rPr>
            </w:pPr>
            <w:r>
              <w:rPr>
                <w:rFonts w:ascii="宋体"/>
                <w:spacing w:val="-1"/>
                <w:sz w:val="21"/>
              </w:rPr>
              <w:t>11,000,000.00</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0"/>
              <w:jc w:val="right"/>
              <w:rPr>
                <w:rFonts w:ascii="宋体" w:hAnsi="宋体" w:cs="宋体" w:eastAsia="宋体" w:hint="default"/>
                <w:sz w:val="21"/>
                <w:szCs w:val="21"/>
              </w:rPr>
            </w:pPr>
            <w:r>
              <w:rPr>
                <w:rFonts w:ascii="宋体"/>
                <w:spacing w:val="-1"/>
                <w:sz w:val="21"/>
              </w:rPr>
              <w:t>11,000,000.00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政府补助款</w:t>
            </w:r>
          </w:p>
        </w:tc>
      </w:tr>
      <w:tr>
        <w:trPr>
          <w:trHeight w:val="638"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与收益相关政</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府补助</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2"/>
              <w:jc w:val="right"/>
              <w:rPr>
                <w:rFonts w:ascii="宋体" w:hAnsi="宋体" w:cs="宋体" w:eastAsia="宋体" w:hint="default"/>
                <w:sz w:val="21"/>
                <w:szCs w:val="21"/>
              </w:rPr>
            </w:pPr>
            <w:r>
              <w:rPr>
                <w:rFonts w:ascii="宋体"/>
                <w:spacing w:val="-1"/>
                <w:sz w:val="21"/>
              </w:rPr>
              <w:t>2,600,000.00</w:t>
            </w:r>
            <w:r>
              <w:rPr>
                <w:rFonts w:ascii="宋体"/>
                <w:sz w:val="21"/>
              </w:rPr>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pacing w:val="-1"/>
                <w:sz w:val="21"/>
              </w:rPr>
              <w:t>800,000.00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19" w:right="0"/>
              <w:jc w:val="center"/>
              <w:rPr>
                <w:rFonts w:ascii="宋体" w:hAnsi="宋体" w:cs="宋体" w:eastAsia="宋体" w:hint="default"/>
                <w:sz w:val="21"/>
                <w:szCs w:val="21"/>
              </w:rPr>
            </w:pPr>
            <w:r>
              <w:rPr>
                <w:rFonts w:ascii="宋体"/>
                <w:sz w:val="21"/>
              </w:rPr>
              <w:t>2,033,333.72</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pacing w:val="-1"/>
                <w:sz w:val="21"/>
              </w:rPr>
              <w:t>1,366,666.28</w:t>
            </w:r>
            <w:r>
              <w:rPr>
                <w:rFonts w:ascii="宋体"/>
                <w:sz w:val="21"/>
              </w:rPr>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政府补助款</w:t>
            </w:r>
          </w:p>
        </w:tc>
      </w:tr>
      <w:tr>
        <w:trPr>
          <w:trHeight w:val="328" w:hRule="exact"/>
        </w:trPr>
        <w:tc>
          <w:tcPr>
            <w:tcW w:w="1501"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13,600,000.00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800,000.00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21" w:right="0"/>
              <w:jc w:val="center"/>
              <w:rPr>
                <w:rFonts w:ascii="宋体" w:hAnsi="宋体" w:cs="宋体" w:eastAsia="宋体" w:hint="default"/>
                <w:sz w:val="21"/>
                <w:szCs w:val="21"/>
              </w:rPr>
            </w:pPr>
            <w:r>
              <w:rPr>
                <w:rFonts w:ascii="宋体"/>
                <w:sz w:val="21"/>
              </w:rPr>
              <w:t>2,033,333.72</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9"/>
              <w:jc w:val="right"/>
              <w:rPr>
                <w:rFonts w:ascii="宋体" w:hAnsi="宋体" w:cs="宋体" w:eastAsia="宋体" w:hint="default"/>
                <w:sz w:val="21"/>
                <w:szCs w:val="21"/>
              </w:rPr>
            </w:pPr>
            <w:r>
              <w:rPr>
                <w:rFonts w:ascii="宋体"/>
                <w:spacing w:val="-1"/>
                <w:sz w:val="21"/>
              </w:rPr>
              <w:t>12,366,666.28</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w:t>
            </w:r>
          </w:p>
        </w:tc>
      </w:tr>
    </w:tbl>
    <w:p>
      <w:pPr>
        <w:spacing w:line="240" w:lineRule="auto" w:before="9"/>
        <w:rPr>
          <w:rFonts w:ascii="宋体" w:hAnsi="宋体" w:cs="宋体" w:eastAsia="宋体" w:hint="default"/>
          <w:sz w:val="24"/>
          <w:szCs w:val="24"/>
        </w:rPr>
      </w:pPr>
    </w:p>
    <w:p>
      <w:pPr>
        <w:pStyle w:val="BodyText"/>
        <w:spacing w:line="240" w:lineRule="auto" w:before="35"/>
        <w:ind w:left="157" w:right="584"/>
        <w:jc w:val="left"/>
      </w:pPr>
      <w:r>
        <w:rPr/>
        <w:t>涉及政府补助的项目：</w:t>
      </w:r>
    </w:p>
    <w:p>
      <w:pPr>
        <w:pStyle w:val="BodyText"/>
        <w:tabs>
          <w:tab w:pos="1049" w:val="left" w:leader="none"/>
        </w:tabs>
        <w:spacing w:line="240" w:lineRule="auto" w:before="97"/>
        <w:ind w:left="0" w:right="151"/>
        <w:jc w:val="right"/>
      </w:pPr>
      <w:r>
        <w:rPr/>
        <w:t>单位：元</w:t>
        <w:tab/>
        <w:t>币种：人民币</w:t>
      </w:r>
    </w:p>
    <w:p>
      <w:pPr>
        <w:spacing w:line="240" w:lineRule="auto" w:before="7"/>
        <w:rPr>
          <w:rFonts w:ascii="宋体" w:hAnsi="宋体" w:cs="宋体" w:eastAsia="宋体" w:hint="default"/>
          <w:sz w:val="8"/>
          <w:szCs w:val="8"/>
        </w:rPr>
      </w:pPr>
    </w:p>
    <w:tbl>
      <w:tblPr>
        <w:tblW w:w="0" w:type="auto"/>
        <w:jc w:val="left"/>
        <w:tblInd w:w="122" w:type="dxa"/>
        <w:tblLayout w:type="fixed"/>
        <w:tblCellMar>
          <w:top w:w="0" w:type="dxa"/>
          <w:left w:w="0" w:type="dxa"/>
          <w:bottom w:w="0" w:type="dxa"/>
          <w:right w:w="0" w:type="dxa"/>
        </w:tblCellMar>
        <w:tblLook w:val="01E0"/>
      </w:tblPr>
      <w:tblGrid>
        <w:gridCol w:w="1067"/>
        <w:gridCol w:w="1426"/>
        <w:gridCol w:w="1202"/>
        <w:gridCol w:w="1320"/>
        <w:gridCol w:w="1094"/>
        <w:gridCol w:w="1424"/>
        <w:gridCol w:w="1360"/>
      </w:tblGrid>
      <w:tr>
        <w:trPr>
          <w:trHeight w:val="634" w:hRule="exact"/>
        </w:trPr>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8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本期新增补</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助金额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本期计入营业</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外收入金额</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8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48" w:right="0" w:hanging="52"/>
              <w:jc w:val="left"/>
              <w:rPr>
                <w:rFonts w:ascii="宋体" w:hAnsi="宋体" w:cs="宋体" w:eastAsia="宋体" w:hint="default"/>
                <w:sz w:val="21"/>
                <w:szCs w:val="21"/>
              </w:rPr>
            </w:pPr>
            <w:r>
              <w:rPr>
                <w:rFonts w:ascii="宋体" w:hAnsi="宋体" w:cs="宋体" w:eastAsia="宋体" w:hint="default"/>
                <w:sz w:val="21"/>
                <w:szCs w:val="21"/>
              </w:rPr>
              <w:t>与资产相关/</w:t>
            </w:r>
          </w:p>
          <w:p>
            <w:pPr>
              <w:pStyle w:val="TableParagraph"/>
              <w:spacing w:line="240" w:lineRule="auto" w:before="37"/>
              <w:ind w:left="148"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35" w:hRule="exact"/>
        </w:trPr>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5" w:right="0"/>
              <w:jc w:val="left"/>
              <w:rPr>
                <w:rFonts w:ascii="宋体" w:hAnsi="宋体" w:cs="宋体" w:eastAsia="宋体" w:hint="default"/>
                <w:sz w:val="21"/>
                <w:szCs w:val="21"/>
              </w:rPr>
            </w:pPr>
            <w:r>
              <w:rPr>
                <w:rFonts w:ascii="宋体" w:hAnsi="宋体" w:cs="宋体" w:eastAsia="宋体" w:hint="default"/>
                <w:sz w:val="21"/>
                <w:szCs w:val="21"/>
              </w:rPr>
              <w:t>1、建设资</w:t>
            </w:r>
          </w:p>
          <w:p>
            <w:pPr>
              <w:pStyle w:val="TableParagraph"/>
              <w:spacing w:line="240" w:lineRule="auto" w:before="37"/>
              <w:ind w:left="25" w:right="0"/>
              <w:jc w:val="left"/>
              <w:rPr>
                <w:rFonts w:ascii="宋体" w:hAnsi="宋体" w:cs="宋体" w:eastAsia="宋体" w:hint="default"/>
                <w:sz w:val="21"/>
                <w:szCs w:val="21"/>
              </w:rPr>
            </w:pPr>
            <w:r>
              <w:rPr>
                <w:rFonts w:ascii="宋体" w:hAnsi="宋体" w:cs="宋体" w:eastAsia="宋体" w:hint="default"/>
                <w:sz w:val="21"/>
                <w:szCs w:val="21"/>
              </w:rPr>
              <w:t>助资金</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3"/>
              <w:jc w:val="right"/>
              <w:rPr>
                <w:rFonts w:ascii="宋体" w:hAnsi="宋体" w:cs="宋体" w:eastAsia="宋体" w:hint="default"/>
                <w:sz w:val="21"/>
                <w:szCs w:val="21"/>
              </w:rPr>
            </w:pPr>
            <w:r>
              <w:rPr>
                <w:rFonts w:ascii="宋体"/>
                <w:spacing w:val="-1"/>
                <w:sz w:val="21"/>
              </w:rPr>
              <w:t>3,000,000.00</w:t>
            </w:r>
            <w:r>
              <w:rPr>
                <w:rFonts w:ascii="宋体"/>
                <w:sz w:val="21"/>
              </w:rPr>
            </w:r>
          </w:p>
        </w:tc>
        <w:tc>
          <w:tcPr>
            <w:tcW w:w="120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3"/>
              <w:jc w:val="right"/>
              <w:rPr>
                <w:rFonts w:ascii="宋体" w:hAnsi="宋体" w:cs="宋体" w:eastAsia="宋体" w:hint="default"/>
                <w:sz w:val="21"/>
                <w:szCs w:val="21"/>
              </w:rPr>
            </w:pPr>
            <w:r>
              <w:rPr>
                <w:rFonts w:ascii="宋体"/>
                <w:spacing w:val="-1"/>
                <w:sz w:val="21"/>
              </w:rPr>
              <w:t>3,000,000.00</w:t>
            </w:r>
            <w:r>
              <w:rPr>
                <w:rFonts w:ascii="宋体"/>
                <w:sz w:val="21"/>
              </w:rPr>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5"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316" w:hRule="exact"/>
        </w:trPr>
        <w:tc>
          <w:tcPr>
            <w:tcW w:w="1067"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25" w:right="0"/>
              <w:jc w:val="left"/>
              <w:rPr>
                <w:rFonts w:ascii="宋体" w:hAnsi="宋体" w:cs="宋体" w:eastAsia="宋体" w:hint="default"/>
                <w:sz w:val="21"/>
                <w:szCs w:val="21"/>
              </w:rPr>
            </w:pPr>
            <w:r>
              <w:rPr>
                <w:rFonts w:ascii="宋体" w:hAnsi="宋体" w:cs="宋体" w:eastAsia="宋体" w:hint="default"/>
                <w:sz w:val="21"/>
                <w:szCs w:val="21"/>
              </w:rPr>
              <w:t>2、2006</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426" w:type="dxa"/>
            <w:tcBorders>
              <w:top w:val="single" w:sz="4" w:space="0" w:color="000000"/>
              <w:left w:val="single" w:sz="4" w:space="0" w:color="000000"/>
              <w:bottom w:val="nil" w:sz="6" w:space="0" w:color="auto"/>
              <w:right w:val="single" w:sz="4" w:space="0" w:color="000000"/>
            </w:tcBorders>
          </w:tcPr>
          <w:p>
            <w:pPr/>
          </w:p>
        </w:tc>
        <w:tc>
          <w:tcPr>
            <w:tcW w:w="1202" w:type="dxa"/>
            <w:vMerge w:val="restart"/>
            <w:tcBorders>
              <w:top w:val="single" w:sz="4" w:space="0" w:color="000000"/>
              <w:left w:val="single" w:sz="4" w:space="0" w:color="000000"/>
              <w:right w:val="single" w:sz="4" w:space="0" w:color="000000"/>
            </w:tcBorders>
          </w:tcPr>
          <w:p>
            <w:pPr/>
          </w:p>
        </w:tc>
        <w:tc>
          <w:tcPr>
            <w:tcW w:w="1320" w:type="dxa"/>
            <w:vMerge w:val="restart"/>
            <w:tcBorders>
              <w:top w:val="single" w:sz="4" w:space="0" w:color="000000"/>
              <w:left w:val="single" w:sz="4" w:space="0" w:color="000000"/>
              <w:right w:val="single" w:sz="4" w:space="0" w:color="000000"/>
            </w:tcBorders>
          </w:tcPr>
          <w:p>
            <w:pPr/>
          </w:p>
        </w:tc>
        <w:tc>
          <w:tcPr>
            <w:tcW w:w="1094" w:type="dxa"/>
            <w:vMerge w:val="restart"/>
            <w:tcBorders>
              <w:top w:val="single" w:sz="4" w:space="0" w:color="000000"/>
              <w:left w:val="single" w:sz="4" w:space="0" w:color="000000"/>
              <w:right w:val="single" w:sz="4" w:space="0" w:color="000000"/>
            </w:tcBorders>
          </w:tcPr>
          <w:p>
            <w:pPr/>
          </w:p>
        </w:tc>
        <w:tc>
          <w:tcPr>
            <w:tcW w:w="1424" w:type="dxa"/>
            <w:tcBorders>
              <w:top w:val="single" w:sz="4" w:space="0" w:color="000000"/>
              <w:left w:val="single" w:sz="4" w:space="0" w:color="000000"/>
              <w:bottom w:val="nil" w:sz="6" w:space="0" w:color="auto"/>
              <w:right w:val="single" w:sz="4" w:space="0" w:color="000000"/>
            </w:tcBorders>
          </w:tcPr>
          <w:p>
            <w:pPr/>
          </w:p>
        </w:tc>
        <w:tc>
          <w:tcPr>
            <w:tcW w:w="136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12" w:hRule="exact"/>
        </w:trPr>
        <w:tc>
          <w:tcPr>
            <w:tcW w:w="106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5" w:right="0"/>
              <w:jc w:val="left"/>
              <w:rPr>
                <w:rFonts w:ascii="宋体" w:hAnsi="宋体" w:cs="宋体" w:eastAsia="宋体" w:hint="default"/>
                <w:sz w:val="21"/>
                <w:szCs w:val="21"/>
              </w:rPr>
            </w:pPr>
            <w:r>
              <w:rPr>
                <w:rFonts w:ascii="宋体" w:hAnsi="宋体" w:cs="宋体" w:eastAsia="宋体" w:hint="default"/>
                <w:sz w:val="21"/>
                <w:szCs w:val="21"/>
              </w:rPr>
              <w:t>科技研发</w:t>
            </w:r>
          </w:p>
        </w:tc>
        <w:tc>
          <w:tcPr>
            <w:tcW w:w="142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3"/>
              <w:jc w:val="right"/>
              <w:rPr>
                <w:rFonts w:ascii="宋体" w:hAnsi="宋体" w:cs="宋体" w:eastAsia="宋体" w:hint="default"/>
                <w:sz w:val="21"/>
                <w:szCs w:val="21"/>
              </w:rPr>
            </w:pPr>
            <w:r>
              <w:rPr>
                <w:rFonts w:ascii="宋体"/>
                <w:spacing w:val="-1"/>
                <w:sz w:val="21"/>
              </w:rPr>
              <w:t>1,100,000.00</w:t>
            </w:r>
            <w:r>
              <w:rPr>
                <w:rFonts w:ascii="宋体"/>
                <w:sz w:val="21"/>
              </w:rPr>
            </w:r>
          </w:p>
        </w:tc>
        <w:tc>
          <w:tcPr>
            <w:tcW w:w="1202" w:type="dxa"/>
            <w:vMerge/>
            <w:tcBorders>
              <w:left w:val="single" w:sz="4" w:space="0" w:color="000000"/>
              <w:right w:val="single" w:sz="4" w:space="0" w:color="000000"/>
            </w:tcBorders>
          </w:tcPr>
          <w:p>
            <w:pPr/>
          </w:p>
        </w:tc>
        <w:tc>
          <w:tcPr>
            <w:tcW w:w="1320"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3"/>
              <w:jc w:val="right"/>
              <w:rPr>
                <w:rFonts w:ascii="宋体" w:hAnsi="宋体" w:cs="宋体" w:eastAsia="宋体" w:hint="default"/>
                <w:sz w:val="21"/>
                <w:szCs w:val="21"/>
              </w:rPr>
            </w:pPr>
            <w:r>
              <w:rPr>
                <w:rFonts w:ascii="宋体"/>
                <w:spacing w:val="-1"/>
                <w:sz w:val="21"/>
              </w:rPr>
              <w:t>1,100,000.00</w:t>
            </w:r>
            <w:r>
              <w:rPr>
                <w:rFonts w:ascii="宋体"/>
                <w:sz w:val="21"/>
              </w:rPr>
            </w:r>
          </w:p>
        </w:tc>
        <w:tc>
          <w:tcPr>
            <w:tcW w:w="136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67"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5" w:right="0"/>
              <w:jc w:val="left"/>
              <w:rPr>
                <w:rFonts w:ascii="宋体" w:hAnsi="宋体" w:cs="宋体" w:eastAsia="宋体" w:hint="default"/>
                <w:sz w:val="21"/>
                <w:szCs w:val="21"/>
              </w:rPr>
            </w:pPr>
            <w:r>
              <w:rPr>
                <w:rFonts w:ascii="宋体" w:hAnsi="宋体" w:cs="宋体" w:eastAsia="宋体" w:hint="default"/>
                <w:sz w:val="21"/>
                <w:szCs w:val="21"/>
              </w:rPr>
              <w:t>资金补助</w:t>
            </w:r>
          </w:p>
        </w:tc>
        <w:tc>
          <w:tcPr>
            <w:tcW w:w="1426" w:type="dxa"/>
            <w:tcBorders>
              <w:top w:val="nil" w:sz="6" w:space="0" w:color="auto"/>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320" w:type="dxa"/>
            <w:vMerge/>
            <w:tcBorders>
              <w:left w:val="single" w:sz="4" w:space="0" w:color="000000"/>
              <w:bottom w:val="single" w:sz="4" w:space="0" w:color="000000"/>
              <w:right w:val="single" w:sz="4" w:space="0" w:color="000000"/>
            </w:tcBorders>
          </w:tcPr>
          <w:p>
            <w:pPr/>
          </w:p>
        </w:tc>
        <w:tc>
          <w:tcPr>
            <w:tcW w:w="1094" w:type="dxa"/>
            <w:vMerge/>
            <w:tcBorders>
              <w:left w:val="single" w:sz="4" w:space="0" w:color="000000"/>
              <w:bottom w:val="single" w:sz="4" w:space="0" w:color="000000"/>
              <w:right w:val="single" w:sz="4" w:space="0" w:color="000000"/>
            </w:tcBorders>
          </w:tcPr>
          <w:p>
            <w:pPr/>
          </w:p>
        </w:tc>
        <w:tc>
          <w:tcPr>
            <w:tcW w:w="1424" w:type="dxa"/>
            <w:tcBorders>
              <w:top w:val="nil" w:sz="6" w:space="0" w:color="auto"/>
              <w:left w:val="single" w:sz="4" w:space="0" w:color="000000"/>
              <w:bottom w:val="single" w:sz="4" w:space="0" w:color="000000"/>
              <w:right w:val="single" w:sz="4" w:space="0" w:color="000000"/>
            </w:tcBorders>
          </w:tcPr>
          <w:p>
            <w:pPr/>
          </w:p>
        </w:tc>
        <w:tc>
          <w:tcPr>
            <w:tcW w:w="1360" w:type="dxa"/>
            <w:tcBorders>
              <w:top w:val="nil" w:sz="6" w:space="0" w:color="auto"/>
              <w:left w:val="single" w:sz="4" w:space="0" w:color="000000"/>
              <w:bottom w:val="single" w:sz="4" w:space="0" w:color="000000"/>
              <w:right w:val="single" w:sz="4" w:space="0" w:color="000000"/>
            </w:tcBorders>
          </w:tcPr>
          <w:p>
            <w:pPr/>
          </w:p>
        </w:tc>
      </w:tr>
      <w:tr>
        <w:trPr>
          <w:trHeight w:val="316" w:hRule="exact"/>
        </w:trPr>
        <w:tc>
          <w:tcPr>
            <w:tcW w:w="1067"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25" w:right="0"/>
              <w:jc w:val="left"/>
              <w:rPr>
                <w:rFonts w:ascii="宋体" w:hAnsi="宋体" w:cs="宋体" w:eastAsia="宋体" w:hint="default"/>
                <w:sz w:val="21"/>
                <w:szCs w:val="21"/>
              </w:rPr>
            </w:pPr>
            <w:r>
              <w:rPr>
                <w:rFonts w:ascii="宋体" w:hAnsi="宋体" w:cs="宋体" w:eastAsia="宋体" w:hint="default"/>
                <w:sz w:val="21"/>
                <w:szCs w:val="21"/>
              </w:rPr>
              <w:t>3、灾难恢</w:t>
            </w:r>
          </w:p>
        </w:tc>
        <w:tc>
          <w:tcPr>
            <w:tcW w:w="1426" w:type="dxa"/>
            <w:tcBorders>
              <w:top w:val="single" w:sz="4" w:space="0" w:color="000000"/>
              <w:left w:val="single" w:sz="4" w:space="0" w:color="000000"/>
              <w:bottom w:val="nil" w:sz="6" w:space="0" w:color="auto"/>
              <w:right w:val="single" w:sz="4" w:space="0" w:color="000000"/>
            </w:tcBorders>
          </w:tcPr>
          <w:p>
            <w:pPr/>
          </w:p>
        </w:tc>
        <w:tc>
          <w:tcPr>
            <w:tcW w:w="1202" w:type="dxa"/>
            <w:vMerge w:val="restart"/>
            <w:tcBorders>
              <w:top w:val="single" w:sz="4" w:space="0" w:color="000000"/>
              <w:left w:val="single" w:sz="4" w:space="0" w:color="000000"/>
              <w:right w:val="single" w:sz="4" w:space="0" w:color="000000"/>
            </w:tcBorders>
          </w:tcPr>
          <w:p>
            <w:pPr/>
          </w:p>
        </w:tc>
        <w:tc>
          <w:tcPr>
            <w:tcW w:w="1320" w:type="dxa"/>
            <w:vMerge w:val="restart"/>
            <w:tcBorders>
              <w:top w:val="single" w:sz="4" w:space="0" w:color="000000"/>
              <w:left w:val="single" w:sz="4" w:space="0" w:color="000000"/>
              <w:right w:val="single" w:sz="4" w:space="0" w:color="000000"/>
            </w:tcBorders>
          </w:tcPr>
          <w:p>
            <w:pPr/>
          </w:p>
        </w:tc>
        <w:tc>
          <w:tcPr>
            <w:tcW w:w="1094" w:type="dxa"/>
            <w:vMerge w:val="restart"/>
            <w:tcBorders>
              <w:top w:val="single" w:sz="4" w:space="0" w:color="000000"/>
              <w:left w:val="single" w:sz="4" w:space="0" w:color="000000"/>
              <w:right w:val="single" w:sz="4" w:space="0" w:color="000000"/>
            </w:tcBorders>
          </w:tcPr>
          <w:p>
            <w:pPr/>
          </w:p>
        </w:tc>
        <w:tc>
          <w:tcPr>
            <w:tcW w:w="1424" w:type="dxa"/>
            <w:tcBorders>
              <w:top w:val="single" w:sz="4" w:space="0" w:color="000000"/>
              <w:left w:val="single" w:sz="4" w:space="0" w:color="000000"/>
              <w:bottom w:val="nil" w:sz="6" w:space="0" w:color="auto"/>
              <w:right w:val="single" w:sz="4" w:space="0" w:color="000000"/>
            </w:tcBorders>
          </w:tcPr>
          <w:p>
            <w:pPr/>
          </w:p>
        </w:tc>
        <w:tc>
          <w:tcPr>
            <w:tcW w:w="136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25"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312" w:hRule="exact"/>
        </w:trPr>
        <w:tc>
          <w:tcPr>
            <w:tcW w:w="106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5" w:right="0"/>
              <w:jc w:val="left"/>
              <w:rPr>
                <w:rFonts w:ascii="宋体" w:hAnsi="宋体" w:cs="宋体" w:eastAsia="宋体" w:hint="default"/>
                <w:sz w:val="21"/>
                <w:szCs w:val="21"/>
              </w:rPr>
            </w:pPr>
            <w:r>
              <w:rPr>
                <w:rFonts w:ascii="宋体" w:hAnsi="宋体" w:cs="宋体" w:eastAsia="宋体" w:hint="default"/>
                <w:sz w:val="21"/>
                <w:szCs w:val="21"/>
              </w:rPr>
              <w:t>复项目补</w:t>
            </w:r>
          </w:p>
        </w:tc>
        <w:tc>
          <w:tcPr>
            <w:tcW w:w="142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3"/>
              <w:jc w:val="right"/>
              <w:rPr>
                <w:rFonts w:ascii="宋体" w:hAnsi="宋体" w:cs="宋体" w:eastAsia="宋体" w:hint="default"/>
                <w:sz w:val="21"/>
                <w:szCs w:val="21"/>
              </w:rPr>
            </w:pPr>
            <w:r>
              <w:rPr>
                <w:rFonts w:ascii="宋体"/>
                <w:spacing w:val="-1"/>
                <w:sz w:val="21"/>
              </w:rPr>
              <w:t>8,000,000.00</w:t>
            </w:r>
            <w:r>
              <w:rPr>
                <w:rFonts w:ascii="宋体"/>
                <w:sz w:val="21"/>
              </w:rPr>
            </w:r>
          </w:p>
        </w:tc>
        <w:tc>
          <w:tcPr>
            <w:tcW w:w="1202" w:type="dxa"/>
            <w:vMerge/>
            <w:tcBorders>
              <w:left w:val="single" w:sz="4" w:space="0" w:color="000000"/>
              <w:right w:val="single" w:sz="4" w:space="0" w:color="000000"/>
            </w:tcBorders>
          </w:tcPr>
          <w:p>
            <w:pPr/>
          </w:p>
        </w:tc>
        <w:tc>
          <w:tcPr>
            <w:tcW w:w="1320" w:type="dxa"/>
            <w:vMerge/>
            <w:tcBorders>
              <w:left w:val="single" w:sz="4" w:space="0" w:color="000000"/>
              <w:right w:val="single" w:sz="4" w:space="0" w:color="000000"/>
            </w:tcBorders>
          </w:tcPr>
          <w:p>
            <w:pPr/>
          </w:p>
        </w:tc>
        <w:tc>
          <w:tcPr>
            <w:tcW w:w="1094" w:type="dxa"/>
            <w:vMerge/>
            <w:tcBorders>
              <w:left w:val="single" w:sz="4" w:space="0" w:color="000000"/>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3"/>
              <w:jc w:val="right"/>
              <w:rPr>
                <w:rFonts w:ascii="宋体" w:hAnsi="宋体" w:cs="宋体" w:eastAsia="宋体" w:hint="default"/>
                <w:sz w:val="21"/>
                <w:szCs w:val="21"/>
              </w:rPr>
            </w:pPr>
            <w:r>
              <w:rPr>
                <w:rFonts w:ascii="宋体"/>
                <w:spacing w:val="-1"/>
                <w:sz w:val="21"/>
              </w:rPr>
              <w:t>8,000,000.00</w:t>
            </w:r>
            <w:r>
              <w:rPr>
                <w:rFonts w:ascii="宋体"/>
                <w:sz w:val="21"/>
              </w:rPr>
            </w:r>
          </w:p>
        </w:tc>
        <w:tc>
          <w:tcPr>
            <w:tcW w:w="136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67"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5" w:right="0"/>
              <w:jc w:val="left"/>
              <w:rPr>
                <w:rFonts w:ascii="宋体" w:hAnsi="宋体" w:cs="宋体" w:eastAsia="宋体" w:hint="default"/>
                <w:sz w:val="21"/>
                <w:szCs w:val="21"/>
              </w:rPr>
            </w:pPr>
            <w:r>
              <w:rPr>
                <w:rFonts w:ascii="宋体" w:hAnsi="宋体" w:cs="宋体" w:eastAsia="宋体" w:hint="default"/>
                <w:sz w:val="21"/>
                <w:szCs w:val="21"/>
              </w:rPr>
              <w:t>助资金</w:t>
            </w:r>
          </w:p>
        </w:tc>
        <w:tc>
          <w:tcPr>
            <w:tcW w:w="1426" w:type="dxa"/>
            <w:tcBorders>
              <w:top w:val="nil" w:sz="6" w:space="0" w:color="auto"/>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320" w:type="dxa"/>
            <w:vMerge/>
            <w:tcBorders>
              <w:left w:val="single" w:sz="4" w:space="0" w:color="000000"/>
              <w:bottom w:val="single" w:sz="4" w:space="0" w:color="000000"/>
              <w:right w:val="single" w:sz="4" w:space="0" w:color="000000"/>
            </w:tcBorders>
          </w:tcPr>
          <w:p>
            <w:pPr/>
          </w:p>
        </w:tc>
        <w:tc>
          <w:tcPr>
            <w:tcW w:w="1094" w:type="dxa"/>
            <w:vMerge/>
            <w:tcBorders>
              <w:left w:val="single" w:sz="4" w:space="0" w:color="000000"/>
              <w:bottom w:val="single" w:sz="4" w:space="0" w:color="000000"/>
              <w:right w:val="single" w:sz="4" w:space="0" w:color="000000"/>
            </w:tcBorders>
          </w:tcPr>
          <w:p>
            <w:pPr/>
          </w:p>
        </w:tc>
        <w:tc>
          <w:tcPr>
            <w:tcW w:w="1424" w:type="dxa"/>
            <w:tcBorders>
              <w:top w:val="nil" w:sz="6" w:space="0" w:color="auto"/>
              <w:left w:val="single" w:sz="4" w:space="0" w:color="000000"/>
              <w:bottom w:val="single" w:sz="4" w:space="0" w:color="000000"/>
              <w:right w:val="single" w:sz="4" w:space="0" w:color="000000"/>
            </w:tcBorders>
          </w:tcPr>
          <w:p>
            <w:pPr/>
          </w:p>
        </w:tc>
        <w:tc>
          <w:tcPr>
            <w:tcW w:w="1360" w:type="dxa"/>
            <w:tcBorders>
              <w:top w:val="nil" w:sz="6" w:space="0" w:color="auto"/>
              <w:left w:val="single" w:sz="4" w:space="0" w:color="000000"/>
              <w:bottom w:val="single" w:sz="4" w:space="0" w:color="000000"/>
              <w:right w:val="single" w:sz="4" w:space="0" w:color="000000"/>
            </w:tcBorders>
          </w:tcPr>
          <w:p>
            <w:pPr/>
          </w:p>
        </w:tc>
      </w:tr>
      <w:tr>
        <w:trPr>
          <w:trHeight w:val="317" w:hRule="exact"/>
        </w:trPr>
        <w:tc>
          <w:tcPr>
            <w:tcW w:w="1067"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left="25" w:right="0"/>
              <w:jc w:val="left"/>
              <w:rPr>
                <w:rFonts w:ascii="宋体" w:hAnsi="宋体" w:cs="宋体" w:eastAsia="宋体" w:hint="default"/>
                <w:sz w:val="21"/>
                <w:szCs w:val="21"/>
              </w:rPr>
            </w:pPr>
            <w:r>
              <w:rPr>
                <w:rFonts w:ascii="宋体" w:hAnsi="宋体" w:cs="宋体" w:eastAsia="宋体" w:hint="default"/>
                <w:sz w:val="21"/>
                <w:szCs w:val="21"/>
              </w:rPr>
              <w:t>4、智云舆</w:t>
            </w:r>
          </w:p>
        </w:tc>
        <w:tc>
          <w:tcPr>
            <w:tcW w:w="1426" w:type="dxa"/>
            <w:tcBorders>
              <w:top w:val="single" w:sz="4" w:space="0" w:color="000000"/>
              <w:left w:val="single" w:sz="4" w:space="0" w:color="000000"/>
              <w:bottom w:val="nil" w:sz="6" w:space="0" w:color="auto"/>
              <w:right w:val="single" w:sz="4" w:space="0" w:color="000000"/>
            </w:tcBorders>
          </w:tcPr>
          <w:p>
            <w:pPr/>
          </w:p>
        </w:tc>
        <w:tc>
          <w:tcPr>
            <w:tcW w:w="1202" w:type="dxa"/>
            <w:vMerge w:val="restart"/>
            <w:tcBorders>
              <w:top w:val="single" w:sz="4" w:space="0" w:color="000000"/>
              <w:left w:val="single" w:sz="4" w:space="0" w:color="000000"/>
              <w:right w:val="single" w:sz="4" w:space="0" w:color="000000"/>
            </w:tcBorders>
          </w:tcPr>
          <w:p>
            <w:pPr/>
          </w:p>
        </w:tc>
        <w:tc>
          <w:tcPr>
            <w:tcW w:w="1320" w:type="dxa"/>
            <w:tcBorders>
              <w:top w:val="single" w:sz="4" w:space="0" w:color="000000"/>
              <w:left w:val="single" w:sz="4" w:space="0" w:color="000000"/>
              <w:bottom w:val="nil" w:sz="6" w:space="0" w:color="auto"/>
              <w:right w:val="single" w:sz="4" w:space="0" w:color="000000"/>
            </w:tcBorders>
          </w:tcPr>
          <w:p>
            <w:pPr/>
          </w:p>
        </w:tc>
        <w:tc>
          <w:tcPr>
            <w:tcW w:w="1094" w:type="dxa"/>
            <w:vMerge w:val="restart"/>
            <w:tcBorders>
              <w:top w:val="single" w:sz="4" w:space="0" w:color="000000"/>
              <w:left w:val="single" w:sz="4" w:space="0" w:color="000000"/>
              <w:right w:val="single" w:sz="4" w:space="0" w:color="000000"/>
            </w:tcBorders>
          </w:tcPr>
          <w:p>
            <w:pPr/>
          </w:p>
        </w:tc>
        <w:tc>
          <w:tcPr>
            <w:tcW w:w="1424" w:type="dxa"/>
            <w:vMerge w:val="restart"/>
            <w:tcBorders>
              <w:top w:val="single" w:sz="4" w:space="0" w:color="000000"/>
              <w:left w:val="single" w:sz="4" w:space="0" w:color="000000"/>
              <w:right w:val="single" w:sz="4" w:space="0" w:color="000000"/>
            </w:tcBorders>
          </w:tcPr>
          <w:p>
            <w:pPr/>
          </w:p>
        </w:tc>
        <w:tc>
          <w:tcPr>
            <w:tcW w:w="1360"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24" w:hRule="exact"/>
        </w:trPr>
        <w:tc>
          <w:tcPr>
            <w:tcW w:w="106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5" w:right="0"/>
              <w:jc w:val="left"/>
              <w:rPr>
                <w:rFonts w:ascii="宋体" w:hAnsi="宋体" w:cs="宋体" w:eastAsia="宋体" w:hint="default"/>
                <w:sz w:val="21"/>
                <w:szCs w:val="21"/>
              </w:rPr>
            </w:pPr>
            <w:r>
              <w:rPr>
                <w:rFonts w:ascii="宋体" w:hAnsi="宋体" w:cs="宋体" w:eastAsia="宋体" w:hint="default"/>
                <w:sz w:val="21"/>
                <w:szCs w:val="21"/>
              </w:rPr>
              <w:t>情智能分</w:t>
            </w:r>
          </w:p>
          <w:p>
            <w:pPr>
              <w:pStyle w:val="TableParagraph"/>
              <w:spacing w:line="240" w:lineRule="auto" w:before="37"/>
              <w:ind w:left="25" w:right="0"/>
              <w:jc w:val="left"/>
              <w:rPr>
                <w:rFonts w:ascii="宋体" w:hAnsi="宋体" w:cs="宋体" w:eastAsia="宋体" w:hint="default"/>
                <w:sz w:val="21"/>
                <w:szCs w:val="21"/>
              </w:rPr>
            </w:pPr>
            <w:r>
              <w:rPr>
                <w:rFonts w:ascii="宋体" w:hAnsi="宋体" w:cs="宋体" w:eastAsia="宋体" w:hint="default"/>
                <w:sz w:val="21"/>
                <w:szCs w:val="21"/>
              </w:rPr>
              <w:t>析系统研</w:t>
            </w:r>
          </w:p>
        </w:tc>
        <w:tc>
          <w:tcPr>
            <w:tcW w:w="1426"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23"/>
              <w:jc w:val="right"/>
              <w:rPr>
                <w:rFonts w:ascii="宋体" w:hAnsi="宋体" w:cs="宋体" w:eastAsia="宋体" w:hint="default"/>
                <w:sz w:val="21"/>
                <w:szCs w:val="21"/>
              </w:rPr>
            </w:pPr>
            <w:r>
              <w:rPr>
                <w:rFonts w:ascii="宋体"/>
                <w:spacing w:val="-1"/>
                <w:sz w:val="21"/>
              </w:rPr>
              <w:t>1,500,000.00</w:t>
            </w:r>
            <w:r>
              <w:rPr>
                <w:rFonts w:ascii="宋体"/>
                <w:sz w:val="21"/>
              </w:rPr>
            </w:r>
          </w:p>
        </w:tc>
        <w:tc>
          <w:tcPr>
            <w:tcW w:w="1202" w:type="dxa"/>
            <w:vMerge/>
            <w:tcBorders>
              <w:left w:val="single" w:sz="4" w:space="0" w:color="000000"/>
              <w:right w:val="single" w:sz="4" w:space="0" w:color="000000"/>
            </w:tcBorders>
          </w:tcPr>
          <w:p>
            <w:pPr/>
          </w:p>
        </w:tc>
        <w:tc>
          <w:tcPr>
            <w:tcW w:w="1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23"/>
              <w:jc w:val="right"/>
              <w:rPr>
                <w:rFonts w:ascii="宋体" w:hAnsi="宋体" w:cs="宋体" w:eastAsia="宋体" w:hint="default"/>
                <w:sz w:val="21"/>
                <w:szCs w:val="21"/>
              </w:rPr>
            </w:pPr>
            <w:r>
              <w:rPr>
                <w:rFonts w:ascii="宋体"/>
                <w:spacing w:val="-1"/>
                <w:sz w:val="21"/>
              </w:rPr>
              <w:t>1,500,000.00</w:t>
            </w:r>
            <w:r>
              <w:rPr>
                <w:rFonts w:ascii="宋体"/>
                <w:sz w:val="21"/>
              </w:rPr>
            </w:r>
          </w:p>
        </w:tc>
        <w:tc>
          <w:tcPr>
            <w:tcW w:w="1094" w:type="dxa"/>
            <w:vMerge/>
            <w:tcBorders>
              <w:left w:val="single" w:sz="4" w:space="0" w:color="000000"/>
              <w:right w:val="single" w:sz="4" w:space="0" w:color="000000"/>
            </w:tcBorders>
          </w:tcPr>
          <w:p>
            <w:pPr/>
          </w:p>
        </w:tc>
        <w:tc>
          <w:tcPr>
            <w:tcW w:w="1424" w:type="dxa"/>
            <w:vMerge/>
            <w:tcBorders>
              <w:left w:val="single" w:sz="4" w:space="0" w:color="000000"/>
              <w:right w:val="single" w:sz="4" w:space="0" w:color="000000"/>
            </w:tcBorders>
          </w:tcPr>
          <w:p>
            <w:pPr/>
          </w:p>
        </w:tc>
        <w:tc>
          <w:tcPr>
            <w:tcW w:w="136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67"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5" w:right="0"/>
              <w:jc w:val="left"/>
              <w:rPr>
                <w:rFonts w:ascii="宋体" w:hAnsi="宋体" w:cs="宋体" w:eastAsia="宋体" w:hint="default"/>
                <w:sz w:val="21"/>
                <w:szCs w:val="21"/>
              </w:rPr>
            </w:pPr>
            <w:r>
              <w:rPr>
                <w:rFonts w:ascii="宋体" w:hAnsi="宋体" w:cs="宋体" w:eastAsia="宋体" w:hint="default"/>
                <w:sz w:val="21"/>
                <w:szCs w:val="21"/>
              </w:rPr>
              <w:t>发资助</w:t>
            </w:r>
          </w:p>
        </w:tc>
        <w:tc>
          <w:tcPr>
            <w:tcW w:w="1426" w:type="dxa"/>
            <w:tcBorders>
              <w:top w:val="nil" w:sz="6" w:space="0" w:color="auto"/>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320" w:type="dxa"/>
            <w:tcBorders>
              <w:top w:val="nil" w:sz="6" w:space="0" w:color="auto"/>
              <w:left w:val="single" w:sz="4" w:space="0" w:color="000000"/>
              <w:bottom w:val="single" w:sz="4" w:space="0" w:color="000000"/>
              <w:right w:val="single" w:sz="4" w:space="0" w:color="000000"/>
            </w:tcBorders>
          </w:tcPr>
          <w:p>
            <w:pPr/>
          </w:p>
        </w:tc>
        <w:tc>
          <w:tcPr>
            <w:tcW w:w="1094" w:type="dxa"/>
            <w:vMerge/>
            <w:tcBorders>
              <w:left w:val="single" w:sz="4" w:space="0" w:color="000000"/>
              <w:bottom w:val="single" w:sz="4" w:space="0" w:color="000000"/>
              <w:right w:val="single" w:sz="4" w:space="0" w:color="000000"/>
            </w:tcBorders>
          </w:tcPr>
          <w:p>
            <w:pPr/>
          </w:p>
        </w:tc>
        <w:tc>
          <w:tcPr>
            <w:tcW w:w="1424" w:type="dxa"/>
            <w:vMerge/>
            <w:tcBorders>
              <w:left w:val="single" w:sz="4" w:space="0" w:color="000000"/>
              <w:bottom w:val="single" w:sz="4" w:space="0" w:color="000000"/>
              <w:right w:val="single" w:sz="4" w:space="0" w:color="000000"/>
            </w:tcBorders>
          </w:tcPr>
          <w:p>
            <w:pPr/>
          </w:p>
        </w:tc>
        <w:tc>
          <w:tcPr>
            <w:tcW w:w="1360" w:type="dxa"/>
            <w:tcBorders>
              <w:top w:val="nil" w:sz="6" w:space="0" w:color="auto"/>
              <w:left w:val="single" w:sz="4" w:space="0" w:color="000000"/>
              <w:bottom w:val="single" w:sz="4" w:space="0" w:color="000000"/>
              <w:right w:val="single" w:sz="4" w:space="0" w:color="000000"/>
            </w:tcBorders>
          </w:tcPr>
          <w:p>
            <w:pPr/>
          </w:p>
        </w:tc>
      </w:tr>
      <w:tr>
        <w:trPr>
          <w:trHeight w:val="316" w:hRule="exact"/>
        </w:trPr>
        <w:tc>
          <w:tcPr>
            <w:tcW w:w="1067"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25" w:right="0"/>
              <w:jc w:val="left"/>
              <w:rPr>
                <w:rFonts w:ascii="宋体" w:hAnsi="宋体" w:cs="宋体" w:eastAsia="宋体" w:hint="default"/>
                <w:sz w:val="21"/>
                <w:szCs w:val="21"/>
              </w:rPr>
            </w:pPr>
            <w:r>
              <w:rPr>
                <w:rFonts w:ascii="宋体" w:hAnsi="宋体" w:cs="宋体" w:eastAsia="宋体" w:hint="default"/>
                <w:sz w:val="21"/>
                <w:szCs w:val="21"/>
              </w:rPr>
              <w:t>5、金证综</w:t>
            </w:r>
          </w:p>
        </w:tc>
        <w:tc>
          <w:tcPr>
            <w:tcW w:w="1426" w:type="dxa"/>
            <w:vMerge w:val="restart"/>
            <w:tcBorders>
              <w:top w:val="single" w:sz="4" w:space="0" w:color="000000"/>
              <w:left w:val="single" w:sz="4" w:space="0" w:color="000000"/>
              <w:right w:val="single" w:sz="4" w:space="0" w:color="000000"/>
            </w:tcBorders>
          </w:tcPr>
          <w:p>
            <w:pPr/>
          </w:p>
        </w:tc>
        <w:tc>
          <w:tcPr>
            <w:tcW w:w="1202" w:type="dxa"/>
            <w:tcBorders>
              <w:top w:val="single" w:sz="4" w:space="0" w:color="000000"/>
              <w:left w:val="single" w:sz="4" w:space="0" w:color="000000"/>
              <w:bottom w:val="nil" w:sz="6" w:space="0" w:color="auto"/>
              <w:right w:val="single" w:sz="4" w:space="0" w:color="000000"/>
            </w:tcBorders>
          </w:tcPr>
          <w:p>
            <w:pPr/>
          </w:p>
        </w:tc>
        <w:tc>
          <w:tcPr>
            <w:tcW w:w="1320" w:type="dxa"/>
            <w:tcBorders>
              <w:top w:val="single" w:sz="4" w:space="0" w:color="000000"/>
              <w:left w:val="single" w:sz="4" w:space="0" w:color="000000"/>
              <w:bottom w:val="nil" w:sz="6" w:space="0" w:color="auto"/>
              <w:right w:val="single" w:sz="4" w:space="0" w:color="000000"/>
            </w:tcBorders>
          </w:tcPr>
          <w:p>
            <w:pPr/>
          </w:p>
        </w:tc>
        <w:tc>
          <w:tcPr>
            <w:tcW w:w="1094" w:type="dxa"/>
            <w:vMerge w:val="restart"/>
            <w:tcBorders>
              <w:top w:val="single" w:sz="4" w:space="0" w:color="000000"/>
              <w:left w:val="single" w:sz="4" w:space="0" w:color="000000"/>
              <w:right w:val="single" w:sz="4" w:space="0" w:color="000000"/>
            </w:tcBorders>
          </w:tcPr>
          <w:p>
            <w:pPr/>
          </w:p>
        </w:tc>
        <w:tc>
          <w:tcPr>
            <w:tcW w:w="1424" w:type="dxa"/>
            <w:tcBorders>
              <w:top w:val="single" w:sz="4" w:space="0" w:color="000000"/>
              <w:left w:val="single" w:sz="4" w:space="0" w:color="000000"/>
              <w:bottom w:val="nil" w:sz="6" w:space="0" w:color="auto"/>
              <w:right w:val="single" w:sz="4" w:space="0" w:color="000000"/>
            </w:tcBorders>
          </w:tcPr>
          <w:p>
            <w:pPr/>
          </w:p>
        </w:tc>
        <w:tc>
          <w:tcPr>
            <w:tcW w:w="136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24" w:hRule="exact"/>
        </w:trPr>
        <w:tc>
          <w:tcPr>
            <w:tcW w:w="106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5" w:right="0"/>
              <w:jc w:val="left"/>
              <w:rPr>
                <w:rFonts w:ascii="宋体" w:hAnsi="宋体" w:cs="宋体" w:eastAsia="宋体" w:hint="default"/>
                <w:sz w:val="21"/>
                <w:szCs w:val="21"/>
              </w:rPr>
            </w:pPr>
            <w:r>
              <w:rPr>
                <w:rFonts w:ascii="宋体" w:hAnsi="宋体" w:cs="宋体" w:eastAsia="宋体" w:hint="default"/>
                <w:sz w:val="21"/>
                <w:szCs w:val="21"/>
              </w:rPr>
              <w:t>合金融服</w:t>
            </w:r>
          </w:p>
          <w:p>
            <w:pPr>
              <w:pStyle w:val="TableParagraph"/>
              <w:spacing w:line="240" w:lineRule="auto" w:before="37"/>
              <w:ind w:left="25" w:right="0"/>
              <w:jc w:val="left"/>
              <w:rPr>
                <w:rFonts w:ascii="宋体" w:hAnsi="宋体" w:cs="宋体" w:eastAsia="宋体" w:hint="default"/>
                <w:sz w:val="21"/>
                <w:szCs w:val="21"/>
              </w:rPr>
            </w:pPr>
            <w:r>
              <w:rPr>
                <w:rFonts w:ascii="宋体" w:hAnsi="宋体" w:cs="宋体" w:eastAsia="宋体" w:hint="default"/>
                <w:sz w:val="21"/>
                <w:szCs w:val="21"/>
              </w:rPr>
              <w:t>务平台补</w:t>
            </w:r>
          </w:p>
        </w:tc>
        <w:tc>
          <w:tcPr>
            <w:tcW w:w="1426" w:type="dxa"/>
            <w:vMerge/>
            <w:tcBorders>
              <w:left w:val="single" w:sz="4" w:space="0" w:color="000000"/>
              <w:right w:val="single" w:sz="4" w:space="0" w:color="000000"/>
            </w:tcBorders>
          </w:tcPr>
          <w:p>
            <w:pP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23"/>
              <w:jc w:val="right"/>
              <w:rPr>
                <w:rFonts w:ascii="宋体" w:hAnsi="宋体" w:cs="宋体" w:eastAsia="宋体" w:hint="default"/>
                <w:sz w:val="21"/>
                <w:szCs w:val="21"/>
              </w:rPr>
            </w:pPr>
            <w:r>
              <w:rPr>
                <w:rFonts w:ascii="宋体"/>
                <w:spacing w:val="-1"/>
                <w:sz w:val="21"/>
              </w:rPr>
              <w:t>800,000.00</w:t>
            </w:r>
          </w:p>
        </w:tc>
        <w:tc>
          <w:tcPr>
            <w:tcW w:w="1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22"/>
              <w:jc w:val="right"/>
              <w:rPr>
                <w:rFonts w:ascii="宋体" w:hAnsi="宋体" w:cs="宋体" w:eastAsia="宋体" w:hint="default"/>
                <w:sz w:val="21"/>
                <w:szCs w:val="21"/>
              </w:rPr>
            </w:pPr>
            <w:r>
              <w:rPr>
                <w:rFonts w:ascii="宋体"/>
                <w:spacing w:val="-1"/>
                <w:sz w:val="21"/>
              </w:rPr>
              <w:t>533,333.72</w:t>
            </w:r>
          </w:p>
        </w:tc>
        <w:tc>
          <w:tcPr>
            <w:tcW w:w="1094" w:type="dxa"/>
            <w:vMerge/>
            <w:tcBorders>
              <w:left w:val="single" w:sz="4" w:space="0" w:color="000000"/>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22"/>
              <w:jc w:val="right"/>
              <w:rPr>
                <w:rFonts w:ascii="宋体" w:hAnsi="宋体" w:cs="宋体" w:eastAsia="宋体" w:hint="default"/>
                <w:sz w:val="21"/>
                <w:szCs w:val="21"/>
              </w:rPr>
            </w:pPr>
            <w:r>
              <w:rPr>
                <w:rFonts w:ascii="宋体"/>
                <w:spacing w:val="-1"/>
                <w:sz w:val="21"/>
              </w:rPr>
              <w:t>266,666.28</w:t>
            </w:r>
          </w:p>
        </w:tc>
        <w:tc>
          <w:tcPr>
            <w:tcW w:w="136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67"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5" w:right="0"/>
              <w:jc w:val="left"/>
              <w:rPr>
                <w:rFonts w:ascii="宋体" w:hAnsi="宋体" w:cs="宋体" w:eastAsia="宋体" w:hint="default"/>
                <w:sz w:val="21"/>
                <w:szCs w:val="21"/>
              </w:rPr>
            </w:pPr>
            <w:r>
              <w:rPr>
                <w:rFonts w:ascii="宋体" w:hAnsi="宋体" w:cs="宋体" w:eastAsia="宋体" w:hint="default"/>
                <w:sz w:val="21"/>
                <w:szCs w:val="21"/>
              </w:rPr>
              <w:t>助资金</w:t>
            </w:r>
          </w:p>
        </w:tc>
        <w:tc>
          <w:tcPr>
            <w:tcW w:w="1426" w:type="dxa"/>
            <w:vMerge/>
            <w:tcBorders>
              <w:left w:val="single" w:sz="4" w:space="0" w:color="000000"/>
              <w:bottom w:val="single" w:sz="4" w:space="0" w:color="000000"/>
              <w:right w:val="single" w:sz="4" w:space="0" w:color="000000"/>
            </w:tcBorders>
          </w:tcPr>
          <w:p>
            <w:pPr/>
          </w:p>
        </w:tc>
        <w:tc>
          <w:tcPr>
            <w:tcW w:w="1202" w:type="dxa"/>
            <w:tcBorders>
              <w:top w:val="nil" w:sz="6" w:space="0" w:color="auto"/>
              <w:left w:val="single" w:sz="4" w:space="0" w:color="000000"/>
              <w:bottom w:val="single" w:sz="4" w:space="0" w:color="000000"/>
              <w:right w:val="single" w:sz="4" w:space="0" w:color="000000"/>
            </w:tcBorders>
          </w:tcPr>
          <w:p>
            <w:pPr/>
          </w:p>
        </w:tc>
        <w:tc>
          <w:tcPr>
            <w:tcW w:w="1320" w:type="dxa"/>
            <w:tcBorders>
              <w:top w:val="nil" w:sz="6" w:space="0" w:color="auto"/>
              <w:left w:val="single" w:sz="4" w:space="0" w:color="000000"/>
              <w:bottom w:val="single" w:sz="4" w:space="0" w:color="000000"/>
              <w:right w:val="single" w:sz="4" w:space="0" w:color="000000"/>
            </w:tcBorders>
          </w:tcPr>
          <w:p>
            <w:pPr/>
          </w:p>
        </w:tc>
        <w:tc>
          <w:tcPr>
            <w:tcW w:w="1094" w:type="dxa"/>
            <w:vMerge/>
            <w:tcBorders>
              <w:left w:val="single" w:sz="4" w:space="0" w:color="000000"/>
              <w:bottom w:val="single" w:sz="4" w:space="0" w:color="000000"/>
              <w:right w:val="single" w:sz="4" w:space="0" w:color="000000"/>
            </w:tcBorders>
          </w:tcPr>
          <w:p>
            <w:pPr/>
          </w:p>
        </w:tc>
        <w:tc>
          <w:tcPr>
            <w:tcW w:w="1424" w:type="dxa"/>
            <w:tcBorders>
              <w:top w:val="nil" w:sz="6" w:space="0" w:color="auto"/>
              <w:left w:val="single" w:sz="4" w:space="0" w:color="000000"/>
              <w:bottom w:val="single" w:sz="4" w:space="0" w:color="000000"/>
              <w:right w:val="single" w:sz="4" w:space="0" w:color="000000"/>
            </w:tcBorders>
          </w:tcPr>
          <w:p>
            <w:pPr/>
          </w:p>
        </w:tc>
        <w:tc>
          <w:tcPr>
            <w:tcW w:w="1360" w:type="dxa"/>
            <w:tcBorders>
              <w:top w:val="nil" w:sz="6" w:space="0" w:color="auto"/>
              <w:left w:val="single" w:sz="4" w:space="0" w:color="000000"/>
              <w:bottom w:val="single" w:sz="4" w:space="0" w:color="000000"/>
              <w:right w:val="single" w:sz="4" w:space="0" w:color="000000"/>
            </w:tcBorders>
          </w:tcPr>
          <w:p>
            <w:pPr/>
          </w:p>
        </w:tc>
      </w:tr>
      <w:tr>
        <w:trPr>
          <w:trHeight w:val="323" w:hRule="exact"/>
        </w:trPr>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13,600,000.00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right"/>
              <w:rPr>
                <w:rFonts w:ascii="宋体" w:hAnsi="宋体" w:cs="宋体" w:eastAsia="宋体" w:hint="default"/>
                <w:sz w:val="21"/>
                <w:szCs w:val="21"/>
              </w:rPr>
            </w:pPr>
            <w:r>
              <w:rPr>
                <w:rFonts w:ascii="宋体"/>
                <w:spacing w:val="-1"/>
                <w:sz w:val="21"/>
              </w:rPr>
              <w:t>800,000.00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right"/>
              <w:rPr>
                <w:rFonts w:ascii="宋体" w:hAnsi="宋体" w:cs="宋体" w:eastAsia="宋体" w:hint="default"/>
                <w:sz w:val="21"/>
                <w:szCs w:val="21"/>
              </w:rPr>
            </w:pPr>
            <w:r>
              <w:rPr>
                <w:rFonts w:ascii="宋体"/>
                <w:spacing w:val="-1"/>
                <w:sz w:val="21"/>
              </w:rPr>
              <w:t>2,033,333.72</w:t>
            </w:r>
          </w:p>
        </w:tc>
        <w:tc>
          <w:tcPr>
            <w:tcW w:w="109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right"/>
              <w:rPr>
                <w:rFonts w:ascii="宋体" w:hAnsi="宋体" w:cs="宋体" w:eastAsia="宋体" w:hint="default"/>
                <w:sz w:val="21"/>
                <w:szCs w:val="21"/>
              </w:rPr>
            </w:pPr>
            <w:r>
              <w:rPr>
                <w:rFonts w:ascii="宋体"/>
                <w:spacing w:val="-1"/>
                <w:sz w:val="21"/>
              </w:rPr>
              <w:t>12,366,666.28</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w:t>
            </w:r>
          </w:p>
        </w:tc>
      </w:tr>
    </w:tbl>
    <w:p>
      <w:pPr>
        <w:spacing w:line="240" w:lineRule="auto" w:before="8"/>
        <w:rPr>
          <w:rFonts w:ascii="宋体" w:hAnsi="宋体" w:cs="宋体" w:eastAsia="宋体" w:hint="default"/>
          <w:sz w:val="24"/>
          <w:szCs w:val="24"/>
        </w:rPr>
      </w:pPr>
    </w:p>
    <w:p>
      <w:pPr>
        <w:pStyle w:val="BodyText"/>
        <w:spacing w:line="240" w:lineRule="auto" w:before="35"/>
        <w:ind w:left="157" w:right="584"/>
        <w:jc w:val="left"/>
      </w:pPr>
      <w:r>
        <w:rPr/>
        <w:t>其他说明：</w:t>
      </w:r>
    </w:p>
    <w:p>
      <w:pPr>
        <w:spacing w:line="240" w:lineRule="auto" w:before="7"/>
        <w:rPr>
          <w:rFonts w:ascii="宋体" w:hAnsi="宋体" w:cs="宋体" w:eastAsia="宋体" w:hint="default"/>
          <w:sz w:val="28"/>
          <w:szCs w:val="28"/>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3"/>
          <w:szCs w:val="23"/>
        </w:rPr>
      </w:pPr>
    </w:p>
    <w:p>
      <w:pPr>
        <w:pStyle w:val="Heading3"/>
        <w:spacing w:line="240" w:lineRule="auto"/>
        <w:ind w:left="157" w:right="584"/>
        <w:jc w:val="left"/>
        <w:rPr>
          <w:b w:val="0"/>
          <w:bCs w:val="0"/>
        </w:rPr>
      </w:pPr>
      <w:r>
        <w:rPr/>
        <w:t>52、</w:t>
      </w:r>
      <w:r>
        <w:rPr>
          <w:spacing w:val="-29"/>
        </w:rPr>
        <w:t> </w:t>
      </w:r>
      <w:r>
        <w:rPr/>
        <w:t>其他非流动负债</w:t>
      </w:r>
      <w:r>
        <w:rPr>
          <w:b w:val="0"/>
          <w:bCs w:val="0"/>
        </w:rPr>
      </w:r>
    </w:p>
    <w:p>
      <w:pPr>
        <w:pStyle w:val="BodyText"/>
        <w:tabs>
          <w:tab w:pos="1049" w:val="left" w:leader="none"/>
        </w:tabs>
        <w:spacing w:line="240" w:lineRule="auto" w:before="97"/>
        <w:ind w:left="0" w:right="151"/>
        <w:jc w:val="right"/>
      </w:pPr>
      <w:r>
        <w:rPr/>
        <w:t>单位：元</w:t>
        <w:tab/>
        <w:t>币种：人民币</w:t>
      </w:r>
    </w:p>
    <w:p>
      <w:pPr>
        <w:spacing w:after="0" w:line="240" w:lineRule="auto"/>
        <w:jc w:val="right"/>
        <w:sectPr>
          <w:footerReference w:type="default" r:id="rId116"/>
          <w:pgSz w:w="11910" w:h="16840"/>
          <w:pgMar w:footer="1197" w:header="0" w:top="1120" w:bottom="1380" w:left="164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256"/>
        <w:gridCol w:w="2898"/>
        <w:gridCol w:w="2896"/>
      </w:tblGrid>
      <w:tr>
        <w:trPr>
          <w:trHeight w:val="322"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确认的</w:t>
            </w:r>
            <w:r>
              <w:rPr>
                <w:rFonts w:ascii="宋体" w:hAnsi="宋体" w:cs="宋体" w:eastAsia="宋体" w:hint="default"/>
                <w:spacing w:val="-58"/>
                <w:sz w:val="21"/>
                <w:szCs w:val="21"/>
              </w:rPr>
              <w:t> </w:t>
            </w:r>
            <w:r>
              <w:rPr>
                <w:rFonts w:ascii="宋体" w:hAnsi="宋体" w:cs="宋体" w:eastAsia="宋体" w:hint="default"/>
                <w:sz w:val="21"/>
                <w:szCs w:val="21"/>
              </w:rPr>
              <w:t>BT</w:t>
            </w:r>
            <w:r>
              <w:rPr>
                <w:rFonts w:ascii="宋体" w:hAnsi="宋体" w:cs="宋体" w:eastAsia="宋体" w:hint="default"/>
                <w:spacing w:val="-57"/>
                <w:sz w:val="21"/>
                <w:szCs w:val="21"/>
              </w:rPr>
              <w:t> </w:t>
            </w:r>
            <w:r>
              <w:rPr>
                <w:rFonts w:ascii="宋体" w:hAnsi="宋体" w:cs="宋体" w:eastAsia="宋体" w:hint="default"/>
                <w:sz w:val="21"/>
                <w:szCs w:val="21"/>
              </w:rPr>
              <w:t>项目管理费</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74"/>
              <w:jc w:val="right"/>
              <w:rPr>
                <w:rFonts w:ascii="宋体" w:hAnsi="宋体" w:cs="宋体" w:eastAsia="宋体" w:hint="default"/>
                <w:sz w:val="21"/>
                <w:szCs w:val="21"/>
              </w:rPr>
            </w:pPr>
            <w:r>
              <w:rPr>
                <w:rFonts w:ascii="宋体"/>
                <w:spacing w:val="-1"/>
                <w:sz w:val="21"/>
              </w:rPr>
              <w:t>18,191,397.30</w:t>
            </w:r>
            <w:r>
              <w:rPr>
                <w:rFonts w:ascii="宋体"/>
                <w:sz w:val="21"/>
              </w:rPr>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14,634,375.45</w:t>
            </w:r>
            <w:r>
              <w:rPr>
                <w:rFonts w:ascii="宋体"/>
                <w:sz w:val="21"/>
              </w:rPr>
            </w:r>
          </w:p>
        </w:tc>
      </w:tr>
      <w:tr>
        <w:trPr>
          <w:trHeight w:val="323" w:hRule="exact"/>
        </w:trPr>
        <w:tc>
          <w:tcPr>
            <w:tcW w:w="3256" w:type="dxa"/>
            <w:tcBorders>
              <w:top w:val="single" w:sz="4" w:space="0" w:color="000000"/>
              <w:left w:val="single" w:sz="4" w:space="0" w:color="000000"/>
              <w:bottom w:val="single" w:sz="4" w:space="0" w:color="000000"/>
              <w:right w:val="single" w:sz="4" w:space="0" w:color="000000"/>
            </w:tcBorders>
          </w:tcPr>
          <w:p>
            <w:pPr/>
          </w:p>
        </w:tc>
        <w:tc>
          <w:tcPr>
            <w:tcW w:w="2898" w:type="dxa"/>
            <w:tcBorders>
              <w:top w:val="single" w:sz="4" w:space="0" w:color="000000"/>
              <w:left w:val="single" w:sz="4" w:space="0" w:color="000000"/>
              <w:bottom w:val="single" w:sz="4" w:space="0" w:color="000000"/>
              <w:right w:val="single" w:sz="4" w:space="0" w:color="000000"/>
            </w:tcBorders>
          </w:tcPr>
          <w:p>
            <w:pPr/>
          </w:p>
        </w:tc>
        <w:tc>
          <w:tcPr>
            <w:tcW w:w="289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18,191,397.30</w:t>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14,634,375.45</w:t>
            </w:r>
          </w:p>
        </w:tc>
      </w:tr>
    </w:tbl>
    <w:p>
      <w:pPr>
        <w:pStyle w:val="BodyText"/>
        <w:spacing w:line="240" w:lineRule="auto" w:before="45"/>
        <w:ind w:right="0"/>
        <w:jc w:val="both"/>
      </w:pPr>
      <w:r>
        <w:rPr/>
        <w:t>其他说明：</w:t>
      </w:r>
    </w:p>
    <w:p>
      <w:pPr>
        <w:pStyle w:val="Heading3"/>
        <w:spacing w:line="266" w:lineRule="auto" w:before="97"/>
        <w:ind w:right="231"/>
        <w:jc w:val="both"/>
        <w:rPr>
          <w:b w:val="0"/>
          <w:bCs w:val="0"/>
        </w:rPr>
      </w:pPr>
      <w:r>
        <w:rPr/>
        <w:t>注：</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日本公司与眉山市华林恒峰商贸有限公司签订《项目管理协议》约定：本公</w:t>
      </w:r>
      <w:r>
        <w:rPr>
          <w:w w:val="99"/>
        </w:rPr>
        <w:t> </w:t>
      </w:r>
      <w:r>
        <w:rPr>
          <w:w w:val="95"/>
        </w:rPr>
        <w:t>司聘请眉山市华林恒峰商贸有限公司组建眉山市“两宋荣光”眉州大道改造工程“两桥一站”项</w:t>
      </w:r>
      <w:r>
        <w:rPr>
          <w:spacing w:val="12"/>
          <w:w w:val="95"/>
        </w:rPr>
        <w:t> </w:t>
      </w:r>
      <w:r>
        <w:rPr>
          <w:spacing w:val="12"/>
          <w:w w:val="95"/>
        </w:rPr>
      </w:r>
      <w:r>
        <w:rPr>
          <w:w w:val="95"/>
        </w:rPr>
        <w:t>目部对该项目进行管理；另合同双方约定在项目交工验收完成后，眉山市华林恒峰商贸有限公司</w:t>
      </w:r>
      <w:r>
        <w:rPr>
          <w:spacing w:val="12"/>
          <w:w w:val="95"/>
        </w:rPr>
        <w:t> </w:t>
      </w:r>
      <w:r>
        <w:rPr>
          <w:spacing w:val="12"/>
          <w:w w:val="95"/>
        </w:rPr>
      </w:r>
      <w:r>
        <w:rPr/>
        <w:t>向本公司按项目总投资额的</w:t>
      </w:r>
      <w:r>
        <w:rPr>
          <w:spacing w:val="-54"/>
        </w:rPr>
        <w:t> </w:t>
      </w:r>
      <w:r>
        <w:rPr>
          <w:rFonts w:ascii="Times New Roman" w:hAnsi="Times New Roman" w:cs="Times New Roman" w:eastAsia="Times New Roman" w:hint="default"/>
          <w:spacing w:val="-6"/>
        </w:rPr>
        <w:t>5%</w:t>
      </w:r>
      <w:r>
        <w:rPr>
          <w:spacing w:val="-6"/>
        </w:rPr>
        <w:t>收取项目管理费。截止</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日本公司按照该项目形象</w:t>
      </w:r>
      <w:r>
        <w:rPr>
          <w:b w:val="0"/>
          <w:bCs w:val="0"/>
        </w:rPr>
      </w:r>
    </w:p>
    <w:p>
      <w:pPr>
        <w:pStyle w:val="Heading3"/>
        <w:spacing w:line="286" w:lineRule="exact" w:before="0"/>
        <w:ind w:right="0"/>
        <w:jc w:val="both"/>
        <w:rPr>
          <w:b w:val="0"/>
          <w:bCs w:val="0"/>
        </w:rPr>
      </w:pPr>
      <w:r>
        <w:rPr/>
        <w:t>进度确认了建设期项目管理费合计</w:t>
      </w:r>
      <w:r>
        <w:rPr>
          <w:spacing w:val="-57"/>
        </w:rPr>
        <w:t> </w:t>
      </w:r>
      <w:r>
        <w:rPr>
          <w:rFonts w:ascii="Times New Roman" w:hAnsi="Times New Roman" w:cs="Times New Roman" w:eastAsia="Times New Roman" w:hint="default"/>
        </w:rPr>
        <w:t>18,191,397.30</w:t>
      </w:r>
      <w:r>
        <w:rPr>
          <w:rFonts w:ascii="Times New Roman" w:hAnsi="Times New Roman" w:cs="Times New Roman" w:eastAsia="Times New Roman" w:hint="default"/>
          <w:spacing w:val="-5"/>
        </w:rPr>
        <w:t> </w:t>
      </w:r>
      <w:r>
        <w:rPr/>
        <w:t>元。</w:t>
      </w:r>
      <w:r>
        <w:rPr>
          <w:b w:val="0"/>
          <w:bCs w:val="0"/>
        </w:rPr>
      </w:r>
    </w:p>
    <w:p>
      <w:pPr>
        <w:spacing w:line="240" w:lineRule="auto" w:before="5"/>
        <w:rPr>
          <w:rFonts w:ascii="宋体" w:hAnsi="宋体" w:cs="宋体" w:eastAsia="宋体" w:hint="default"/>
          <w:b/>
          <w:bCs/>
          <w:sz w:val="27"/>
          <w:szCs w:val="27"/>
        </w:rPr>
      </w:pPr>
    </w:p>
    <w:p>
      <w:pPr>
        <w:pStyle w:val="Heading3"/>
        <w:spacing w:line="240" w:lineRule="auto"/>
        <w:ind w:right="114"/>
        <w:jc w:val="left"/>
        <w:rPr>
          <w:b w:val="0"/>
          <w:bCs w:val="0"/>
        </w:rPr>
      </w:pPr>
      <w:r>
        <w:rPr/>
        <w:t>53、</w:t>
      </w:r>
      <w:r>
        <w:rPr>
          <w:spacing w:val="-27"/>
        </w:rPr>
        <w:t> </w:t>
      </w:r>
      <w:r>
        <w:rPr/>
        <w:t>股本</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781"/>
        <w:gridCol w:w="1686"/>
        <w:gridCol w:w="624"/>
        <w:gridCol w:w="625"/>
        <w:gridCol w:w="695"/>
        <w:gridCol w:w="1476"/>
        <w:gridCol w:w="1476"/>
        <w:gridCol w:w="1686"/>
      </w:tblGrid>
      <w:tr>
        <w:trPr>
          <w:trHeight w:val="323" w:hRule="exact"/>
        </w:trPr>
        <w:tc>
          <w:tcPr>
            <w:tcW w:w="781" w:type="dxa"/>
            <w:vMerge w:val="restart"/>
            <w:tcBorders>
              <w:top w:val="single" w:sz="4" w:space="0" w:color="000000"/>
              <w:left w:val="single" w:sz="4" w:space="0" w:color="000000"/>
              <w:right w:val="single" w:sz="4" w:space="0" w:color="000000"/>
            </w:tcBorders>
          </w:tcPr>
          <w:p>
            <w:pPr/>
          </w:p>
        </w:tc>
        <w:tc>
          <w:tcPr>
            <w:tcW w:w="16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7"/>
                <w:szCs w:val="27"/>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339" w:right="0"/>
              <w:jc w:val="left"/>
              <w:rPr>
                <w:rFonts w:ascii="宋体" w:hAnsi="宋体" w:cs="宋体" w:eastAsia="宋体" w:hint="default"/>
                <w:sz w:val="21"/>
                <w:szCs w:val="21"/>
              </w:rPr>
            </w:pPr>
            <w:r>
              <w:rPr>
                <w:rFonts w:ascii="宋体" w:hAnsi="宋体" w:cs="宋体" w:eastAsia="宋体" w:hint="default"/>
                <w:sz w:val="21"/>
                <w:szCs w:val="21"/>
              </w:rPr>
              <w:t>本次变动增减（+、一）</w:t>
            </w:r>
          </w:p>
        </w:tc>
        <w:tc>
          <w:tcPr>
            <w:tcW w:w="16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7"/>
                <w:szCs w:val="27"/>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258" w:hRule="exact"/>
        </w:trPr>
        <w:tc>
          <w:tcPr>
            <w:tcW w:w="781" w:type="dxa"/>
            <w:vMerge/>
            <w:tcBorders>
              <w:left w:val="single" w:sz="4" w:space="0" w:color="000000"/>
              <w:bottom w:val="single" w:sz="4" w:space="0" w:color="000000"/>
              <w:right w:val="single" w:sz="4" w:space="0" w:color="000000"/>
            </w:tcBorders>
          </w:tcPr>
          <w:p>
            <w:pPr/>
          </w:p>
        </w:tc>
        <w:tc>
          <w:tcPr>
            <w:tcW w:w="1686" w:type="dxa"/>
            <w:vMerge/>
            <w:tcBorders>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0" w:right="0"/>
              <w:jc w:val="both"/>
              <w:rPr>
                <w:rFonts w:ascii="宋体" w:hAnsi="宋体" w:cs="宋体" w:eastAsia="宋体" w:hint="default"/>
                <w:sz w:val="21"/>
                <w:szCs w:val="21"/>
              </w:rPr>
            </w:pPr>
            <w:r>
              <w:rPr>
                <w:rFonts w:ascii="宋体" w:hAnsi="宋体" w:cs="宋体" w:eastAsia="宋体" w:hint="default"/>
                <w:sz w:val="21"/>
                <w:szCs w:val="21"/>
              </w:rPr>
              <w:t>发</w:t>
            </w:r>
          </w:p>
          <w:p>
            <w:pPr>
              <w:pStyle w:val="TableParagraph"/>
              <w:spacing w:line="273" w:lineRule="auto" w:before="37"/>
              <w:ind w:left="200" w:right="203"/>
              <w:jc w:val="both"/>
              <w:rPr>
                <w:rFonts w:ascii="宋体" w:hAnsi="宋体" w:cs="宋体" w:eastAsia="宋体" w:hint="default"/>
                <w:sz w:val="21"/>
                <w:szCs w:val="21"/>
              </w:rPr>
            </w:pPr>
            <w:r>
              <w:rPr>
                <w:rFonts w:ascii="宋体" w:hAnsi="宋体" w:cs="宋体" w:eastAsia="宋体" w:hint="default"/>
                <w:sz w:val="21"/>
                <w:szCs w:val="21"/>
              </w:rPr>
              <w:t>行 新 股</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01" w:right="202"/>
              <w:jc w:val="left"/>
              <w:rPr>
                <w:rFonts w:ascii="宋体" w:hAnsi="宋体" w:cs="宋体" w:eastAsia="宋体" w:hint="default"/>
                <w:sz w:val="21"/>
                <w:szCs w:val="21"/>
              </w:rPr>
            </w:pPr>
            <w:r>
              <w:rPr>
                <w:rFonts w:ascii="宋体" w:hAnsi="宋体" w:cs="宋体" w:eastAsia="宋体" w:hint="default"/>
                <w:sz w:val="21"/>
                <w:szCs w:val="21"/>
              </w:rPr>
              <w:t>送 股</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30" w:right="132"/>
              <w:jc w:val="center"/>
              <w:rPr>
                <w:rFonts w:ascii="宋体" w:hAnsi="宋体" w:cs="宋体" w:eastAsia="宋体" w:hint="default"/>
                <w:sz w:val="21"/>
                <w:szCs w:val="21"/>
              </w:rPr>
            </w:pPr>
            <w:r>
              <w:rPr>
                <w:rFonts w:ascii="宋体" w:hAnsi="宋体" w:cs="宋体" w:eastAsia="宋体" w:hint="default"/>
                <w:sz w:val="21"/>
                <w:szCs w:val="21"/>
              </w:rPr>
              <w:t>公积 金 转股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686" w:type="dxa"/>
            <w:vMerge/>
            <w:tcBorders>
              <w:left w:val="single" w:sz="4" w:space="0" w:color="000000"/>
              <w:bottom w:val="single" w:sz="4" w:space="0" w:color="000000"/>
              <w:right w:val="single" w:sz="4" w:space="0" w:color="000000"/>
            </w:tcBorders>
          </w:tcPr>
          <w:p>
            <w:pPr/>
          </w:p>
        </w:tc>
      </w:tr>
      <w:tr>
        <w:trPr>
          <w:trHeight w:val="635" w:hRule="exact"/>
        </w:trPr>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40" w:lineRule="auto" w:before="37"/>
              <w:ind w:left="175" w:right="0"/>
              <w:jc w:val="left"/>
              <w:rPr>
                <w:rFonts w:ascii="宋体" w:hAnsi="宋体" w:cs="宋体" w:eastAsia="宋体" w:hint="default"/>
                <w:sz w:val="21"/>
                <w:szCs w:val="21"/>
              </w:rPr>
            </w:pPr>
            <w:r>
              <w:rPr>
                <w:rFonts w:ascii="宋体" w:hAnsi="宋体" w:cs="宋体" w:eastAsia="宋体" w:hint="default"/>
                <w:sz w:val="21"/>
                <w:szCs w:val="21"/>
              </w:rPr>
              <w:t>总数</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sz w:val="21"/>
              </w:rPr>
              <w:t>262,605,000.00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3,030,500.00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3,030,500.00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sz w:val="21"/>
              </w:rPr>
              <w:t>265,635,500.00</w:t>
            </w:r>
          </w:p>
        </w:tc>
      </w:tr>
    </w:tbl>
    <w:p>
      <w:pPr>
        <w:pStyle w:val="BodyText"/>
        <w:spacing w:line="240" w:lineRule="auto" w:before="45"/>
        <w:ind w:right="114"/>
        <w:jc w:val="left"/>
      </w:pPr>
      <w:r>
        <w:rPr/>
        <w:t>其他说明：</w:t>
      </w:r>
    </w:p>
    <w:p>
      <w:pPr>
        <w:pStyle w:val="BodyText"/>
        <w:spacing w:line="355" w:lineRule="auto" w:before="78"/>
        <w:ind w:right="857" w:firstLine="420"/>
        <w:jc w:val="left"/>
      </w:pPr>
      <w:r>
        <w:rPr/>
        <w:t>本年度增加的股本业经大华会计师事务所（特殊普通合伙）出具的大华验字[2014]</w:t>
      </w:r>
      <w:r>
        <w:rPr>
          <w:spacing w:val="-87"/>
        </w:rPr>
        <w:t> </w:t>
      </w:r>
      <w:r>
        <w:rPr/>
        <w:t>000168、</w:t>
      </w:r>
      <w:r>
        <w:rPr/>
        <w:t> 大华验字</w:t>
      </w:r>
      <w:r>
        <w:rPr>
          <w:rFonts w:ascii="Times New Roman" w:hAnsi="Times New Roman" w:cs="Times New Roman" w:eastAsia="Times New Roman" w:hint="default"/>
        </w:rPr>
        <w:t>[2014] ]000563</w:t>
      </w:r>
      <w:r>
        <w:rPr>
          <w:rFonts w:ascii="Times New Roman" w:hAnsi="Times New Roman" w:cs="Times New Roman" w:eastAsia="Times New Roman" w:hint="default"/>
          <w:spacing w:val="-6"/>
        </w:rPr>
        <w:t> </w:t>
      </w:r>
      <w:r>
        <w:rPr/>
        <w:t>号验资报告验证；另本年度增加的股本中因股票期权激励行权缴纳的新</w:t>
      </w:r>
    </w:p>
    <w:p>
      <w:pPr>
        <w:pStyle w:val="BodyText"/>
        <w:spacing w:line="240" w:lineRule="auto" w:before="7"/>
        <w:ind w:right="114"/>
        <w:jc w:val="left"/>
      </w:pPr>
      <w:r>
        <w:rPr/>
        <w:t>增股本合计人民币</w:t>
      </w:r>
      <w:r>
        <w:rPr>
          <w:spacing w:val="-59"/>
        </w:rPr>
        <w:t> </w:t>
      </w:r>
      <w:r>
        <w:rPr>
          <w:rFonts w:ascii="Times New Roman" w:hAnsi="Times New Roman" w:cs="Times New Roman" w:eastAsia="Times New Roman" w:hint="default"/>
        </w:rPr>
        <w:t>1,491,500.00</w:t>
      </w:r>
      <w:r>
        <w:rPr>
          <w:rFonts w:ascii="Times New Roman" w:hAnsi="Times New Roman" w:cs="Times New Roman" w:eastAsia="Times New Roman" w:hint="default"/>
          <w:spacing w:val="-7"/>
        </w:rPr>
        <w:t> </w:t>
      </w:r>
      <w:r>
        <w:rPr/>
        <w:t>元，该部分新增股本本公司截止</w:t>
      </w:r>
      <w:r>
        <w:rPr>
          <w:spacing w:val="-5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59"/>
        </w:rPr>
        <w:t> </w:t>
      </w:r>
      <w:r>
        <w:rPr>
          <w:rFonts w:ascii="Times New Roman" w:hAnsi="Times New Roman" w:cs="Times New Roman" w:eastAsia="Times New Roman" w:hint="default"/>
        </w:rPr>
        <w:t>29</w:t>
      </w:r>
      <w:r>
        <w:rPr>
          <w:rFonts w:ascii="Times New Roman" w:hAnsi="Times New Roman" w:cs="Times New Roman" w:eastAsia="Times New Roman" w:hint="default"/>
          <w:spacing w:val="-6"/>
        </w:rPr>
        <w:t> </w:t>
      </w:r>
      <w:r>
        <w:rPr/>
        <w:t>日已全部收到各</w:t>
      </w:r>
    </w:p>
    <w:p>
      <w:pPr>
        <w:pStyle w:val="BodyText"/>
        <w:spacing w:line="240" w:lineRule="auto" w:before="117"/>
        <w:ind w:right="114"/>
        <w:jc w:val="left"/>
      </w:pPr>
      <w:r>
        <w:rPr>
          <w:spacing w:val="-3"/>
        </w:rPr>
        <w:t>行权对象缴纳的行权出资款，并经大华会计师事务所（特殊普通合伙）于</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日出具</w:t>
      </w:r>
    </w:p>
    <w:p>
      <w:pPr>
        <w:pStyle w:val="BodyText"/>
        <w:spacing w:line="336" w:lineRule="auto" w:before="118"/>
        <w:ind w:right="240"/>
        <w:jc w:val="left"/>
      </w:pPr>
      <w:r>
        <w:rPr/>
        <w:t>大华验字</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rFonts w:ascii="Times New Roman" w:hAnsi="Times New Roman" w:cs="Times New Roman" w:eastAsia="Times New Roman" w:hint="default"/>
        </w:rPr>
        <w:t>]000563</w:t>
      </w:r>
      <w:r>
        <w:rPr>
          <w:rFonts w:ascii="Times New Roman" w:hAnsi="Times New Roman" w:cs="Times New Roman" w:eastAsia="Times New Roman" w:hint="default"/>
          <w:spacing w:val="-1"/>
        </w:rPr>
        <w:t> </w:t>
      </w:r>
      <w:r>
        <w:rPr/>
        <w:t>号验资报告验证，该部分新增股本于</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日办理完成证券变更 登记。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3"/>
        <w:spacing w:line="240" w:lineRule="auto" w:before="0"/>
        <w:ind w:right="114"/>
        <w:jc w:val="left"/>
        <w:rPr>
          <w:b w:val="0"/>
          <w:bCs w:val="0"/>
        </w:rPr>
      </w:pPr>
      <w:r>
        <w:rPr/>
        <w:t>54、</w:t>
      </w:r>
      <w:r>
        <w:rPr>
          <w:spacing w:val="-29"/>
        </w:rPr>
        <w:t> </w:t>
      </w:r>
      <w:r>
        <w:rPr/>
        <w:t>其他权益工具</w:t>
      </w:r>
      <w:r>
        <w:rPr>
          <w:b w:val="0"/>
          <w:bCs w:val="0"/>
        </w:rPr>
      </w:r>
    </w:p>
    <w:p>
      <w:pPr>
        <w:pStyle w:val="Heading3"/>
        <w:spacing w:line="240" w:lineRule="auto" w:before="97"/>
        <w:ind w:right="114"/>
        <w:jc w:val="left"/>
        <w:rPr>
          <w:b w:val="0"/>
          <w:bCs w:val="0"/>
        </w:rPr>
      </w:pPr>
      <w:r>
        <w:rPr/>
        <w:t>(1)</w:t>
      </w:r>
      <w:r>
        <w:rPr>
          <w:spacing w:val="-12"/>
        </w:rPr>
        <w:t> </w:t>
      </w:r>
      <w:r>
        <w:rPr/>
        <w:t>期末发行在外的优先股、永续债等其他金融工具基本情况</w:t>
      </w:r>
      <w:r>
        <w:rPr>
          <w:b w:val="0"/>
          <w:bCs w:val="0"/>
        </w:rPr>
      </w:r>
    </w:p>
    <w:p>
      <w:pPr>
        <w:spacing w:line="240" w:lineRule="auto" w:before="7"/>
        <w:rPr>
          <w:rFonts w:ascii="宋体" w:hAnsi="宋体" w:cs="宋体" w:eastAsia="宋体" w:hint="default"/>
          <w:b/>
          <w:bCs/>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26"/>
          <w:szCs w:val="26"/>
        </w:rPr>
      </w:pPr>
    </w:p>
    <w:p>
      <w:pPr>
        <w:pStyle w:val="Heading3"/>
        <w:spacing w:line="240" w:lineRule="auto"/>
        <w:ind w:right="114"/>
        <w:jc w:val="left"/>
        <w:rPr>
          <w:b w:val="0"/>
          <w:bCs w:val="0"/>
        </w:rPr>
      </w:pPr>
      <w:r>
        <w:rPr/>
        <w:t>(2)</w:t>
      </w:r>
      <w:r>
        <w:rPr>
          <w:spacing w:val="-10"/>
        </w:rPr>
        <w:t> </w:t>
      </w:r>
      <w:r>
        <w:rPr/>
        <w:t>期末发行在外的优先股、永续债等金融工具变动情况表</w:t>
      </w:r>
      <w:r>
        <w:rPr>
          <w:b w:val="0"/>
          <w:bCs w:val="0"/>
        </w:rPr>
      </w:r>
    </w:p>
    <w:p>
      <w:pPr>
        <w:spacing w:line="240" w:lineRule="auto" w:before="7"/>
        <w:rPr>
          <w:rFonts w:ascii="宋体" w:hAnsi="宋体" w:cs="宋体" w:eastAsia="宋体" w:hint="default"/>
          <w:b/>
          <w:bCs/>
          <w:sz w:val="14"/>
          <w:szCs w:val="14"/>
        </w:rPr>
      </w:pPr>
    </w:p>
    <w:tbl>
      <w:tblPr>
        <w:tblW w:w="0" w:type="auto"/>
        <w:jc w:val="left"/>
        <w:tblInd w:w="180" w:type="dxa"/>
        <w:tblLayout w:type="fixed"/>
        <w:tblCellMar>
          <w:top w:w="0" w:type="dxa"/>
          <w:left w:w="0" w:type="dxa"/>
          <w:bottom w:w="0" w:type="dxa"/>
          <w:right w:w="0" w:type="dxa"/>
        </w:tblCellMar>
        <w:tblLook w:val="01E0"/>
      </w:tblPr>
      <w:tblGrid>
        <w:gridCol w:w="1565"/>
        <w:gridCol w:w="914"/>
        <w:gridCol w:w="936"/>
        <w:gridCol w:w="842"/>
        <w:gridCol w:w="965"/>
        <w:gridCol w:w="882"/>
        <w:gridCol w:w="941"/>
        <w:gridCol w:w="880"/>
        <w:gridCol w:w="968"/>
      </w:tblGrid>
      <w:tr>
        <w:trPr>
          <w:trHeight w:val="355" w:hRule="exact"/>
        </w:trPr>
        <w:tc>
          <w:tcPr>
            <w:tcW w:w="1565" w:type="dxa"/>
            <w:vMerge w:val="restart"/>
            <w:tcBorders>
              <w:top w:val="single" w:sz="6" w:space="0" w:color="000000"/>
              <w:left w:val="single" w:sz="6" w:space="0" w:color="000000"/>
              <w:right w:val="single" w:sz="6" w:space="0" w:color="000000"/>
            </w:tcBorders>
          </w:tcPr>
          <w:p>
            <w:pPr>
              <w:pStyle w:val="TableParagraph"/>
              <w:spacing w:line="273" w:lineRule="auto" w:before="21"/>
              <w:ind w:left="565" w:right="38" w:hanging="526"/>
              <w:jc w:val="left"/>
              <w:rPr>
                <w:rFonts w:ascii="宋体" w:hAnsi="宋体" w:cs="宋体" w:eastAsia="宋体" w:hint="default"/>
                <w:sz w:val="21"/>
                <w:szCs w:val="21"/>
              </w:rPr>
            </w:pPr>
            <w:r>
              <w:rPr>
                <w:rFonts w:ascii="宋体" w:hAnsi="宋体" w:cs="宋体" w:eastAsia="宋体" w:hint="default"/>
                <w:sz w:val="21"/>
                <w:szCs w:val="21"/>
              </w:rPr>
              <w:t>发行在外的金融 工具</w:t>
            </w:r>
          </w:p>
        </w:tc>
        <w:tc>
          <w:tcPr>
            <w:tcW w:w="18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8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tc>
      </w:tr>
      <w:tr>
        <w:trPr>
          <w:trHeight w:val="354" w:hRule="exact"/>
        </w:trPr>
        <w:tc>
          <w:tcPr>
            <w:tcW w:w="1565" w:type="dxa"/>
            <w:vMerge/>
            <w:tcBorders>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39"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0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2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2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55" w:hRule="exact"/>
        </w:trPr>
        <w:tc>
          <w:tcPr>
            <w:tcW w:w="1565"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c>
          <w:tcPr>
            <w:tcW w:w="968"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565"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c>
          <w:tcPr>
            <w:tcW w:w="968"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117"/>
          <w:pgSz w:w="11910" w:h="16840"/>
          <w:pgMar w:footer="1197" w:header="0" w:top="1120" w:bottom="1380" w:left="1580" w:right="1040"/>
          <w:pgNumType w:start="141"/>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0" w:type="dxa"/>
        <w:tblLayout w:type="fixed"/>
        <w:tblCellMar>
          <w:top w:w="0" w:type="dxa"/>
          <w:left w:w="0" w:type="dxa"/>
          <w:bottom w:w="0" w:type="dxa"/>
          <w:right w:w="0" w:type="dxa"/>
        </w:tblCellMar>
        <w:tblLook w:val="01E0"/>
      </w:tblPr>
      <w:tblGrid>
        <w:gridCol w:w="1565"/>
        <w:gridCol w:w="914"/>
        <w:gridCol w:w="936"/>
        <w:gridCol w:w="842"/>
        <w:gridCol w:w="965"/>
        <w:gridCol w:w="882"/>
        <w:gridCol w:w="941"/>
        <w:gridCol w:w="880"/>
        <w:gridCol w:w="968"/>
      </w:tblGrid>
      <w:tr>
        <w:trPr>
          <w:trHeight w:val="354" w:hRule="exact"/>
        </w:trPr>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14"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c>
          <w:tcPr>
            <w:tcW w:w="96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b/>
          <w:bCs/>
          <w:sz w:val="20"/>
          <w:szCs w:val="20"/>
        </w:rPr>
      </w:pPr>
    </w:p>
    <w:p>
      <w:pPr>
        <w:pStyle w:val="BodyText"/>
        <w:spacing w:line="240" w:lineRule="auto" w:before="35"/>
        <w:ind w:left="137" w:right="121"/>
        <w:jc w:val="left"/>
      </w:pPr>
      <w:r>
        <w:rPr/>
        <w:t>其他权益工具本期增减变动情况、变动原因说明，以及相关会计处理的依据：</w:t>
      </w:r>
    </w:p>
    <w:p>
      <w:pPr>
        <w:spacing w:line="240" w:lineRule="auto" w:before="13"/>
        <w:rPr>
          <w:rFonts w:ascii="宋体" w:hAnsi="宋体" w:cs="宋体" w:eastAsia="宋体" w:hint="default"/>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a">
                <v:path arrowok="t"/>
              </v:shape>
            </v:group>
          </v:group>
        </w:pict>
      </w:r>
      <w:r>
        <w:rPr>
          <w:rFonts w:ascii="宋体" w:hAnsi="宋体" w:cs="宋体" w:eastAsia="宋体" w:hint="default"/>
          <w:sz w:val="2"/>
          <w:szCs w:val="2"/>
        </w:rPr>
      </w:r>
    </w:p>
    <w:p>
      <w:pPr>
        <w:pStyle w:val="BodyText"/>
        <w:spacing w:line="240" w:lineRule="auto" w:before="15"/>
        <w:ind w:left="137" w:right="4941"/>
        <w:jc w:val="left"/>
      </w:pPr>
      <w:r>
        <w:rPr/>
        <w:t>其他说明:</w:t>
      </w:r>
    </w:p>
    <w:p>
      <w:pPr>
        <w:spacing w:line="240" w:lineRule="auto" w:before="13"/>
        <w:rPr>
          <w:rFonts w:ascii="宋体" w:hAnsi="宋体" w:cs="宋体" w:eastAsia="宋体" w:hint="default"/>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a">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pStyle w:val="Heading3"/>
        <w:spacing w:line="240" w:lineRule="auto"/>
        <w:ind w:left="137" w:right="4941"/>
        <w:jc w:val="left"/>
        <w:rPr>
          <w:b w:val="0"/>
          <w:bCs w:val="0"/>
        </w:rPr>
      </w:pPr>
      <w:r>
        <w:rPr/>
        <w:t>55、</w:t>
      </w:r>
      <w:r>
        <w:rPr>
          <w:spacing w:val="-26"/>
        </w:rPr>
        <w:t> </w:t>
      </w:r>
      <w:r>
        <w:rPr/>
        <w:t>资本公积</w:t>
      </w:r>
      <w:r>
        <w:rPr>
          <w:b w:val="0"/>
          <w:bCs w:val="0"/>
        </w:rPr>
      </w:r>
    </w:p>
    <w:p>
      <w:pPr>
        <w:pStyle w:val="BodyText"/>
        <w:tabs>
          <w:tab w:pos="1049" w:val="left" w:leader="none"/>
        </w:tabs>
        <w:spacing w:line="240" w:lineRule="auto" w:before="97"/>
        <w:ind w:left="0" w:right="15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676"/>
        <w:gridCol w:w="1787"/>
        <w:gridCol w:w="1820"/>
        <w:gridCol w:w="1806"/>
        <w:gridCol w:w="1804"/>
      </w:tblGrid>
      <w:tr>
        <w:trPr>
          <w:trHeight w:val="288"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9"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8"/>
                <w:sz w:val="21"/>
                <w:szCs w:val="21"/>
              </w:rPr>
              <w:t>资本溢价（股本溢</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21,611,355.01</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25,068,600.00</w:t>
            </w: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46,679,955.01</w:t>
            </w:r>
          </w:p>
        </w:tc>
      </w:tr>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8,782,409.13</w:t>
            </w:r>
            <w:r>
              <w:rPr>
                <w:rFonts w:ascii="宋体"/>
                <w:sz w:val="21"/>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1,347,470.84</w:t>
            </w:r>
            <w:r>
              <w:rPr>
                <w:rFonts w:ascii="宋体"/>
                <w:sz w:val="21"/>
              </w:rPr>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sz w:val="21"/>
              </w:rPr>
              <w:t>5,824,925.00</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4,304,954.97</w:t>
            </w:r>
            <w:r>
              <w:rPr>
                <w:rFonts w:ascii="宋体"/>
                <w:sz w:val="21"/>
              </w:rPr>
            </w:r>
          </w:p>
        </w:tc>
      </w:tr>
      <w:tr>
        <w:trPr>
          <w:trHeight w:val="640"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 w:right="0" w:firstLine="420"/>
              <w:jc w:val="left"/>
              <w:rPr>
                <w:rFonts w:ascii="宋体" w:hAnsi="宋体" w:cs="宋体" w:eastAsia="宋体" w:hint="default"/>
                <w:sz w:val="21"/>
                <w:szCs w:val="21"/>
              </w:rPr>
            </w:pPr>
            <w:r>
              <w:rPr>
                <w:rFonts w:ascii="宋体" w:hAnsi="宋体" w:cs="宋体" w:eastAsia="宋体" w:hint="default"/>
                <w:sz w:val="21"/>
                <w:szCs w:val="21"/>
              </w:rPr>
              <w:t>因子公司少</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数股权变动产生</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2"/>
              <w:jc w:val="right"/>
              <w:rPr>
                <w:rFonts w:ascii="宋体" w:hAnsi="宋体" w:cs="宋体" w:eastAsia="宋体" w:hint="default"/>
                <w:sz w:val="21"/>
                <w:szCs w:val="21"/>
              </w:rPr>
            </w:pPr>
            <w:r>
              <w:rPr>
                <w:rFonts w:ascii="宋体"/>
                <w:spacing w:val="-1"/>
                <w:sz w:val="21"/>
              </w:rPr>
              <w:t>1,150,120.58</w:t>
            </w:r>
            <w:r>
              <w:rPr>
                <w:rFonts w:ascii="宋体"/>
                <w:sz w:val="21"/>
              </w:rPr>
            </w:r>
          </w:p>
        </w:tc>
        <w:tc>
          <w:tcPr>
            <w:tcW w:w="1820"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2"/>
              <w:jc w:val="right"/>
              <w:rPr>
                <w:rFonts w:ascii="宋体" w:hAnsi="宋体" w:cs="宋体" w:eastAsia="宋体" w:hint="default"/>
                <w:sz w:val="21"/>
                <w:szCs w:val="21"/>
              </w:rPr>
            </w:pPr>
            <w:r>
              <w:rPr>
                <w:rFonts w:ascii="宋体"/>
                <w:spacing w:val="-1"/>
                <w:sz w:val="21"/>
              </w:rPr>
              <w:t>1,150,120.58</w:t>
            </w:r>
            <w:r>
              <w:rPr>
                <w:rFonts w:ascii="宋体"/>
                <w:sz w:val="21"/>
              </w:rPr>
            </w:r>
          </w:p>
        </w:tc>
      </w:tr>
      <w:tr>
        <w:trPr>
          <w:trHeight w:val="318" w:hRule="exact"/>
        </w:trPr>
        <w:tc>
          <w:tcPr>
            <w:tcW w:w="1676" w:type="dxa"/>
            <w:tcBorders>
              <w:top w:val="single" w:sz="6" w:space="0" w:color="000000"/>
              <w:left w:val="single" w:sz="6" w:space="0" w:color="000000"/>
              <w:bottom w:val="nil" w:sz="6" w:space="0" w:color="auto"/>
              <w:right w:val="single" w:sz="6" w:space="0" w:color="000000"/>
            </w:tcBorders>
          </w:tcPr>
          <w:p>
            <w:pPr>
              <w:pStyle w:val="TableParagraph"/>
              <w:spacing w:line="260" w:lineRule="exact"/>
              <w:ind w:left="758" w:right="0"/>
              <w:jc w:val="left"/>
              <w:rPr>
                <w:rFonts w:ascii="宋体" w:hAnsi="宋体" w:cs="宋体" w:eastAsia="宋体" w:hint="default"/>
                <w:sz w:val="21"/>
                <w:szCs w:val="21"/>
              </w:rPr>
            </w:pPr>
            <w:r>
              <w:rPr>
                <w:rFonts w:ascii="宋体" w:hAnsi="宋体" w:cs="宋体" w:eastAsia="宋体" w:hint="default"/>
                <w:sz w:val="21"/>
                <w:szCs w:val="21"/>
              </w:rPr>
              <w:t>以权益结</w:t>
            </w:r>
          </w:p>
        </w:tc>
        <w:tc>
          <w:tcPr>
            <w:tcW w:w="1787"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c>
          <w:tcPr>
            <w:tcW w:w="1806" w:type="dxa"/>
            <w:tcBorders>
              <w:top w:val="single" w:sz="6" w:space="0" w:color="000000"/>
              <w:left w:val="single" w:sz="6" w:space="0" w:color="000000"/>
              <w:bottom w:val="nil" w:sz="6" w:space="0" w:color="auto"/>
              <w:right w:val="single" w:sz="6" w:space="0" w:color="000000"/>
            </w:tcBorders>
          </w:tcPr>
          <w:p>
            <w:pPr/>
          </w:p>
        </w:tc>
        <w:tc>
          <w:tcPr>
            <w:tcW w:w="1804"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67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算的股份支付形</w:t>
            </w:r>
          </w:p>
        </w:tc>
        <w:tc>
          <w:tcPr>
            <w:tcW w:w="178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2"/>
              <w:jc w:val="right"/>
              <w:rPr>
                <w:rFonts w:ascii="宋体" w:hAnsi="宋体" w:cs="宋体" w:eastAsia="宋体" w:hint="default"/>
                <w:sz w:val="21"/>
                <w:szCs w:val="21"/>
              </w:rPr>
            </w:pPr>
            <w:r>
              <w:rPr>
                <w:rFonts w:ascii="宋体"/>
                <w:spacing w:val="-1"/>
                <w:sz w:val="21"/>
              </w:rPr>
              <w:t>7,632,288.55</w:t>
            </w:r>
            <w:r>
              <w:rPr>
                <w:rFonts w:ascii="宋体"/>
                <w:sz w:val="21"/>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right"/>
              <w:rPr>
                <w:rFonts w:ascii="宋体" w:hAnsi="宋体" w:cs="宋体" w:eastAsia="宋体" w:hint="default"/>
                <w:sz w:val="21"/>
                <w:szCs w:val="21"/>
              </w:rPr>
            </w:pPr>
            <w:r>
              <w:rPr>
                <w:rFonts w:ascii="宋体"/>
                <w:spacing w:val="-1"/>
                <w:sz w:val="21"/>
              </w:rPr>
              <w:t>1,347,470.84</w:t>
            </w:r>
            <w:r>
              <w:rPr>
                <w:rFonts w:ascii="宋体"/>
                <w:sz w:val="21"/>
              </w:rPr>
            </w:r>
          </w:p>
        </w:tc>
        <w:tc>
          <w:tcPr>
            <w:tcW w:w="180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508" w:right="0"/>
              <w:jc w:val="left"/>
              <w:rPr>
                <w:rFonts w:ascii="宋体" w:hAnsi="宋体" w:cs="宋体" w:eastAsia="宋体" w:hint="default"/>
                <w:sz w:val="21"/>
                <w:szCs w:val="21"/>
              </w:rPr>
            </w:pPr>
            <w:r>
              <w:rPr>
                <w:rFonts w:ascii="宋体"/>
                <w:sz w:val="21"/>
              </w:rPr>
              <w:t>5,824,925.00</w:t>
            </w:r>
          </w:p>
        </w:tc>
        <w:tc>
          <w:tcPr>
            <w:tcW w:w="180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2"/>
              <w:jc w:val="right"/>
              <w:rPr>
                <w:rFonts w:ascii="宋体" w:hAnsi="宋体" w:cs="宋体" w:eastAsia="宋体" w:hint="default"/>
                <w:sz w:val="21"/>
                <w:szCs w:val="21"/>
              </w:rPr>
            </w:pPr>
            <w:r>
              <w:rPr>
                <w:rFonts w:ascii="宋体"/>
                <w:spacing w:val="-1"/>
                <w:sz w:val="21"/>
              </w:rPr>
              <w:t>3,154,834.39</w:t>
            </w:r>
            <w:r>
              <w:rPr>
                <w:rFonts w:ascii="宋体"/>
                <w:sz w:val="21"/>
              </w:rPr>
            </w:r>
          </w:p>
        </w:tc>
      </w:tr>
      <w:tr>
        <w:trPr>
          <w:trHeight w:val="320" w:hRule="exact"/>
        </w:trPr>
        <w:tc>
          <w:tcPr>
            <w:tcW w:w="167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成的资本公积</w:t>
            </w:r>
          </w:p>
        </w:tc>
        <w:tc>
          <w:tcPr>
            <w:tcW w:w="1787"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c>
          <w:tcPr>
            <w:tcW w:w="1806" w:type="dxa"/>
            <w:tcBorders>
              <w:top w:val="nil" w:sz="6" w:space="0" w:color="auto"/>
              <w:left w:val="single" w:sz="6" w:space="0" w:color="000000"/>
              <w:bottom w:val="single" w:sz="6" w:space="0" w:color="000000"/>
              <w:right w:val="single" w:sz="6" w:space="0" w:color="000000"/>
            </w:tcBorders>
          </w:tcPr>
          <w:p>
            <w:pPr/>
          </w:p>
        </w:tc>
        <w:tc>
          <w:tcPr>
            <w:tcW w:w="1804" w:type="dxa"/>
            <w:tcBorders>
              <w:top w:val="nil" w:sz="6" w:space="0" w:color="auto"/>
              <w:left w:val="single" w:sz="6" w:space="0" w:color="000000"/>
              <w:bottom w:val="single" w:sz="6" w:space="0" w:color="000000"/>
              <w:right w:val="single" w:sz="6" w:space="0" w:color="000000"/>
            </w:tcBorders>
          </w:tcPr>
          <w:p>
            <w:pPr/>
          </w:p>
        </w:tc>
      </w:tr>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30,393,764.14</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26,416,070.84</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sz w:val="21"/>
              </w:rPr>
              <w:t>5,824,925.00</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50,984,909.98</w:t>
            </w:r>
          </w:p>
        </w:tc>
      </w:tr>
    </w:tbl>
    <w:p>
      <w:pPr>
        <w:pStyle w:val="BodyText"/>
        <w:spacing w:line="261" w:lineRule="exact"/>
        <w:ind w:left="137" w:right="0"/>
        <w:jc w:val="both"/>
      </w:pPr>
      <w:r>
        <w:rPr/>
        <w:t>其他说明，包括本期增减变动情况、变动原因说明：</w:t>
      </w:r>
    </w:p>
    <w:p>
      <w:pPr>
        <w:pStyle w:val="BodyText"/>
        <w:spacing w:line="266" w:lineRule="auto" w:before="37"/>
        <w:ind w:left="137" w:right="164"/>
        <w:jc w:val="both"/>
      </w:pPr>
      <w:r>
        <w:rPr/>
        <w:t>以权益结算的股份支付形成的资本公积系企业按照权益工具在授予日的公允价值，将取得的职工 服务计入成本费用，同时增加资本公积所致；本年度减少系根据行权情况将等待期内确认的资本 公积—其他资本公积转入资本公积—资本溢价核算所致，股份支付情况具体详见“附注九</w:t>
      </w:r>
      <w:r>
        <w:rPr>
          <w:rFonts w:ascii="Times New Roman" w:hAnsi="Times New Roman" w:cs="Times New Roman" w:eastAsia="Times New Roman" w:hint="default"/>
        </w:rPr>
        <w:t>—</w:t>
      </w:r>
      <w:r>
        <w:rPr/>
        <w:t>股份 支付”。</w:t>
      </w:r>
    </w:p>
    <w:p>
      <w:pPr>
        <w:spacing w:line="240" w:lineRule="auto" w:before="11"/>
        <w:rPr>
          <w:rFonts w:ascii="宋体" w:hAnsi="宋体" w:cs="宋体" w:eastAsia="宋体" w:hint="default"/>
          <w:sz w:val="26"/>
          <w:szCs w:val="26"/>
        </w:rPr>
      </w:pPr>
    </w:p>
    <w:p>
      <w:pPr>
        <w:pStyle w:val="Heading3"/>
        <w:spacing w:line="240" w:lineRule="auto"/>
        <w:ind w:left="137" w:right="4941"/>
        <w:jc w:val="left"/>
        <w:rPr>
          <w:b w:val="0"/>
          <w:bCs w:val="0"/>
        </w:rPr>
      </w:pPr>
      <w:r>
        <w:rPr/>
        <w:t>56、</w:t>
      </w:r>
      <w:r>
        <w:rPr>
          <w:spacing w:val="-26"/>
        </w:rPr>
        <w:t> </w:t>
      </w:r>
      <w:r>
        <w:rPr/>
        <w:t>库存股</w:t>
      </w:r>
      <w:r>
        <w:rPr>
          <w:b w:val="0"/>
          <w:bCs w:val="0"/>
        </w:rPr>
      </w:r>
    </w:p>
    <w:p>
      <w:pPr>
        <w:pStyle w:val="BodyText"/>
        <w:tabs>
          <w:tab w:pos="1049" w:val="left" w:leader="none"/>
        </w:tabs>
        <w:spacing w:line="240" w:lineRule="auto" w:before="97"/>
        <w:ind w:left="0" w:right="15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680"/>
        <w:gridCol w:w="1775"/>
        <w:gridCol w:w="1805"/>
        <w:gridCol w:w="1816"/>
        <w:gridCol w:w="1818"/>
      </w:tblGrid>
      <w:tr>
        <w:trPr>
          <w:trHeight w:val="328" w:hRule="exact"/>
        </w:trPr>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7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7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8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6" w:hRule="exact"/>
        </w:trPr>
        <w:tc>
          <w:tcPr>
            <w:tcW w:w="1680" w:type="dxa"/>
            <w:tcBorders>
              <w:top w:val="single" w:sz="6" w:space="0" w:color="000000"/>
              <w:left w:val="single" w:sz="6" w:space="0" w:color="000000"/>
              <w:bottom w:val="single" w:sz="6" w:space="0" w:color="000000"/>
              <w:right w:val="single" w:sz="6" w:space="0" w:color="000000"/>
            </w:tcBorders>
          </w:tcPr>
          <w:p>
            <w:pPr/>
          </w:p>
        </w:tc>
        <w:tc>
          <w:tcPr>
            <w:tcW w:w="177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6"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80" w:type="dxa"/>
            <w:tcBorders>
              <w:top w:val="single" w:sz="6" w:space="0" w:color="000000"/>
              <w:left w:val="single" w:sz="6" w:space="0" w:color="000000"/>
              <w:bottom w:val="single" w:sz="6" w:space="0" w:color="000000"/>
              <w:right w:val="single" w:sz="6" w:space="0" w:color="000000"/>
            </w:tcBorders>
          </w:tcPr>
          <w:p>
            <w:pPr/>
          </w:p>
        </w:tc>
        <w:tc>
          <w:tcPr>
            <w:tcW w:w="177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6"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7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6"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61" w:lineRule="exact"/>
        <w:ind w:left="137" w:right="121"/>
        <w:jc w:val="left"/>
      </w:pPr>
      <w:r>
        <w:rPr/>
        <w:t>其他说明，包括本期增减变动情况、变动原因说明：</w:t>
      </w:r>
    </w:p>
    <w:p>
      <w:pPr>
        <w:spacing w:line="240" w:lineRule="auto" w:before="13"/>
        <w:rPr>
          <w:rFonts w:ascii="宋体" w:hAnsi="宋体" w:cs="宋体" w:eastAsia="宋体" w:hint="default"/>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pStyle w:val="Heading3"/>
        <w:spacing w:line="240" w:lineRule="auto"/>
        <w:ind w:left="137" w:right="4941"/>
        <w:jc w:val="left"/>
        <w:rPr>
          <w:b w:val="0"/>
          <w:bCs w:val="0"/>
        </w:rPr>
      </w:pPr>
      <w:r>
        <w:rPr/>
        <w:t>57、</w:t>
      </w:r>
      <w:r>
        <w:rPr>
          <w:spacing w:val="-29"/>
        </w:rPr>
        <w:t> </w:t>
      </w:r>
      <w:r>
        <w:rPr/>
        <w:t>其他综合收益</w:t>
      </w:r>
      <w:r>
        <w:rPr>
          <w:b w:val="0"/>
          <w:bCs w:val="0"/>
        </w:rPr>
      </w:r>
    </w:p>
    <w:p>
      <w:pPr>
        <w:pStyle w:val="BodyText"/>
        <w:tabs>
          <w:tab w:pos="1049" w:val="left" w:leader="none"/>
        </w:tabs>
        <w:spacing w:line="240" w:lineRule="auto" w:before="97"/>
        <w:ind w:left="0" w:right="15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606"/>
        <w:gridCol w:w="1040"/>
        <w:gridCol w:w="964"/>
        <w:gridCol w:w="1182"/>
        <w:gridCol w:w="1003"/>
        <w:gridCol w:w="1108"/>
        <w:gridCol w:w="1063"/>
        <w:gridCol w:w="910"/>
      </w:tblGrid>
      <w:tr>
        <w:trPr>
          <w:trHeight w:val="322" w:hRule="exact"/>
        </w:trPr>
        <w:tc>
          <w:tcPr>
            <w:tcW w:w="1606" w:type="dxa"/>
            <w:tcBorders>
              <w:top w:val="single" w:sz="4" w:space="0" w:color="000000"/>
              <w:left w:val="single" w:sz="4" w:space="0" w:color="000000"/>
              <w:bottom w:val="nil" w:sz="6" w:space="0" w:color="auto"/>
              <w:right w:val="single" w:sz="4" w:space="0" w:color="000000"/>
            </w:tcBorders>
          </w:tcPr>
          <w:p>
            <w:pPr/>
          </w:p>
        </w:tc>
        <w:tc>
          <w:tcPr>
            <w:tcW w:w="1040" w:type="dxa"/>
            <w:tcBorders>
              <w:top w:val="single" w:sz="4" w:space="0" w:color="000000"/>
              <w:left w:val="single" w:sz="4" w:space="0" w:color="000000"/>
              <w:bottom w:val="nil" w:sz="6" w:space="0" w:color="auto"/>
              <w:right w:val="single" w:sz="4" w:space="0" w:color="000000"/>
            </w:tcBorders>
          </w:tcPr>
          <w:p>
            <w:pPr/>
          </w:p>
        </w:tc>
        <w:tc>
          <w:tcPr>
            <w:tcW w:w="53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910" w:type="dxa"/>
            <w:tcBorders>
              <w:top w:val="single" w:sz="4" w:space="0" w:color="000000"/>
              <w:left w:val="single" w:sz="4" w:space="0" w:color="000000"/>
              <w:bottom w:val="nil" w:sz="6" w:space="0" w:color="auto"/>
              <w:right w:val="single" w:sz="4" w:space="0" w:color="000000"/>
            </w:tcBorders>
          </w:tcPr>
          <w:p>
            <w:pPr/>
          </w:p>
        </w:tc>
      </w:tr>
      <w:tr>
        <w:trPr>
          <w:trHeight w:val="314" w:hRule="exact"/>
        </w:trPr>
        <w:tc>
          <w:tcPr>
            <w:tcW w:w="1606"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964" w:type="dxa"/>
            <w:tcBorders>
              <w:top w:val="single" w:sz="4" w:space="0" w:color="000000"/>
              <w:left w:val="single" w:sz="4" w:space="0" w:color="000000"/>
              <w:bottom w:val="nil" w:sz="6" w:space="0" w:color="auto"/>
              <w:right w:val="single" w:sz="4" w:space="0" w:color="000000"/>
            </w:tcBorders>
          </w:tcPr>
          <w:p>
            <w:pPr/>
          </w:p>
        </w:tc>
        <w:tc>
          <w:tcPr>
            <w:tcW w:w="1182"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pacing w:val="-17"/>
                <w:sz w:val="21"/>
                <w:szCs w:val="21"/>
              </w:rPr>
              <w:t>减：前期计</w:t>
            </w:r>
          </w:p>
        </w:tc>
        <w:tc>
          <w:tcPr>
            <w:tcW w:w="1003"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r>
      <w:tr>
        <w:trPr>
          <w:trHeight w:val="939" w:hRule="exact"/>
        </w:trPr>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040" w:type="dxa"/>
            <w:tcBorders>
              <w:top w:val="nil" w:sz="6" w:space="0" w:color="auto"/>
              <w:left w:val="single" w:sz="4" w:space="0" w:color="000000"/>
              <w:bottom w:val="nil" w:sz="6" w:space="0" w:color="auto"/>
              <w:right w:val="single" w:sz="4" w:space="0" w:color="000000"/>
            </w:tcBorders>
          </w:tcPr>
          <w:p>
            <w:pPr>
              <w:pStyle w:val="TableParagraph"/>
              <w:spacing w:line="258" w:lineRule="exact"/>
              <w:ind w:left="303" w:right="0"/>
              <w:jc w:val="left"/>
              <w:rPr>
                <w:rFonts w:ascii="宋体" w:hAnsi="宋体" w:cs="宋体" w:eastAsia="宋体" w:hint="default"/>
                <w:sz w:val="21"/>
                <w:szCs w:val="21"/>
              </w:rPr>
            </w:pPr>
            <w:r>
              <w:rPr>
                <w:rFonts w:ascii="宋体" w:hAnsi="宋体" w:cs="宋体" w:eastAsia="宋体" w:hint="default"/>
                <w:sz w:val="21"/>
                <w:szCs w:val="21"/>
              </w:rPr>
              <w:t>期初</w:t>
            </w:r>
          </w:p>
          <w:p>
            <w:pPr>
              <w:pStyle w:val="TableParagraph"/>
              <w:spacing w:line="240" w:lineRule="auto" w:before="37"/>
              <w:ind w:left="303"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964" w:type="dxa"/>
            <w:tcBorders>
              <w:top w:val="nil" w:sz="6" w:space="0" w:color="auto"/>
              <w:left w:val="single" w:sz="4" w:space="0" w:color="000000"/>
              <w:bottom w:val="nil" w:sz="6" w:space="0" w:color="auto"/>
              <w:right w:val="single" w:sz="4" w:space="0" w:color="000000"/>
            </w:tcBorders>
          </w:tcPr>
          <w:p>
            <w:pPr>
              <w:pStyle w:val="TableParagraph"/>
              <w:spacing w:line="273" w:lineRule="auto"/>
              <w:ind w:left="160" w:right="161"/>
              <w:jc w:val="both"/>
              <w:rPr>
                <w:rFonts w:ascii="宋体" w:hAnsi="宋体" w:cs="宋体" w:eastAsia="宋体" w:hint="default"/>
                <w:sz w:val="21"/>
                <w:szCs w:val="21"/>
              </w:rPr>
            </w:pPr>
            <w:r>
              <w:rPr>
                <w:rFonts w:ascii="宋体" w:hAnsi="宋体" w:cs="宋体" w:eastAsia="宋体" w:hint="default"/>
                <w:sz w:val="21"/>
                <w:szCs w:val="21"/>
              </w:rPr>
              <w:t>本期所 得税前 发生额</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73" w:lineRule="auto"/>
              <w:ind w:left="165" w:right="164"/>
              <w:jc w:val="both"/>
              <w:rPr>
                <w:rFonts w:ascii="宋体" w:hAnsi="宋体" w:cs="宋体" w:eastAsia="宋体" w:hint="default"/>
                <w:sz w:val="21"/>
                <w:szCs w:val="21"/>
              </w:rPr>
            </w:pPr>
            <w:r>
              <w:rPr>
                <w:rFonts w:ascii="宋体" w:hAnsi="宋体" w:cs="宋体" w:eastAsia="宋体" w:hint="default"/>
                <w:sz w:val="21"/>
                <w:szCs w:val="21"/>
              </w:rPr>
              <w:t>入其他综 合收益当 期转入损</w:t>
            </w:r>
          </w:p>
        </w:tc>
        <w:tc>
          <w:tcPr>
            <w:tcW w:w="1003" w:type="dxa"/>
            <w:tcBorders>
              <w:top w:val="nil" w:sz="6" w:space="0" w:color="auto"/>
              <w:left w:val="single" w:sz="4" w:space="0" w:color="000000"/>
              <w:bottom w:val="nil" w:sz="6" w:space="0" w:color="auto"/>
              <w:right w:val="single" w:sz="4" w:space="0" w:color="000000"/>
            </w:tcBorders>
          </w:tcPr>
          <w:p>
            <w:pPr>
              <w:pStyle w:val="TableParagraph"/>
              <w:spacing w:line="273" w:lineRule="auto" w:before="145"/>
              <w:ind w:left="180" w:right="102" w:hanging="78"/>
              <w:jc w:val="left"/>
              <w:rPr>
                <w:rFonts w:ascii="宋体" w:hAnsi="宋体" w:cs="宋体" w:eastAsia="宋体" w:hint="default"/>
                <w:sz w:val="21"/>
                <w:szCs w:val="21"/>
              </w:rPr>
            </w:pPr>
            <w:r>
              <w:rPr>
                <w:rFonts w:ascii="宋体" w:hAnsi="宋体" w:cs="宋体" w:eastAsia="宋体" w:hint="default"/>
                <w:spacing w:val="-14"/>
                <w:sz w:val="21"/>
                <w:szCs w:val="21"/>
              </w:rPr>
              <w:t>减：所得</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税费用</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73" w:lineRule="auto" w:before="145"/>
              <w:ind w:left="127" w:right="128"/>
              <w:jc w:val="left"/>
              <w:rPr>
                <w:rFonts w:ascii="宋体" w:hAnsi="宋体" w:cs="宋体" w:eastAsia="宋体" w:hint="default"/>
                <w:sz w:val="21"/>
                <w:szCs w:val="21"/>
              </w:rPr>
            </w:pPr>
            <w:r>
              <w:rPr>
                <w:rFonts w:ascii="宋体" w:hAnsi="宋体" w:cs="宋体" w:eastAsia="宋体" w:hint="default"/>
                <w:sz w:val="21"/>
                <w:szCs w:val="21"/>
              </w:rPr>
              <w:t>税后归属 于母公司</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73" w:lineRule="auto"/>
              <w:ind w:left="106" w:right="104"/>
              <w:jc w:val="center"/>
              <w:rPr>
                <w:rFonts w:ascii="宋体" w:hAnsi="宋体" w:cs="宋体" w:eastAsia="宋体" w:hint="default"/>
                <w:sz w:val="21"/>
                <w:szCs w:val="21"/>
              </w:rPr>
            </w:pPr>
            <w:r>
              <w:rPr>
                <w:rFonts w:ascii="宋体" w:hAnsi="宋体" w:cs="宋体" w:eastAsia="宋体" w:hint="default"/>
                <w:sz w:val="21"/>
                <w:szCs w:val="21"/>
              </w:rPr>
              <w:t>税后归属 于少数股 东</w:t>
            </w:r>
          </w:p>
        </w:tc>
        <w:tc>
          <w:tcPr>
            <w:tcW w:w="910" w:type="dxa"/>
            <w:tcBorders>
              <w:top w:val="nil" w:sz="6" w:space="0" w:color="auto"/>
              <w:left w:val="single" w:sz="4" w:space="0" w:color="000000"/>
              <w:bottom w:val="nil" w:sz="6" w:space="0" w:color="auto"/>
              <w:right w:val="single" w:sz="4" w:space="0" w:color="000000"/>
            </w:tcBorders>
          </w:tcPr>
          <w:p>
            <w:pPr>
              <w:pStyle w:val="TableParagraph"/>
              <w:spacing w:line="258" w:lineRule="exact"/>
              <w:ind w:left="237" w:right="0"/>
              <w:jc w:val="left"/>
              <w:rPr>
                <w:rFonts w:ascii="宋体" w:hAnsi="宋体" w:cs="宋体" w:eastAsia="宋体" w:hint="default"/>
                <w:sz w:val="21"/>
                <w:szCs w:val="21"/>
              </w:rPr>
            </w:pPr>
            <w:r>
              <w:rPr>
                <w:rFonts w:ascii="宋体" w:hAnsi="宋体" w:cs="宋体" w:eastAsia="宋体" w:hint="default"/>
                <w:sz w:val="21"/>
                <w:szCs w:val="21"/>
              </w:rPr>
              <w:t>期末</w:t>
            </w:r>
          </w:p>
          <w:p>
            <w:pPr>
              <w:pStyle w:val="TableParagraph"/>
              <w:spacing w:line="240" w:lineRule="auto" w:before="37"/>
              <w:ind w:left="237" w:right="0"/>
              <w:jc w:val="left"/>
              <w:rPr>
                <w:rFonts w:ascii="宋体" w:hAnsi="宋体" w:cs="宋体" w:eastAsia="宋体" w:hint="default"/>
                <w:sz w:val="21"/>
                <w:szCs w:val="21"/>
              </w:rPr>
            </w:pPr>
            <w:r>
              <w:rPr>
                <w:rFonts w:ascii="宋体" w:hAnsi="宋体" w:cs="宋体" w:eastAsia="宋体" w:hint="default"/>
                <w:sz w:val="21"/>
                <w:szCs w:val="21"/>
              </w:rPr>
              <w:t>余额</w:t>
            </w:r>
          </w:p>
        </w:tc>
      </w:tr>
      <w:tr>
        <w:trPr>
          <w:trHeight w:val="318" w:hRule="exact"/>
        </w:trPr>
        <w:tc>
          <w:tcPr>
            <w:tcW w:w="1606" w:type="dxa"/>
            <w:tcBorders>
              <w:top w:val="nil" w:sz="6" w:space="0" w:color="auto"/>
              <w:left w:val="single" w:sz="4" w:space="0" w:color="000000"/>
              <w:bottom w:val="single" w:sz="4" w:space="0" w:color="000000"/>
              <w:right w:val="single" w:sz="4" w:space="0" w:color="000000"/>
            </w:tcBorders>
          </w:tcPr>
          <w:p>
            <w:pPr/>
          </w:p>
        </w:tc>
        <w:tc>
          <w:tcPr>
            <w:tcW w:w="1040" w:type="dxa"/>
            <w:tcBorders>
              <w:top w:val="nil" w:sz="6" w:space="0" w:color="auto"/>
              <w:left w:val="single" w:sz="4" w:space="0" w:color="000000"/>
              <w:bottom w:val="single" w:sz="4" w:space="0" w:color="000000"/>
              <w:right w:val="single" w:sz="4" w:space="0" w:color="000000"/>
            </w:tcBorders>
          </w:tcPr>
          <w:p>
            <w:pPr/>
          </w:p>
        </w:tc>
        <w:tc>
          <w:tcPr>
            <w:tcW w:w="964" w:type="dxa"/>
            <w:tcBorders>
              <w:top w:val="nil" w:sz="6" w:space="0" w:color="auto"/>
              <w:left w:val="single" w:sz="4" w:space="0" w:color="000000"/>
              <w:bottom w:val="single" w:sz="4" w:space="0" w:color="000000"/>
              <w:right w:val="single" w:sz="4" w:space="0" w:color="000000"/>
            </w:tcBorders>
          </w:tcPr>
          <w:p>
            <w:pPr/>
          </w:p>
        </w:tc>
        <w:tc>
          <w:tcPr>
            <w:tcW w:w="1182"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益</w:t>
            </w:r>
          </w:p>
        </w:tc>
        <w:tc>
          <w:tcPr>
            <w:tcW w:w="1003"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910" w:type="dxa"/>
            <w:tcBorders>
              <w:top w:val="nil" w:sz="6" w:space="0" w:color="auto"/>
              <w:left w:val="single" w:sz="4" w:space="0" w:color="000000"/>
              <w:bottom w:val="single" w:sz="4" w:space="0" w:color="000000"/>
              <w:right w:val="single" w:sz="4" w:space="0" w:color="000000"/>
            </w:tcBorders>
          </w:tcPr>
          <w:p>
            <w:pPr/>
          </w:p>
        </w:tc>
      </w:tr>
      <w:tr>
        <w:trPr>
          <w:trHeight w:val="322"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pacing w:val="-12"/>
                <w:sz w:val="21"/>
                <w:szCs w:val="21"/>
              </w:rPr>
              <w:t>一、以后不能重</w:t>
            </w:r>
          </w:p>
        </w:tc>
        <w:tc>
          <w:tcPr>
            <w:tcW w:w="104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7" w:top="112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606"/>
        <w:gridCol w:w="1040"/>
        <w:gridCol w:w="964"/>
        <w:gridCol w:w="1182"/>
        <w:gridCol w:w="1003"/>
        <w:gridCol w:w="1108"/>
        <w:gridCol w:w="1063"/>
        <w:gridCol w:w="910"/>
      </w:tblGrid>
      <w:tr>
        <w:trPr>
          <w:trHeight w:val="634"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分类进损益的</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04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both"/>
              <w:rPr>
                <w:rFonts w:ascii="宋体" w:hAnsi="宋体" w:cs="宋体" w:eastAsia="宋体" w:hint="default"/>
                <w:sz w:val="21"/>
                <w:szCs w:val="21"/>
              </w:rPr>
            </w:pPr>
            <w:r>
              <w:rPr>
                <w:rFonts w:ascii="宋体" w:hAnsi="宋体" w:cs="宋体" w:eastAsia="宋体" w:hint="default"/>
                <w:spacing w:val="-12"/>
                <w:sz w:val="21"/>
                <w:szCs w:val="21"/>
              </w:rPr>
              <w:t>其中：重新计算</w:t>
            </w:r>
          </w:p>
          <w:p>
            <w:pPr>
              <w:pStyle w:val="TableParagraph"/>
              <w:spacing w:line="273" w:lineRule="auto" w:before="37"/>
              <w:ind w:left="101" w:right="233"/>
              <w:jc w:val="both"/>
              <w:rPr>
                <w:rFonts w:ascii="宋体" w:hAnsi="宋体" w:cs="宋体" w:eastAsia="宋体" w:hint="default"/>
                <w:sz w:val="21"/>
                <w:szCs w:val="21"/>
              </w:rPr>
            </w:pPr>
            <w:r>
              <w:rPr>
                <w:rFonts w:ascii="宋体" w:hAnsi="宋体" w:cs="宋体" w:eastAsia="宋体" w:hint="default"/>
                <w:sz w:val="21"/>
                <w:szCs w:val="21"/>
              </w:rPr>
              <w:t>设定受益计划 净负债和净资 产的变动</w:t>
            </w:r>
          </w:p>
        </w:tc>
        <w:tc>
          <w:tcPr>
            <w:tcW w:w="104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188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firstLine="210"/>
              <w:jc w:val="left"/>
              <w:rPr>
                <w:rFonts w:ascii="宋体" w:hAnsi="宋体" w:cs="宋体" w:eastAsia="宋体" w:hint="default"/>
                <w:sz w:val="21"/>
                <w:szCs w:val="21"/>
              </w:rPr>
            </w:pPr>
            <w:r>
              <w:rPr>
                <w:rFonts w:ascii="宋体" w:hAnsi="宋体" w:cs="宋体" w:eastAsia="宋体" w:hint="default"/>
                <w:sz w:val="21"/>
                <w:szCs w:val="21"/>
              </w:rPr>
              <w:t>权益法下在</w:t>
            </w:r>
          </w:p>
          <w:p>
            <w:pPr>
              <w:pStyle w:val="TableParagraph"/>
              <w:spacing w:line="273" w:lineRule="auto" w:before="37"/>
              <w:ind w:left="101" w:right="233"/>
              <w:jc w:val="both"/>
              <w:rPr>
                <w:rFonts w:ascii="宋体" w:hAnsi="宋体" w:cs="宋体" w:eastAsia="宋体" w:hint="default"/>
                <w:sz w:val="21"/>
                <w:szCs w:val="21"/>
              </w:rPr>
            </w:pPr>
            <w:r>
              <w:rPr>
                <w:rFonts w:ascii="宋体" w:hAnsi="宋体" w:cs="宋体" w:eastAsia="宋体" w:hint="default"/>
                <w:sz w:val="21"/>
                <w:szCs w:val="21"/>
              </w:rPr>
              <w:t>被投资单位不 能重分类进损 益的其他综合 收益中享有的 份额</w:t>
            </w:r>
          </w:p>
        </w:tc>
        <w:tc>
          <w:tcPr>
            <w:tcW w:w="104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06"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06"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二、以后将重分</w:t>
            </w:r>
          </w:p>
          <w:p>
            <w:pPr>
              <w:pStyle w:val="TableParagraph"/>
              <w:spacing w:line="273" w:lineRule="auto" w:before="37"/>
              <w:ind w:left="101" w:right="233"/>
              <w:jc w:val="left"/>
              <w:rPr>
                <w:rFonts w:ascii="宋体" w:hAnsi="宋体" w:cs="宋体" w:eastAsia="宋体" w:hint="default"/>
                <w:sz w:val="21"/>
                <w:szCs w:val="21"/>
              </w:rPr>
            </w:pPr>
            <w:r>
              <w:rPr>
                <w:rFonts w:ascii="宋体" w:hAnsi="宋体" w:cs="宋体" w:eastAsia="宋体" w:hint="default"/>
                <w:sz w:val="21"/>
                <w:szCs w:val="21"/>
              </w:rPr>
              <w:t>类进损益的其 他综合收益</w:t>
            </w:r>
          </w:p>
        </w:tc>
        <w:tc>
          <w:tcPr>
            <w:tcW w:w="104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both"/>
              <w:rPr>
                <w:rFonts w:ascii="宋体" w:hAnsi="宋体" w:cs="宋体" w:eastAsia="宋体" w:hint="default"/>
                <w:sz w:val="21"/>
                <w:szCs w:val="21"/>
              </w:rPr>
            </w:pPr>
            <w:r>
              <w:rPr>
                <w:rFonts w:ascii="宋体" w:hAnsi="宋体" w:cs="宋体" w:eastAsia="宋体" w:hint="default"/>
                <w:spacing w:val="-12"/>
                <w:sz w:val="21"/>
                <w:szCs w:val="21"/>
              </w:rPr>
              <w:t>其中：权益法下</w:t>
            </w:r>
          </w:p>
          <w:p>
            <w:pPr>
              <w:pStyle w:val="TableParagraph"/>
              <w:spacing w:line="273" w:lineRule="auto" w:before="37"/>
              <w:ind w:left="101" w:right="233"/>
              <w:jc w:val="both"/>
              <w:rPr>
                <w:rFonts w:ascii="宋体" w:hAnsi="宋体" w:cs="宋体" w:eastAsia="宋体" w:hint="default"/>
                <w:sz w:val="21"/>
                <w:szCs w:val="21"/>
              </w:rPr>
            </w:pPr>
            <w:r>
              <w:rPr>
                <w:rFonts w:ascii="宋体" w:hAnsi="宋体" w:cs="宋体" w:eastAsia="宋体" w:hint="default"/>
                <w:sz w:val="21"/>
                <w:szCs w:val="21"/>
              </w:rPr>
              <w:t>在被投资单位 以后将重分类 进损益的其他 综合收益中享 有的份额</w:t>
            </w:r>
          </w:p>
        </w:tc>
        <w:tc>
          <w:tcPr>
            <w:tcW w:w="104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firstLine="210"/>
              <w:jc w:val="left"/>
              <w:rPr>
                <w:rFonts w:ascii="宋体" w:hAnsi="宋体" w:cs="宋体" w:eastAsia="宋体" w:hint="default"/>
                <w:sz w:val="21"/>
                <w:szCs w:val="21"/>
              </w:rPr>
            </w:pPr>
            <w:r>
              <w:rPr>
                <w:rFonts w:ascii="宋体" w:hAnsi="宋体" w:cs="宋体" w:eastAsia="宋体" w:hint="default"/>
                <w:sz w:val="21"/>
                <w:szCs w:val="21"/>
              </w:rPr>
              <w:t>可供出售金</w:t>
            </w:r>
          </w:p>
          <w:p>
            <w:pPr>
              <w:pStyle w:val="TableParagraph"/>
              <w:spacing w:line="273" w:lineRule="auto" w:before="37"/>
              <w:ind w:left="101" w:right="233"/>
              <w:jc w:val="left"/>
              <w:rPr>
                <w:rFonts w:ascii="宋体" w:hAnsi="宋体" w:cs="宋体" w:eastAsia="宋体" w:hint="default"/>
                <w:sz w:val="21"/>
                <w:szCs w:val="21"/>
              </w:rPr>
            </w:pPr>
            <w:r>
              <w:rPr>
                <w:rFonts w:ascii="宋体" w:hAnsi="宋体" w:cs="宋体" w:eastAsia="宋体" w:hint="default"/>
                <w:sz w:val="21"/>
                <w:szCs w:val="21"/>
              </w:rPr>
              <w:t>融资产公允价 值变动损益</w:t>
            </w:r>
          </w:p>
        </w:tc>
        <w:tc>
          <w:tcPr>
            <w:tcW w:w="104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1259"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firstLine="210"/>
              <w:jc w:val="left"/>
              <w:rPr>
                <w:rFonts w:ascii="宋体" w:hAnsi="宋体" w:cs="宋体" w:eastAsia="宋体" w:hint="default"/>
                <w:sz w:val="21"/>
                <w:szCs w:val="21"/>
              </w:rPr>
            </w:pPr>
            <w:r>
              <w:rPr>
                <w:rFonts w:ascii="宋体" w:hAnsi="宋体" w:cs="宋体" w:eastAsia="宋体" w:hint="default"/>
                <w:sz w:val="21"/>
                <w:szCs w:val="21"/>
              </w:rPr>
              <w:t>持有至到期</w:t>
            </w:r>
          </w:p>
          <w:p>
            <w:pPr>
              <w:pStyle w:val="TableParagraph"/>
              <w:spacing w:line="273" w:lineRule="auto" w:before="37"/>
              <w:ind w:left="101" w:right="233"/>
              <w:jc w:val="both"/>
              <w:rPr>
                <w:rFonts w:ascii="宋体" w:hAnsi="宋体" w:cs="宋体" w:eastAsia="宋体" w:hint="default"/>
                <w:sz w:val="21"/>
                <w:szCs w:val="21"/>
              </w:rPr>
            </w:pPr>
            <w:r>
              <w:rPr>
                <w:rFonts w:ascii="宋体" w:hAnsi="宋体" w:cs="宋体" w:eastAsia="宋体" w:hint="default"/>
                <w:sz w:val="21"/>
                <w:szCs w:val="21"/>
              </w:rPr>
              <w:t>投资重分类为 可供出售金融 资产损益</w:t>
            </w:r>
          </w:p>
        </w:tc>
        <w:tc>
          <w:tcPr>
            <w:tcW w:w="104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firstLine="210"/>
              <w:jc w:val="left"/>
              <w:rPr>
                <w:rFonts w:ascii="宋体" w:hAnsi="宋体" w:cs="宋体" w:eastAsia="宋体" w:hint="default"/>
                <w:sz w:val="21"/>
                <w:szCs w:val="21"/>
              </w:rPr>
            </w:pPr>
            <w:r>
              <w:rPr>
                <w:rFonts w:ascii="宋体" w:hAnsi="宋体" w:cs="宋体" w:eastAsia="宋体" w:hint="default"/>
                <w:sz w:val="21"/>
                <w:szCs w:val="21"/>
              </w:rPr>
              <w:t>现金流量套</w:t>
            </w:r>
          </w:p>
          <w:p>
            <w:pPr>
              <w:pStyle w:val="TableParagraph"/>
              <w:spacing w:line="273" w:lineRule="auto" w:before="37"/>
              <w:ind w:left="101" w:right="233"/>
              <w:jc w:val="left"/>
              <w:rPr>
                <w:rFonts w:ascii="宋体" w:hAnsi="宋体" w:cs="宋体" w:eastAsia="宋体" w:hint="default"/>
                <w:sz w:val="21"/>
                <w:szCs w:val="21"/>
              </w:rPr>
            </w:pPr>
            <w:r>
              <w:rPr>
                <w:rFonts w:ascii="宋体" w:hAnsi="宋体" w:cs="宋体" w:eastAsia="宋体" w:hint="default"/>
                <w:sz w:val="21"/>
                <w:szCs w:val="21"/>
              </w:rPr>
              <w:t>期损益的有效 部分</w:t>
            </w:r>
          </w:p>
        </w:tc>
        <w:tc>
          <w:tcPr>
            <w:tcW w:w="104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2" w:right="0"/>
              <w:jc w:val="left"/>
              <w:rPr>
                <w:rFonts w:ascii="宋体" w:hAnsi="宋体" w:cs="宋体" w:eastAsia="宋体" w:hint="default"/>
                <w:sz w:val="21"/>
                <w:szCs w:val="21"/>
              </w:rPr>
            </w:pPr>
            <w:r>
              <w:rPr>
                <w:rFonts w:ascii="宋体" w:hAnsi="宋体" w:cs="宋体" w:eastAsia="宋体" w:hint="default"/>
                <w:sz w:val="21"/>
                <w:szCs w:val="21"/>
              </w:rPr>
              <w:t>外币财务报</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表折算差额</w:t>
            </w:r>
          </w:p>
        </w:tc>
        <w:tc>
          <w:tcPr>
            <w:tcW w:w="104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606"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06"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其他综合收益</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4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24"/>
          <w:szCs w:val="24"/>
        </w:rPr>
      </w:pPr>
    </w:p>
    <w:p>
      <w:pPr>
        <w:pStyle w:val="BodyText"/>
        <w:spacing w:line="240" w:lineRule="auto" w:before="35"/>
        <w:ind w:left="137" w:right="127"/>
        <w:jc w:val="left"/>
      </w:pPr>
      <w:r>
        <w:rPr/>
        <w:t>其他说明，包括对现金流量套期损益的有效部分转为被套期项目初始确认金额调整：</w:t>
      </w:r>
    </w:p>
    <w:p>
      <w:pPr>
        <w:spacing w:line="240" w:lineRule="auto" w:before="7"/>
        <w:rPr>
          <w:rFonts w:ascii="宋体" w:hAnsi="宋体" w:cs="宋体" w:eastAsia="宋体" w:hint="default"/>
          <w:sz w:val="28"/>
          <w:szCs w:val="28"/>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7" w:top="1120" w:bottom="1380" w:left="1660" w:right="1140"/>
        </w:sectPr>
      </w:pPr>
    </w:p>
    <w:p>
      <w:pPr>
        <w:spacing w:line="240" w:lineRule="auto" w:before="10"/>
        <w:rPr>
          <w:rFonts w:ascii="宋体" w:hAnsi="宋体" w:cs="宋体" w:eastAsia="宋体" w:hint="default"/>
          <w:sz w:val="26"/>
          <w:szCs w:val="26"/>
        </w:rPr>
      </w:pPr>
    </w:p>
    <w:p>
      <w:pPr>
        <w:pStyle w:val="Heading3"/>
        <w:spacing w:line="240" w:lineRule="auto"/>
        <w:ind w:left="157" w:right="584"/>
        <w:jc w:val="left"/>
        <w:rPr>
          <w:b w:val="0"/>
          <w:bCs w:val="0"/>
        </w:rPr>
      </w:pPr>
      <w:r>
        <w:rPr/>
        <w:t>58、</w:t>
      </w:r>
      <w:r>
        <w:rPr>
          <w:spacing w:val="-26"/>
        </w:rPr>
        <w:t> </w:t>
      </w:r>
      <w:r>
        <w:rPr/>
        <w:t>专项储备</w:t>
      </w:r>
      <w:r>
        <w:rPr>
          <w:b w:val="0"/>
          <w:bCs w:val="0"/>
        </w:rPr>
      </w:r>
    </w:p>
    <w:p>
      <w:pPr>
        <w:pStyle w:val="BodyText"/>
        <w:tabs>
          <w:tab w:pos="1049" w:val="left" w:leader="none"/>
        </w:tabs>
        <w:spacing w:line="240" w:lineRule="auto" w:before="97"/>
        <w:ind w:left="0" w:right="15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1681"/>
        <w:gridCol w:w="1789"/>
        <w:gridCol w:w="1789"/>
        <w:gridCol w:w="1830"/>
        <w:gridCol w:w="1804"/>
      </w:tblGrid>
      <w:tr>
        <w:trPr>
          <w:trHeight w:val="326"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623"/>
              <w:jc w:val="right"/>
              <w:rPr>
                <w:rFonts w:ascii="宋体" w:hAnsi="宋体" w:cs="宋体" w:eastAsia="宋体" w:hint="default"/>
                <w:sz w:val="21"/>
                <w:szCs w:val="21"/>
              </w:rPr>
            </w:pPr>
            <w:r>
              <w:rPr>
                <w:rFonts w:ascii="宋体" w:hAnsi="宋体" w:cs="宋体" w:eastAsia="宋体" w:hint="default"/>
                <w:sz w:val="21"/>
                <w:szCs w:val="21"/>
              </w:rPr>
              <w:t>项目</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6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6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8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8"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93"/>
              <w:jc w:val="right"/>
              <w:rPr>
                <w:rFonts w:ascii="宋体" w:hAnsi="宋体" w:cs="宋体" w:eastAsia="宋体" w:hint="default"/>
                <w:sz w:val="21"/>
                <w:szCs w:val="21"/>
              </w:rPr>
            </w:pPr>
            <w:r>
              <w:rPr>
                <w:rFonts w:ascii="宋体" w:hAnsi="宋体" w:cs="宋体" w:eastAsia="宋体" w:hint="default"/>
                <w:sz w:val="21"/>
                <w:szCs w:val="21"/>
              </w:rPr>
              <w:t>安全生产费</w:t>
            </w:r>
          </w:p>
        </w:tc>
        <w:tc>
          <w:tcPr>
            <w:tcW w:w="1789"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830"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681"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830"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81"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830"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623"/>
              <w:jc w:val="right"/>
              <w:rPr>
                <w:rFonts w:ascii="宋体" w:hAnsi="宋体" w:cs="宋体" w:eastAsia="宋体" w:hint="default"/>
                <w:sz w:val="21"/>
                <w:szCs w:val="21"/>
              </w:rPr>
            </w:pPr>
            <w:r>
              <w:rPr>
                <w:rFonts w:ascii="宋体" w:hAnsi="宋体" w:cs="宋体" w:eastAsia="宋体" w:hint="default"/>
                <w:sz w:val="21"/>
                <w:szCs w:val="21"/>
              </w:rPr>
              <w:t>合计</w:t>
            </w:r>
          </w:p>
        </w:tc>
        <w:tc>
          <w:tcPr>
            <w:tcW w:w="1789"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830"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61" w:lineRule="exact"/>
        <w:ind w:left="157" w:right="584"/>
        <w:jc w:val="left"/>
      </w:pPr>
      <w:r>
        <w:rPr/>
        <w:t>其他说明，包括本期增减变动情况、变动原因说明：</w:t>
      </w:r>
    </w:p>
    <w:p>
      <w:pPr>
        <w:spacing w:line="240" w:lineRule="auto" w:before="13"/>
        <w:rPr>
          <w:rFonts w:ascii="宋体" w:hAnsi="宋体" w:cs="宋体" w:eastAsia="宋体" w:hint="default"/>
          <w:sz w:val="23"/>
          <w:szCs w:val="23"/>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pStyle w:val="Heading3"/>
        <w:spacing w:line="240" w:lineRule="auto"/>
        <w:ind w:left="157" w:right="584"/>
        <w:jc w:val="left"/>
        <w:rPr>
          <w:b w:val="0"/>
          <w:bCs w:val="0"/>
        </w:rPr>
      </w:pPr>
      <w:r>
        <w:rPr/>
        <w:t>59、</w:t>
      </w:r>
      <w:r>
        <w:rPr>
          <w:spacing w:val="-26"/>
        </w:rPr>
        <w:t> </w:t>
      </w:r>
      <w:r>
        <w:rPr/>
        <w:t>盈余公积</w:t>
      </w:r>
      <w:r>
        <w:rPr>
          <w:b w:val="0"/>
          <w:bCs w:val="0"/>
        </w:rPr>
      </w:r>
    </w:p>
    <w:p>
      <w:pPr>
        <w:pStyle w:val="BodyText"/>
        <w:tabs>
          <w:tab w:pos="1049" w:val="left" w:leader="none"/>
        </w:tabs>
        <w:spacing w:line="240" w:lineRule="auto" w:before="97"/>
        <w:ind w:left="0" w:right="15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1672"/>
        <w:gridCol w:w="1798"/>
        <w:gridCol w:w="1804"/>
        <w:gridCol w:w="1817"/>
        <w:gridCol w:w="1804"/>
      </w:tblGrid>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sz w:val="21"/>
              </w:rPr>
              <w:t>57,777,943.59</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 w:right="0"/>
              <w:jc w:val="center"/>
              <w:rPr>
                <w:rFonts w:ascii="宋体" w:hAnsi="宋体" w:cs="宋体" w:eastAsia="宋体" w:hint="default"/>
                <w:sz w:val="21"/>
                <w:szCs w:val="21"/>
              </w:rPr>
            </w:pPr>
            <w:r>
              <w:rPr>
                <w:rFonts w:ascii="宋体"/>
                <w:sz w:val="21"/>
              </w:rPr>
              <w:t>13,903,688.97</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71,681,632.56</w:t>
            </w: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 w:right="0"/>
              <w:jc w:val="center"/>
              <w:rPr>
                <w:rFonts w:ascii="宋体" w:hAnsi="宋体" w:cs="宋体" w:eastAsia="宋体" w:hint="default"/>
                <w:sz w:val="21"/>
                <w:szCs w:val="21"/>
              </w:rPr>
            </w:pPr>
            <w:r>
              <w:rPr>
                <w:rFonts w:ascii="宋体"/>
                <w:sz w:val="21"/>
              </w:rPr>
              <w:t>57,777,943.59</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 w:right="0"/>
              <w:jc w:val="center"/>
              <w:rPr>
                <w:rFonts w:ascii="宋体" w:hAnsi="宋体" w:cs="宋体" w:eastAsia="宋体" w:hint="default"/>
                <w:sz w:val="21"/>
                <w:szCs w:val="21"/>
              </w:rPr>
            </w:pPr>
            <w:r>
              <w:rPr>
                <w:rFonts w:ascii="宋体"/>
                <w:sz w:val="21"/>
              </w:rPr>
              <w:t>13,903,688.97</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 w:right="0"/>
              <w:jc w:val="center"/>
              <w:rPr>
                <w:rFonts w:ascii="宋体" w:hAnsi="宋体" w:cs="宋体" w:eastAsia="宋体" w:hint="default"/>
                <w:sz w:val="21"/>
                <w:szCs w:val="21"/>
              </w:rPr>
            </w:pPr>
            <w:r>
              <w:rPr>
                <w:rFonts w:ascii="宋体"/>
                <w:sz w:val="21"/>
              </w:rPr>
              <w:t>71,681,632.56</w:t>
            </w:r>
          </w:p>
        </w:tc>
      </w:tr>
    </w:tbl>
    <w:p>
      <w:pPr>
        <w:pStyle w:val="BodyText"/>
        <w:spacing w:line="240" w:lineRule="auto" w:before="46"/>
        <w:ind w:left="157" w:right="584"/>
        <w:jc w:val="left"/>
      </w:pPr>
      <w:r>
        <w:rPr/>
        <w:t>盈余公积说明，包括本期增减变动情况、变动原因说明：</w:t>
      </w:r>
    </w:p>
    <w:p>
      <w:pPr>
        <w:spacing w:line="240" w:lineRule="auto" w:before="7"/>
        <w:rPr>
          <w:rFonts w:ascii="宋体" w:hAnsi="宋体" w:cs="宋体" w:eastAsia="宋体" w:hint="default"/>
          <w:sz w:val="28"/>
          <w:szCs w:val="28"/>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pStyle w:val="Heading3"/>
        <w:spacing w:line="240" w:lineRule="auto"/>
        <w:ind w:left="157" w:right="584"/>
        <w:jc w:val="left"/>
        <w:rPr>
          <w:b w:val="0"/>
          <w:bCs w:val="0"/>
        </w:rPr>
      </w:pPr>
      <w:r>
        <w:rPr/>
        <w:t>60、</w:t>
      </w:r>
      <w:r>
        <w:rPr>
          <w:spacing w:val="-28"/>
        </w:rPr>
        <w:t> </w:t>
      </w:r>
      <w:r>
        <w:rPr/>
        <w:t>未分配利润</w:t>
      </w:r>
      <w:r>
        <w:rPr>
          <w:b w:val="0"/>
          <w:bCs w:val="0"/>
        </w:rPr>
      </w:r>
    </w:p>
    <w:p>
      <w:pPr>
        <w:pStyle w:val="BodyText"/>
        <w:tabs>
          <w:tab w:pos="1049" w:val="left" w:leader="none"/>
        </w:tabs>
        <w:spacing w:line="240" w:lineRule="auto" w:before="97"/>
        <w:ind w:left="0" w:right="15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430"/>
        <w:gridCol w:w="2776"/>
        <w:gridCol w:w="2690"/>
      </w:tblGrid>
      <w:tr>
        <w:trPr>
          <w:trHeight w:val="32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269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68" w:right="0"/>
              <w:jc w:val="left"/>
              <w:rPr>
                <w:rFonts w:ascii="Arial" w:hAnsi="Arial" w:cs="Arial" w:eastAsia="Arial" w:hint="default"/>
                <w:sz w:val="21"/>
                <w:szCs w:val="21"/>
              </w:rPr>
            </w:pPr>
            <w:r>
              <w:rPr>
                <w:rFonts w:ascii="宋体" w:hAnsi="宋体" w:cs="宋体" w:eastAsia="宋体" w:hint="default"/>
                <w:sz w:val="21"/>
                <w:szCs w:val="21"/>
              </w:rPr>
              <w:t>提取或分配比例</w:t>
            </w:r>
            <w:r>
              <w:rPr>
                <w:rFonts w:ascii="Arial" w:hAnsi="Arial" w:cs="Arial" w:eastAsia="Arial" w:hint="default"/>
                <w:sz w:val="21"/>
                <w:szCs w:val="21"/>
              </w:rPr>
              <w:t>(%)</w:t>
            </w:r>
          </w:p>
        </w:tc>
      </w:tr>
      <w:tr>
        <w:trPr>
          <w:trHeight w:val="32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7"/>
              <w:jc w:val="right"/>
              <w:rPr>
                <w:rFonts w:ascii="宋体" w:hAnsi="宋体" w:cs="宋体" w:eastAsia="宋体" w:hint="default"/>
                <w:sz w:val="21"/>
                <w:szCs w:val="21"/>
              </w:rPr>
            </w:pPr>
            <w:r>
              <w:rPr>
                <w:rFonts w:ascii="宋体"/>
                <w:spacing w:val="-1"/>
                <w:sz w:val="21"/>
              </w:rPr>
              <w:t>332,264,489.55</w:t>
            </w:r>
            <w:r>
              <w:rPr>
                <w:rFonts w:ascii="宋体"/>
                <w:sz w:val="21"/>
              </w:rPr>
            </w:r>
          </w:p>
        </w:tc>
        <w:tc>
          <w:tcPr>
            <w:tcW w:w="269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2" w:right="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z w:val="21"/>
                <w:szCs w:val="21"/>
              </w:rPr>
            </w:r>
          </w:p>
        </w:tc>
        <w:tc>
          <w:tcPr>
            <w:tcW w:w="26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7"/>
              <w:jc w:val="right"/>
              <w:rPr>
                <w:rFonts w:ascii="宋体" w:hAnsi="宋体" w:cs="宋体" w:eastAsia="宋体" w:hint="default"/>
                <w:sz w:val="21"/>
                <w:szCs w:val="21"/>
              </w:rPr>
            </w:pPr>
            <w:r>
              <w:rPr>
                <w:rFonts w:ascii="宋体"/>
                <w:spacing w:val="-1"/>
                <w:sz w:val="21"/>
              </w:rPr>
              <w:t>332,264,489.55</w:t>
            </w:r>
            <w:r>
              <w:rPr>
                <w:rFonts w:ascii="宋体"/>
                <w:sz w:val="21"/>
              </w:rPr>
            </w:r>
          </w:p>
        </w:tc>
        <w:tc>
          <w:tcPr>
            <w:tcW w:w="269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7"/>
              <w:jc w:val="right"/>
              <w:rPr>
                <w:rFonts w:ascii="宋体" w:hAnsi="宋体" w:cs="宋体" w:eastAsia="宋体" w:hint="default"/>
                <w:sz w:val="21"/>
                <w:szCs w:val="21"/>
              </w:rPr>
            </w:pPr>
            <w:r>
              <w:rPr>
                <w:rFonts w:ascii="宋体"/>
                <w:spacing w:val="-1"/>
                <w:sz w:val="21"/>
              </w:rPr>
              <w:t>153,352,976.42</w:t>
            </w:r>
          </w:p>
        </w:tc>
        <w:tc>
          <w:tcPr>
            <w:tcW w:w="26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13,903,688.97</w:t>
            </w:r>
          </w:p>
        </w:tc>
        <w:tc>
          <w:tcPr>
            <w:tcW w:w="269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8"/>
              <w:jc w:val="right"/>
              <w:rPr>
                <w:rFonts w:ascii="宋体" w:hAnsi="宋体" w:cs="宋体" w:eastAsia="宋体" w:hint="default"/>
                <w:sz w:val="21"/>
                <w:szCs w:val="21"/>
              </w:rPr>
            </w:pPr>
            <w:r>
              <w:rPr>
                <w:rFonts w:ascii="宋体"/>
                <w:sz w:val="21"/>
              </w:rPr>
              <w:t>10</w:t>
            </w:r>
          </w:p>
        </w:tc>
      </w:tr>
      <w:tr>
        <w:trPr>
          <w:trHeight w:val="32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6" w:type="dxa"/>
            <w:tcBorders>
              <w:top w:val="single" w:sz="6" w:space="0" w:color="000000"/>
              <w:left w:val="single" w:sz="6" w:space="0" w:color="000000"/>
              <w:bottom w:val="single" w:sz="6" w:space="0" w:color="000000"/>
              <w:right w:val="single" w:sz="6" w:space="0" w:color="000000"/>
            </w:tcBorders>
          </w:tcPr>
          <w:p>
            <w:pPr/>
          </w:p>
        </w:tc>
        <w:tc>
          <w:tcPr>
            <w:tcW w:w="26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6" w:type="dxa"/>
            <w:tcBorders>
              <w:top w:val="single" w:sz="6" w:space="0" w:color="000000"/>
              <w:left w:val="single" w:sz="6" w:space="0" w:color="000000"/>
              <w:bottom w:val="single" w:sz="6" w:space="0" w:color="000000"/>
              <w:right w:val="single" w:sz="6" w:space="0" w:color="000000"/>
            </w:tcBorders>
          </w:tcPr>
          <w:p>
            <w:pPr/>
          </w:p>
        </w:tc>
        <w:tc>
          <w:tcPr>
            <w:tcW w:w="26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4"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
              <w:jc w:val="right"/>
              <w:rPr>
                <w:rFonts w:ascii="宋体" w:hAnsi="宋体" w:cs="宋体" w:eastAsia="宋体" w:hint="default"/>
                <w:sz w:val="21"/>
                <w:szCs w:val="21"/>
              </w:rPr>
            </w:pPr>
            <w:r>
              <w:rPr>
                <w:rFonts w:ascii="宋体"/>
                <w:sz w:val="21"/>
              </w:rPr>
              <w:t>22,058,820.00</w:t>
            </w:r>
          </w:p>
        </w:tc>
        <w:tc>
          <w:tcPr>
            <w:tcW w:w="26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44"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6" w:type="dxa"/>
            <w:tcBorders>
              <w:top w:val="single" w:sz="6" w:space="0" w:color="000000"/>
              <w:left w:val="single" w:sz="6" w:space="0" w:color="000000"/>
              <w:bottom w:val="single" w:sz="6" w:space="0" w:color="000000"/>
              <w:right w:val="single" w:sz="6" w:space="0" w:color="000000"/>
            </w:tcBorders>
          </w:tcPr>
          <w:p>
            <w:pPr/>
          </w:p>
        </w:tc>
        <w:tc>
          <w:tcPr>
            <w:tcW w:w="26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30" w:type="dxa"/>
            <w:tcBorders>
              <w:top w:val="single" w:sz="6" w:space="0" w:color="000000"/>
              <w:left w:val="single" w:sz="6" w:space="0" w:color="000000"/>
              <w:bottom w:val="single" w:sz="6" w:space="0" w:color="000000"/>
              <w:right w:val="single" w:sz="6" w:space="0" w:color="000000"/>
            </w:tcBorders>
          </w:tcPr>
          <w:p>
            <w:pPr/>
          </w:p>
        </w:tc>
        <w:tc>
          <w:tcPr>
            <w:tcW w:w="2776" w:type="dxa"/>
            <w:tcBorders>
              <w:top w:val="single" w:sz="6" w:space="0" w:color="000000"/>
              <w:left w:val="single" w:sz="6" w:space="0" w:color="000000"/>
              <w:bottom w:val="single" w:sz="6" w:space="0" w:color="000000"/>
              <w:right w:val="single" w:sz="6" w:space="0" w:color="000000"/>
            </w:tcBorders>
          </w:tcPr>
          <w:p>
            <w:pPr/>
          </w:p>
        </w:tc>
        <w:tc>
          <w:tcPr>
            <w:tcW w:w="26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30" w:type="dxa"/>
            <w:tcBorders>
              <w:top w:val="single" w:sz="6" w:space="0" w:color="000000"/>
              <w:left w:val="single" w:sz="6" w:space="0" w:color="000000"/>
              <w:bottom w:val="single" w:sz="6" w:space="0" w:color="000000"/>
              <w:right w:val="single" w:sz="6" w:space="0" w:color="000000"/>
            </w:tcBorders>
          </w:tcPr>
          <w:p>
            <w:pPr/>
          </w:p>
        </w:tc>
        <w:tc>
          <w:tcPr>
            <w:tcW w:w="2776" w:type="dxa"/>
            <w:tcBorders>
              <w:top w:val="single" w:sz="6" w:space="0" w:color="000000"/>
              <w:left w:val="single" w:sz="6" w:space="0" w:color="000000"/>
              <w:bottom w:val="single" w:sz="6" w:space="0" w:color="000000"/>
              <w:right w:val="single" w:sz="6" w:space="0" w:color="000000"/>
            </w:tcBorders>
          </w:tcPr>
          <w:p>
            <w:pPr/>
          </w:p>
        </w:tc>
        <w:tc>
          <w:tcPr>
            <w:tcW w:w="26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2"/>
              <w:jc w:val="right"/>
              <w:rPr>
                <w:rFonts w:ascii="宋体" w:hAnsi="宋体" w:cs="宋体" w:eastAsia="宋体" w:hint="default"/>
                <w:sz w:val="21"/>
                <w:szCs w:val="21"/>
              </w:rPr>
            </w:pPr>
            <w:r>
              <w:rPr>
                <w:rFonts w:ascii="宋体"/>
                <w:spacing w:val="-1"/>
                <w:sz w:val="21"/>
              </w:rPr>
              <w:t>449,654,957.00</w:t>
            </w:r>
            <w:r>
              <w:rPr>
                <w:rFonts w:ascii="宋体"/>
                <w:sz w:val="21"/>
              </w:rPr>
            </w:r>
          </w:p>
        </w:tc>
        <w:tc>
          <w:tcPr>
            <w:tcW w:w="2690" w:type="dxa"/>
            <w:tcBorders>
              <w:top w:val="single" w:sz="6" w:space="0" w:color="000000"/>
              <w:left w:val="single" w:sz="6" w:space="0" w:color="000000"/>
              <w:bottom w:val="single" w:sz="6" w:space="0" w:color="000000"/>
              <w:right w:val="single" w:sz="6" w:space="0" w:color="000000"/>
            </w:tcBorders>
          </w:tcPr>
          <w:p>
            <w:pPr/>
          </w:p>
        </w:tc>
      </w:tr>
    </w:tbl>
    <w:p>
      <w:pPr>
        <w:pStyle w:val="BodyText"/>
        <w:tabs>
          <w:tab w:pos="8031" w:val="left" w:leader="none"/>
        </w:tabs>
        <w:spacing w:line="324" w:lineRule="auto" w:before="46"/>
        <w:ind w:left="157" w:right="584"/>
        <w:jc w:val="left"/>
      </w:pPr>
      <w:r>
        <w:rPr/>
        <w:t>调整期初未分配利润明细： </w:t>
      </w:r>
      <w:r>
        <w:rPr>
          <w:spacing w:val="-1"/>
        </w:rPr>
        <w:t>1、由于《企业会计准则》及其相关新规定进行追溯调整，影响期初未分配利润</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FF"/>
        </w:rPr>
        <w:t> </w:t>
        <w:tab/>
      </w:r>
      <w:r>
        <w:rPr>
          <w:rFonts w:ascii="Times New Roman" w:hAnsi="Times New Roman" w:cs="Times New Roman" w:eastAsia="Times New Roman" w:hint="default"/>
          <w:spacing w:val="-1"/>
        </w:rPr>
      </w:r>
      <w:r>
        <w:rPr/>
        <w:t>元。</w:t>
      </w:r>
    </w:p>
    <w:p>
      <w:pPr>
        <w:pStyle w:val="BodyText"/>
        <w:tabs>
          <w:tab w:pos="4881" w:val="left" w:leader="none"/>
        </w:tabs>
        <w:spacing w:line="239" w:lineRule="exact"/>
        <w:ind w:left="157" w:right="584"/>
        <w:jc w:val="left"/>
      </w:pPr>
      <w:r>
        <w:rPr>
          <w:spacing w:val="-1"/>
        </w:rPr>
        <w:t>2、由于会计政策变更，影响期初未分配利润</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FF"/>
        </w:rPr>
        <w:t> </w:t>
        <w:tab/>
      </w:r>
      <w:r>
        <w:rPr>
          <w:rFonts w:ascii="Times New Roman" w:hAnsi="Times New Roman" w:cs="Times New Roman" w:eastAsia="Times New Roman" w:hint="default"/>
          <w:spacing w:val="-1"/>
        </w:rPr>
      </w:r>
      <w:r>
        <w:rPr/>
        <w:t>元。</w:t>
      </w:r>
    </w:p>
    <w:p>
      <w:pPr>
        <w:spacing w:after="0" w:line="239" w:lineRule="exact"/>
        <w:jc w:val="left"/>
        <w:sectPr>
          <w:pgSz w:w="11910" w:h="16840"/>
          <w:pgMar w:header="0" w:footer="1197" w:top="1120" w:bottom="1380" w:left="1640" w:right="1120"/>
        </w:sectPr>
      </w:pPr>
    </w:p>
    <w:p>
      <w:pPr>
        <w:spacing w:line="240" w:lineRule="auto" w:before="10"/>
        <w:rPr>
          <w:rFonts w:ascii="宋体" w:hAnsi="宋体" w:cs="宋体" w:eastAsia="宋体" w:hint="default"/>
          <w:sz w:val="26"/>
          <w:szCs w:val="26"/>
        </w:rPr>
      </w:pPr>
    </w:p>
    <w:p>
      <w:pPr>
        <w:pStyle w:val="BodyText"/>
        <w:tabs>
          <w:tab w:pos="5467" w:val="left" w:leader="none"/>
        </w:tabs>
        <w:spacing w:line="240" w:lineRule="auto" w:before="35"/>
        <w:ind w:right="114"/>
        <w:jc w:val="left"/>
      </w:pPr>
      <w:r>
        <w:rPr>
          <w:spacing w:val="-1"/>
        </w:rPr>
        <w:t>3、由于重大会计差错更正，影响期初未分配利润</w:t>
        <w:tab/>
        <w:t>元。</w:t>
      </w:r>
    </w:p>
    <w:p>
      <w:pPr>
        <w:spacing w:line="20" w:lineRule="exact"/>
        <w:ind w:left="4726"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pStyle w:val="BodyText"/>
        <w:tabs>
          <w:tab w:pos="6517" w:val="left" w:leader="none"/>
        </w:tabs>
        <w:spacing w:line="240" w:lineRule="auto" w:before="15"/>
        <w:ind w:right="114"/>
        <w:jc w:val="left"/>
      </w:pPr>
      <w:r>
        <w:rPr>
          <w:spacing w:val="-1"/>
        </w:rPr>
        <w:t>4、由于同一控制导致的合并范围变更，影响期初未分配利润</w:t>
        <w:tab/>
        <w:t>元。</w:t>
      </w:r>
    </w:p>
    <w:p>
      <w:pPr>
        <w:spacing w:line="20" w:lineRule="exact"/>
        <w:ind w:left="5776"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ff">
                <v:path arrowok="t"/>
              </v:shape>
            </v:group>
          </v:group>
        </w:pict>
      </w:r>
      <w:r>
        <w:rPr>
          <w:rFonts w:ascii="宋体" w:hAnsi="宋体" w:cs="宋体" w:eastAsia="宋体" w:hint="default"/>
          <w:sz w:val="2"/>
          <w:szCs w:val="2"/>
        </w:rPr>
      </w:r>
    </w:p>
    <w:p>
      <w:pPr>
        <w:pStyle w:val="BodyText"/>
        <w:tabs>
          <w:tab w:pos="4417" w:val="left" w:leader="none"/>
        </w:tabs>
        <w:spacing w:line="240" w:lineRule="auto" w:before="15"/>
        <w:ind w:right="114"/>
        <w:jc w:val="left"/>
      </w:pPr>
      <w:r>
        <w:rPr>
          <w:spacing w:val="-1"/>
        </w:rPr>
        <w:t>5、其他调整合计影响期初未分配利润</w:t>
        <w:tab/>
        <w:t>元。</w:t>
      </w:r>
    </w:p>
    <w:p>
      <w:pPr>
        <w:spacing w:line="20" w:lineRule="exact"/>
        <w:ind w:left="3676"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pStyle w:val="Heading3"/>
        <w:spacing w:line="240" w:lineRule="auto"/>
        <w:ind w:right="114"/>
        <w:jc w:val="left"/>
        <w:rPr>
          <w:b w:val="0"/>
          <w:bCs w:val="0"/>
        </w:rPr>
      </w:pPr>
      <w:r>
        <w:rPr/>
        <w:t>61、</w:t>
      </w:r>
      <w:r>
        <w:rPr>
          <w:spacing w:val="-27"/>
        </w:rPr>
        <w:t> </w:t>
      </w:r>
      <w:r>
        <w:rPr/>
        <w:t>营业收入和营业成本</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227" w:type="dxa"/>
        <w:tblLayout w:type="fixed"/>
        <w:tblCellMar>
          <w:top w:w="0" w:type="dxa"/>
          <w:left w:w="0" w:type="dxa"/>
          <w:bottom w:w="0" w:type="dxa"/>
          <w:right w:w="0" w:type="dxa"/>
        </w:tblCellMar>
        <w:tblLook w:val="01E0"/>
      </w:tblPr>
      <w:tblGrid>
        <w:gridCol w:w="1344"/>
        <w:gridCol w:w="1896"/>
        <w:gridCol w:w="1896"/>
        <w:gridCol w:w="1896"/>
        <w:gridCol w:w="1896"/>
      </w:tblGrid>
      <w:tr>
        <w:trPr>
          <w:trHeight w:val="322" w:hRule="exact"/>
        </w:trPr>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1344"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32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390"/>
              <w:jc w:val="right"/>
              <w:rPr>
                <w:rFonts w:ascii="宋体" w:hAnsi="宋体" w:cs="宋体" w:eastAsia="宋体" w:hint="default"/>
                <w:sz w:val="21"/>
                <w:szCs w:val="21"/>
              </w:rPr>
            </w:pPr>
            <w:r>
              <w:rPr>
                <w:rFonts w:ascii="宋体" w:hAnsi="宋体" w:cs="宋体" w:eastAsia="宋体" w:hint="default"/>
                <w:spacing w:val="-1"/>
                <w:w w:val="95"/>
                <w:sz w:val="21"/>
                <w:szCs w:val="21"/>
              </w:rPr>
              <w:t>主营业务</w:t>
            </w:r>
            <w:r>
              <w:rPr>
                <w:rFonts w:ascii="宋体" w:hAnsi="宋体" w:cs="宋体" w:eastAsia="宋体" w:hint="default"/>
                <w:w w:val="95"/>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2,340,260,736.73</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1,847,350,673.88</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2,004,697,343.95</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1,604,690,976.01</w:t>
            </w:r>
            <w:r>
              <w:rPr>
                <w:rFonts w:ascii="宋体"/>
                <w:sz w:val="21"/>
              </w:rPr>
            </w: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90"/>
              <w:jc w:val="right"/>
              <w:rPr>
                <w:rFonts w:ascii="宋体" w:hAnsi="宋体" w:cs="宋体" w:eastAsia="宋体" w:hint="default"/>
                <w:sz w:val="21"/>
                <w:szCs w:val="21"/>
              </w:rPr>
            </w:pPr>
            <w:r>
              <w:rPr>
                <w:rFonts w:ascii="宋体" w:hAnsi="宋体" w:cs="宋体" w:eastAsia="宋体" w:hint="default"/>
                <w:spacing w:val="-1"/>
                <w:w w:val="95"/>
                <w:sz w:val="21"/>
                <w:szCs w:val="21"/>
              </w:rPr>
              <w:t>其他业务</w:t>
            </w:r>
            <w:r>
              <w:rPr>
                <w:rFonts w:ascii="宋体" w:hAnsi="宋体" w:cs="宋体" w:eastAsia="宋体" w:hint="default"/>
                <w:w w:val="95"/>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27,782,103.73</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8,351,239.73</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26,916,093.87</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8,302,441.88</w:t>
            </w:r>
            <w:r>
              <w:rPr>
                <w:rFonts w:ascii="宋体"/>
                <w:sz w:val="21"/>
              </w:rPr>
            </w:r>
          </w:p>
        </w:tc>
      </w:tr>
      <w:tr>
        <w:trPr>
          <w:trHeight w:val="32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455"/>
              <w:jc w:val="right"/>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2,368,042,840.46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1,855,701,913.61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2,031,613,437.82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1,612,993,417.89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3"/>
        <w:spacing w:line="240" w:lineRule="auto"/>
        <w:ind w:right="114"/>
        <w:jc w:val="left"/>
        <w:rPr>
          <w:b w:val="0"/>
          <w:bCs w:val="0"/>
        </w:rPr>
      </w:pPr>
      <w:r>
        <w:rPr/>
        <w:t>62、</w:t>
      </w:r>
      <w:r>
        <w:rPr>
          <w:spacing w:val="-29"/>
        </w:rPr>
        <w:t> </w:t>
      </w:r>
      <w:r>
        <w:rPr/>
        <w:t>营业税金及附加</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2857"/>
        <w:gridCol w:w="3018"/>
        <w:gridCol w:w="3018"/>
      </w:tblGrid>
      <w:tr>
        <w:trPr>
          <w:trHeight w:val="326"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211"/>
              <w:jc w:val="right"/>
              <w:rPr>
                <w:rFonts w:ascii="宋体" w:hAnsi="宋体" w:cs="宋体" w:eastAsia="宋体" w:hint="default"/>
                <w:sz w:val="21"/>
                <w:szCs w:val="21"/>
              </w:rPr>
            </w:pPr>
            <w:r>
              <w:rPr>
                <w:rFonts w:ascii="宋体" w:hAnsi="宋体" w:cs="宋体" w:eastAsia="宋体" w:hint="default"/>
                <w:sz w:val="21"/>
                <w:szCs w:val="21"/>
              </w:rPr>
              <w:t>项目</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7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7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8" w:type="dxa"/>
            <w:tcBorders>
              <w:top w:val="single" w:sz="6" w:space="0" w:color="000000"/>
              <w:left w:val="single" w:sz="6" w:space="0" w:color="000000"/>
              <w:bottom w:val="single" w:sz="6" w:space="0" w:color="000000"/>
              <w:right w:val="single" w:sz="6" w:space="0" w:color="000000"/>
            </w:tcBorders>
          </w:tcPr>
          <w:p>
            <w:pPr/>
          </w:p>
        </w:tc>
        <w:tc>
          <w:tcPr>
            <w:tcW w:w="30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13,129,910.30</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4,499,899.24</w:t>
            </w:r>
          </w:p>
        </w:tc>
      </w:tr>
      <w:tr>
        <w:trPr>
          <w:trHeight w:val="32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3,177,935.79</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
              <w:jc w:val="right"/>
              <w:rPr>
                <w:rFonts w:ascii="宋体" w:hAnsi="宋体" w:cs="宋体" w:eastAsia="宋体" w:hint="default"/>
                <w:sz w:val="21"/>
                <w:szCs w:val="21"/>
              </w:rPr>
            </w:pPr>
            <w:r>
              <w:rPr>
                <w:rFonts w:ascii="宋体"/>
                <w:spacing w:val="-1"/>
                <w:sz w:val="21"/>
              </w:rPr>
              <w:t>1,986,758.36</w:t>
            </w:r>
          </w:p>
        </w:tc>
      </w:tr>
      <w:tr>
        <w:trPr>
          <w:trHeight w:val="326"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1,362,293.55</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851,467.61</w:t>
            </w:r>
          </w:p>
        </w:tc>
      </w:tr>
      <w:tr>
        <w:trPr>
          <w:trHeight w:val="32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18" w:type="dxa"/>
            <w:tcBorders>
              <w:top w:val="single" w:sz="6" w:space="0" w:color="000000"/>
              <w:left w:val="single" w:sz="6" w:space="0" w:color="000000"/>
              <w:bottom w:val="single" w:sz="6" w:space="0" w:color="000000"/>
              <w:right w:val="single" w:sz="6" w:space="0" w:color="000000"/>
            </w:tcBorders>
          </w:tcPr>
          <w:p>
            <w:pPr/>
          </w:p>
        </w:tc>
        <w:tc>
          <w:tcPr>
            <w:tcW w:w="30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908,182.72</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567,645.04</w:t>
            </w:r>
          </w:p>
        </w:tc>
      </w:tr>
      <w:tr>
        <w:trPr>
          <w:trHeight w:val="32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135,068.26</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
              <w:jc w:val="right"/>
              <w:rPr>
                <w:rFonts w:ascii="宋体" w:hAnsi="宋体" w:cs="宋体" w:eastAsia="宋体" w:hint="default"/>
                <w:sz w:val="21"/>
                <w:szCs w:val="21"/>
              </w:rPr>
            </w:pPr>
            <w:r>
              <w:rPr>
                <w:rFonts w:ascii="宋体"/>
                <w:spacing w:val="-1"/>
                <w:sz w:val="21"/>
              </w:rPr>
              <w:t>188,790.23</w:t>
            </w:r>
          </w:p>
        </w:tc>
      </w:tr>
      <w:tr>
        <w:trPr>
          <w:trHeight w:val="326"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3,706.82</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88,675.46</w:t>
            </w:r>
          </w:p>
        </w:tc>
      </w:tr>
      <w:tr>
        <w:trPr>
          <w:trHeight w:val="326"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211"/>
              <w:jc w:val="right"/>
              <w:rPr>
                <w:rFonts w:ascii="宋体" w:hAnsi="宋体" w:cs="宋体" w:eastAsia="宋体" w:hint="default"/>
                <w:sz w:val="21"/>
                <w:szCs w:val="21"/>
              </w:rPr>
            </w:pPr>
            <w:r>
              <w:rPr>
                <w:rFonts w:ascii="宋体" w:hAnsi="宋体" w:cs="宋体" w:eastAsia="宋体" w:hint="default"/>
                <w:sz w:val="21"/>
                <w:szCs w:val="21"/>
              </w:rPr>
              <w:t>合计</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18,717,097.44</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
              <w:jc w:val="right"/>
              <w:rPr>
                <w:rFonts w:ascii="宋体" w:hAnsi="宋体" w:cs="宋体" w:eastAsia="宋体" w:hint="default"/>
                <w:sz w:val="21"/>
                <w:szCs w:val="21"/>
              </w:rPr>
            </w:pPr>
            <w:r>
              <w:rPr>
                <w:rFonts w:ascii="宋体"/>
                <w:spacing w:val="-1"/>
                <w:sz w:val="21"/>
              </w:rPr>
              <w:t>8,183,235.94</w:t>
            </w:r>
          </w:p>
        </w:tc>
      </w:tr>
    </w:tbl>
    <w:p>
      <w:pPr>
        <w:spacing w:line="240" w:lineRule="auto" w:before="9"/>
        <w:rPr>
          <w:rFonts w:ascii="宋体" w:hAnsi="宋体" w:cs="宋体" w:eastAsia="宋体" w:hint="default"/>
          <w:sz w:val="24"/>
          <w:szCs w:val="24"/>
        </w:rPr>
      </w:pPr>
    </w:p>
    <w:p>
      <w:pPr>
        <w:pStyle w:val="BodyText"/>
        <w:spacing w:line="240" w:lineRule="auto" w:before="35"/>
        <w:ind w:right="114"/>
        <w:jc w:val="left"/>
      </w:pPr>
      <w:r>
        <w:rPr/>
        <w:t>其他说明：</w:t>
      </w:r>
    </w:p>
    <w:p>
      <w:pPr>
        <w:spacing w:line="240" w:lineRule="auto" w:before="7"/>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pStyle w:val="Heading3"/>
        <w:spacing w:line="240" w:lineRule="auto"/>
        <w:ind w:right="114"/>
        <w:jc w:val="left"/>
        <w:rPr>
          <w:b w:val="0"/>
          <w:bCs w:val="0"/>
        </w:rPr>
      </w:pPr>
      <w:r>
        <w:rPr/>
        <w:t>63、</w:t>
      </w:r>
      <w:r>
        <w:rPr>
          <w:spacing w:val="-26"/>
        </w:rPr>
        <w:t> </w:t>
      </w:r>
      <w:r>
        <w:rPr/>
        <w:t>销售费用</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3332"/>
        <w:gridCol w:w="2858"/>
        <w:gridCol w:w="2858"/>
      </w:tblGrid>
      <w:tr>
        <w:trPr>
          <w:trHeight w:val="32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89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30,333,635.19</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25,884,040.73</w:t>
            </w:r>
            <w:r>
              <w:rPr>
                <w:rFonts w:ascii="宋体"/>
                <w:sz w:val="21"/>
              </w:rPr>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11,124,187.79</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13,646,777.30</w:t>
            </w:r>
            <w:r>
              <w:rPr>
                <w:rFonts w:ascii="宋体"/>
                <w:sz w:val="21"/>
              </w:rPr>
            </w:r>
          </w:p>
        </w:tc>
      </w:tr>
      <w:tr>
        <w:trPr>
          <w:trHeight w:val="32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10,902,733.42</w:t>
            </w:r>
            <w:r>
              <w:rPr>
                <w:rFonts w:ascii="宋体"/>
                <w:sz w:val="21"/>
              </w:rPr>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9,860,113.75</w:t>
            </w:r>
            <w:r>
              <w:rPr>
                <w:rFonts w:ascii="宋体"/>
                <w:sz w:val="21"/>
              </w:rPr>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运输装卸费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9,529,423.29</w:t>
            </w:r>
            <w:r>
              <w:rPr>
                <w:rFonts w:ascii="宋体"/>
                <w:sz w:val="21"/>
              </w:rPr>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7,878,412.66</w:t>
            </w:r>
            <w:r>
              <w:rPr>
                <w:rFonts w:ascii="宋体"/>
                <w:sz w:val="21"/>
              </w:rPr>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业务及宣传费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8,683,009.89</w:t>
            </w:r>
            <w:r>
              <w:rPr>
                <w:rFonts w:ascii="宋体"/>
                <w:sz w:val="21"/>
              </w:rPr>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7,931,493.11</w:t>
            </w:r>
            <w:r>
              <w:rPr>
                <w:rFonts w:ascii="宋体"/>
                <w:sz w:val="21"/>
              </w:rPr>
            </w:r>
          </w:p>
        </w:tc>
      </w:tr>
      <w:tr>
        <w:trPr>
          <w:trHeight w:val="32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房租及水电费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1,584,262.61</w:t>
            </w:r>
            <w:r>
              <w:rPr>
                <w:rFonts w:ascii="宋体"/>
                <w:sz w:val="21"/>
              </w:rPr>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1,987,525.58</w:t>
            </w:r>
            <w:r>
              <w:rPr>
                <w:rFonts w:ascii="宋体"/>
                <w:sz w:val="21"/>
              </w:rPr>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305,042.65</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354,014.35</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894,186.04</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288,820.22</w:t>
            </w:r>
          </w:p>
        </w:tc>
      </w:tr>
      <w:tr>
        <w:trPr>
          <w:trHeight w:val="32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仓储费</w:t>
            </w:r>
          </w:p>
        </w:tc>
        <w:tc>
          <w:tcPr>
            <w:tcW w:w="2858" w:type="dxa"/>
            <w:tcBorders>
              <w:top w:val="single" w:sz="4" w:space="0" w:color="000000"/>
              <w:left w:val="single" w:sz="4" w:space="0" w:color="000000"/>
              <w:bottom w:val="single" w:sz="4" w:space="0" w:color="000000"/>
              <w:right w:val="single" w:sz="4" w:space="0" w:color="000000"/>
            </w:tcBorders>
          </w:tcPr>
          <w:p>
            <w:pP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66,105.90</w:t>
            </w:r>
          </w:p>
        </w:tc>
      </w:tr>
    </w:tbl>
    <w:p>
      <w:pPr>
        <w:spacing w:after="0" w:line="261" w:lineRule="exact"/>
        <w:jc w:val="right"/>
        <w:rPr>
          <w:rFonts w:ascii="宋体" w:hAnsi="宋体" w:cs="宋体" w:eastAsia="宋体" w:hint="default"/>
          <w:sz w:val="21"/>
          <w:szCs w:val="21"/>
        </w:rPr>
        <w:sectPr>
          <w:pgSz w:w="11910" w:h="16840"/>
          <w:pgMar w:header="0" w:footer="1197"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332"/>
        <w:gridCol w:w="2858"/>
        <w:gridCol w:w="2858"/>
      </w:tblGrid>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1,799,372.78</w:t>
            </w:r>
            <w:r>
              <w:rPr>
                <w:rFonts w:ascii="宋体"/>
                <w:sz w:val="21"/>
              </w:rPr>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2,031,330.66</w:t>
            </w:r>
            <w:r>
              <w:rPr>
                <w:rFonts w:ascii="宋体"/>
                <w:sz w:val="21"/>
              </w:rPr>
            </w:r>
          </w:p>
        </w:tc>
      </w:tr>
      <w:tr>
        <w:trPr>
          <w:trHeight w:val="32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75,155,853.66</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69,928,634.26</w:t>
            </w:r>
          </w:p>
        </w:tc>
      </w:tr>
    </w:tbl>
    <w:p>
      <w:pPr>
        <w:pStyle w:val="BodyText"/>
        <w:spacing w:line="240" w:lineRule="auto" w:before="45"/>
        <w:ind w:right="114"/>
        <w:jc w:val="left"/>
      </w:pPr>
      <w:r>
        <w:rPr/>
        <w:t>其他说明：</w:t>
      </w:r>
    </w:p>
    <w:p>
      <w:pPr>
        <w:spacing w:line="240" w:lineRule="auto" w:before="7"/>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a">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pStyle w:val="Heading3"/>
        <w:spacing w:line="240" w:lineRule="auto"/>
        <w:ind w:right="114"/>
        <w:jc w:val="left"/>
        <w:rPr>
          <w:b w:val="0"/>
          <w:bCs w:val="0"/>
        </w:rPr>
      </w:pPr>
      <w:r>
        <w:rPr/>
        <w:t>64、</w:t>
      </w:r>
      <w:r>
        <w:rPr>
          <w:spacing w:val="-26"/>
        </w:rPr>
        <w:t> </w:t>
      </w:r>
      <w:r>
        <w:rPr/>
        <w:t>管理费用</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4006"/>
        <w:gridCol w:w="2604"/>
        <w:gridCol w:w="2440"/>
      </w:tblGrid>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236,977,555.65</w:t>
            </w:r>
            <w:r>
              <w:rPr>
                <w:rFonts w:ascii="宋体"/>
                <w:sz w:val="21"/>
              </w:rPr>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191,310,116.52</w:t>
            </w:r>
            <w:r>
              <w:rPr>
                <w:rFonts w:ascii="宋体"/>
                <w:sz w:val="21"/>
              </w:rPr>
            </w:r>
          </w:p>
        </w:tc>
      </w:tr>
      <w:tr>
        <w:trPr>
          <w:trHeight w:val="32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26,829,457.80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28,093,149.49</w:t>
            </w:r>
            <w:r>
              <w:rPr>
                <w:rFonts w:ascii="宋体"/>
                <w:sz w:val="21"/>
              </w:rPr>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20,129,330.74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20,255,893.70</w:t>
            </w:r>
            <w:r>
              <w:rPr>
                <w:rFonts w:ascii="宋体"/>
                <w:sz w:val="21"/>
              </w:rPr>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9,211,733.58</w:t>
            </w:r>
            <w:r>
              <w:rPr>
                <w:rFonts w:ascii="宋体"/>
                <w:sz w:val="21"/>
              </w:rPr>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8,693,331.53</w:t>
            </w:r>
            <w:r>
              <w:rPr>
                <w:rFonts w:ascii="宋体"/>
                <w:sz w:val="21"/>
              </w:rPr>
            </w:r>
          </w:p>
        </w:tc>
      </w:tr>
      <w:tr>
        <w:trPr>
          <w:trHeight w:val="32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研发用材料费用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567,865.78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7,773,664.32</w:t>
            </w:r>
            <w:r>
              <w:rPr>
                <w:rFonts w:ascii="宋体"/>
                <w:sz w:val="21"/>
              </w:rPr>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房租及水电费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4"/>
              <w:jc w:val="right"/>
              <w:rPr>
                <w:rFonts w:ascii="宋体" w:hAnsi="宋体" w:cs="宋体" w:eastAsia="宋体" w:hint="default"/>
                <w:sz w:val="21"/>
                <w:szCs w:val="21"/>
              </w:rPr>
            </w:pPr>
            <w:r>
              <w:rPr>
                <w:rFonts w:ascii="宋体"/>
                <w:spacing w:val="-1"/>
                <w:sz w:val="21"/>
              </w:rPr>
              <w:t>12,709,989.32</w:t>
            </w:r>
            <w:r>
              <w:rPr>
                <w:rFonts w:ascii="宋体"/>
                <w:sz w:val="21"/>
              </w:rPr>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6,355,806.66</w:t>
            </w:r>
            <w:r>
              <w:rPr>
                <w:rFonts w:ascii="宋体"/>
                <w:sz w:val="21"/>
              </w:rPr>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中介费服务费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3,134,595.40</w:t>
            </w:r>
            <w:r>
              <w:rPr>
                <w:rFonts w:ascii="宋体"/>
                <w:sz w:val="21"/>
              </w:rPr>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2,453,182.42</w:t>
            </w:r>
            <w:r>
              <w:rPr>
                <w:rFonts w:ascii="宋体"/>
                <w:sz w:val="21"/>
              </w:rPr>
            </w:r>
          </w:p>
        </w:tc>
      </w:tr>
      <w:tr>
        <w:trPr>
          <w:trHeight w:val="32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1,132,526.27</w:t>
            </w:r>
            <w:r>
              <w:rPr>
                <w:rFonts w:ascii="宋体"/>
                <w:sz w:val="21"/>
              </w:rPr>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1,347,151.62</w:t>
            </w:r>
            <w:r>
              <w:rPr>
                <w:rFonts w:ascii="宋体"/>
                <w:sz w:val="21"/>
              </w:rPr>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运输装卸费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1,399,975.68</w:t>
            </w:r>
            <w:r>
              <w:rPr>
                <w:rFonts w:ascii="宋体"/>
                <w:sz w:val="21"/>
              </w:rPr>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1,199,864.57</w:t>
            </w:r>
            <w:r>
              <w:rPr>
                <w:rFonts w:ascii="宋体"/>
                <w:sz w:val="21"/>
              </w:rPr>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1,742,021.15</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292,033.55</w:t>
            </w:r>
          </w:p>
        </w:tc>
      </w:tr>
      <w:tr>
        <w:trPr>
          <w:trHeight w:val="32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24,881,273.48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26,129,762.49</w:t>
            </w:r>
            <w:r>
              <w:rPr>
                <w:rFonts w:ascii="宋体"/>
                <w:sz w:val="21"/>
              </w:rPr>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338,716,324.85</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293,903,956.87</w:t>
            </w:r>
          </w:p>
        </w:tc>
      </w:tr>
    </w:tbl>
    <w:p>
      <w:pPr>
        <w:pStyle w:val="BodyText"/>
        <w:spacing w:line="260" w:lineRule="exact"/>
        <w:ind w:right="114"/>
        <w:jc w:val="left"/>
      </w:pPr>
      <w:r>
        <w:rPr/>
        <w:t>其他说明：</w:t>
      </w:r>
    </w:p>
    <w:p>
      <w:pPr>
        <w:spacing w:line="240" w:lineRule="auto" w:before="13"/>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a">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pStyle w:val="Heading3"/>
        <w:spacing w:line="240" w:lineRule="auto"/>
        <w:ind w:right="114"/>
        <w:jc w:val="left"/>
        <w:rPr>
          <w:b w:val="0"/>
          <w:bCs w:val="0"/>
        </w:rPr>
      </w:pPr>
      <w:r>
        <w:rPr/>
        <w:t>65、</w:t>
      </w:r>
      <w:r>
        <w:rPr>
          <w:spacing w:val="-26"/>
        </w:rPr>
        <w:t> </w:t>
      </w:r>
      <w:r>
        <w:rPr/>
        <w:t>财务费用</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4006"/>
        <w:gridCol w:w="2604"/>
        <w:gridCol w:w="2440"/>
      </w:tblGrid>
      <w:tr>
        <w:trPr>
          <w:trHeight w:val="32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28,509,564.95</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10,255,306.42</w:t>
            </w:r>
            <w:r>
              <w:rPr>
                <w:rFonts w:ascii="宋体"/>
                <w:sz w:val="21"/>
              </w:rPr>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38" w:right="0"/>
              <w:jc w:val="left"/>
              <w:rPr>
                <w:rFonts w:ascii="宋体" w:hAnsi="宋体" w:cs="宋体" w:eastAsia="宋体" w:hint="default"/>
                <w:sz w:val="21"/>
                <w:szCs w:val="21"/>
              </w:rPr>
            </w:pPr>
            <w:r>
              <w:rPr>
                <w:rFonts w:ascii="宋体" w:hAnsi="宋体" w:cs="宋体" w:eastAsia="宋体" w:hint="default"/>
                <w:sz w:val="21"/>
                <w:szCs w:val="21"/>
              </w:rPr>
              <w:t>其中：个人长期借款利息</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3,964,639.58</w:t>
            </w:r>
            <w:r>
              <w:rPr>
                <w:rFonts w:ascii="宋体"/>
                <w:sz w:val="21"/>
              </w:rPr>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2,381,417.77</w:t>
            </w:r>
            <w:r>
              <w:rPr>
                <w:rFonts w:ascii="宋体"/>
                <w:sz w:val="21"/>
              </w:rPr>
            </w:r>
          </w:p>
        </w:tc>
      </w:tr>
      <w:tr>
        <w:trPr>
          <w:trHeight w:val="32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31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128,664,607.04</w:t>
            </w:r>
            <w:r>
              <w:rPr>
                <w:rFonts w:ascii="宋体"/>
                <w:sz w:val="21"/>
              </w:rPr>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76,188,745.55</w:t>
            </w:r>
            <w:r>
              <w:rPr>
                <w:rFonts w:ascii="宋体"/>
                <w:sz w:val="21"/>
              </w:rPr>
            </w:r>
          </w:p>
        </w:tc>
      </w:tr>
      <w:tr>
        <w:trPr>
          <w:trHeight w:val="63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38" w:right="0"/>
              <w:jc w:val="left"/>
              <w:rPr>
                <w:rFonts w:ascii="宋体" w:hAnsi="宋体" w:cs="宋体" w:eastAsia="宋体" w:hint="default"/>
                <w:sz w:val="21"/>
                <w:szCs w:val="21"/>
              </w:rPr>
            </w:pPr>
            <w:r>
              <w:rPr>
                <w:rFonts w:ascii="宋体" w:hAnsi="宋体" w:cs="宋体" w:eastAsia="宋体" w:hint="default"/>
                <w:sz w:val="21"/>
                <w:szCs w:val="21"/>
              </w:rPr>
              <w:t>其中：BT</w:t>
            </w:r>
            <w:r>
              <w:rPr>
                <w:rFonts w:ascii="宋体" w:hAnsi="宋体" w:cs="宋体" w:eastAsia="宋体" w:hint="default"/>
                <w:spacing w:val="-56"/>
                <w:sz w:val="21"/>
                <w:szCs w:val="21"/>
              </w:rPr>
              <w:t> </w:t>
            </w:r>
            <w:r>
              <w:rPr>
                <w:rFonts w:ascii="宋体" w:hAnsi="宋体" w:cs="宋体" w:eastAsia="宋体" w:hint="default"/>
                <w:sz w:val="21"/>
                <w:szCs w:val="21"/>
              </w:rPr>
              <w:t>确认的资金占用费及投</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资回报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126,154,518.97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73,217,387.88</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-933.34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726.64</w:t>
            </w:r>
          </w:p>
        </w:tc>
      </w:tr>
      <w:tr>
        <w:trPr>
          <w:trHeight w:val="32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现金折扣</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-25,134,515.00</w:t>
            </w:r>
            <w:r>
              <w:rPr>
                <w:rFonts w:ascii="宋体"/>
                <w:sz w:val="21"/>
              </w:rPr>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-24,445,316.00</w:t>
            </w:r>
            <w:r>
              <w:rPr>
                <w:rFonts w:ascii="宋体"/>
                <w:sz w:val="21"/>
              </w:rPr>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保函手续费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1,178,423.63</w:t>
            </w:r>
            <w:r>
              <w:rPr>
                <w:rFonts w:ascii="宋体"/>
                <w:sz w:val="21"/>
              </w:rPr>
            </w:r>
          </w:p>
        </w:tc>
        <w:tc>
          <w:tcPr>
            <w:tcW w:w="2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495,831.82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275,329.78</w:t>
            </w:r>
          </w:p>
        </w:tc>
      </w:tr>
      <w:tr>
        <w:trPr>
          <w:trHeight w:val="32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-123,616,234.98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-90,102,698.71</w:t>
            </w:r>
            <w:r>
              <w:rPr>
                <w:rFonts w:ascii="宋体"/>
                <w:sz w:val="21"/>
              </w:rPr>
            </w:r>
          </w:p>
        </w:tc>
      </w:tr>
    </w:tbl>
    <w:p>
      <w:pPr>
        <w:pStyle w:val="BodyText"/>
        <w:spacing w:line="260" w:lineRule="exact"/>
        <w:ind w:right="114"/>
        <w:jc w:val="left"/>
      </w:pPr>
      <w:r>
        <w:rPr/>
        <w:t>其他说明：</w:t>
      </w:r>
    </w:p>
    <w:p>
      <w:pPr>
        <w:spacing w:line="240" w:lineRule="auto" w:before="13"/>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pStyle w:val="Heading3"/>
        <w:spacing w:line="240" w:lineRule="auto"/>
        <w:ind w:right="114"/>
        <w:jc w:val="left"/>
        <w:rPr>
          <w:b w:val="0"/>
          <w:bCs w:val="0"/>
        </w:rPr>
      </w:pPr>
      <w:r>
        <w:rPr/>
        <w:t>66、</w:t>
      </w:r>
      <w:r>
        <w:rPr>
          <w:spacing w:val="-29"/>
        </w:rPr>
        <w:t> </w:t>
      </w:r>
      <w:r>
        <w:rPr/>
        <w:t>资产减值损失</w:t>
      </w:r>
      <w:r>
        <w:rPr>
          <w:b w:val="0"/>
          <w:bCs w:val="0"/>
        </w:rPr>
      </w:r>
    </w:p>
    <w:p>
      <w:pPr>
        <w:pStyle w:val="BodyText"/>
        <w:tabs>
          <w:tab w:pos="1049" w:val="left" w:leader="none"/>
        </w:tabs>
        <w:spacing w:line="240" w:lineRule="auto" w:before="97"/>
        <w:ind w:left="0" w:right="231"/>
        <w:jc w:val="right"/>
      </w:pPr>
      <w:r>
        <w:rPr/>
        <w:t>单位：元</w:t>
        <w:tab/>
        <w:t>币种：人民币</w:t>
      </w:r>
    </w:p>
    <w:p>
      <w:pPr>
        <w:spacing w:after="0" w:line="240" w:lineRule="auto"/>
        <w:jc w:val="right"/>
        <w:sectPr>
          <w:pgSz w:w="11910" w:h="16840"/>
          <w:pgMar w:header="0" w:footer="1197"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398"/>
        <w:gridCol w:w="2574"/>
        <w:gridCol w:w="3077"/>
      </w:tblGrid>
      <w:tr>
        <w:trPr>
          <w:trHeight w:val="322"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2,437,740.82</w:t>
            </w:r>
            <w:r>
              <w:rPr>
                <w:rFonts w:ascii="宋体"/>
                <w:sz w:val="21"/>
              </w:rPr>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2,718,724.53</w:t>
            </w:r>
            <w:r>
              <w:rPr>
                <w:rFonts w:ascii="宋体"/>
                <w:sz w:val="21"/>
              </w:rPr>
            </w:r>
          </w:p>
        </w:tc>
      </w:tr>
      <w:tr>
        <w:trPr>
          <w:trHeight w:val="323"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606,256.36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-448.60</w:t>
            </w:r>
          </w:p>
        </w:tc>
      </w:tr>
      <w:tr>
        <w:trPr>
          <w:trHeight w:val="322"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4,800,000.00</w:t>
            </w:r>
            <w:r>
              <w:rPr>
                <w:rFonts w:ascii="宋体"/>
                <w:sz w:val="21"/>
              </w:rPr>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89,333.45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119,316.75</w:t>
            </w:r>
          </w:p>
        </w:tc>
      </w:tr>
      <w:tr>
        <w:trPr>
          <w:trHeight w:val="323"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7,933,330.63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2,837,592.68</w:t>
            </w:r>
          </w:p>
        </w:tc>
      </w:tr>
    </w:tbl>
    <w:p>
      <w:pPr>
        <w:pStyle w:val="BodyText"/>
        <w:spacing w:line="240" w:lineRule="auto" w:before="45"/>
        <w:ind w:right="114"/>
        <w:jc w:val="left"/>
      </w:pPr>
      <w:r>
        <w:rPr/>
        <w:t>其他说明：</w:t>
      </w:r>
    </w:p>
    <w:p>
      <w:pPr>
        <w:spacing w:line="240" w:lineRule="auto" w:before="7"/>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pStyle w:val="Heading3"/>
        <w:spacing w:line="240" w:lineRule="auto"/>
        <w:ind w:right="114"/>
        <w:jc w:val="left"/>
        <w:rPr>
          <w:b w:val="0"/>
          <w:bCs w:val="0"/>
        </w:rPr>
      </w:pPr>
      <w:r>
        <w:rPr/>
        <w:t>67、</w:t>
      </w:r>
      <w:r>
        <w:rPr>
          <w:spacing w:val="-28"/>
        </w:rPr>
        <w:t> </w:t>
      </w:r>
      <w:r>
        <w:rPr/>
        <w:t>公允价值变动收益</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3400"/>
        <w:gridCol w:w="2825"/>
        <w:gridCol w:w="2825"/>
      </w:tblGrid>
      <w:tr>
        <w:trPr>
          <w:trHeight w:val="323"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329"/>
              <w:jc w:val="righ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34"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44"/>
              <w:jc w:val="right"/>
              <w:rPr>
                <w:rFonts w:ascii="宋体" w:hAnsi="宋体" w:cs="宋体" w:eastAsia="宋体" w:hint="default"/>
                <w:sz w:val="21"/>
                <w:szCs w:val="21"/>
              </w:rPr>
            </w:pPr>
            <w:r>
              <w:rPr>
                <w:rFonts w:ascii="宋体" w:hAnsi="宋体" w:cs="宋体" w:eastAsia="宋体" w:hint="default"/>
                <w:sz w:val="21"/>
                <w:szCs w:val="21"/>
              </w:rPr>
              <w:t>按公允价值计量的投资性房地产</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00"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400"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5"/>
        <w:ind w:right="114"/>
        <w:jc w:val="left"/>
      </w:pPr>
      <w:r>
        <w:rPr/>
        <w:t>其他说明：</w:t>
      </w:r>
    </w:p>
    <w:p>
      <w:pPr>
        <w:spacing w:line="240" w:lineRule="auto" w:before="7"/>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pStyle w:val="Heading3"/>
        <w:spacing w:line="240" w:lineRule="auto"/>
        <w:ind w:right="114"/>
        <w:jc w:val="left"/>
        <w:rPr>
          <w:b w:val="0"/>
          <w:bCs w:val="0"/>
        </w:rPr>
      </w:pPr>
      <w:r>
        <w:rPr/>
        <w:t>68、</w:t>
      </w:r>
      <w:r>
        <w:rPr>
          <w:spacing w:val="-26"/>
        </w:rPr>
        <w:t> </w:t>
      </w:r>
      <w:r>
        <w:rPr/>
        <w:t>投资收益</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3398"/>
        <w:gridCol w:w="2574"/>
        <w:gridCol w:w="3077"/>
      </w:tblGrid>
      <w:tr>
        <w:trPr>
          <w:trHeight w:val="323"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95" w:right="0"/>
              <w:jc w:val="left"/>
              <w:rPr>
                <w:rFonts w:ascii="宋体" w:hAnsi="宋体" w:cs="宋体" w:eastAsia="宋体" w:hint="default"/>
                <w:sz w:val="21"/>
                <w:szCs w:val="21"/>
              </w:rPr>
            </w:pPr>
            <w:r>
              <w:rPr>
                <w:rFonts w:ascii="宋体"/>
                <w:sz w:val="21"/>
              </w:rPr>
              <w:t>-3,460,966.21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-3,839,847.00</w:t>
            </w:r>
            <w:r>
              <w:rPr>
                <w:rFonts w:ascii="宋体"/>
                <w:sz w:val="21"/>
              </w:rPr>
            </w:r>
          </w:p>
        </w:tc>
      </w:tr>
      <w:tr>
        <w:trPr>
          <w:trHeight w:val="322"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1,014,254.44</w:t>
            </w:r>
            <w:r>
              <w:rPr>
                <w:rFonts w:ascii="宋体"/>
                <w:sz w:val="21"/>
              </w:rPr>
            </w:r>
          </w:p>
        </w:tc>
      </w:tr>
      <w:tr>
        <w:trPr>
          <w:trHeight w:val="323"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7"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398"/>
        <w:gridCol w:w="2574"/>
        <w:gridCol w:w="3077"/>
      </w:tblGrid>
      <w:tr>
        <w:trPr>
          <w:trHeight w:val="634"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损益的金融资产在持有期间的投资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3" w:lineRule="auto" w:before="37"/>
              <w:ind w:left="103" w:right="133"/>
              <w:jc w:val="left"/>
              <w:rPr>
                <w:rFonts w:ascii="宋体" w:hAnsi="宋体" w:cs="宋体" w:eastAsia="宋体" w:hint="default"/>
                <w:sz w:val="21"/>
                <w:szCs w:val="21"/>
              </w:rPr>
            </w:pPr>
            <w:r>
              <w:rPr>
                <w:rFonts w:ascii="宋体" w:hAnsi="宋体" w:cs="宋体" w:eastAsia="宋体" w:hint="default"/>
                <w:sz w:val="21"/>
                <w:szCs w:val="21"/>
              </w:rPr>
              <w:t>当期损益的金融资产取得的投资收 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9,010.97</w:t>
            </w:r>
          </w:p>
        </w:tc>
      </w:tr>
      <w:tr>
        <w:trPr>
          <w:trHeight w:val="635"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744,605.87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397,304.01</w:t>
            </w:r>
          </w:p>
        </w:tc>
      </w:tr>
      <w:tr>
        <w:trPr>
          <w:trHeight w:val="635"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8" w:type="dxa"/>
            <w:tcBorders>
              <w:top w:val="single" w:sz="4" w:space="0" w:color="000000"/>
              <w:left w:val="single" w:sz="4" w:space="0" w:color="000000"/>
              <w:bottom w:val="single" w:sz="4" w:space="0" w:color="000000"/>
              <w:right w:val="single" w:sz="4" w:space="0" w:color="000000"/>
            </w:tcBorders>
          </w:tcPr>
          <w:p>
            <w:pP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8" w:type="dxa"/>
            <w:tcBorders>
              <w:top w:val="single" w:sz="4" w:space="0" w:color="000000"/>
              <w:left w:val="single" w:sz="4" w:space="0" w:color="000000"/>
              <w:bottom w:val="single" w:sz="4" w:space="0" w:color="000000"/>
              <w:right w:val="single" w:sz="4" w:space="0" w:color="000000"/>
            </w:tcBorders>
          </w:tcPr>
          <w:p>
            <w:pP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-2,716,360.34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-2,419,277.58</w:t>
            </w:r>
          </w:p>
        </w:tc>
      </w:tr>
    </w:tbl>
    <w:p>
      <w:pPr>
        <w:spacing w:line="240" w:lineRule="auto" w:before="0"/>
        <w:rPr>
          <w:rFonts w:ascii="宋体" w:hAnsi="宋体" w:cs="宋体" w:eastAsia="宋体" w:hint="default"/>
          <w:sz w:val="29"/>
          <w:szCs w:val="29"/>
        </w:rPr>
      </w:pPr>
    </w:p>
    <w:p>
      <w:pPr>
        <w:pStyle w:val="BodyText"/>
        <w:spacing w:line="240" w:lineRule="auto" w:before="35"/>
        <w:ind w:right="114"/>
        <w:jc w:val="left"/>
      </w:pPr>
      <w:r>
        <w:rPr/>
        <w:t>其他说明：</w:t>
      </w:r>
    </w:p>
    <w:p>
      <w:pPr>
        <w:spacing w:line="240" w:lineRule="auto" w:before="11"/>
        <w:rPr>
          <w:rFonts w:ascii="宋体" w:hAnsi="宋体" w:cs="宋体" w:eastAsia="宋体" w:hint="default"/>
          <w:sz w:val="27"/>
          <w:szCs w:val="2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pStyle w:val="Heading3"/>
        <w:spacing w:line="240" w:lineRule="auto" w:before="75"/>
        <w:ind w:right="114"/>
        <w:jc w:val="left"/>
        <w:rPr>
          <w:b w:val="0"/>
          <w:bCs w:val="0"/>
        </w:rPr>
      </w:pPr>
      <w:r>
        <w:rPr/>
        <w:t>69、</w:t>
      </w:r>
      <w:r>
        <w:rPr>
          <w:spacing w:val="-28"/>
        </w:rPr>
        <w:t> </w:t>
      </w:r>
      <w:r>
        <w:rPr/>
        <w:t>营业外收入</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111"/>
        <w:gridCol w:w="2306"/>
        <w:gridCol w:w="2315"/>
        <w:gridCol w:w="2317"/>
      </w:tblGrid>
      <w:tr>
        <w:trPr>
          <w:trHeight w:val="63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635"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pacing w:val="-1"/>
                <w:sz w:val="21"/>
              </w:rPr>
              <w:t>514.82</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pacing w:val="-1"/>
                <w:sz w:val="21"/>
              </w:rPr>
              <w:t>784.73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pacing w:val="-1"/>
                <w:sz w:val="21"/>
              </w:rPr>
              <w:t>514.82</w:t>
            </w:r>
          </w:p>
        </w:tc>
      </w:tr>
      <w:tr>
        <w:trPr>
          <w:trHeight w:val="63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514.82</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784.73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514.82</w:t>
            </w:r>
          </w:p>
        </w:tc>
      </w:tr>
      <w:tr>
        <w:trPr>
          <w:trHeight w:val="63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6"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6"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得</w:t>
            </w:r>
          </w:p>
        </w:tc>
        <w:tc>
          <w:tcPr>
            <w:tcW w:w="2306"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6"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4,233,450.50</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6,954,735.23</w:t>
            </w:r>
            <w:r>
              <w:rPr>
                <w:rFonts w:ascii="宋体"/>
                <w:sz w:val="21"/>
              </w:rPr>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4,233,450.50</w:t>
            </w:r>
            <w:r>
              <w:rPr>
                <w:rFonts w:ascii="宋体"/>
                <w:sz w:val="21"/>
              </w:rPr>
            </w:r>
          </w:p>
        </w:tc>
      </w:tr>
      <w:tr>
        <w:trPr>
          <w:trHeight w:val="32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增值税返还</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1,763,008.22</w:t>
            </w:r>
            <w:r>
              <w:rPr>
                <w:rFonts w:ascii="宋体"/>
                <w:sz w:val="21"/>
              </w:rPr>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381,831.81</w:t>
            </w:r>
            <w:r>
              <w:rPr>
                <w:rFonts w:ascii="宋体"/>
                <w:sz w:val="21"/>
              </w:rPr>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罚款收入及其他</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175,992.36</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138,105.72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175,992.36</w:t>
            </w:r>
          </w:p>
        </w:tc>
      </w:tr>
      <w:tr>
        <w:trPr>
          <w:trHeight w:val="323"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6,172,965.90</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7,475,457.49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4,409,957.68</w:t>
            </w:r>
          </w:p>
        </w:tc>
      </w:tr>
    </w:tbl>
    <w:p>
      <w:pPr>
        <w:spacing w:line="240" w:lineRule="auto" w:before="0"/>
        <w:rPr>
          <w:rFonts w:ascii="宋体" w:hAnsi="宋体" w:cs="宋体" w:eastAsia="宋体" w:hint="default"/>
          <w:sz w:val="20"/>
          <w:szCs w:val="20"/>
        </w:rPr>
      </w:pPr>
    </w:p>
    <w:p>
      <w:pPr>
        <w:pStyle w:val="BodyText"/>
        <w:spacing w:line="240" w:lineRule="auto" w:before="35"/>
        <w:ind w:right="114"/>
        <w:jc w:val="left"/>
      </w:pPr>
      <w:r>
        <w:rPr/>
        <w:t>计入当期损益的政府补助</w:t>
      </w:r>
    </w:p>
    <w:p>
      <w:pPr>
        <w:pStyle w:val="BodyText"/>
        <w:tabs>
          <w:tab w:pos="1049" w:val="left" w:leader="none"/>
        </w:tabs>
        <w:spacing w:line="240" w:lineRule="auto" w:before="37"/>
        <w:ind w:left="0" w:right="231"/>
        <w:jc w:val="right"/>
      </w:pPr>
      <w:r>
        <w:rPr>
          <w:spacing w:val="-1"/>
        </w:rPr>
        <w:t>单位：元</w:t>
        <w:tab/>
        <w:t>币种：人民币</w:t>
      </w:r>
      <w:r>
        <w:rPr/>
      </w:r>
    </w:p>
    <w:p>
      <w:pPr>
        <w:spacing w:line="240" w:lineRule="auto" w:before="13"/>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2059"/>
        <w:gridCol w:w="2276"/>
        <w:gridCol w:w="2278"/>
        <w:gridCol w:w="2280"/>
      </w:tblGrid>
      <w:tr>
        <w:trPr>
          <w:trHeight w:val="566"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04"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02"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03"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0" w:right="0"/>
              <w:jc w:val="left"/>
              <w:rPr>
                <w:rFonts w:ascii="宋体" w:hAnsi="宋体" w:cs="宋体" w:eastAsia="宋体" w:hint="default"/>
                <w:sz w:val="21"/>
                <w:szCs w:val="21"/>
              </w:rPr>
            </w:pPr>
            <w:r>
              <w:rPr>
                <w:rFonts w:ascii="宋体" w:hAnsi="宋体" w:cs="宋体" w:eastAsia="宋体" w:hint="default"/>
                <w:sz w:val="21"/>
                <w:szCs w:val="21"/>
              </w:rPr>
              <w:t>与资产相关/与收益相关</w:t>
            </w:r>
          </w:p>
        </w:tc>
      </w:tr>
    </w:tbl>
    <w:p>
      <w:pPr>
        <w:spacing w:after="0" w:line="240" w:lineRule="auto"/>
        <w:jc w:val="left"/>
        <w:rPr>
          <w:rFonts w:ascii="宋体" w:hAnsi="宋体" w:cs="宋体" w:eastAsia="宋体" w:hint="default"/>
          <w:sz w:val="21"/>
          <w:szCs w:val="21"/>
        </w:rPr>
        <w:sectPr>
          <w:pgSz w:w="11910" w:h="16840"/>
          <w:pgMar w:header="0" w:footer="1197"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059"/>
        <w:gridCol w:w="2276"/>
        <w:gridCol w:w="2278"/>
        <w:gridCol w:w="2280"/>
      </w:tblGrid>
      <w:tr>
        <w:trPr>
          <w:trHeight w:val="63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 w:right="0"/>
              <w:jc w:val="left"/>
              <w:rPr>
                <w:rFonts w:ascii="宋体" w:hAnsi="宋体" w:cs="宋体" w:eastAsia="宋体" w:hint="default"/>
                <w:sz w:val="21"/>
                <w:szCs w:val="21"/>
              </w:rPr>
            </w:pPr>
            <w:r>
              <w:rPr>
                <w:rFonts w:ascii="宋体" w:hAnsi="宋体" w:cs="宋体" w:eastAsia="宋体" w:hint="default"/>
                <w:sz w:val="21"/>
                <w:szCs w:val="21"/>
              </w:rPr>
              <w:t>1、智云舆情智能分析</w:t>
            </w:r>
          </w:p>
          <w:p>
            <w:pPr>
              <w:pStyle w:val="TableParagraph"/>
              <w:spacing w:line="240" w:lineRule="auto" w:before="37"/>
              <w:ind w:left="25" w:right="0"/>
              <w:jc w:val="left"/>
              <w:rPr>
                <w:rFonts w:ascii="宋体" w:hAnsi="宋体" w:cs="宋体" w:eastAsia="宋体" w:hint="default"/>
                <w:sz w:val="21"/>
                <w:szCs w:val="21"/>
              </w:rPr>
            </w:pPr>
            <w:r>
              <w:rPr>
                <w:rFonts w:ascii="宋体" w:hAnsi="宋体" w:cs="宋体" w:eastAsia="宋体" w:hint="default"/>
                <w:sz w:val="21"/>
                <w:szCs w:val="21"/>
              </w:rPr>
              <w:t>系统研发资助</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21"/>
                <w:szCs w:val="21"/>
              </w:rPr>
            </w:pPr>
            <w:r>
              <w:rPr>
                <w:rFonts w:ascii="宋体"/>
                <w:spacing w:val="-1"/>
                <w:sz w:val="21"/>
              </w:rPr>
              <w:t>1,500,000.00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3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 w:right="0"/>
              <w:jc w:val="left"/>
              <w:rPr>
                <w:rFonts w:ascii="宋体" w:hAnsi="宋体" w:cs="宋体" w:eastAsia="宋体" w:hint="default"/>
                <w:sz w:val="21"/>
                <w:szCs w:val="21"/>
              </w:rPr>
            </w:pPr>
            <w:r>
              <w:rPr>
                <w:rFonts w:ascii="宋体" w:hAnsi="宋体" w:cs="宋体" w:eastAsia="宋体" w:hint="default"/>
                <w:sz w:val="21"/>
                <w:szCs w:val="21"/>
              </w:rPr>
              <w:t>2、金证综合金融服务</w:t>
            </w:r>
          </w:p>
          <w:p>
            <w:pPr>
              <w:pStyle w:val="TableParagraph"/>
              <w:spacing w:line="240" w:lineRule="auto" w:before="37"/>
              <w:ind w:left="25" w:right="0"/>
              <w:jc w:val="left"/>
              <w:rPr>
                <w:rFonts w:ascii="宋体" w:hAnsi="宋体" w:cs="宋体" w:eastAsia="宋体" w:hint="default"/>
                <w:sz w:val="21"/>
                <w:szCs w:val="21"/>
              </w:rPr>
            </w:pPr>
            <w:r>
              <w:rPr>
                <w:rFonts w:ascii="宋体" w:hAnsi="宋体" w:cs="宋体" w:eastAsia="宋体" w:hint="default"/>
                <w:sz w:val="21"/>
                <w:szCs w:val="21"/>
              </w:rPr>
              <w:t>平台补助资金</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21"/>
                <w:szCs w:val="21"/>
              </w:rPr>
            </w:pPr>
            <w:r>
              <w:rPr>
                <w:rFonts w:ascii="宋体"/>
                <w:spacing w:val="-1"/>
                <w:sz w:val="21"/>
              </w:rPr>
              <w:t>533,333.72</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3"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5" w:right="0"/>
              <w:jc w:val="left"/>
              <w:rPr>
                <w:rFonts w:ascii="宋体" w:hAnsi="宋体" w:cs="宋体" w:eastAsia="宋体" w:hint="default"/>
                <w:sz w:val="21"/>
                <w:szCs w:val="21"/>
              </w:rPr>
            </w:pPr>
            <w:r>
              <w:rPr>
                <w:rFonts w:ascii="宋体" w:hAnsi="宋体" w:cs="宋体" w:eastAsia="宋体" w:hint="default"/>
                <w:sz w:val="21"/>
                <w:szCs w:val="21"/>
              </w:rPr>
              <w:t>3、企业奖励资助</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2"/>
              <w:jc w:val="right"/>
              <w:rPr>
                <w:rFonts w:ascii="宋体" w:hAnsi="宋体" w:cs="宋体" w:eastAsia="宋体" w:hint="default"/>
                <w:sz w:val="21"/>
                <w:szCs w:val="21"/>
              </w:rPr>
            </w:pPr>
            <w:r>
              <w:rPr>
                <w:rFonts w:ascii="宋体"/>
                <w:sz w:val="21"/>
              </w:rPr>
              <w:t>120,000.00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3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 w:right="0"/>
              <w:jc w:val="left"/>
              <w:rPr>
                <w:rFonts w:ascii="宋体" w:hAnsi="宋体" w:cs="宋体" w:eastAsia="宋体" w:hint="default"/>
                <w:sz w:val="21"/>
                <w:szCs w:val="21"/>
              </w:rPr>
            </w:pPr>
            <w:r>
              <w:rPr>
                <w:rFonts w:ascii="宋体" w:hAnsi="宋体" w:cs="宋体" w:eastAsia="宋体" w:hint="default"/>
                <w:spacing w:val="-8"/>
                <w:sz w:val="21"/>
                <w:szCs w:val="21"/>
              </w:rPr>
              <w:t>4、2014</w:t>
            </w:r>
            <w:r>
              <w:rPr>
                <w:rFonts w:ascii="宋体" w:hAnsi="宋体" w:cs="宋体" w:eastAsia="宋体" w:hint="default"/>
                <w:spacing w:val="-54"/>
                <w:sz w:val="21"/>
                <w:szCs w:val="21"/>
              </w:rPr>
              <w:t> </w:t>
            </w:r>
            <w:r>
              <w:rPr>
                <w:rFonts w:ascii="宋体" w:hAnsi="宋体" w:cs="宋体" w:eastAsia="宋体" w:hint="default"/>
                <w:sz w:val="21"/>
                <w:szCs w:val="21"/>
              </w:rPr>
              <w:t>年经济发展专</w:t>
            </w:r>
          </w:p>
          <w:p>
            <w:pPr>
              <w:pStyle w:val="TableParagraph"/>
              <w:spacing w:line="240" w:lineRule="auto" w:before="37"/>
              <w:ind w:left="25" w:right="0"/>
              <w:jc w:val="left"/>
              <w:rPr>
                <w:rFonts w:ascii="宋体" w:hAnsi="宋体" w:cs="宋体" w:eastAsia="宋体" w:hint="default"/>
                <w:sz w:val="21"/>
                <w:szCs w:val="21"/>
              </w:rPr>
            </w:pPr>
            <w:r>
              <w:rPr>
                <w:rFonts w:ascii="宋体" w:hAnsi="宋体" w:cs="宋体" w:eastAsia="宋体" w:hint="default"/>
                <w:sz w:val="21"/>
                <w:szCs w:val="21"/>
              </w:rPr>
              <w:t>项资金</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21"/>
                <w:szCs w:val="21"/>
              </w:rPr>
            </w:pPr>
            <w:r>
              <w:rPr>
                <w:rFonts w:ascii="宋体"/>
                <w:spacing w:val="-1"/>
                <w:sz w:val="21"/>
              </w:rPr>
              <w:t>298,000.00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258"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 w:right="0"/>
              <w:jc w:val="both"/>
              <w:rPr>
                <w:rFonts w:ascii="宋体" w:hAnsi="宋体" w:cs="宋体" w:eastAsia="宋体" w:hint="default"/>
                <w:sz w:val="21"/>
                <w:szCs w:val="21"/>
              </w:rPr>
            </w:pPr>
            <w:r>
              <w:rPr>
                <w:rFonts w:ascii="宋体" w:hAnsi="宋体" w:cs="宋体" w:eastAsia="宋体" w:hint="default"/>
                <w:spacing w:val="-8"/>
                <w:sz w:val="21"/>
                <w:szCs w:val="21"/>
              </w:rPr>
              <w:t>5、2014</w:t>
            </w:r>
            <w:r>
              <w:rPr>
                <w:rFonts w:ascii="宋体" w:hAnsi="宋体" w:cs="宋体" w:eastAsia="宋体" w:hint="default"/>
                <w:spacing w:val="-54"/>
                <w:sz w:val="21"/>
                <w:szCs w:val="21"/>
              </w:rPr>
              <w:t> </w:t>
            </w:r>
            <w:r>
              <w:rPr>
                <w:rFonts w:ascii="宋体" w:hAnsi="宋体" w:cs="宋体" w:eastAsia="宋体" w:hint="default"/>
                <w:sz w:val="21"/>
                <w:szCs w:val="21"/>
              </w:rPr>
              <w:t>年深圳市民营</w:t>
            </w:r>
          </w:p>
          <w:p>
            <w:pPr>
              <w:pStyle w:val="TableParagraph"/>
              <w:spacing w:line="273" w:lineRule="auto" w:before="37"/>
              <w:ind w:left="25" w:right="132"/>
              <w:jc w:val="both"/>
              <w:rPr>
                <w:rFonts w:ascii="宋体" w:hAnsi="宋体" w:cs="宋体" w:eastAsia="宋体" w:hint="default"/>
                <w:sz w:val="21"/>
                <w:szCs w:val="21"/>
              </w:rPr>
            </w:pPr>
            <w:r>
              <w:rPr>
                <w:rFonts w:ascii="宋体" w:hAnsi="宋体" w:cs="宋体" w:eastAsia="宋体" w:hint="default"/>
                <w:sz w:val="21"/>
                <w:szCs w:val="21"/>
              </w:rPr>
              <w:t>及中小企业发展专项 资金企业信息化建设 项目资助</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590,000.00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35"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5" w:right="0"/>
              <w:jc w:val="left"/>
              <w:rPr>
                <w:rFonts w:ascii="宋体" w:hAnsi="宋体" w:cs="宋体" w:eastAsia="宋体" w:hint="default"/>
                <w:sz w:val="21"/>
                <w:szCs w:val="21"/>
              </w:rPr>
            </w:pPr>
            <w:r>
              <w:rPr>
                <w:rFonts w:ascii="宋体" w:hAnsi="宋体" w:cs="宋体" w:eastAsia="宋体" w:hint="default"/>
                <w:sz w:val="21"/>
                <w:szCs w:val="21"/>
              </w:rPr>
              <w:t>6、汽车电子高技术产</w:t>
            </w:r>
          </w:p>
          <w:p>
            <w:pPr>
              <w:pStyle w:val="TableParagraph"/>
              <w:spacing w:line="240" w:lineRule="auto" w:before="37"/>
              <w:ind w:left="25" w:right="0"/>
              <w:jc w:val="left"/>
              <w:rPr>
                <w:rFonts w:ascii="宋体" w:hAnsi="宋体" w:cs="宋体" w:eastAsia="宋体" w:hint="default"/>
                <w:sz w:val="21"/>
                <w:szCs w:val="21"/>
              </w:rPr>
            </w:pPr>
            <w:r>
              <w:rPr>
                <w:rFonts w:ascii="宋体" w:hAnsi="宋体" w:cs="宋体" w:eastAsia="宋体" w:hint="default"/>
                <w:sz w:val="21"/>
                <w:szCs w:val="21"/>
              </w:rPr>
              <w:t>业化资金补助</w:t>
            </w:r>
          </w:p>
        </w:tc>
        <w:tc>
          <w:tcPr>
            <w:tcW w:w="2276"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2"/>
              <w:jc w:val="right"/>
              <w:rPr>
                <w:rFonts w:ascii="宋体" w:hAnsi="宋体" w:cs="宋体" w:eastAsia="宋体" w:hint="default"/>
                <w:sz w:val="21"/>
                <w:szCs w:val="21"/>
              </w:rPr>
            </w:pPr>
            <w:r>
              <w:rPr>
                <w:rFonts w:ascii="宋体"/>
                <w:spacing w:val="-1"/>
                <w:sz w:val="21"/>
              </w:rPr>
              <w:t>1,577,142.85</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946"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 w:right="0"/>
              <w:jc w:val="left"/>
              <w:rPr>
                <w:rFonts w:ascii="宋体" w:hAnsi="宋体" w:cs="宋体" w:eastAsia="宋体" w:hint="default"/>
                <w:sz w:val="21"/>
                <w:szCs w:val="21"/>
              </w:rPr>
            </w:pPr>
            <w:r>
              <w:rPr>
                <w:rFonts w:ascii="宋体" w:hAnsi="宋体" w:cs="宋体" w:eastAsia="宋体" w:hint="default"/>
                <w:sz w:val="21"/>
                <w:szCs w:val="21"/>
              </w:rPr>
              <w:t>7、分布式实时数据软</w:t>
            </w:r>
          </w:p>
          <w:p>
            <w:pPr>
              <w:pStyle w:val="TableParagraph"/>
              <w:spacing w:line="273" w:lineRule="auto" w:before="37"/>
              <w:ind w:left="25" w:right="132"/>
              <w:jc w:val="left"/>
              <w:rPr>
                <w:rFonts w:ascii="宋体" w:hAnsi="宋体" w:cs="宋体" w:eastAsia="宋体" w:hint="default"/>
                <w:sz w:val="21"/>
                <w:szCs w:val="21"/>
              </w:rPr>
            </w:pPr>
            <w:r>
              <w:rPr>
                <w:rFonts w:ascii="宋体" w:hAnsi="宋体" w:cs="宋体" w:eastAsia="宋体" w:hint="default"/>
                <w:sz w:val="21"/>
                <w:szCs w:val="21"/>
              </w:rPr>
              <w:t>件研发与产业化项目 资助</w:t>
            </w:r>
          </w:p>
        </w:tc>
        <w:tc>
          <w:tcPr>
            <w:tcW w:w="2276"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500,000.00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3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 w:right="0"/>
              <w:jc w:val="left"/>
              <w:rPr>
                <w:rFonts w:ascii="宋体" w:hAnsi="宋体" w:cs="宋体" w:eastAsia="宋体" w:hint="default"/>
                <w:sz w:val="21"/>
                <w:szCs w:val="21"/>
              </w:rPr>
            </w:pPr>
            <w:r>
              <w:rPr>
                <w:rFonts w:ascii="宋体" w:hAnsi="宋体" w:cs="宋体" w:eastAsia="宋体" w:hint="default"/>
                <w:sz w:val="21"/>
                <w:szCs w:val="21"/>
              </w:rPr>
              <w:t>8、战略性新兴产业发</w:t>
            </w:r>
          </w:p>
          <w:p>
            <w:pPr>
              <w:pStyle w:val="TableParagraph"/>
              <w:spacing w:line="240" w:lineRule="auto" w:before="37"/>
              <w:ind w:left="25" w:right="0"/>
              <w:jc w:val="left"/>
              <w:rPr>
                <w:rFonts w:ascii="宋体" w:hAnsi="宋体" w:cs="宋体" w:eastAsia="宋体" w:hint="default"/>
                <w:sz w:val="21"/>
                <w:szCs w:val="21"/>
              </w:rPr>
            </w:pPr>
            <w:r>
              <w:rPr>
                <w:rFonts w:ascii="宋体" w:hAnsi="宋体" w:cs="宋体" w:eastAsia="宋体" w:hint="default"/>
                <w:sz w:val="21"/>
                <w:szCs w:val="21"/>
              </w:rPr>
              <w:t>展专项资金</w:t>
            </w:r>
          </w:p>
        </w:tc>
        <w:tc>
          <w:tcPr>
            <w:tcW w:w="2276"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21"/>
                <w:szCs w:val="21"/>
              </w:rPr>
            </w:pPr>
            <w:r>
              <w:rPr>
                <w:rFonts w:ascii="宋体"/>
                <w:spacing w:val="-1"/>
                <w:sz w:val="21"/>
              </w:rPr>
              <w:t>2,500,000.00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35"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5" w:right="0"/>
              <w:jc w:val="left"/>
              <w:rPr>
                <w:rFonts w:ascii="宋体" w:hAnsi="宋体" w:cs="宋体" w:eastAsia="宋体" w:hint="default"/>
                <w:sz w:val="21"/>
                <w:szCs w:val="21"/>
              </w:rPr>
            </w:pPr>
            <w:r>
              <w:rPr>
                <w:rFonts w:ascii="宋体" w:hAnsi="宋体" w:cs="宋体" w:eastAsia="宋体" w:hint="default"/>
                <w:sz w:val="21"/>
                <w:szCs w:val="21"/>
              </w:rPr>
              <w:t>9、深圳市高新技术产</w:t>
            </w:r>
          </w:p>
          <w:p>
            <w:pPr>
              <w:pStyle w:val="TableParagraph"/>
              <w:spacing w:line="240" w:lineRule="auto" w:before="37"/>
              <w:ind w:left="25" w:right="0"/>
              <w:jc w:val="left"/>
              <w:rPr>
                <w:rFonts w:ascii="宋体" w:hAnsi="宋体" w:cs="宋体" w:eastAsia="宋体" w:hint="default"/>
                <w:sz w:val="21"/>
                <w:szCs w:val="21"/>
              </w:rPr>
            </w:pPr>
            <w:r>
              <w:rPr>
                <w:rFonts w:ascii="宋体" w:hAnsi="宋体" w:cs="宋体" w:eastAsia="宋体" w:hint="default"/>
                <w:sz w:val="21"/>
                <w:szCs w:val="21"/>
              </w:rPr>
              <w:t>业专项补助资金</w:t>
            </w:r>
          </w:p>
        </w:tc>
        <w:tc>
          <w:tcPr>
            <w:tcW w:w="2276"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3"/>
              <w:jc w:val="right"/>
              <w:rPr>
                <w:rFonts w:ascii="宋体" w:hAnsi="宋体" w:cs="宋体" w:eastAsia="宋体" w:hint="default"/>
                <w:sz w:val="21"/>
                <w:szCs w:val="21"/>
              </w:rPr>
            </w:pPr>
            <w:r>
              <w:rPr>
                <w:rFonts w:ascii="宋体"/>
                <w:spacing w:val="-1"/>
                <w:sz w:val="21"/>
              </w:rPr>
              <w:t>511,669.00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3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101"/>
                <w:sz w:val="21"/>
                <w:szCs w:val="21"/>
              </w:rPr>
              <w:t>、</w:t>
            </w:r>
            <w:r>
              <w:rPr>
                <w:rFonts w:ascii="宋体" w:hAnsi="宋体" w:cs="宋体" w:eastAsia="宋体" w:hint="default"/>
                <w:sz w:val="21"/>
                <w:szCs w:val="21"/>
              </w:rPr>
              <w:t>服务外</w:t>
            </w:r>
            <w:r>
              <w:rPr>
                <w:rFonts w:ascii="宋体" w:hAnsi="宋体" w:cs="宋体" w:eastAsia="宋体" w:hint="default"/>
                <w:spacing w:val="-2"/>
                <w:sz w:val="21"/>
                <w:szCs w:val="21"/>
              </w:rPr>
              <w:t>包</w:t>
            </w:r>
            <w:r>
              <w:rPr>
                <w:rFonts w:ascii="宋体" w:hAnsi="宋体" w:cs="宋体" w:eastAsia="宋体" w:hint="default"/>
                <w:sz w:val="21"/>
                <w:szCs w:val="21"/>
              </w:rPr>
              <w:t>发展资金</w:t>
            </w:r>
          </w:p>
          <w:p>
            <w:pPr>
              <w:pStyle w:val="TableParagraph"/>
              <w:spacing w:line="240" w:lineRule="auto" w:before="37"/>
              <w:ind w:left="25" w:right="0"/>
              <w:jc w:val="left"/>
              <w:rPr>
                <w:rFonts w:ascii="宋体" w:hAnsi="宋体" w:cs="宋体" w:eastAsia="宋体" w:hint="default"/>
                <w:sz w:val="21"/>
                <w:szCs w:val="21"/>
              </w:rPr>
            </w:pPr>
            <w:r>
              <w:rPr>
                <w:rFonts w:ascii="宋体" w:hAnsi="宋体" w:cs="宋体" w:eastAsia="宋体" w:hint="default"/>
                <w:sz w:val="21"/>
                <w:szCs w:val="21"/>
              </w:rPr>
              <w:t>专项资助</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21"/>
                <w:szCs w:val="21"/>
              </w:rPr>
            </w:pPr>
            <w:r>
              <w:rPr>
                <w:rFonts w:ascii="宋体"/>
                <w:spacing w:val="-1"/>
                <w:sz w:val="21"/>
              </w:rPr>
              <w:t>1,000,000.00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21"/>
                <w:szCs w:val="21"/>
              </w:rPr>
            </w:pPr>
            <w:r>
              <w:rPr>
                <w:rFonts w:ascii="宋体"/>
                <w:spacing w:val="-1"/>
                <w:sz w:val="21"/>
              </w:rPr>
              <w:t>500,000.00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3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101"/>
                <w:sz w:val="21"/>
                <w:szCs w:val="21"/>
              </w:rPr>
              <w:t>、</w:t>
            </w:r>
            <w:r>
              <w:rPr>
                <w:rFonts w:ascii="宋体" w:hAnsi="宋体" w:cs="宋体" w:eastAsia="宋体" w:hint="default"/>
                <w:sz w:val="21"/>
                <w:szCs w:val="21"/>
              </w:rPr>
              <w:t>融通软</w:t>
            </w:r>
            <w:r>
              <w:rPr>
                <w:rFonts w:ascii="宋体" w:hAnsi="宋体" w:cs="宋体" w:eastAsia="宋体" w:hint="default"/>
                <w:spacing w:val="-2"/>
                <w:sz w:val="21"/>
                <w:szCs w:val="21"/>
              </w:rPr>
              <w:t>件</w:t>
            </w:r>
            <w:r>
              <w:rPr>
                <w:rFonts w:ascii="宋体" w:hAnsi="宋体" w:cs="宋体" w:eastAsia="宋体" w:hint="default"/>
                <w:sz w:val="21"/>
                <w:szCs w:val="21"/>
              </w:rPr>
              <w:t>系统补助</w:t>
            </w:r>
          </w:p>
          <w:p>
            <w:pPr>
              <w:pStyle w:val="TableParagraph"/>
              <w:spacing w:line="240" w:lineRule="auto" w:before="37"/>
              <w:ind w:left="2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2276"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21"/>
                <w:szCs w:val="21"/>
              </w:rPr>
            </w:pPr>
            <w:r>
              <w:rPr>
                <w:rFonts w:ascii="宋体"/>
                <w:spacing w:val="-1"/>
                <w:sz w:val="21"/>
              </w:rPr>
              <w:t>473,684.21</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3"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5" w:right="0"/>
              <w:jc w:val="left"/>
              <w:rPr>
                <w:rFonts w:ascii="宋体" w:hAnsi="宋体" w:cs="宋体" w:eastAsia="宋体" w:hint="default"/>
                <w:sz w:val="21"/>
                <w:szCs w:val="21"/>
              </w:rPr>
            </w:pPr>
            <w:r>
              <w:rPr>
                <w:rFonts w:ascii="宋体" w:hAnsi="宋体" w:cs="宋体" w:eastAsia="宋体" w:hint="default"/>
                <w:sz w:val="21"/>
                <w:szCs w:val="21"/>
              </w:rPr>
              <w:t>12、其他政府补助</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2"/>
              <w:jc w:val="right"/>
              <w:rPr>
                <w:rFonts w:ascii="宋体" w:hAnsi="宋体" w:cs="宋体" w:eastAsia="宋体" w:hint="default"/>
                <w:sz w:val="21"/>
                <w:szCs w:val="21"/>
              </w:rPr>
            </w:pPr>
            <w:r>
              <w:rPr>
                <w:rFonts w:ascii="宋体"/>
                <w:spacing w:val="-1"/>
                <w:sz w:val="21"/>
              </w:rPr>
              <w:t>192,116.78</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2"/>
              <w:jc w:val="right"/>
              <w:rPr>
                <w:rFonts w:ascii="宋体" w:hAnsi="宋体" w:cs="宋体" w:eastAsia="宋体" w:hint="default"/>
                <w:sz w:val="21"/>
                <w:szCs w:val="21"/>
              </w:rPr>
            </w:pPr>
            <w:r>
              <w:rPr>
                <w:rFonts w:ascii="宋体"/>
                <w:sz w:val="21"/>
              </w:rPr>
              <w:t>892,239.17</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pacing w:val="-1"/>
                <w:sz w:val="21"/>
              </w:rPr>
              <w:t>4,233,450.50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right"/>
              <w:rPr>
                <w:rFonts w:ascii="宋体" w:hAnsi="宋体" w:cs="宋体" w:eastAsia="宋体" w:hint="default"/>
                <w:sz w:val="21"/>
                <w:szCs w:val="21"/>
              </w:rPr>
            </w:pPr>
            <w:r>
              <w:rPr>
                <w:rFonts w:ascii="宋体"/>
                <w:spacing w:val="-1"/>
                <w:sz w:val="21"/>
              </w:rPr>
              <w:t>6,954,735.23</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9"/>
          <w:szCs w:val="29"/>
        </w:rPr>
      </w:pPr>
    </w:p>
    <w:p>
      <w:pPr>
        <w:pStyle w:val="BodyText"/>
        <w:spacing w:line="240" w:lineRule="auto" w:before="35"/>
        <w:ind w:right="114"/>
        <w:jc w:val="left"/>
      </w:pPr>
      <w:r>
        <w:rPr/>
        <w:t>其他说明：</w:t>
      </w:r>
    </w:p>
    <w:p>
      <w:pPr>
        <w:spacing w:line="240" w:lineRule="auto" w:before="11"/>
        <w:rPr>
          <w:rFonts w:ascii="宋体" w:hAnsi="宋体" w:cs="宋体" w:eastAsia="宋体" w:hint="default"/>
          <w:sz w:val="27"/>
          <w:szCs w:val="2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pStyle w:val="Heading3"/>
        <w:spacing w:line="240" w:lineRule="auto"/>
        <w:ind w:right="114"/>
        <w:jc w:val="left"/>
        <w:rPr>
          <w:b w:val="0"/>
          <w:bCs w:val="0"/>
        </w:rPr>
      </w:pPr>
      <w:r>
        <w:rPr/>
        <w:t>70、</w:t>
      </w:r>
      <w:r>
        <w:rPr>
          <w:spacing w:val="-28"/>
        </w:rPr>
        <w:t> </w:t>
      </w:r>
      <w:r>
        <w:rPr/>
        <w:t>营业外支出</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027"/>
        <w:gridCol w:w="2376"/>
        <w:gridCol w:w="2329"/>
        <w:gridCol w:w="2317"/>
      </w:tblGrid>
      <w:tr>
        <w:trPr>
          <w:trHeight w:val="635"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6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63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63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194,471.34</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30,868.15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194,471.34</w:t>
            </w:r>
          </w:p>
        </w:tc>
      </w:tr>
      <w:tr>
        <w:trPr>
          <w:trHeight w:val="63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其中：固定资产处置</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194,471.34</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30,868.15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194,471.34</w:t>
            </w:r>
          </w:p>
        </w:tc>
      </w:tr>
      <w:tr>
        <w:trPr>
          <w:trHeight w:val="635"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7"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027"/>
        <w:gridCol w:w="2376"/>
        <w:gridCol w:w="2329"/>
        <w:gridCol w:w="2317"/>
      </w:tblGrid>
      <w:tr>
        <w:trPr>
          <w:trHeight w:val="32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100,000.00</w:t>
            </w:r>
          </w:p>
        </w:tc>
        <w:tc>
          <w:tcPr>
            <w:tcW w:w="2329"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100,000.00</w:t>
            </w:r>
          </w:p>
        </w:tc>
      </w:tr>
      <w:tr>
        <w:trPr>
          <w:trHeight w:val="323"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罚款支出及其他</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18,939.61</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8,908.66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18,939.61</w:t>
            </w:r>
            <w:r>
              <w:rPr>
                <w:rFonts w:ascii="宋体"/>
                <w:sz w:val="21"/>
              </w:rPr>
            </w:r>
          </w:p>
        </w:tc>
      </w:tr>
      <w:tr>
        <w:trPr>
          <w:trHeight w:val="322" w:hRule="exact"/>
        </w:trPr>
        <w:tc>
          <w:tcPr>
            <w:tcW w:w="2027"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313,410.95</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39,776.81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313,410.95</w:t>
            </w:r>
          </w:p>
        </w:tc>
      </w:tr>
    </w:tbl>
    <w:p>
      <w:pPr>
        <w:pStyle w:val="BodyText"/>
        <w:spacing w:line="240" w:lineRule="auto" w:before="45"/>
        <w:ind w:right="114"/>
        <w:jc w:val="left"/>
      </w:pPr>
      <w:r>
        <w:rPr/>
        <w:t>其他说明：</w:t>
      </w:r>
    </w:p>
    <w:p>
      <w:pPr>
        <w:spacing w:line="240" w:lineRule="auto" w:before="7"/>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118"/>
          <w:pgSz w:w="11910" w:h="16840"/>
          <w:pgMar w:footer="1197" w:header="0" w:top="1120" w:bottom="1380" w:left="1580" w:right="1040"/>
        </w:sectPr>
      </w:pPr>
    </w:p>
    <w:p>
      <w:pPr>
        <w:pStyle w:val="Heading3"/>
        <w:spacing w:line="324" w:lineRule="auto"/>
        <w:ind w:right="-16"/>
        <w:jc w:val="left"/>
        <w:rPr>
          <w:b w:val="0"/>
          <w:bCs w:val="0"/>
        </w:rPr>
      </w:pPr>
      <w:r>
        <w:rPr/>
        <w:t>71、</w:t>
      </w:r>
      <w:r>
        <w:rPr>
          <w:spacing w:val="-26"/>
        </w:rPr>
        <w:t> </w:t>
      </w:r>
      <w:r>
        <w:rPr/>
        <w:t>所得税费用</w:t>
      </w:r>
      <w:r>
        <w:rPr>
          <w:w w:val="99"/>
        </w:rPr>
        <w:t> </w:t>
      </w:r>
      <w:r>
        <w:rPr/>
        <w:t>(1)</w:t>
      </w:r>
      <w:r>
        <w:rPr>
          <w:spacing w:val="-8"/>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tabs>
          <w:tab w:pos="1267" w:val="left" w:leader="none"/>
        </w:tabs>
        <w:spacing w:line="240" w:lineRule="auto"/>
        <w:ind w:right="0"/>
        <w:jc w:val="left"/>
      </w:pPr>
      <w:r>
        <w:rPr/>
        <w:t>单位：元</w:t>
        <w:tab/>
        <w:t>币种：人民币</w:t>
      </w:r>
    </w:p>
    <w:p>
      <w:pPr>
        <w:spacing w:after="0" w:line="240" w:lineRule="auto"/>
        <w:jc w:val="left"/>
        <w:sectPr>
          <w:type w:val="continuous"/>
          <w:pgSz w:w="11910" w:h="16840"/>
          <w:pgMar w:top="1080" w:bottom="1380" w:left="1580" w:right="1040"/>
          <w:cols w:num="2" w:equalWidth="0">
            <w:col w:w="1902" w:space="4622"/>
            <w:col w:w="2766"/>
          </w:cols>
        </w:sectPr>
      </w:pPr>
    </w:p>
    <w:p>
      <w:pPr>
        <w:spacing w:line="240" w:lineRule="auto" w:before="13"/>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3157"/>
        <w:gridCol w:w="2878"/>
        <w:gridCol w:w="2861"/>
      </w:tblGrid>
      <w:tr>
        <w:trPr>
          <w:trHeight w:val="326" w:hRule="exact"/>
        </w:trPr>
        <w:tc>
          <w:tcPr>
            <w:tcW w:w="315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362"/>
              <w:jc w:val="right"/>
              <w:rPr>
                <w:rFonts w:ascii="宋体" w:hAnsi="宋体" w:cs="宋体" w:eastAsia="宋体" w:hint="default"/>
                <w:sz w:val="21"/>
                <w:szCs w:val="21"/>
              </w:rPr>
            </w:pPr>
            <w:r>
              <w:rPr>
                <w:rFonts w:ascii="宋体" w:hAnsi="宋体" w:cs="宋体" w:eastAsia="宋体" w:hint="default"/>
                <w:sz w:val="21"/>
                <w:szCs w:val="21"/>
              </w:rPr>
              <w:t>项目</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89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1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2"/>
              <w:jc w:val="right"/>
              <w:rPr>
                <w:rFonts w:ascii="宋体" w:hAnsi="宋体" w:cs="宋体" w:eastAsia="宋体" w:hint="default"/>
                <w:sz w:val="21"/>
                <w:szCs w:val="21"/>
              </w:rPr>
            </w:pPr>
            <w:r>
              <w:rPr>
                <w:rFonts w:ascii="宋体"/>
                <w:spacing w:val="-1"/>
                <w:sz w:val="21"/>
              </w:rPr>
              <w:t>21,334,006.31</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8"/>
              <w:jc w:val="right"/>
              <w:rPr>
                <w:rFonts w:ascii="宋体" w:hAnsi="宋体" w:cs="宋体" w:eastAsia="宋体" w:hint="default"/>
                <w:sz w:val="21"/>
                <w:szCs w:val="21"/>
              </w:rPr>
            </w:pPr>
            <w:r>
              <w:rPr>
                <w:rFonts w:ascii="宋体"/>
                <w:spacing w:val="-1"/>
                <w:sz w:val="21"/>
              </w:rPr>
              <w:t>13,292,622.07</w:t>
            </w:r>
          </w:p>
        </w:tc>
      </w:tr>
      <w:tr>
        <w:trPr>
          <w:trHeight w:val="326" w:hRule="exact"/>
        </w:trPr>
        <w:tc>
          <w:tcPr>
            <w:tcW w:w="315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2"/>
              <w:jc w:val="right"/>
              <w:rPr>
                <w:rFonts w:ascii="宋体" w:hAnsi="宋体" w:cs="宋体" w:eastAsia="宋体" w:hint="default"/>
                <w:sz w:val="21"/>
                <w:szCs w:val="21"/>
              </w:rPr>
            </w:pPr>
            <w:r>
              <w:rPr>
                <w:rFonts w:ascii="宋体"/>
                <w:sz w:val="21"/>
              </w:rPr>
              <w:t>165,952.69</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7"/>
              <w:jc w:val="right"/>
              <w:rPr>
                <w:rFonts w:ascii="宋体" w:hAnsi="宋体" w:cs="宋体" w:eastAsia="宋体" w:hint="default"/>
                <w:sz w:val="21"/>
                <w:szCs w:val="21"/>
              </w:rPr>
            </w:pPr>
            <w:r>
              <w:rPr>
                <w:rFonts w:ascii="宋体"/>
                <w:sz w:val="21"/>
              </w:rPr>
              <w:t>548,794.29</w:t>
            </w:r>
          </w:p>
        </w:tc>
      </w:tr>
      <w:tr>
        <w:trPr>
          <w:trHeight w:val="328" w:hRule="exact"/>
        </w:trPr>
        <w:tc>
          <w:tcPr>
            <w:tcW w:w="3157" w:type="dxa"/>
            <w:tcBorders>
              <w:top w:val="single" w:sz="6" w:space="0" w:color="000000"/>
              <w:left w:val="single" w:sz="6" w:space="0" w:color="000000"/>
              <w:bottom w:val="single" w:sz="6" w:space="0" w:color="000000"/>
              <w:right w:val="single" w:sz="6" w:space="0" w:color="000000"/>
            </w:tcBorders>
          </w:tcPr>
          <w:p>
            <w:pPr/>
          </w:p>
        </w:tc>
        <w:tc>
          <w:tcPr>
            <w:tcW w:w="2878" w:type="dxa"/>
            <w:tcBorders>
              <w:top w:val="single" w:sz="6" w:space="0" w:color="000000"/>
              <w:left w:val="single" w:sz="6" w:space="0" w:color="000000"/>
              <w:bottom w:val="single" w:sz="6" w:space="0" w:color="000000"/>
              <w:right w:val="single" w:sz="6" w:space="0" w:color="000000"/>
            </w:tcBorders>
          </w:tcPr>
          <w:p>
            <w:pPr/>
          </w:p>
        </w:tc>
        <w:tc>
          <w:tcPr>
            <w:tcW w:w="28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57" w:type="dxa"/>
            <w:tcBorders>
              <w:top w:val="single" w:sz="6" w:space="0" w:color="000000"/>
              <w:left w:val="single" w:sz="6" w:space="0" w:color="000000"/>
              <w:bottom w:val="single" w:sz="6" w:space="0" w:color="000000"/>
              <w:right w:val="single" w:sz="6" w:space="0" w:color="000000"/>
            </w:tcBorders>
          </w:tcPr>
          <w:p>
            <w:pPr/>
          </w:p>
        </w:tc>
        <w:tc>
          <w:tcPr>
            <w:tcW w:w="2878" w:type="dxa"/>
            <w:tcBorders>
              <w:top w:val="single" w:sz="6" w:space="0" w:color="000000"/>
              <w:left w:val="single" w:sz="6" w:space="0" w:color="000000"/>
              <w:bottom w:val="single" w:sz="6" w:space="0" w:color="000000"/>
              <w:right w:val="single" w:sz="6" w:space="0" w:color="000000"/>
            </w:tcBorders>
          </w:tcPr>
          <w:p>
            <w:pPr/>
          </w:p>
        </w:tc>
        <w:tc>
          <w:tcPr>
            <w:tcW w:w="28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63"/>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9"/>
              <w:jc w:val="right"/>
              <w:rPr>
                <w:rFonts w:ascii="宋体" w:hAnsi="宋体" w:cs="宋体" w:eastAsia="宋体" w:hint="default"/>
                <w:sz w:val="21"/>
                <w:szCs w:val="21"/>
              </w:rPr>
            </w:pPr>
            <w:r>
              <w:rPr>
                <w:rFonts w:ascii="宋体"/>
                <w:spacing w:val="-1"/>
                <w:sz w:val="21"/>
              </w:rPr>
              <w:t>21,499,959.00</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8"/>
              <w:jc w:val="right"/>
              <w:rPr>
                <w:rFonts w:ascii="宋体" w:hAnsi="宋体" w:cs="宋体" w:eastAsia="宋体" w:hint="default"/>
                <w:sz w:val="21"/>
                <w:szCs w:val="21"/>
              </w:rPr>
            </w:pPr>
            <w:r>
              <w:rPr>
                <w:rFonts w:ascii="宋体"/>
                <w:spacing w:val="-1"/>
                <w:sz w:val="21"/>
              </w:rPr>
              <w:t>13,841,416.36</w:t>
            </w:r>
          </w:p>
        </w:tc>
      </w:tr>
    </w:tbl>
    <w:p>
      <w:pPr>
        <w:spacing w:line="240" w:lineRule="auto" w:before="9"/>
        <w:rPr>
          <w:rFonts w:ascii="宋体" w:hAnsi="宋体" w:cs="宋体" w:eastAsia="宋体" w:hint="default"/>
          <w:sz w:val="24"/>
          <w:szCs w:val="24"/>
        </w:rPr>
      </w:pPr>
    </w:p>
    <w:p>
      <w:pPr>
        <w:pStyle w:val="Heading3"/>
        <w:spacing w:line="240" w:lineRule="auto"/>
        <w:ind w:right="114"/>
        <w:jc w:val="left"/>
        <w:rPr>
          <w:b w:val="0"/>
          <w:bCs w:val="0"/>
        </w:rPr>
      </w:pPr>
      <w:r>
        <w:rPr/>
        <w:t>(2)</w:t>
      </w:r>
      <w:r>
        <w:rPr>
          <w:spacing w:val="-9"/>
        </w:rPr>
        <w:t> </w:t>
      </w:r>
      <w:r>
        <w:rPr/>
        <w:t>会计利润与所得税费用调整过程：</w:t>
      </w:r>
      <w:r>
        <w:rPr>
          <w:b w:val="0"/>
          <w:bCs w:val="0"/>
        </w:rPr>
      </w:r>
    </w:p>
    <w:p>
      <w:pPr>
        <w:spacing w:line="240" w:lineRule="auto" w:before="7"/>
        <w:rPr>
          <w:rFonts w:ascii="宋体" w:hAnsi="宋体" w:cs="宋体" w:eastAsia="宋体" w:hint="default"/>
          <w:b/>
          <w:bCs/>
          <w:sz w:val="8"/>
          <w:szCs w:val="8"/>
        </w:rPr>
      </w:pPr>
    </w:p>
    <w:tbl>
      <w:tblPr>
        <w:tblW w:w="0" w:type="auto"/>
        <w:jc w:val="left"/>
        <w:tblInd w:w="179" w:type="dxa"/>
        <w:tblLayout w:type="fixed"/>
        <w:tblCellMar>
          <w:top w:w="0" w:type="dxa"/>
          <w:left w:w="0" w:type="dxa"/>
          <w:bottom w:w="0" w:type="dxa"/>
          <w:right w:w="0" w:type="dxa"/>
        </w:tblCellMar>
        <w:tblLook w:val="01E0"/>
      </w:tblPr>
      <w:tblGrid>
        <w:gridCol w:w="4302"/>
        <w:gridCol w:w="4594"/>
      </w:tblGrid>
      <w:tr>
        <w:trPr>
          <w:trHeight w:val="323"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324"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4" w:type="dxa"/>
            <w:tcBorders>
              <w:top w:val="single" w:sz="4" w:space="0" w:color="000000"/>
              <w:left w:val="single" w:sz="4" w:space="0" w:color="000000"/>
              <w:bottom w:val="single" w:sz="6" w:space="0" w:color="000000"/>
              <w:right w:val="single" w:sz="6"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198,577,749.86</w:t>
            </w:r>
          </w:p>
        </w:tc>
      </w:tr>
      <w:tr>
        <w:trPr>
          <w:trHeight w:val="326"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按法定/适用税率计算的所得税费用</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19,857,774.99</w:t>
            </w:r>
          </w:p>
        </w:tc>
      </w:tr>
      <w:tr>
        <w:trPr>
          <w:trHeight w:val="32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right="21"/>
              <w:jc w:val="right"/>
              <w:rPr>
                <w:rFonts w:ascii="宋体" w:hAnsi="宋体" w:cs="宋体" w:eastAsia="宋体" w:hint="default"/>
                <w:sz w:val="21"/>
                <w:szCs w:val="21"/>
              </w:rPr>
            </w:pPr>
            <w:r>
              <w:rPr>
                <w:rFonts w:ascii="宋体"/>
                <w:spacing w:val="-1"/>
                <w:sz w:val="21"/>
              </w:rPr>
              <w:t>7,036,016.87</w:t>
            </w:r>
            <w:r>
              <w:rPr>
                <w:rFonts w:ascii="宋体"/>
                <w:sz w:val="21"/>
              </w:rPr>
            </w:r>
          </w:p>
        </w:tc>
      </w:tr>
      <w:tr>
        <w:trPr>
          <w:trHeight w:val="326"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31,329.28</w:t>
            </w:r>
          </w:p>
        </w:tc>
      </w:tr>
      <w:tr>
        <w:trPr>
          <w:trHeight w:val="32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right="21"/>
              <w:jc w:val="right"/>
              <w:rPr>
                <w:rFonts w:ascii="宋体" w:hAnsi="宋体" w:cs="宋体" w:eastAsia="宋体" w:hint="default"/>
                <w:sz w:val="21"/>
                <w:szCs w:val="21"/>
              </w:rPr>
            </w:pPr>
            <w:r>
              <w:rPr>
                <w:rFonts w:ascii="宋体"/>
                <w:sz w:val="21"/>
              </w:rPr>
              <w:t>-346,096.62</w:t>
            </w:r>
          </w:p>
        </w:tc>
      </w:tr>
      <w:tr>
        <w:trPr>
          <w:trHeight w:val="326"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760,867.10</w:t>
            </w:r>
          </w:p>
        </w:tc>
      </w:tr>
      <w:tr>
        <w:trPr>
          <w:trHeight w:val="640"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 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2"/>
              <w:ind w:right="20"/>
              <w:jc w:val="right"/>
              <w:rPr>
                <w:rFonts w:ascii="宋体" w:hAnsi="宋体" w:cs="宋体" w:eastAsia="宋体" w:hint="default"/>
                <w:sz w:val="21"/>
                <w:szCs w:val="21"/>
              </w:rPr>
            </w:pPr>
            <w:r>
              <w:rPr>
                <w:rFonts w:ascii="宋体"/>
                <w:spacing w:val="-1"/>
                <w:sz w:val="21"/>
              </w:rPr>
              <w:t>-44,424.10</w:t>
            </w:r>
          </w:p>
        </w:tc>
      </w:tr>
      <w:tr>
        <w:trPr>
          <w:trHeight w:val="63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 异或可抵扣亏损的影响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pacing w:val="-1"/>
                <w:sz w:val="21"/>
              </w:rPr>
              <w:t>445,557.38</w:t>
            </w:r>
          </w:p>
        </w:tc>
      </w:tr>
      <w:tr>
        <w:trPr>
          <w:trHeight w:val="328" w:hRule="exact"/>
        </w:trPr>
        <w:tc>
          <w:tcPr>
            <w:tcW w:w="4302" w:type="dxa"/>
            <w:tcBorders>
              <w:top w:val="single" w:sz="4" w:space="0" w:color="000000"/>
              <w:left w:val="single" w:sz="6" w:space="0" w:color="000000"/>
              <w:bottom w:val="single" w:sz="6" w:space="0" w:color="000000"/>
              <w:right w:val="single" w:sz="6"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加计扣除费用的影响</w:t>
            </w:r>
          </w:p>
        </w:tc>
        <w:tc>
          <w:tcPr>
            <w:tcW w:w="45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
              <w:jc w:val="right"/>
              <w:rPr>
                <w:rFonts w:ascii="宋体" w:hAnsi="宋体" w:cs="宋体" w:eastAsia="宋体" w:hint="default"/>
                <w:sz w:val="21"/>
                <w:szCs w:val="21"/>
              </w:rPr>
            </w:pPr>
            <w:r>
              <w:rPr>
                <w:rFonts w:ascii="宋体"/>
                <w:sz w:val="21"/>
              </w:rPr>
              <w:t>-5,000,000.00</w:t>
            </w:r>
          </w:p>
        </w:tc>
      </w:tr>
      <w:tr>
        <w:trPr>
          <w:trHeight w:val="326" w:hRule="exact"/>
        </w:trPr>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59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-1,241,065.90</w:t>
            </w:r>
          </w:p>
        </w:tc>
      </w:tr>
      <w:tr>
        <w:trPr>
          <w:trHeight w:val="328" w:hRule="exact"/>
        </w:trPr>
        <w:tc>
          <w:tcPr>
            <w:tcW w:w="4302" w:type="dxa"/>
            <w:tcBorders>
              <w:top w:val="single" w:sz="6" w:space="0" w:color="000000"/>
              <w:left w:val="single" w:sz="4" w:space="0" w:color="000000"/>
              <w:bottom w:val="single" w:sz="4" w:space="0" w:color="000000"/>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right="21"/>
              <w:jc w:val="right"/>
              <w:rPr>
                <w:rFonts w:ascii="宋体" w:hAnsi="宋体" w:cs="宋体" w:eastAsia="宋体" w:hint="default"/>
                <w:sz w:val="21"/>
                <w:szCs w:val="21"/>
              </w:rPr>
            </w:pPr>
            <w:r>
              <w:rPr>
                <w:rFonts w:ascii="宋体"/>
                <w:sz w:val="21"/>
              </w:rPr>
              <w:t>21,499,959.00</w:t>
            </w:r>
          </w:p>
        </w:tc>
      </w:tr>
    </w:tbl>
    <w:p>
      <w:pPr>
        <w:spacing w:line="240" w:lineRule="auto" w:before="8"/>
        <w:rPr>
          <w:rFonts w:ascii="宋体" w:hAnsi="宋体" w:cs="宋体" w:eastAsia="宋体" w:hint="default"/>
          <w:b/>
          <w:bCs/>
          <w:sz w:val="24"/>
          <w:szCs w:val="24"/>
        </w:rPr>
      </w:pPr>
    </w:p>
    <w:p>
      <w:pPr>
        <w:pStyle w:val="BodyText"/>
        <w:spacing w:line="240" w:lineRule="auto" w:before="35"/>
        <w:ind w:right="114"/>
        <w:jc w:val="left"/>
      </w:pPr>
      <w:r>
        <w:rPr/>
        <w:t>其他说明：</w:t>
      </w:r>
    </w:p>
    <w:p>
      <w:pPr>
        <w:spacing w:line="240" w:lineRule="auto" w:before="7"/>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spacing w:line="324" w:lineRule="auto" w:before="35"/>
        <w:ind w:left="217" w:right="7282" w:firstLine="0"/>
        <w:jc w:val="left"/>
        <w:rPr>
          <w:rFonts w:ascii="宋体" w:hAnsi="宋体" w:cs="宋体" w:eastAsia="宋体" w:hint="default"/>
          <w:sz w:val="21"/>
          <w:szCs w:val="21"/>
        </w:rPr>
      </w:pPr>
      <w:r>
        <w:rPr>
          <w:rFonts w:ascii="宋体" w:hAnsi="宋体" w:cs="宋体" w:eastAsia="宋体" w:hint="default"/>
          <w:b/>
          <w:bCs/>
          <w:sz w:val="21"/>
          <w:szCs w:val="21"/>
        </w:rPr>
        <w:t>72、</w:t>
      </w:r>
      <w:r>
        <w:rPr>
          <w:rFonts w:ascii="宋体" w:hAnsi="宋体" w:cs="宋体" w:eastAsia="宋体" w:hint="default"/>
          <w:b/>
          <w:bCs/>
          <w:spacing w:val="-28"/>
          <w:sz w:val="21"/>
          <w:szCs w:val="21"/>
        </w:rPr>
        <w:t> </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21"/>
          <w:szCs w:val="21"/>
        </w:rPr>
        <w:t>详见附注</w:t>
      </w:r>
    </w:p>
    <w:p>
      <w:pPr>
        <w:spacing w:after="0" w:line="324" w:lineRule="auto"/>
        <w:jc w:val="left"/>
        <w:rPr>
          <w:rFonts w:ascii="宋体" w:hAnsi="宋体" w:cs="宋体" w:eastAsia="宋体" w:hint="default"/>
          <w:sz w:val="21"/>
          <w:szCs w:val="21"/>
        </w:rPr>
        <w:sectPr>
          <w:type w:val="continuous"/>
          <w:pgSz w:w="11910" w:h="16840"/>
          <w:pgMar w:top="1080" w:bottom="1380" w:left="1580" w:right="1040"/>
        </w:sect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119"/>
          <w:pgSz w:w="11910" w:h="16840"/>
          <w:pgMar w:footer="1197" w:header="0" w:top="1120" w:bottom="1380" w:left="1660" w:right="1120"/>
          <w:pgNumType w:start="151"/>
        </w:sectPr>
      </w:pPr>
    </w:p>
    <w:p>
      <w:pPr>
        <w:pStyle w:val="Heading3"/>
        <w:spacing w:line="240" w:lineRule="auto"/>
        <w:ind w:left="137" w:right="0"/>
        <w:jc w:val="left"/>
        <w:rPr>
          <w:b w:val="0"/>
          <w:bCs w:val="0"/>
        </w:rPr>
      </w:pPr>
      <w:r>
        <w:rPr/>
        <w:t>73、</w:t>
      </w:r>
      <w:r>
        <w:rPr>
          <w:spacing w:val="-29"/>
        </w:rPr>
        <w:t> </w:t>
      </w:r>
      <w:r>
        <w:rPr/>
        <w:t>现金流量表项目</w:t>
      </w:r>
      <w:r>
        <w:rPr>
          <w:b w:val="0"/>
          <w:bCs w:val="0"/>
        </w:rPr>
      </w:r>
    </w:p>
    <w:p>
      <w:pPr>
        <w:pStyle w:val="Heading3"/>
        <w:tabs>
          <w:tab w:pos="837" w:val="left" w:leader="none"/>
        </w:tabs>
        <w:spacing w:line="240" w:lineRule="auto" w:before="97"/>
        <w:ind w:left="137" w:right="0"/>
        <w:jc w:val="left"/>
        <w:rPr>
          <w:b w:val="0"/>
          <w:bCs w:val="0"/>
        </w:rPr>
      </w:pPr>
      <w:r>
        <w:rPr>
          <w:w w:val="95"/>
        </w:rPr>
        <w:t>(1).</w:t>
        <w:tab/>
        <w:t>收到的其他与经营活动有关的现金：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tabs>
          <w:tab w:pos="1187" w:val="left" w:leader="none"/>
        </w:tabs>
        <w:spacing w:line="240" w:lineRule="auto"/>
        <w:ind w:left="137" w:right="0"/>
        <w:jc w:val="left"/>
      </w:pPr>
      <w:r>
        <w:rPr/>
        <w:t>单位：元</w:t>
        <w:tab/>
        <w:t>币种：人民币</w:t>
      </w:r>
    </w:p>
    <w:p>
      <w:pPr>
        <w:spacing w:after="0" w:line="240" w:lineRule="auto"/>
        <w:jc w:val="left"/>
        <w:sectPr>
          <w:type w:val="continuous"/>
          <w:pgSz w:w="11910" w:h="16840"/>
          <w:pgMar w:top="1080" w:bottom="1380" w:left="1660" w:right="1120"/>
          <w:cols w:num="2" w:equalWidth="0">
            <w:col w:w="4208" w:space="2315"/>
            <w:col w:w="2607"/>
          </w:cols>
        </w:sectPr>
      </w:pPr>
    </w:p>
    <w:p>
      <w:pPr>
        <w:spacing w:line="240" w:lineRule="auto" w:before="13"/>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3347"/>
        <w:gridCol w:w="2778"/>
        <w:gridCol w:w="2768"/>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5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收到现金折扣银行存款利息等</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
              <w:jc w:val="right"/>
              <w:rPr>
                <w:rFonts w:ascii="宋体" w:hAnsi="宋体" w:cs="宋体" w:eastAsia="宋体" w:hint="default"/>
                <w:sz w:val="21"/>
                <w:szCs w:val="21"/>
              </w:rPr>
            </w:pPr>
            <w:r>
              <w:rPr>
                <w:rFonts w:ascii="宋体"/>
                <w:spacing w:val="-1"/>
                <w:sz w:val="21"/>
              </w:rPr>
              <w:t>27,791,854.61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
              <w:jc w:val="right"/>
              <w:rPr>
                <w:rFonts w:ascii="宋体" w:hAnsi="宋体" w:cs="宋体" w:eastAsia="宋体" w:hint="default"/>
                <w:sz w:val="21"/>
                <w:szCs w:val="21"/>
              </w:rPr>
            </w:pPr>
            <w:r>
              <w:rPr>
                <w:rFonts w:ascii="宋体"/>
                <w:spacing w:val="-1"/>
                <w:sz w:val="21"/>
              </w:rPr>
              <w:t>27,532,182.52</w:t>
            </w:r>
          </w:p>
        </w:tc>
      </w:tr>
      <w:tr>
        <w:trPr>
          <w:trHeight w:val="326"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财政补贴及资助资金等</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3,000,116.78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5,903,908.17</w:t>
            </w:r>
          </w:p>
        </w:tc>
      </w:tr>
      <w:tr>
        <w:trPr>
          <w:trHeight w:val="560"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收到其他单位及个人往来款及保证</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金等</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173,231,773.84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176,277,302.05</w:t>
            </w:r>
          </w:p>
        </w:tc>
      </w:tr>
      <w:tr>
        <w:trPr>
          <w:trHeight w:val="326"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204,023,745.23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209,713,392.74</w:t>
            </w:r>
          </w:p>
        </w:tc>
      </w:tr>
    </w:tbl>
    <w:p>
      <w:pPr>
        <w:spacing w:line="290" w:lineRule="auto" w:before="26"/>
        <w:ind w:left="137" w:right="121" w:firstLine="0"/>
        <w:jc w:val="left"/>
        <w:rPr>
          <w:rFonts w:ascii="宋体" w:hAnsi="宋体" w:cs="宋体" w:eastAsia="宋体" w:hint="default"/>
          <w:sz w:val="21"/>
          <w:szCs w:val="21"/>
        </w:rPr>
      </w:pPr>
      <w:r>
        <w:rPr>
          <w:rFonts w:ascii="宋体" w:hAnsi="宋体" w:cs="宋体" w:eastAsia="宋体" w:hint="default"/>
          <w:sz w:val="21"/>
          <w:szCs w:val="21"/>
        </w:rPr>
        <w:t>收到的其他与经营活动有关的现金说明： </w:t>
      </w:r>
      <w:r>
        <w:rPr>
          <w:rFonts w:ascii="宋体" w:hAnsi="宋体" w:cs="宋体" w:eastAsia="宋体" w:hint="default"/>
          <w:b/>
          <w:bCs/>
          <w:w w:val="95"/>
          <w:sz w:val="21"/>
          <w:szCs w:val="21"/>
        </w:rPr>
        <w:t>收到其他单位及个人往来款及保证金等主要系子公司深圳市齐普生信息科技有限公司与外部单</w:t>
      </w:r>
      <w:r>
        <w:rPr>
          <w:rFonts w:ascii="宋体" w:hAnsi="宋体" w:cs="宋体" w:eastAsia="宋体" w:hint="default"/>
          <w:b/>
          <w:bCs/>
          <w:spacing w:val="20"/>
          <w:w w:val="95"/>
          <w:sz w:val="21"/>
          <w:szCs w:val="21"/>
        </w:rPr>
        <w:t> </w:t>
      </w:r>
      <w:r>
        <w:rPr>
          <w:rFonts w:ascii="宋体" w:hAnsi="宋体" w:cs="宋体" w:eastAsia="宋体" w:hint="default"/>
          <w:b/>
          <w:bCs/>
          <w:spacing w:val="20"/>
          <w:w w:val="95"/>
          <w:sz w:val="21"/>
          <w:szCs w:val="21"/>
        </w:rPr>
      </w:r>
      <w:r>
        <w:rPr>
          <w:rFonts w:ascii="宋体" w:hAnsi="宋体" w:cs="宋体" w:eastAsia="宋体" w:hint="default"/>
          <w:b/>
          <w:bCs/>
          <w:sz w:val="21"/>
          <w:szCs w:val="21"/>
        </w:rPr>
        <w:t>位之间的资金往来。</w:t>
      </w:r>
      <w:r>
        <w:rPr>
          <w:rFonts w:ascii="宋体" w:hAnsi="宋体" w:cs="宋体" w:eastAsia="宋体" w:hint="default"/>
          <w:sz w:val="21"/>
          <w:szCs w:val="21"/>
        </w:rPr>
      </w:r>
    </w:p>
    <w:p>
      <w:pPr>
        <w:spacing w:line="240" w:lineRule="auto" w:before="3"/>
        <w:rPr>
          <w:rFonts w:ascii="宋体" w:hAnsi="宋体" w:cs="宋体" w:eastAsia="宋体" w:hint="default"/>
          <w:b/>
          <w:bCs/>
          <w:sz w:val="25"/>
          <w:szCs w:val="25"/>
        </w:rPr>
      </w:pPr>
    </w:p>
    <w:p>
      <w:pPr>
        <w:pStyle w:val="Heading3"/>
        <w:tabs>
          <w:tab w:pos="837" w:val="left" w:leader="none"/>
        </w:tabs>
        <w:spacing w:line="240" w:lineRule="auto"/>
        <w:ind w:left="137" w:right="121"/>
        <w:jc w:val="left"/>
        <w:rPr>
          <w:b w:val="0"/>
          <w:bCs w:val="0"/>
        </w:rPr>
      </w:pPr>
      <w:r>
        <w:rPr>
          <w:w w:val="95"/>
        </w:rPr>
        <w:t>(2).</w:t>
        <w:tab/>
      </w:r>
      <w:r>
        <w:rPr/>
        <w:t>支付的其他与经营活动有关的现金：</w:t>
      </w:r>
      <w:r>
        <w:rPr>
          <w:b w:val="0"/>
          <w:bCs w:val="0"/>
        </w:rPr>
      </w:r>
    </w:p>
    <w:p>
      <w:pPr>
        <w:pStyle w:val="BodyText"/>
        <w:tabs>
          <w:tab w:pos="1049" w:val="left" w:leader="none"/>
        </w:tabs>
        <w:spacing w:line="240" w:lineRule="auto" w:before="97"/>
        <w:ind w:left="0" w:right="15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3347"/>
        <w:gridCol w:w="2759"/>
        <w:gridCol w:w="2788"/>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86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费用性支出</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
              <w:jc w:val="right"/>
              <w:rPr>
                <w:rFonts w:ascii="宋体" w:hAnsi="宋体" w:cs="宋体" w:eastAsia="宋体" w:hint="default"/>
                <w:sz w:val="21"/>
                <w:szCs w:val="21"/>
              </w:rPr>
            </w:pPr>
            <w:r>
              <w:rPr>
                <w:rFonts w:ascii="宋体"/>
                <w:spacing w:val="-1"/>
                <w:sz w:val="21"/>
              </w:rPr>
              <w:t>130,369,233.21</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
              <w:jc w:val="right"/>
              <w:rPr>
                <w:rFonts w:ascii="宋体" w:hAnsi="宋体" w:cs="宋体" w:eastAsia="宋体" w:hint="default"/>
                <w:sz w:val="21"/>
                <w:szCs w:val="21"/>
              </w:rPr>
            </w:pPr>
            <w:r>
              <w:rPr>
                <w:rFonts w:ascii="宋体"/>
                <w:spacing w:val="-1"/>
                <w:sz w:val="21"/>
              </w:rPr>
              <w:t>112,018,593.51</w:t>
            </w:r>
          </w:p>
        </w:tc>
      </w:tr>
      <w:tr>
        <w:trPr>
          <w:trHeight w:val="326"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支付往来款、押金及职工备用金等</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244,988,780.22</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165,719,504.37</w:t>
            </w:r>
          </w:p>
        </w:tc>
      </w:tr>
      <w:tr>
        <w:trPr>
          <w:trHeight w:val="326"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
              <w:jc w:val="right"/>
              <w:rPr>
                <w:rFonts w:ascii="宋体" w:hAnsi="宋体" w:cs="宋体" w:eastAsia="宋体" w:hint="default"/>
                <w:sz w:val="21"/>
                <w:szCs w:val="21"/>
              </w:rPr>
            </w:pPr>
            <w:r>
              <w:rPr>
                <w:rFonts w:ascii="宋体"/>
                <w:spacing w:val="-1"/>
                <w:sz w:val="21"/>
              </w:rPr>
              <w:t>375,358,013.43</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
              <w:jc w:val="right"/>
              <w:rPr>
                <w:rFonts w:ascii="宋体" w:hAnsi="宋体" w:cs="宋体" w:eastAsia="宋体" w:hint="default"/>
                <w:sz w:val="21"/>
                <w:szCs w:val="21"/>
              </w:rPr>
            </w:pPr>
            <w:r>
              <w:rPr>
                <w:rFonts w:ascii="宋体"/>
                <w:spacing w:val="-1"/>
                <w:sz w:val="21"/>
              </w:rPr>
              <w:t>277,738,097.88</w:t>
            </w:r>
          </w:p>
        </w:tc>
      </w:tr>
    </w:tbl>
    <w:p>
      <w:pPr>
        <w:pStyle w:val="BodyText"/>
        <w:spacing w:line="240" w:lineRule="auto" w:before="46"/>
        <w:ind w:left="137" w:right="4941"/>
        <w:jc w:val="left"/>
      </w:pPr>
      <w:r>
        <w:rPr/>
        <w:t>支付的其他与经营活动有关的现金说明：</w:t>
      </w:r>
    </w:p>
    <w:p>
      <w:pPr>
        <w:pStyle w:val="Heading3"/>
        <w:spacing w:line="273" w:lineRule="auto" w:before="97"/>
        <w:ind w:left="137" w:right="121"/>
        <w:jc w:val="left"/>
        <w:rPr>
          <w:b w:val="0"/>
          <w:bCs w:val="0"/>
        </w:rPr>
      </w:pPr>
      <w:r>
        <w:rPr>
          <w:w w:val="95"/>
        </w:rPr>
        <w:t>支付往来款、押金及职工备用金等增加，主要系子公司子公司深圳市齐普生信息科技有限公司与</w:t>
      </w:r>
      <w:r>
        <w:rPr>
          <w:spacing w:val="8"/>
          <w:w w:val="95"/>
        </w:rPr>
        <w:t> </w:t>
      </w:r>
      <w:r>
        <w:rPr>
          <w:spacing w:val="8"/>
          <w:w w:val="95"/>
        </w:rPr>
      </w:r>
      <w:r>
        <w:rPr/>
        <w:t>外部单位之间的资金往来增加所致。</w:t>
      </w:r>
      <w:r>
        <w:rPr>
          <w:b w:val="0"/>
          <w:bCs w:val="0"/>
        </w:rPr>
      </w:r>
    </w:p>
    <w:p>
      <w:pPr>
        <w:spacing w:line="240" w:lineRule="auto" w:before="0"/>
        <w:rPr>
          <w:rFonts w:ascii="宋体" w:hAnsi="宋体" w:cs="宋体" w:eastAsia="宋体" w:hint="default"/>
          <w:b/>
          <w:bCs/>
          <w:sz w:val="20"/>
          <w:szCs w:val="20"/>
        </w:rPr>
      </w:pPr>
    </w:p>
    <w:p>
      <w:pPr>
        <w:pStyle w:val="Heading3"/>
        <w:tabs>
          <w:tab w:pos="865" w:val="left" w:leader="none"/>
        </w:tabs>
        <w:spacing w:line="240" w:lineRule="auto" w:before="166"/>
        <w:ind w:left="137" w:right="4941"/>
        <w:jc w:val="left"/>
        <w:rPr>
          <w:b w:val="0"/>
          <w:bCs w:val="0"/>
        </w:rPr>
      </w:pPr>
      <w:r>
        <w:rPr>
          <w:w w:val="95"/>
        </w:rPr>
        <w:t>(3).</w:t>
        <w:tab/>
      </w:r>
      <w:r>
        <w:rPr/>
        <w:t>收到的其他与投资活动有关的现金</w:t>
      </w:r>
      <w:r>
        <w:rPr>
          <w:b w:val="0"/>
          <w:bCs w:val="0"/>
        </w:rPr>
      </w:r>
    </w:p>
    <w:p>
      <w:pPr>
        <w:pStyle w:val="BodyText"/>
        <w:tabs>
          <w:tab w:pos="1050" w:val="left" w:leader="none"/>
        </w:tabs>
        <w:spacing w:line="240" w:lineRule="auto" w:before="97"/>
        <w:ind w:left="0" w:right="150"/>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3347"/>
        <w:gridCol w:w="2862"/>
        <w:gridCol w:w="2684"/>
      </w:tblGrid>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收到建设工程项目退回保证金</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3,000,000.00</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z w:val="21"/>
                <w:szCs w:val="21"/>
              </w:rPr>
              <w:t>乐山高新区农业科技园区二期项目</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的投标保证金收回</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1,000,000.00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49,000,000.00</w:t>
            </w:r>
          </w:p>
        </w:tc>
      </w:tr>
      <w:tr>
        <w:trPr>
          <w:trHeight w:val="32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BT项目管理保证金</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
              <w:jc w:val="right"/>
              <w:rPr>
                <w:rFonts w:ascii="宋体" w:hAnsi="宋体" w:cs="宋体" w:eastAsia="宋体" w:hint="default"/>
                <w:sz w:val="21"/>
                <w:szCs w:val="21"/>
              </w:rPr>
            </w:pPr>
            <w:r>
              <w:rPr>
                <w:rFonts w:ascii="宋体"/>
                <w:spacing w:val="-1"/>
                <w:sz w:val="21"/>
              </w:rPr>
              <w:t>23,500,000.00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
              <w:jc w:val="right"/>
              <w:rPr>
                <w:rFonts w:ascii="宋体" w:hAnsi="宋体" w:cs="宋体" w:eastAsia="宋体" w:hint="default"/>
                <w:sz w:val="21"/>
                <w:szCs w:val="21"/>
              </w:rPr>
            </w:pPr>
            <w:r>
              <w:rPr>
                <w:rFonts w:ascii="宋体"/>
                <w:spacing w:val="-1"/>
                <w:sz w:val="21"/>
              </w:rPr>
              <w:t>72,000,000.00</w:t>
            </w:r>
          </w:p>
        </w:tc>
      </w:tr>
      <w:tr>
        <w:trPr>
          <w:trHeight w:val="326"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27,500,000.00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121,000,000.00</w:t>
            </w:r>
            <w:r>
              <w:rPr>
                <w:rFonts w:ascii="宋体"/>
                <w:sz w:val="21"/>
              </w:rPr>
            </w:r>
          </w:p>
        </w:tc>
      </w:tr>
    </w:tbl>
    <w:p>
      <w:pPr>
        <w:pStyle w:val="BodyText"/>
        <w:spacing w:line="240" w:lineRule="auto" w:before="26"/>
        <w:ind w:left="137" w:right="4941"/>
        <w:jc w:val="left"/>
      </w:pPr>
      <w:r>
        <w:rPr/>
        <w:t>收到的其他与投资活动有关的现金说明：</w:t>
      </w:r>
    </w:p>
    <w:p>
      <w:pPr>
        <w:spacing w:line="240" w:lineRule="auto" w:before="7"/>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0000ff">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5"/>
          <w:szCs w:val="25"/>
        </w:rPr>
      </w:pPr>
    </w:p>
    <w:p>
      <w:pPr>
        <w:pStyle w:val="Heading3"/>
        <w:tabs>
          <w:tab w:pos="865" w:val="left" w:leader="none"/>
        </w:tabs>
        <w:spacing w:line="240" w:lineRule="auto"/>
        <w:ind w:left="137" w:right="4941"/>
        <w:jc w:val="left"/>
        <w:rPr>
          <w:b w:val="0"/>
          <w:bCs w:val="0"/>
        </w:rPr>
      </w:pPr>
      <w:r>
        <w:rPr>
          <w:w w:val="95"/>
        </w:rPr>
        <w:t>(4).</w:t>
        <w:tab/>
      </w:r>
      <w:r>
        <w:rPr/>
        <w:t>支付的其他与投资活动有关的现金</w:t>
      </w:r>
      <w:r>
        <w:rPr>
          <w:b w:val="0"/>
          <w:bCs w:val="0"/>
        </w:rPr>
      </w:r>
    </w:p>
    <w:p>
      <w:pPr>
        <w:pStyle w:val="BodyText"/>
        <w:tabs>
          <w:tab w:pos="1049" w:val="left" w:leader="none"/>
        </w:tabs>
        <w:spacing w:line="240" w:lineRule="auto" w:before="97"/>
        <w:ind w:left="0" w:right="15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3347"/>
        <w:gridCol w:w="2864"/>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9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退还BT项目管理保证金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
              <w:jc w:val="right"/>
              <w:rPr>
                <w:rFonts w:ascii="宋体" w:hAnsi="宋体" w:cs="宋体" w:eastAsia="宋体" w:hint="default"/>
                <w:sz w:val="21"/>
                <w:szCs w:val="21"/>
              </w:rPr>
            </w:pPr>
            <w:r>
              <w:rPr>
                <w:rFonts w:ascii="宋体"/>
                <w:spacing w:val="-1"/>
                <w:sz w:val="21"/>
              </w:rPr>
              <w:t>55,076,203.53</w:t>
            </w: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支付的建设工程项目保证金</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23,000,000.00</w:t>
            </w:r>
          </w:p>
        </w:tc>
      </w:tr>
      <w:tr>
        <w:trPr>
          <w:trHeight w:val="326"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
              <w:jc w:val="right"/>
              <w:rPr>
                <w:rFonts w:ascii="宋体" w:hAnsi="宋体" w:cs="宋体" w:eastAsia="宋体" w:hint="default"/>
                <w:sz w:val="21"/>
                <w:szCs w:val="21"/>
              </w:rPr>
            </w:pPr>
            <w:r>
              <w:rPr>
                <w:rFonts w:ascii="宋体"/>
                <w:spacing w:val="-1"/>
                <w:sz w:val="21"/>
              </w:rPr>
              <w:t>55,076,203.53</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
              <w:jc w:val="right"/>
              <w:rPr>
                <w:rFonts w:ascii="宋体" w:hAnsi="宋体" w:cs="宋体" w:eastAsia="宋体" w:hint="default"/>
                <w:sz w:val="21"/>
                <w:szCs w:val="21"/>
              </w:rPr>
            </w:pPr>
            <w:r>
              <w:rPr>
                <w:rFonts w:ascii="宋体"/>
                <w:spacing w:val="-1"/>
                <w:sz w:val="21"/>
              </w:rPr>
              <w:t>23,000,000.00</w:t>
            </w:r>
          </w:p>
        </w:tc>
      </w:tr>
    </w:tbl>
    <w:p>
      <w:pPr>
        <w:pStyle w:val="BodyText"/>
        <w:spacing w:line="240" w:lineRule="auto" w:before="46"/>
        <w:ind w:left="137" w:right="4941"/>
        <w:jc w:val="left"/>
      </w:pPr>
      <w:r>
        <w:rPr/>
        <w:t>支付的其他与投资活动有关的现金说明：</w:t>
      </w:r>
    </w:p>
    <w:p>
      <w:pPr>
        <w:spacing w:after="0" w:line="240" w:lineRule="auto"/>
        <w:jc w:val="left"/>
        <w:sectPr>
          <w:type w:val="continuous"/>
          <w:pgSz w:w="11910" w:h="16840"/>
          <w:pgMar w:top="1080" w:bottom="13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pStyle w:val="Heading3"/>
        <w:tabs>
          <w:tab w:pos="1057" w:val="left" w:leader="none"/>
        </w:tabs>
        <w:spacing w:line="240" w:lineRule="auto"/>
        <w:ind w:right="114"/>
        <w:jc w:val="left"/>
        <w:rPr>
          <w:b w:val="0"/>
          <w:bCs w:val="0"/>
        </w:rPr>
      </w:pPr>
      <w:r>
        <w:rPr>
          <w:w w:val="95"/>
        </w:rPr>
        <w:t>(5).</w:t>
        <w:tab/>
      </w:r>
      <w:r>
        <w:rPr/>
        <w:t>收到的其他与筹资活动有关的现金</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3347"/>
        <w:gridCol w:w="2864"/>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9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银行承兑汇票保证金净流入</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
              <w:jc w:val="right"/>
              <w:rPr>
                <w:rFonts w:ascii="宋体" w:hAnsi="宋体" w:cs="宋体" w:eastAsia="宋体" w:hint="default"/>
                <w:sz w:val="21"/>
                <w:szCs w:val="21"/>
              </w:rPr>
            </w:pPr>
            <w:r>
              <w:rPr>
                <w:rFonts w:ascii="宋体"/>
                <w:spacing w:val="-1"/>
                <w:sz w:val="21"/>
              </w:rPr>
              <w:t>410,249.63</w:t>
            </w:r>
          </w:p>
        </w:tc>
      </w:tr>
      <w:tr>
        <w:trPr>
          <w:trHeight w:val="326" w:hRule="exact"/>
        </w:trPr>
        <w:tc>
          <w:tcPr>
            <w:tcW w:w="3347"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
              <w:jc w:val="right"/>
              <w:rPr>
                <w:rFonts w:ascii="宋体" w:hAnsi="宋体" w:cs="宋体" w:eastAsia="宋体" w:hint="default"/>
                <w:sz w:val="21"/>
                <w:szCs w:val="21"/>
              </w:rPr>
            </w:pPr>
            <w:r>
              <w:rPr>
                <w:rFonts w:ascii="宋体"/>
                <w:spacing w:val="-1"/>
                <w:sz w:val="21"/>
              </w:rPr>
              <w:t>410,249.63</w:t>
            </w:r>
          </w:p>
        </w:tc>
      </w:tr>
    </w:tbl>
    <w:p>
      <w:pPr>
        <w:pStyle w:val="BodyText"/>
        <w:spacing w:line="240" w:lineRule="auto" w:before="46"/>
        <w:ind w:right="114"/>
        <w:jc w:val="left"/>
      </w:pPr>
      <w:r>
        <w:rPr/>
        <w:t>收到的其他与筹资活动有关的现金说明：</w:t>
      </w:r>
    </w:p>
    <w:p>
      <w:pPr>
        <w:spacing w:line="240" w:lineRule="auto" w:before="7"/>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pStyle w:val="Heading3"/>
        <w:tabs>
          <w:tab w:pos="1057" w:val="left" w:leader="none"/>
        </w:tabs>
        <w:spacing w:line="240" w:lineRule="auto"/>
        <w:ind w:right="114"/>
        <w:jc w:val="left"/>
        <w:rPr>
          <w:b w:val="0"/>
          <w:bCs w:val="0"/>
        </w:rPr>
      </w:pPr>
      <w:r>
        <w:rPr>
          <w:w w:val="95"/>
        </w:rPr>
        <w:t>(6).</w:t>
        <w:tab/>
      </w:r>
      <w:r>
        <w:rPr/>
        <w:t>支付的其他与筹资活动有关的现金</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3347"/>
        <w:gridCol w:w="2864"/>
        <w:gridCol w:w="2682"/>
      </w:tblGrid>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银行承兑汇票保证金净流出</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9"/>
              <w:jc w:val="right"/>
              <w:rPr>
                <w:rFonts w:ascii="宋体" w:hAnsi="宋体" w:cs="宋体" w:eastAsia="宋体" w:hint="default"/>
                <w:sz w:val="21"/>
                <w:szCs w:val="21"/>
              </w:rPr>
            </w:pPr>
            <w:r>
              <w:rPr>
                <w:rFonts w:ascii="宋体"/>
                <w:spacing w:val="-1"/>
                <w:sz w:val="21"/>
              </w:rPr>
              <w:t>646,449.14</w:t>
            </w: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347"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9"/>
              <w:jc w:val="right"/>
              <w:rPr>
                <w:rFonts w:ascii="宋体" w:hAnsi="宋体" w:cs="宋体" w:eastAsia="宋体" w:hint="default"/>
                <w:sz w:val="21"/>
                <w:szCs w:val="21"/>
              </w:rPr>
            </w:pPr>
            <w:r>
              <w:rPr>
                <w:rFonts w:ascii="宋体"/>
                <w:spacing w:val="-1"/>
                <w:sz w:val="21"/>
              </w:rPr>
              <w:t>646,449.14</w:t>
            </w:r>
          </w:p>
        </w:tc>
        <w:tc>
          <w:tcPr>
            <w:tcW w:w="268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6"/>
        <w:ind w:right="114"/>
        <w:jc w:val="left"/>
      </w:pPr>
      <w:r>
        <w:rPr/>
        <w:t>支付的其他与筹资活动有关的现金说明：</w:t>
      </w:r>
    </w:p>
    <w:p>
      <w:pPr>
        <w:spacing w:line="240" w:lineRule="auto" w:before="7"/>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7" w:top="1120" w:bottom="1380" w:left="1580" w:right="1040"/>
        </w:sectPr>
      </w:pPr>
    </w:p>
    <w:p>
      <w:pPr>
        <w:pStyle w:val="Heading3"/>
        <w:spacing w:line="324" w:lineRule="auto" w:before="75"/>
        <w:ind w:right="-16"/>
        <w:jc w:val="left"/>
        <w:rPr>
          <w:b w:val="0"/>
          <w:bCs w:val="0"/>
        </w:rPr>
      </w:pPr>
      <w:r>
        <w:rPr/>
        <w:t>74、</w:t>
      </w:r>
      <w:r>
        <w:rPr>
          <w:spacing w:val="-27"/>
        </w:rPr>
        <w:t> </w:t>
      </w:r>
      <w:r>
        <w:rPr/>
        <w:t>现金流量表补充资料</w:t>
      </w:r>
      <w:r>
        <w:rPr>
          <w:spacing w:val="1"/>
          <w:w w:val="99"/>
        </w:rPr>
        <w:t> </w:t>
      </w:r>
      <w:r>
        <w:rPr/>
        <w:t>(1)</w:t>
      </w:r>
      <w:r>
        <w:rPr>
          <w:spacing w:val="-6"/>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2"/>
          <w:szCs w:val="22"/>
        </w:rPr>
      </w:pPr>
    </w:p>
    <w:p>
      <w:pPr>
        <w:pStyle w:val="BodyText"/>
        <w:tabs>
          <w:tab w:pos="1267" w:val="left" w:leader="none"/>
        </w:tabs>
        <w:spacing w:line="240" w:lineRule="auto"/>
        <w:ind w:right="0"/>
        <w:jc w:val="left"/>
      </w:pPr>
      <w:r>
        <w:rPr/>
        <w:t>单位：元</w:t>
        <w:tab/>
        <w:t>币种：人民币</w:t>
      </w:r>
    </w:p>
    <w:p>
      <w:pPr>
        <w:spacing w:after="0" w:line="240" w:lineRule="auto"/>
        <w:jc w:val="left"/>
        <w:sectPr>
          <w:type w:val="continuous"/>
          <w:pgSz w:w="11910" w:h="16840"/>
          <w:pgMar w:top="1080" w:bottom="1380" w:left="1580" w:right="1040"/>
          <w:cols w:num="2" w:equalWidth="0">
            <w:col w:w="2620" w:space="3903"/>
            <w:col w:w="2767"/>
          </w:cols>
        </w:sectPr>
      </w:pP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3482"/>
        <w:gridCol w:w="2800"/>
        <w:gridCol w:w="2767"/>
      </w:tblGrid>
      <w:tr>
        <w:trPr>
          <w:trHeight w:val="322" w:hRule="exact"/>
        </w:trPr>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636" w:hRule="exact"/>
        </w:trPr>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1．将净利润调节为经营活动现金流</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0" w:type="dxa"/>
            <w:tcBorders>
              <w:top w:val="single" w:sz="4" w:space="0" w:color="000000"/>
              <w:left w:val="single" w:sz="4" w:space="0" w:color="000000"/>
              <w:bottom w:val="single" w:sz="6" w:space="0" w:color="000000"/>
              <w:right w:val="single" w:sz="6" w:space="0" w:color="000000"/>
            </w:tcBorders>
          </w:tcPr>
          <w:p>
            <w:pPr/>
          </w:p>
        </w:tc>
        <w:tc>
          <w:tcPr>
            <w:tcW w:w="2767" w:type="dxa"/>
            <w:tcBorders>
              <w:top w:val="single" w:sz="4" w:space="0" w:color="000000"/>
              <w:left w:val="single" w:sz="6" w:space="0" w:color="000000"/>
              <w:bottom w:val="single" w:sz="6" w:space="0" w:color="000000"/>
              <w:right w:val="single" w:sz="6" w:space="0" w:color="000000"/>
            </w:tcBorders>
          </w:tcPr>
          <w:p>
            <w:pPr/>
          </w:p>
        </w:tc>
      </w:tr>
      <w:tr>
        <w:trPr>
          <w:trHeight w:val="328" w:hRule="exact"/>
        </w:trPr>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177,077,790.86</w:t>
            </w:r>
            <w:r>
              <w:rPr>
                <w:rFonts w:ascii="宋体"/>
                <w:sz w:val="21"/>
              </w:rPr>
            </w:r>
          </w:p>
        </w:tc>
        <w:tc>
          <w:tcPr>
            <w:tcW w:w="27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125,044,285.63</w:t>
            </w:r>
            <w:r>
              <w:rPr>
                <w:rFonts w:ascii="宋体"/>
                <w:sz w:val="21"/>
              </w:rPr>
            </w:r>
          </w:p>
        </w:tc>
      </w:tr>
      <w:tr>
        <w:trPr>
          <w:trHeight w:val="326" w:hRule="exact"/>
        </w:trPr>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7,933,330.63</w:t>
            </w:r>
            <w:r>
              <w:rPr>
                <w:rFonts w:ascii="宋体"/>
                <w:sz w:val="21"/>
              </w:rPr>
            </w:r>
          </w:p>
        </w:tc>
        <w:tc>
          <w:tcPr>
            <w:tcW w:w="276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2,837,592.68</w:t>
            </w:r>
            <w:r>
              <w:rPr>
                <w:rFonts w:ascii="宋体"/>
                <w:sz w:val="21"/>
              </w:rPr>
            </w:r>
          </w:p>
        </w:tc>
      </w:tr>
      <w:tr>
        <w:trPr>
          <w:trHeight w:val="640" w:hRule="exact"/>
        </w:trPr>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6"/>
                <w:sz w:val="21"/>
                <w:szCs w:val="21"/>
              </w:rPr>
              <w:t>固定资产折旧、油气资产折耗、生产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性生物资产折旧</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7,789,488.82</w:t>
            </w:r>
          </w:p>
        </w:tc>
        <w:tc>
          <w:tcPr>
            <w:tcW w:w="27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7,454,428.56</w:t>
            </w:r>
          </w:p>
        </w:tc>
      </w:tr>
      <w:tr>
        <w:trPr>
          <w:trHeight w:val="326" w:hRule="exact"/>
        </w:trPr>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2,824,823.83</w:t>
            </w:r>
            <w:r>
              <w:rPr>
                <w:rFonts w:ascii="宋体"/>
                <w:sz w:val="21"/>
              </w:rPr>
            </w:r>
          </w:p>
        </w:tc>
        <w:tc>
          <w:tcPr>
            <w:tcW w:w="276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1,067,829.60</w:t>
            </w:r>
            <w:r>
              <w:rPr>
                <w:rFonts w:ascii="宋体"/>
                <w:sz w:val="21"/>
              </w:rPr>
            </w:r>
          </w:p>
        </w:tc>
      </w:tr>
      <w:tr>
        <w:trPr>
          <w:trHeight w:val="328" w:hRule="exact"/>
        </w:trPr>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2,379,663.73</w:t>
            </w:r>
            <w:r>
              <w:rPr>
                <w:rFonts w:ascii="宋体"/>
                <w:sz w:val="21"/>
              </w:rPr>
            </w:r>
          </w:p>
        </w:tc>
        <w:tc>
          <w:tcPr>
            <w:tcW w:w="27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4,415,429.27</w:t>
            </w:r>
            <w:r>
              <w:rPr>
                <w:rFonts w:ascii="宋体"/>
                <w:sz w:val="21"/>
              </w:rPr>
            </w:r>
          </w:p>
        </w:tc>
      </w:tr>
      <w:tr>
        <w:trPr>
          <w:trHeight w:val="638" w:hRule="exact"/>
        </w:trPr>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
              <w:jc w:val="left"/>
              <w:rPr>
                <w:rFonts w:ascii="宋体" w:hAnsi="宋体" w:cs="宋体" w:eastAsia="宋体" w:hint="default"/>
                <w:sz w:val="21"/>
                <w:szCs w:val="21"/>
              </w:rPr>
            </w:pPr>
            <w:r>
              <w:rPr>
                <w:rFonts w:ascii="宋体" w:hAnsi="宋体" w:cs="宋体" w:eastAsia="宋体" w:hint="default"/>
                <w:spacing w:val="-6"/>
                <w:sz w:val="21"/>
                <w:szCs w:val="21"/>
              </w:rPr>
              <w:t>处置固定资产、无形资产和其他长期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资产的损失（收益以“－”号填列）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193,956.52</w:t>
            </w:r>
          </w:p>
        </w:tc>
        <w:tc>
          <w:tcPr>
            <w:tcW w:w="276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30,083.42</w:t>
            </w:r>
          </w:p>
        </w:tc>
      </w:tr>
      <w:tr>
        <w:trPr>
          <w:trHeight w:val="640" w:hRule="exact"/>
        </w:trPr>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6"/>
                <w:sz w:val="21"/>
                <w:szCs w:val="21"/>
              </w:rPr>
              <w:t>固定资产报废损失（收益以“－”号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填列）</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7"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6"/>
                <w:sz w:val="21"/>
                <w:szCs w:val="21"/>
              </w:rPr>
              <w:t>公允价值变动损失（收益以“－”号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填列）</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-97,644,954.02</w:t>
            </w:r>
            <w:r>
              <w:rPr>
                <w:rFonts w:ascii="宋体"/>
                <w:sz w:val="21"/>
              </w:rPr>
            </w:r>
          </w:p>
        </w:tc>
        <w:tc>
          <w:tcPr>
            <w:tcW w:w="27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-63,959,442.81</w:t>
            </w:r>
            <w:r>
              <w:rPr>
                <w:rFonts w:ascii="宋体"/>
                <w:sz w:val="21"/>
              </w:rPr>
            </w:r>
          </w:p>
        </w:tc>
      </w:tr>
      <w:tr>
        <w:trPr>
          <w:trHeight w:val="326" w:hRule="exact"/>
        </w:trPr>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2,716,360.34</w:t>
            </w:r>
            <w:r>
              <w:rPr>
                <w:rFonts w:ascii="宋体"/>
                <w:sz w:val="21"/>
              </w:rPr>
            </w:r>
          </w:p>
        </w:tc>
        <w:tc>
          <w:tcPr>
            <w:tcW w:w="276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2,419,277.58</w:t>
            </w:r>
            <w:r>
              <w:rPr>
                <w:rFonts w:ascii="宋体"/>
                <w:sz w:val="21"/>
              </w:rPr>
            </w:r>
          </w:p>
        </w:tc>
      </w:tr>
      <w:tr>
        <w:trPr>
          <w:trHeight w:val="640" w:hRule="exact"/>
        </w:trPr>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6"/>
                <w:sz w:val="21"/>
                <w:szCs w:val="21"/>
              </w:rPr>
              <w:t>递延所得税资产减少（增加以“－”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-165,952.69</w:t>
            </w:r>
          </w:p>
        </w:tc>
        <w:tc>
          <w:tcPr>
            <w:tcW w:w="27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548,794.29</w:t>
            </w:r>
          </w:p>
        </w:tc>
      </w:tr>
    </w:tbl>
    <w:p>
      <w:pPr>
        <w:spacing w:after="0" w:line="261" w:lineRule="exact"/>
        <w:jc w:val="right"/>
        <w:rPr>
          <w:rFonts w:ascii="宋体" w:hAnsi="宋体" w:cs="宋体" w:eastAsia="宋体" w:hint="default"/>
          <w:sz w:val="21"/>
          <w:szCs w:val="21"/>
        </w:rPr>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482"/>
        <w:gridCol w:w="2800"/>
        <w:gridCol w:w="2767"/>
      </w:tblGrid>
      <w:tr>
        <w:trPr>
          <w:trHeight w:val="638" w:hRule="exact"/>
        </w:trPr>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6"/>
                <w:sz w:val="21"/>
                <w:szCs w:val="21"/>
              </w:rPr>
              <w:t>递延所得税负债增加（减少以“－”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-60,070,516.12</w:t>
            </w:r>
            <w:r>
              <w:rPr>
                <w:rFonts w:ascii="宋体"/>
                <w:sz w:val="21"/>
              </w:rPr>
            </w:r>
          </w:p>
        </w:tc>
        <w:tc>
          <w:tcPr>
            <w:tcW w:w="27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-103,339,935.86</w:t>
            </w:r>
          </w:p>
        </w:tc>
      </w:tr>
      <w:tr>
        <w:trPr>
          <w:trHeight w:val="638" w:hRule="exact"/>
        </w:trPr>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427"/>
              <w:jc w:val="left"/>
              <w:rPr>
                <w:rFonts w:ascii="宋体" w:hAnsi="宋体" w:cs="宋体" w:eastAsia="宋体" w:hint="default"/>
                <w:sz w:val="21"/>
                <w:szCs w:val="21"/>
              </w:rPr>
            </w:pPr>
            <w:r>
              <w:rPr>
                <w:rFonts w:ascii="宋体" w:hAnsi="宋体" w:cs="宋体" w:eastAsia="宋体" w:hint="default"/>
                <w:sz w:val="21"/>
                <w:szCs w:val="21"/>
              </w:rPr>
              <w:t>经营性应收项目的减少（增加以 “－”号填列）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-369,823.49</w:t>
            </w:r>
          </w:p>
        </w:tc>
        <w:tc>
          <w:tcPr>
            <w:tcW w:w="276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-13,203,583.86</w:t>
            </w:r>
            <w:r>
              <w:rPr>
                <w:rFonts w:ascii="宋体"/>
                <w:sz w:val="21"/>
              </w:rPr>
            </w:r>
          </w:p>
        </w:tc>
      </w:tr>
      <w:tr>
        <w:trPr>
          <w:trHeight w:val="640" w:hRule="exact"/>
        </w:trPr>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427"/>
              <w:jc w:val="left"/>
              <w:rPr>
                <w:rFonts w:ascii="宋体" w:hAnsi="宋体" w:cs="宋体" w:eastAsia="宋体" w:hint="default"/>
                <w:sz w:val="21"/>
                <w:szCs w:val="21"/>
              </w:rPr>
            </w:pPr>
            <w:r>
              <w:rPr>
                <w:rFonts w:ascii="宋体" w:hAnsi="宋体" w:cs="宋体" w:eastAsia="宋体" w:hint="default"/>
                <w:sz w:val="21"/>
                <w:szCs w:val="21"/>
              </w:rPr>
              <w:t>经营性应付项目的增加（减少以 “－”号填列）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52,797,081.87</w:t>
            </w:r>
          </w:p>
        </w:tc>
        <w:tc>
          <w:tcPr>
            <w:tcW w:w="27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107,657,929.19</w:t>
            </w:r>
            <w:r>
              <w:rPr>
                <w:rFonts w:ascii="宋体"/>
                <w:sz w:val="21"/>
              </w:rPr>
            </w:r>
          </w:p>
        </w:tc>
      </w:tr>
      <w:tr>
        <w:trPr>
          <w:trHeight w:val="326" w:hRule="exact"/>
        </w:trPr>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5,464,325.33</w:t>
            </w:r>
          </w:p>
        </w:tc>
        <w:tc>
          <w:tcPr>
            <w:tcW w:w="276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17,785,609.79</w:t>
            </w:r>
          </w:p>
        </w:tc>
      </w:tr>
      <w:tr>
        <w:trPr>
          <w:trHeight w:val="328" w:hRule="exact"/>
        </w:trPr>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100,925,575.61</w:t>
            </w:r>
            <w:r>
              <w:rPr>
                <w:rFonts w:ascii="宋体"/>
                <w:sz w:val="21"/>
              </w:rPr>
            </w:r>
          </w:p>
        </w:tc>
        <w:tc>
          <w:tcPr>
            <w:tcW w:w="27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88,758,297.48</w:t>
            </w:r>
          </w:p>
        </w:tc>
      </w:tr>
      <w:tr>
        <w:trPr>
          <w:trHeight w:val="638" w:hRule="exact"/>
        </w:trPr>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b/>
                <w:bCs/>
                <w:sz w:val="21"/>
                <w:szCs w:val="21"/>
              </w:rPr>
              <w:t>2．不涉及现金收支的重大投资和筹</w:t>
            </w:r>
            <w:r>
              <w:rPr>
                <w:rFonts w:ascii="宋体" w:hAnsi="宋体" w:cs="宋体" w:eastAsia="宋体" w:hint="default"/>
                <w:b/>
                <w:bCs/>
                <w:w w:val="99"/>
                <w:sz w:val="21"/>
                <w:szCs w:val="21"/>
              </w:rPr>
              <w:t> </w:t>
            </w:r>
            <w:r>
              <w:rPr>
                <w:rFonts w:ascii="宋体" w:hAnsi="宋体" w:cs="宋体" w:eastAsia="宋体" w:hint="default"/>
                <w:b/>
                <w:bCs/>
                <w:sz w:val="21"/>
                <w:szCs w:val="21"/>
              </w:rPr>
              <w:t>资活动：</w:t>
            </w:r>
            <w:r>
              <w:rPr>
                <w:rFonts w:ascii="宋体" w:hAnsi="宋体" w:cs="宋体" w:eastAsia="宋体" w:hint="default"/>
                <w:sz w:val="21"/>
                <w:szCs w:val="21"/>
              </w:rPr>
            </w:r>
          </w:p>
        </w:tc>
        <w:tc>
          <w:tcPr>
            <w:tcW w:w="2800" w:type="dxa"/>
            <w:tcBorders>
              <w:top w:val="single" w:sz="6" w:space="0" w:color="000000"/>
              <w:left w:val="single" w:sz="4" w:space="0" w:color="000000"/>
              <w:bottom w:val="single" w:sz="6" w:space="0" w:color="000000"/>
              <w:right w:val="single" w:sz="6" w:space="0" w:color="000000"/>
            </w:tcBorders>
          </w:tcPr>
          <w:p>
            <w:pPr/>
          </w:p>
        </w:tc>
        <w:tc>
          <w:tcPr>
            <w:tcW w:w="276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3．现金及现金等价物净变动情况：</w:t>
            </w:r>
            <w:r>
              <w:rPr>
                <w:rFonts w:ascii="宋体" w:hAnsi="宋体" w:cs="宋体" w:eastAsia="宋体" w:hint="default"/>
                <w:sz w:val="21"/>
                <w:szCs w:val="21"/>
              </w:rPr>
            </w:r>
          </w:p>
        </w:tc>
        <w:tc>
          <w:tcPr>
            <w:tcW w:w="2800" w:type="dxa"/>
            <w:tcBorders>
              <w:top w:val="single" w:sz="6" w:space="0" w:color="000000"/>
              <w:left w:val="single" w:sz="4" w:space="0" w:color="000000"/>
              <w:bottom w:val="single" w:sz="6" w:space="0" w:color="000000"/>
              <w:right w:val="single" w:sz="6" w:space="0" w:color="000000"/>
            </w:tcBorders>
          </w:tcPr>
          <w:p>
            <w:pPr/>
          </w:p>
        </w:tc>
        <w:tc>
          <w:tcPr>
            <w:tcW w:w="276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238,123,751.07</w:t>
            </w:r>
            <w:r>
              <w:rPr>
                <w:rFonts w:ascii="宋体"/>
                <w:sz w:val="21"/>
              </w:rPr>
            </w:r>
          </w:p>
        </w:tc>
        <w:tc>
          <w:tcPr>
            <w:tcW w:w="27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297,842,896.30</w:t>
            </w:r>
            <w:r>
              <w:rPr>
                <w:rFonts w:ascii="宋体"/>
                <w:sz w:val="21"/>
              </w:rPr>
            </w:r>
          </w:p>
        </w:tc>
      </w:tr>
      <w:tr>
        <w:trPr>
          <w:trHeight w:val="326" w:hRule="exact"/>
        </w:trPr>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297,842,896.30</w:t>
            </w:r>
            <w:r>
              <w:rPr>
                <w:rFonts w:ascii="宋体"/>
                <w:sz w:val="21"/>
              </w:rPr>
            </w:r>
          </w:p>
        </w:tc>
        <w:tc>
          <w:tcPr>
            <w:tcW w:w="276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228,458,823.33</w:t>
            </w:r>
            <w:r>
              <w:rPr>
                <w:rFonts w:ascii="宋体"/>
                <w:sz w:val="21"/>
              </w:rPr>
            </w:r>
          </w:p>
        </w:tc>
      </w:tr>
      <w:tr>
        <w:trPr>
          <w:trHeight w:val="328" w:hRule="exact"/>
        </w:trPr>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-59,719,145.23</w:t>
            </w:r>
            <w:r>
              <w:rPr>
                <w:rFonts w:ascii="宋体"/>
                <w:sz w:val="21"/>
              </w:rPr>
            </w:r>
          </w:p>
        </w:tc>
        <w:tc>
          <w:tcPr>
            <w:tcW w:w="27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69,384,072.97</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3"/>
        <w:spacing w:line="240" w:lineRule="auto"/>
        <w:ind w:right="114"/>
        <w:jc w:val="left"/>
        <w:rPr>
          <w:b w:val="0"/>
          <w:bCs w:val="0"/>
        </w:rPr>
      </w:pPr>
      <w:r>
        <w:rPr/>
        <w:t>(2)</w:t>
      </w:r>
      <w:r>
        <w:rPr>
          <w:spacing w:val="-9"/>
        </w:rPr>
        <w:t> </w:t>
      </w:r>
      <w:r>
        <w:rPr/>
        <w:t>本期支付的取得子公司的现金净额</w:t>
      </w:r>
      <w:r>
        <w:rPr>
          <w:b w:val="0"/>
          <w:bCs w:val="0"/>
        </w:rPr>
      </w:r>
    </w:p>
    <w:p>
      <w:pPr>
        <w:spacing w:line="240" w:lineRule="auto" w:before="7"/>
        <w:rPr>
          <w:rFonts w:ascii="宋体" w:hAnsi="宋体" w:cs="宋体" w:eastAsia="宋体" w:hint="default"/>
          <w:b/>
          <w:bCs/>
          <w:sz w:val="8"/>
          <w:szCs w:val="8"/>
        </w:rPr>
      </w:pPr>
    </w:p>
    <w:tbl>
      <w:tblPr>
        <w:tblW w:w="0" w:type="auto"/>
        <w:jc w:val="left"/>
        <w:tblInd w:w="104" w:type="dxa"/>
        <w:tblLayout w:type="fixed"/>
        <w:tblCellMar>
          <w:top w:w="0" w:type="dxa"/>
          <w:left w:w="0" w:type="dxa"/>
          <w:bottom w:w="0" w:type="dxa"/>
          <w:right w:w="0" w:type="dxa"/>
        </w:tblCellMar>
        <w:tblLook w:val="01E0"/>
      </w:tblPr>
      <w:tblGrid>
        <w:gridCol w:w="5916"/>
        <w:gridCol w:w="3133"/>
      </w:tblGrid>
      <w:tr>
        <w:trPr>
          <w:trHeight w:val="328"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6"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3" w:type="dxa"/>
            <w:tcBorders>
              <w:top w:val="single" w:sz="6" w:space="0" w:color="000000"/>
              <w:left w:val="single" w:sz="6" w:space="0" w:color="000000"/>
              <w:bottom w:val="single" w:sz="6" w:space="0" w:color="000000"/>
              <w:right w:val="single" w:sz="4" w:space="0" w:color="000000"/>
            </w:tcBorders>
          </w:tcPr>
          <w:p>
            <w:pPr/>
          </w:p>
        </w:tc>
      </w:tr>
      <w:tr>
        <w:trPr>
          <w:trHeight w:val="328"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3"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3" w:type="dxa"/>
            <w:tcBorders>
              <w:top w:val="single" w:sz="6" w:space="0" w:color="000000"/>
              <w:left w:val="single" w:sz="6" w:space="0" w:color="000000"/>
              <w:bottom w:val="single" w:sz="6" w:space="0" w:color="000000"/>
              <w:right w:val="single" w:sz="4" w:space="0" w:color="000000"/>
            </w:tcBorders>
          </w:tcPr>
          <w:p>
            <w:pPr/>
          </w:p>
        </w:tc>
      </w:tr>
      <w:tr>
        <w:trPr>
          <w:trHeight w:val="328"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3"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3" w:type="dxa"/>
            <w:tcBorders>
              <w:top w:val="single" w:sz="6" w:space="0" w:color="000000"/>
              <w:left w:val="single" w:sz="6" w:space="0" w:color="000000"/>
              <w:bottom w:val="single" w:sz="6" w:space="0" w:color="000000"/>
              <w:right w:val="single" w:sz="4" w:space="0" w:color="000000"/>
            </w:tcBorders>
          </w:tcPr>
          <w:p>
            <w:pPr/>
          </w:p>
        </w:tc>
      </w:tr>
      <w:tr>
        <w:trPr>
          <w:trHeight w:val="328"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3"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3133" w:type="dxa"/>
            <w:tcBorders>
              <w:top w:val="single" w:sz="6" w:space="0" w:color="000000"/>
              <w:left w:val="single" w:sz="6" w:space="0" w:color="000000"/>
              <w:bottom w:val="single" w:sz="6" w:space="0" w:color="000000"/>
              <w:right w:val="single" w:sz="4" w:space="0" w:color="000000"/>
            </w:tcBorders>
          </w:tcPr>
          <w:p>
            <w:pPr/>
          </w:p>
        </w:tc>
      </w:tr>
      <w:tr>
        <w:trPr>
          <w:trHeight w:val="328"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3"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3" w:type="dxa"/>
            <w:tcBorders>
              <w:top w:val="single" w:sz="6" w:space="0" w:color="000000"/>
              <w:left w:val="single" w:sz="6" w:space="0" w:color="000000"/>
              <w:bottom w:val="single" w:sz="6" w:space="0" w:color="000000"/>
              <w:right w:val="single" w:sz="4" w:space="0" w:color="000000"/>
            </w:tcBorders>
          </w:tcPr>
          <w:p>
            <w:pPr/>
          </w:p>
        </w:tc>
      </w:tr>
      <w:tr>
        <w:trPr>
          <w:trHeight w:val="325" w:hRule="exact"/>
        </w:trPr>
        <w:tc>
          <w:tcPr>
            <w:tcW w:w="5916" w:type="dxa"/>
            <w:tcBorders>
              <w:top w:val="single" w:sz="6" w:space="0" w:color="000000"/>
              <w:left w:val="single" w:sz="4" w:space="0" w:color="000000"/>
              <w:bottom w:val="single" w:sz="4"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3"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60" w:lineRule="exact"/>
        <w:ind w:right="114"/>
        <w:jc w:val="left"/>
      </w:pPr>
      <w:r>
        <w:rPr/>
        <w:t>其他说明:</w:t>
      </w:r>
    </w:p>
    <w:p>
      <w:pPr>
        <w:spacing w:line="240" w:lineRule="auto" w:before="13"/>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pStyle w:val="Heading3"/>
        <w:spacing w:line="240" w:lineRule="auto"/>
        <w:ind w:right="114"/>
        <w:jc w:val="left"/>
        <w:rPr>
          <w:b w:val="0"/>
          <w:bCs w:val="0"/>
        </w:rPr>
      </w:pPr>
      <w:r>
        <w:rPr/>
        <w:t>(3)</w:t>
      </w:r>
      <w:r>
        <w:rPr>
          <w:spacing w:val="-9"/>
        </w:rPr>
        <w:t> </w:t>
      </w:r>
      <w:r>
        <w:rPr/>
        <w:t>本期收到的处置子公司的现金净额</w:t>
      </w:r>
      <w:r>
        <w:rPr>
          <w:b w:val="0"/>
          <w:bCs w:val="0"/>
        </w:rPr>
      </w:r>
    </w:p>
    <w:p>
      <w:pPr>
        <w:spacing w:line="240" w:lineRule="auto" w:before="7"/>
        <w:rPr>
          <w:rFonts w:ascii="宋体" w:hAnsi="宋体" w:cs="宋体" w:eastAsia="宋体" w:hint="default"/>
          <w:b/>
          <w:bCs/>
          <w:sz w:val="8"/>
          <w:szCs w:val="8"/>
        </w:rPr>
      </w:pPr>
    </w:p>
    <w:tbl>
      <w:tblPr>
        <w:tblW w:w="0" w:type="auto"/>
        <w:jc w:val="left"/>
        <w:tblInd w:w="104" w:type="dxa"/>
        <w:tblLayout w:type="fixed"/>
        <w:tblCellMar>
          <w:top w:w="0" w:type="dxa"/>
          <w:left w:w="0" w:type="dxa"/>
          <w:bottom w:w="0" w:type="dxa"/>
          <w:right w:w="0" w:type="dxa"/>
        </w:tblCellMar>
        <w:tblLook w:val="01E0"/>
      </w:tblPr>
      <w:tblGrid>
        <w:gridCol w:w="5904"/>
        <w:gridCol w:w="3145"/>
      </w:tblGrid>
      <w:tr>
        <w:trPr>
          <w:trHeight w:val="328"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6"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145" w:type="dxa"/>
            <w:tcBorders>
              <w:top w:val="single" w:sz="6" w:space="0" w:color="000000"/>
              <w:left w:val="single" w:sz="6" w:space="0" w:color="000000"/>
              <w:bottom w:val="single" w:sz="6" w:space="0" w:color="000000"/>
              <w:right w:val="single" w:sz="4" w:space="0" w:color="000000"/>
            </w:tcBorders>
          </w:tcPr>
          <w:p>
            <w:pPr/>
          </w:p>
        </w:tc>
      </w:tr>
      <w:tr>
        <w:trPr>
          <w:trHeight w:val="328"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5"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5" w:type="dxa"/>
            <w:tcBorders>
              <w:top w:val="single" w:sz="6" w:space="0" w:color="000000"/>
              <w:left w:val="single" w:sz="6" w:space="0" w:color="000000"/>
              <w:bottom w:val="single" w:sz="6" w:space="0" w:color="000000"/>
              <w:right w:val="single" w:sz="4" w:space="0" w:color="000000"/>
            </w:tcBorders>
          </w:tcPr>
          <w:p>
            <w:pPr/>
          </w:p>
        </w:tc>
      </w:tr>
    </w:tbl>
    <w:p>
      <w:pPr>
        <w:spacing w:after="0"/>
        <w:sectPr>
          <w:pgSz w:w="11910" w:h="16840"/>
          <w:pgMar w:header="0" w:footer="1197"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4" w:type="dxa"/>
        <w:tblLayout w:type="fixed"/>
        <w:tblCellMar>
          <w:top w:w="0" w:type="dxa"/>
          <w:left w:w="0" w:type="dxa"/>
          <w:bottom w:w="0" w:type="dxa"/>
          <w:right w:w="0" w:type="dxa"/>
        </w:tblCellMar>
        <w:tblLook w:val="01E0"/>
      </w:tblPr>
      <w:tblGrid>
        <w:gridCol w:w="5904"/>
        <w:gridCol w:w="3145"/>
      </w:tblGrid>
      <w:tr>
        <w:trPr>
          <w:trHeight w:val="326"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145" w:type="dxa"/>
            <w:tcBorders>
              <w:top w:val="single" w:sz="6" w:space="0" w:color="000000"/>
              <w:left w:val="single" w:sz="6" w:space="0" w:color="000000"/>
              <w:bottom w:val="single" w:sz="6" w:space="0" w:color="000000"/>
              <w:right w:val="single" w:sz="4" w:space="0" w:color="000000"/>
            </w:tcBorders>
          </w:tcPr>
          <w:p>
            <w:pPr/>
          </w:p>
        </w:tc>
      </w:tr>
      <w:tr>
        <w:trPr>
          <w:trHeight w:val="328"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5"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5" w:type="dxa"/>
            <w:tcBorders>
              <w:top w:val="single" w:sz="6" w:space="0" w:color="000000"/>
              <w:left w:val="single" w:sz="6" w:space="0" w:color="000000"/>
              <w:bottom w:val="single" w:sz="6" w:space="0" w:color="000000"/>
              <w:right w:val="single" w:sz="4" w:space="0" w:color="000000"/>
            </w:tcBorders>
          </w:tcPr>
          <w:p>
            <w:pPr/>
          </w:p>
        </w:tc>
      </w:tr>
      <w:tr>
        <w:trPr>
          <w:trHeight w:val="328"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145"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5" w:type="dxa"/>
            <w:tcBorders>
              <w:top w:val="single" w:sz="6" w:space="0" w:color="000000"/>
              <w:left w:val="single" w:sz="6" w:space="0" w:color="000000"/>
              <w:bottom w:val="single" w:sz="6" w:space="0" w:color="000000"/>
              <w:right w:val="single" w:sz="4" w:space="0" w:color="000000"/>
            </w:tcBorders>
          </w:tcPr>
          <w:p>
            <w:pPr/>
          </w:p>
        </w:tc>
      </w:tr>
      <w:tr>
        <w:trPr>
          <w:trHeight w:val="328"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5" w:type="dxa"/>
            <w:tcBorders>
              <w:top w:val="single" w:sz="6" w:space="0" w:color="000000"/>
              <w:left w:val="single" w:sz="6" w:space="0" w:color="000000"/>
              <w:bottom w:val="single" w:sz="6" w:space="0" w:color="000000"/>
              <w:right w:val="single" w:sz="4" w:space="0" w:color="000000"/>
            </w:tcBorders>
          </w:tcPr>
          <w:p>
            <w:pPr/>
          </w:p>
        </w:tc>
      </w:tr>
      <w:tr>
        <w:trPr>
          <w:trHeight w:val="325" w:hRule="exact"/>
        </w:trPr>
        <w:tc>
          <w:tcPr>
            <w:tcW w:w="5904" w:type="dxa"/>
            <w:tcBorders>
              <w:top w:val="single" w:sz="6" w:space="0" w:color="000000"/>
              <w:left w:val="single" w:sz="4" w:space="0" w:color="000000"/>
              <w:bottom w:val="single" w:sz="4"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145"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60" w:lineRule="exact"/>
        <w:ind w:right="114"/>
        <w:jc w:val="left"/>
      </w:pPr>
      <w:r>
        <w:rPr/>
        <w:t>其他说明:</w:t>
      </w:r>
    </w:p>
    <w:p>
      <w:pPr>
        <w:spacing w:line="240" w:lineRule="auto" w:before="13"/>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a">
                <v:path arrowok="t"/>
              </v:shape>
            </v:group>
          </v:group>
        </w:pict>
      </w:r>
      <w:r>
        <w:rPr>
          <w:rFonts w:ascii="宋体" w:hAnsi="宋体" w:cs="宋体" w:eastAsia="宋体" w:hint="default"/>
          <w:sz w:val="2"/>
          <w:szCs w:val="2"/>
        </w:rPr>
      </w:r>
    </w:p>
    <w:p>
      <w:pPr>
        <w:pStyle w:val="Heading3"/>
        <w:spacing w:line="240" w:lineRule="auto" w:before="75"/>
        <w:ind w:right="114"/>
        <w:jc w:val="left"/>
        <w:rPr>
          <w:b w:val="0"/>
          <w:bCs w:val="0"/>
        </w:rPr>
      </w:pPr>
      <w:r>
        <w:rPr/>
        <w:t>(4)</w:t>
      </w:r>
      <w:r>
        <w:rPr>
          <w:spacing w:val="-9"/>
        </w:rPr>
        <w:t> </w:t>
      </w:r>
      <w:r>
        <w:rPr/>
        <w:t>现金和现金等价物的构成</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3394"/>
        <w:gridCol w:w="2921"/>
        <w:gridCol w:w="2735"/>
      </w:tblGrid>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7"/>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238,123,751.07</w:t>
            </w:r>
            <w:r>
              <w:rPr>
                <w:rFonts w:ascii="宋体"/>
                <w:sz w:val="21"/>
              </w:rPr>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297,842,896.30</w:t>
            </w:r>
            <w:r>
              <w:rPr>
                <w:rFonts w:ascii="宋体"/>
                <w:sz w:val="21"/>
              </w:rPr>
            </w:r>
          </w:p>
        </w:tc>
      </w:tr>
      <w:tr>
        <w:trPr>
          <w:trHeight w:val="32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101,223.46</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181,803.81</w:t>
            </w:r>
          </w:p>
        </w:tc>
      </w:tr>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237,990,729.62</w:t>
            </w:r>
            <w:r>
              <w:rPr>
                <w:rFonts w:ascii="宋体"/>
                <w:sz w:val="21"/>
              </w:rPr>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297,629,610.20</w:t>
            </w:r>
            <w:r>
              <w:rPr>
                <w:rFonts w:ascii="宋体"/>
                <w:sz w:val="21"/>
              </w:rPr>
            </w:r>
          </w:p>
        </w:tc>
      </w:tr>
      <w:tr>
        <w:trPr>
          <w:trHeight w:val="63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31,797.99</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31,482.29</w:t>
            </w:r>
          </w:p>
        </w:tc>
      </w:tr>
      <w:tr>
        <w:trPr>
          <w:trHeight w:val="63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23"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238,123,751.07</w:t>
            </w:r>
            <w:r>
              <w:rPr>
                <w:rFonts w:ascii="宋体"/>
                <w:sz w:val="21"/>
              </w:rPr>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297,842,896.30</w:t>
            </w:r>
            <w:r>
              <w:rPr>
                <w:rFonts w:ascii="宋体"/>
                <w:sz w:val="21"/>
              </w:rPr>
            </w:r>
          </w:p>
        </w:tc>
      </w:tr>
      <w:tr>
        <w:trPr>
          <w:trHeight w:val="63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bl>
    <w:p>
      <w:pPr>
        <w:pStyle w:val="Heading3"/>
        <w:spacing w:line="324" w:lineRule="auto" w:before="45"/>
        <w:ind w:right="114"/>
        <w:jc w:val="left"/>
        <w:rPr>
          <w:b w:val="0"/>
          <w:bCs w:val="0"/>
        </w:rPr>
      </w:pPr>
      <w:r>
        <w:rPr>
          <w:rFonts w:ascii="宋体" w:hAnsi="宋体" w:cs="宋体" w:eastAsia="宋体" w:hint="default"/>
          <w:b w:val="0"/>
          <w:bCs w:val="0"/>
        </w:rPr>
        <w:t>其他说明： </w:t>
      </w:r>
      <w:r>
        <w:rPr>
          <w:w w:val="95"/>
        </w:rPr>
        <w:t>现金流量表中反映的现金期初余额、期末余额较资产负债表中货币资金的期初数、期末数分别少</w:t>
      </w:r>
      <w:r>
        <w:rPr>
          <w:b w:val="0"/>
          <w:bCs w:val="0"/>
        </w:rPr>
      </w:r>
    </w:p>
    <w:p>
      <w:pPr>
        <w:spacing w:line="254" w:lineRule="exact" w:before="0"/>
        <w:ind w:left="217" w:right="114"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8,436,515.95  </w:t>
      </w:r>
      <w:r>
        <w:rPr>
          <w:rFonts w:ascii="宋体" w:hAnsi="宋体" w:cs="宋体" w:eastAsia="宋体" w:hint="default"/>
          <w:b/>
          <w:bCs/>
          <w:w w:val="95"/>
          <w:sz w:val="21"/>
          <w:szCs w:val="21"/>
        </w:rPr>
        <w:t>元和 </w:t>
      </w:r>
      <w:r>
        <w:rPr>
          <w:rFonts w:ascii="Arial" w:hAnsi="Arial" w:cs="Arial" w:eastAsia="Arial" w:hint="default"/>
          <w:b/>
          <w:bCs/>
          <w:w w:val="95"/>
          <w:sz w:val="18"/>
          <w:szCs w:val="18"/>
        </w:rPr>
        <w:t>13,891,659.74  </w:t>
      </w:r>
      <w:r>
        <w:rPr>
          <w:rFonts w:ascii="Arial" w:hAnsi="Arial" w:cs="Arial" w:eastAsia="Arial" w:hint="default"/>
          <w:b/>
          <w:bCs/>
          <w:spacing w:val="20"/>
          <w:w w:val="95"/>
          <w:sz w:val="18"/>
          <w:szCs w:val="18"/>
        </w:rPr>
        <w:t> </w:t>
      </w:r>
      <w:r>
        <w:rPr>
          <w:rFonts w:ascii="宋体" w:hAnsi="宋体" w:cs="宋体" w:eastAsia="宋体" w:hint="default"/>
          <w:b/>
          <w:bCs/>
          <w:w w:val="95"/>
          <w:sz w:val="21"/>
          <w:szCs w:val="21"/>
        </w:rPr>
        <w:t>元，系资产负债表中货币资金含保函保证金、履约保证金和银行承</w:t>
      </w:r>
      <w:r>
        <w:rPr>
          <w:rFonts w:ascii="宋体" w:hAnsi="宋体" w:cs="宋体" w:eastAsia="宋体" w:hint="default"/>
          <w:sz w:val="21"/>
          <w:szCs w:val="21"/>
        </w:rPr>
      </w:r>
    </w:p>
    <w:p>
      <w:pPr>
        <w:pStyle w:val="Heading3"/>
        <w:spacing w:line="273" w:lineRule="auto" w:before="21"/>
        <w:ind w:right="240"/>
        <w:jc w:val="left"/>
        <w:rPr>
          <w:b w:val="0"/>
          <w:bCs w:val="0"/>
        </w:rPr>
      </w:pPr>
      <w:r>
        <w:rPr>
          <w:w w:val="95"/>
        </w:rPr>
        <w:t>兑汇票保证金、冻结银行存款等，在编制现金流量表时将其从期初和期末现金及现金等价物中剔   </w:t>
      </w:r>
      <w:r>
        <w:rPr>
          <w:spacing w:val="12"/>
          <w:w w:val="95"/>
        </w:rPr>
        <w:t> </w:t>
      </w:r>
      <w:r>
        <w:rPr>
          <w:spacing w:val="12"/>
          <w:w w:val="95"/>
        </w:rPr>
      </w:r>
      <w:r>
        <w:rPr/>
        <w:t>除。</w:t>
      </w:r>
      <w:r>
        <w:rPr>
          <w:b w:val="0"/>
          <w:bCs w:val="0"/>
        </w:rPr>
      </w:r>
    </w:p>
    <w:p>
      <w:pPr>
        <w:spacing w:line="240" w:lineRule="auto" w:before="0"/>
        <w:rPr>
          <w:rFonts w:ascii="宋体" w:hAnsi="宋体" w:cs="宋体" w:eastAsia="宋体" w:hint="default"/>
          <w:b/>
          <w:bCs/>
          <w:sz w:val="29"/>
          <w:szCs w:val="29"/>
        </w:rPr>
      </w:pPr>
    </w:p>
    <w:p>
      <w:pPr>
        <w:spacing w:line="324" w:lineRule="auto" w:before="0"/>
        <w:ind w:left="217" w:right="2537" w:firstLine="0"/>
        <w:jc w:val="left"/>
        <w:rPr>
          <w:rFonts w:ascii="宋体" w:hAnsi="宋体" w:cs="宋体" w:eastAsia="宋体" w:hint="default"/>
          <w:sz w:val="21"/>
          <w:szCs w:val="21"/>
        </w:rPr>
      </w:pPr>
      <w:r>
        <w:rPr>
          <w:rFonts w:ascii="宋体" w:hAnsi="宋体" w:cs="宋体" w:eastAsia="宋体" w:hint="default"/>
          <w:b/>
          <w:bCs/>
          <w:sz w:val="21"/>
          <w:szCs w:val="21"/>
        </w:rPr>
        <w:t>75、</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21"/>
          <w:szCs w:val="21"/>
        </w:rPr>
        <w:t>说明对上年期末余额进行调整的“其他”项目名称及调整金额等事项：</w:t>
      </w:r>
    </w:p>
    <w:p>
      <w:pPr>
        <w:spacing w:line="240" w:lineRule="auto" w:before="10"/>
        <w:rPr>
          <w:rFonts w:ascii="宋体" w:hAnsi="宋体" w:cs="宋体" w:eastAsia="宋体" w:hint="default"/>
          <w:sz w:val="16"/>
          <w:szCs w:val="16"/>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5"/>
          <w:szCs w:val="25"/>
        </w:rPr>
      </w:pPr>
    </w:p>
    <w:p>
      <w:pPr>
        <w:pStyle w:val="Heading3"/>
        <w:spacing w:line="240" w:lineRule="auto"/>
        <w:ind w:right="114"/>
        <w:jc w:val="left"/>
        <w:rPr>
          <w:b w:val="0"/>
          <w:bCs w:val="0"/>
        </w:rPr>
      </w:pPr>
      <w:r>
        <w:rPr/>
        <w:t>76、</w:t>
      </w:r>
      <w:r>
        <w:rPr>
          <w:spacing w:val="-28"/>
        </w:rPr>
        <w:t> </w:t>
      </w:r>
      <w:r>
        <w:rPr/>
        <w:t>所有权或使用权受到限制的资产</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3155"/>
        <w:gridCol w:w="3046"/>
        <w:gridCol w:w="2693"/>
      </w:tblGrid>
      <w:tr>
        <w:trPr>
          <w:trHeight w:val="32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88"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323"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46" w:right="0"/>
              <w:jc w:val="left"/>
              <w:rPr>
                <w:rFonts w:ascii="宋体" w:hAnsi="宋体" w:cs="宋体" w:eastAsia="宋体" w:hint="default"/>
                <w:sz w:val="21"/>
                <w:szCs w:val="21"/>
              </w:rPr>
            </w:pPr>
            <w:r>
              <w:rPr>
                <w:rFonts w:ascii="宋体"/>
                <w:sz w:val="21"/>
              </w:rPr>
              <w:t>13,891,659.74</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13"/>
              <w:jc w:val="center"/>
              <w:rPr>
                <w:rFonts w:ascii="宋体" w:hAnsi="宋体" w:cs="宋体" w:eastAsia="宋体" w:hint="default"/>
                <w:sz w:val="21"/>
                <w:szCs w:val="21"/>
              </w:rPr>
            </w:pPr>
            <w:r>
              <w:rPr>
                <w:rFonts w:ascii="宋体" w:hAnsi="宋体" w:cs="宋体" w:eastAsia="宋体" w:hint="default"/>
                <w:sz w:val="21"/>
                <w:szCs w:val="21"/>
              </w:rPr>
              <w:t>保证金及已经冻结的银行存</w:t>
            </w:r>
          </w:p>
        </w:tc>
      </w:tr>
    </w:tbl>
    <w:p>
      <w:pPr>
        <w:spacing w:after="0" w:line="260" w:lineRule="exact"/>
        <w:jc w:val="center"/>
        <w:rPr>
          <w:rFonts w:ascii="宋体" w:hAnsi="宋体" w:cs="宋体" w:eastAsia="宋体" w:hint="default"/>
          <w:sz w:val="21"/>
          <w:szCs w:val="21"/>
        </w:rPr>
        <w:sectPr>
          <w:pgSz w:w="11910" w:h="16840"/>
          <w:pgMar w:header="0" w:footer="1197"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0" w:type="dxa"/>
        <w:tblLayout w:type="fixed"/>
        <w:tblCellMar>
          <w:top w:w="0" w:type="dxa"/>
          <w:left w:w="0" w:type="dxa"/>
          <w:bottom w:w="0" w:type="dxa"/>
          <w:right w:w="0" w:type="dxa"/>
        </w:tblCellMar>
        <w:tblLook w:val="01E0"/>
      </w:tblPr>
      <w:tblGrid>
        <w:gridCol w:w="3155"/>
        <w:gridCol w:w="3046"/>
        <w:gridCol w:w="2693"/>
      </w:tblGrid>
      <w:tr>
        <w:trPr>
          <w:trHeight w:val="322" w:hRule="exact"/>
        </w:trPr>
        <w:tc>
          <w:tcPr>
            <w:tcW w:w="3155" w:type="dxa"/>
            <w:tcBorders>
              <w:top w:val="single" w:sz="4" w:space="0" w:color="000000"/>
              <w:left w:val="single" w:sz="4" w:space="0" w:color="000000"/>
              <w:bottom w:val="single" w:sz="4" w:space="0" w:color="000000"/>
              <w:right w:val="single" w:sz="4" w:space="0" w:color="000000"/>
            </w:tcBorders>
          </w:tcPr>
          <w:p>
            <w:pP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款。</w:t>
            </w:r>
          </w:p>
        </w:tc>
      </w:tr>
      <w:tr>
        <w:trPr>
          <w:trHeight w:val="32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5"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55" w:type="dxa"/>
            <w:tcBorders>
              <w:top w:val="single" w:sz="4" w:space="0" w:color="000000"/>
              <w:left w:val="single" w:sz="4" w:space="0" w:color="000000"/>
              <w:bottom w:val="single" w:sz="6" w:space="0" w:color="000000"/>
              <w:right w:val="single" w:sz="4" w:space="0" w:color="000000"/>
            </w:tcBorders>
          </w:tcPr>
          <w:p>
            <w:pPr>
              <w:pStyle w:val="TableParagraph"/>
              <w:spacing w:line="260" w:lineRule="exact"/>
              <w:ind w:left="2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46" w:type="dxa"/>
            <w:tcBorders>
              <w:top w:val="single" w:sz="4" w:space="0" w:color="000000"/>
              <w:left w:val="single" w:sz="4" w:space="0" w:color="000000"/>
              <w:bottom w:val="single" w:sz="6" w:space="0" w:color="000000"/>
              <w:right w:val="single" w:sz="4" w:space="0" w:color="000000"/>
            </w:tcBorders>
          </w:tcPr>
          <w:p>
            <w:pPr/>
          </w:p>
        </w:tc>
        <w:tc>
          <w:tcPr>
            <w:tcW w:w="2693" w:type="dxa"/>
            <w:tcBorders>
              <w:top w:val="single" w:sz="4" w:space="0" w:color="000000"/>
              <w:left w:val="single" w:sz="4" w:space="0" w:color="000000"/>
              <w:bottom w:val="single" w:sz="6" w:space="0" w:color="000000"/>
              <w:right w:val="single" w:sz="4" w:space="0" w:color="000000"/>
            </w:tcBorders>
          </w:tcPr>
          <w:p>
            <w:pPr/>
          </w:p>
        </w:tc>
      </w:tr>
      <w:tr>
        <w:trPr>
          <w:trHeight w:val="328" w:hRule="exact"/>
        </w:trPr>
        <w:tc>
          <w:tcPr>
            <w:tcW w:w="3155" w:type="dxa"/>
            <w:tcBorders>
              <w:top w:val="single" w:sz="6" w:space="0" w:color="000000"/>
              <w:left w:val="single" w:sz="6" w:space="0" w:color="000000"/>
              <w:bottom w:val="single" w:sz="6" w:space="0" w:color="000000"/>
              <w:right w:val="single" w:sz="6" w:space="0" w:color="000000"/>
            </w:tcBorders>
          </w:tcPr>
          <w:p>
            <w:pPr/>
          </w:p>
        </w:tc>
        <w:tc>
          <w:tcPr>
            <w:tcW w:w="3046"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55" w:type="dxa"/>
            <w:tcBorders>
              <w:top w:val="single" w:sz="6" w:space="0" w:color="000000"/>
              <w:left w:val="single" w:sz="6" w:space="0" w:color="000000"/>
              <w:bottom w:val="single" w:sz="4" w:space="0" w:color="000000"/>
              <w:right w:val="single" w:sz="6" w:space="0" w:color="000000"/>
            </w:tcBorders>
          </w:tcPr>
          <w:p>
            <w:pPr/>
          </w:p>
        </w:tc>
        <w:tc>
          <w:tcPr>
            <w:tcW w:w="3046"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61" w:lineRule="exact"/>
              <w:ind w:left="1647" w:right="0"/>
              <w:jc w:val="left"/>
              <w:rPr>
                <w:rFonts w:ascii="宋体" w:hAnsi="宋体" w:cs="宋体" w:eastAsia="宋体" w:hint="default"/>
                <w:sz w:val="21"/>
                <w:szCs w:val="21"/>
              </w:rPr>
            </w:pPr>
            <w:r>
              <w:rPr>
                <w:rFonts w:ascii="宋体"/>
                <w:sz w:val="21"/>
              </w:rPr>
              <w:t>13,891,659.74</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w:t>
            </w:r>
          </w:p>
        </w:tc>
      </w:tr>
    </w:tbl>
    <w:p>
      <w:pPr>
        <w:pStyle w:val="BodyText"/>
        <w:spacing w:line="240" w:lineRule="auto" w:before="45"/>
        <w:ind w:right="114"/>
        <w:jc w:val="left"/>
      </w:pPr>
      <w:r>
        <w:rPr/>
        <w:t>其他说明：</w:t>
      </w:r>
    </w:p>
    <w:p>
      <w:pPr>
        <w:spacing w:line="240" w:lineRule="auto" w:before="7"/>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7" w:top="1120" w:bottom="1380" w:left="1580" w:right="1040"/>
        </w:sectPr>
      </w:pPr>
    </w:p>
    <w:p>
      <w:pPr>
        <w:pStyle w:val="Heading3"/>
        <w:tabs>
          <w:tab w:pos="917" w:val="left" w:leader="none"/>
        </w:tabs>
        <w:spacing w:line="324" w:lineRule="auto"/>
        <w:ind w:right="0"/>
        <w:jc w:val="left"/>
        <w:rPr>
          <w:rFonts w:ascii="宋体" w:hAnsi="宋体" w:cs="宋体" w:eastAsia="宋体" w:hint="default"/>
          <w:b w:val="0"/>
          <w:bCs w:val="0"/>
        </w:rPr>
      </w:pPr>
      <w:r>
        <w:rPr/>
        <w:t>77、</w:t>
      </w:r>
      <w:r>
        <w:rPr>
          <w:spacing w:val="-20"/>
        </w:rPr>
        <w:t> </w:t>
      </w:r>
      <w:r>
        <w:rPr/>
        <w:t>外币货币性项目</w:t>
      </w:r>
      <w:r>
        <w:rPr>
          <w:w w:val="99"/>
        </w:rPr>
        <w:t> </w:t>
      </w:r>
      <w:r>
        <w:rPr>
          <w:w w:val="95"/>
        </w:rPr>
        <w:t>(1).</w:t>
        <w:tab/>
      </w:r>
      <w:r>
        <w:rPr/>
        <w:t>外币货币性项目</w:t>
      </w:r>
      <w:r>
        <w:rPr>
          <w:rFonts w:ascii="宋体" w:hAnsi="宋体" w:cs="宋体" w:eastAsia="宋体" w:hint="default"/>
          <w:b w:val="0"/>
          <w:bCs w:val="0"/>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240" w:lineRule="auto"/>
        <w:ind w:right="0"/>
        <w:jc w:val="left"/>
      </w:pPr>
      <w:r>
        <w:rPr/>
        <w:t>单位：元</w:t>
      </w:r>
    </w:p>
    <w:p>
      <w:pPr>
        <w:spacing w:after="0" w:line="240" w:lineRule="auto"/>
        <w:jc w:val="left"/>
        <w:sectPr>
          <w:type w:val="continuous"/>
          <w:pgSz w:w="11910" w:h="16840"/>
          <w:pgMar w:top="1080" w:bottom="1380" w:left="1580" w:right="1040"/>
          <w:cols w:num="2" w:equalWidth="0">
            <w:col w:w="2604" w:space="5390"/>
            <w:col w:w="1296"/>
          </w:cols>
        </w:sectPr>
      </w:pP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897"/>
        <w:gridCol w:w="2050"/>
        <w:gridCol w:w="2058"/>
        <w:gridCol w:w="2045"/>
      </w:tblGrid>
      <w:tr>
        <w:trPr>
          <w:trHeight w:val="63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602"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3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3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3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897"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5"/>
        <w:ind w:right="114"/>
        <w:jc w:val="left"/>
      </w:pPr>
      <w:r>
        <w:rPr/>
        <w:t>其他说明：</w:t>
      </w:r>
    </w:p>
    <w:p>
      <w:pPr>
        <w:spacing w:line="240" w:lineRule="auto" w:before="7"/>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pStyle w:val="Heading3"/>
        <w:tabs>
          <w:tab w:pos="917" w:val="left" w:leader="none"/>
        </w:tabs>
        <w:spacing w:line="273" w:lineRule="auto"/>
        <w:ind w:left="637" w:right="240" w:hanging="420"/>
        <w:jc w:val="left"/>
        <w:rPr>
          <w:b w:val="0"/>
          <w:bCs w:val="0"/>
        </w:rPr>
      </w:pPr>
      <w:r>
        <w:rPr>
          <w:w w:val="95"/>
        </w:rPr>
        <w:t>(2).</w:t>
        <w:tab/>
      </w:r>
      <w:r>
        <w:rPr>
          <w:spacing w:val="-2"/>
          <w:w w:val="95"/>
        </w:rPr>
        <w:t>境外经营实体说明，包括对于重要的境外经营实体，应披露其境外主要经营地、记账本位</w:t>
      </w:r>
      <w:r>
        <w:rPr>
          <w:spacing w:val="91"/>
          <w:w w:val="95"/>
        </w:rPr>
        <w:t> </w:t>
      </w:r>
      <w:r>
        <w:rPr>
          <w:spacing w:val="91"/>
          <w:w w:val="95"/>
        </w:rPr>
      </w:r>
      <w:r>
        <w:rPr/>
        <w:t>币及选择依据，记账本位币发生变化的还应披露原因。</w:t>
      </w:r>
      <w:r>
        <w:rPr>
          <w:b w:val="0"/>
          <w:bCs w:val="0"/>
        </w:rPr>
      </w:r>
    </w:p>
    <w:p>
      <w:pPr>
        <w:spacing w:after="0" w:line="273" w:lineRule="auto"/>
        <w:jc w:val="left"/>
        <w:sectPr>
          <w:type w:val="continuous"/>
          <w:pgSz w:w="11910" w:h="16840"/>
          <w:pgMar w:top="1080" w:bottom="1380" w:left="1580" w:right="1040"/>
        </w:sectPr>
      </w:pPr>
    </w:p>
    <w:p>
      <w:pPr>
        <w:spacing w:line="240" w:lineRule="auto" w:before="10"/>
        <w:rPr>
          <w:rFonts w:ascii="宋体" w:hAnsi="宋体" w:cs="宋体" w:eastAsia="宋体" w:hint="default"/>
          <w:b/>
          <w:bCs/>
          <w:sz w:val="26"/>
          <w:szCs w:val="26"/>
        </w:rPr>
      </w:pPr>
    </w:p>
    <w:p>
      <w:pPr>
        <w:pStyle w:val="BodyText"/>
        <w:spacing w:line="240" w:lineRule="auto" w:before="35"/>
        <w:ind w:right="114"/>
        <w:jc w:val="left"/>
      </w:pPr>
      <w:r>
        <w:rPr/>
        <w:t>□适用</w:t>
      </w:r>
      <w:r>
        <w:rPr>
          <w:spacing w:val="-2"/>
        </w:rPr>
        <w:t> </w:t>
      </w:r>
      <w:r>
        <w:rPr/>
        <w:t>□不适用</w:t>
      </w:r>
    </w:p>
    <w:p>
      <w:pPr>
        <w:spacing w:line="240" w:lineRule="auto" w:before="13"/>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a">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pStyle w:val="BodyText"/>
        <w:spacing w:line="324" w:lineRule="auto" w:before="35"/>
        <w:ind w:right="1277"/>
        <w:jc w:val="left"/>
      </w:pPr>
      <w:r>
        <w:rPr>
          <w:rFonts w:ascii="宋体" w:hAnsi="宋体" w:cs="宋体" w:eastAsia="宋体" w:hint="default"/>
          <w:b/>
          <w:bCs/>
        </w:rPr>
        <w:t>78、</w:t>
      </w:r>
      <w:r>
        <w:rPr>
          <w:rFonts w:ascii="宋体" w:hAnsi="宋体" w:cs="宋体" w:eastAsia="宋体" w:hint="default"/>
          <w:b/>
          <w:bCs/>
          <w:spacing w:val="-25"/>
        </w:rPr>
        <w:t> </w:t>
      </w:r>
      <w:r>
        <w:rPr>
          <w:rFonts w:ascii="宋体" w:hAnsi="宋体" w:cs="宋体" w:eastAsia="宋体" w:hint="default"/>
          <w:b/>
          <w:bCs/>
        </w:rPr>
        <w:t>套期</w:t>
      </w:r>
      <w:r>
        <w:rPr>
          <w:rFonts w:ascii="宋体" w:hAnsi="宋体" w:cs="宋体" w:eastAsia="宋体" w:hint="default"/>
          <w:b/>
          <w:bCs/>
          <w:spacing w:val="1"/>
          <w:w w:val="99"/>
        </w:rPr>
        <w:t> </w:t>
      </w:r>
      <w:r>
        <w:rPr/>
        <w:t>按照套期类别披露套期项目及相关套期工具、被套期风险的相关的定性和定量信息：</w:t>
      </w:r>
    </w:p>
    <w:p>
      <w:pPr>
        <w:spacing w:line="240" w:lineRule="auto" w:before="5"/>
        <w:rPr>
          <w:rFonts w:ascii="宋体" w:hAnsi="宋体" w:cs="宋体" w:eastAsia="宋体" w:hint="default"/>
          <w:sz w:val="18"/>
          <w:szCs w:val="1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a">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pStyle w:val="Heading3"/>
        <w:spacing w:line="240" w:lineRule="auto"/>
        <w:ind w:right="114"/>
        <w:jc w:val="left"/>
        <w:rPr>
          <w:b w:val="0"/>
          <w:bCs w:val="0"/>
        </w:rPr>
      </w:pPr>
      <w:r>
        <w:rPr/>
        <w:t>79、</w:t>
      </w:r>
      <w:r>
        <w:rPr>
          <w:spacing w:val="-27"/>
        </w:rPr>
        <w:t> </w:t>
      </w:r>
      <w:r>
        <w:rPr/>
        <w:t>其他</w:t>
      </w:r>
      <w:r>
        <w:rPr>
          <w:b w:val="0"/>
          <w:bCs w:val="0"/>
        </w:rPr>
      </w:r>
    </w:p>
    <w:p>
      <w:pPr>
        <w:spacing w:line="240" w:lineRule="auto" w:before="7"/>
        <w:rPr>
          <w:rFonts w:ascii="宋体" w:hAnsi="宋体" w:cs="宋体" w:eastAsia="宋体" w:hint="default"/>
          <w:b/>
          <w:bCs/>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7" w:top="1120" w:bottom="1380" w:left="1580" w:right="1040"/>
        </w:sectPr>
      </w:pPr>
    </w:p>
    <w:p>
      <w:pPr>
        <w:pStyle w:val="Heading3"/>
        <w:spacing w:line="240" w:lineRule="auto" w:before="75"/>
        <w:ind w:right="0"/>
        <w:jc w:val="left"/>
        <w:rPr>
          <w:b w:val="0"/>
          <w:bCs w:val="0"/>
        </w:rPr>
      </w:pPr>
      <w:r>
        <w:rPr/>
        <w:t>六、合并范围的变更</w:t>
      </w:r>
      <w:r>
        <w:rPr>
          <w:b w:val="0"/>
          <w:bCs w:val="0"/>
        </w:rPr>
      </w:r>
    </w:p>
    <w:p>
      <w:pPr>
        <w:pStyle w:val="Heading3"/>
        <w:spacing w:line="240" w:lineRule="auto" w:before="97"/>
        <w:ind w:right="0"/>
        <w:jc w:val="left"/>
        <w:rPr>
          <w:b w:val="0"/>
          <w:bCs w:val="0"/>
        </w:rPr>
      </w:pPr>
      <w:r>
        <w:rPr/>
        <w:t>1、</w:t>
      </w:r>
      <w:r>
        <w:rPr>
          <w:spacing w:val="-6"/>
        </w:rPr>
        <w:t> </w:t>
      </w:r>
      <w:r>
        <w:rPr/>
        <w:t>非同一控制下企业合并</w:t>
      </w:r>
      <w:r>
        <w:rPr>
          <w:b w:val="0"/>
          <w:bCs w:val="0"/>
        </w:rPr>
      </w:r>
    </w:p>
    <w:p>
      <w:pPr>
        <w:pStyle w:val="Heading3"/>
        <w:tabs>
          <w:tab w:pos="875" w:val="left" w:leader="none"/>
        </w:tabs>
        <w:spacing w:line="240" w:lineRule="auto" w:before="97"/>
        <w:ind w:right="0"/>
        <w:jc w:val="left"/>
        <w:rPr>
          <w:b w:val="0"/>
          <w:bCs w:val="0"/>
        </w:rPr>
      </w:pPr>
      <w:r>
        <w:rPr>
          <w:w w:val="95"/>
        </w:rPr>
        <w:t>(1).</w:t>
        <w:tab/>
        <w:t>本期发生的非同一控制下企业合并</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44"/>
        <w:ind w:right="0"/>
        <w:jc w:val="left"/>
      </w:pPr>
      <w:r>
        <w:rPr/>
        <w:t>单位：元</w:t>
        <w:tab/>
        <w:t>币种：人民币</w:t>
      </w:r>
    </w:p>
    <w:p>
      <w:pPr>
        <w:spacing w:after="0" w:line="240" w:lineRule="auto"/>
        <w:jc w:val="left"/>
        <w:sectPr>
          <w:type w:val="continuous"/>
          <w:pgSz w:w="11910" w:h="16840"/>
          <w:pgMar w:top="1080" w:bottom="1380" w:left="1580" w:right="1040"/>
          <w:cols w:num="2" w:equalWidth="0">
            <w:col w:w="4036" w:space="2487"/>
            <w:col w:w="2767"/>
          </w:cols>
        </w:sectPr>
      </w:pP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881"/>
        <w:gridCol w:w="928"/>
        <w:gridCol w:w="884"/>
        <w:gridCol w:w="911"/>
        <w:gridCol w:w="924"/>
        <w:gridCol w:w="886"/>
        <w:gridCol w:w="1064"/>
        <w:gridCol w:w="1286"/>
        <w:gridCol w:w="1285"/>
      </w:tblGrid>
      <w:tr>
        <w:trPr>
          <w:trHeight w:val="968" w:hRule="exact"/>
        </w:trPr>
        <w:tc>
          <w:tcPr>
            <w:tcW w:w="881" w:type="dxa"/>
            <w:tcBorders>
              <w:top w:val="single" w:sz="6" w:space="0" w:color="000000"/>
              <w:left w:val="single" w:sz="4" w:space="0" w:color="000000"/>
              <w:bottom w:val="single" w:sz="6" w:space="0" w:color="000000"/>
              <w:right w:val="single" w:sz="6" w:space="0" w:color="000000"/>
            </w:tcBorders>
          </w:tcPr>
          <w:p>
            <w:pPr>
              <w:pStyle w:val="TableParagraph"/>
              <w:spacing w:line="273" w:lineRule="auto" w:before="150"/>
              <w:ind w:left="119" w:right="116"/>
              <w:jc w:val="left"/>
              <w:rPr>
                <w:rFonts w:ascii="宋体" w:hAnsi="宋体" w:cs="宋体" w:eastAsia="宋体" w:hint="default"/>
                <w:sz w:val="21"/>
                <w:szCs w:val="21"/>
              </w:rPr>
            </w:pPr>
            <w:r>
              <w:rPr>
                <w:rFonts w:ascii="宋体" w:hAnsi="宋体" w:cs="宋体" w:eastAsia="宋体" w:hint="default"/>
                <w:sz w:val="21"/>
                <w:szCs w:val="21"/>
              </w:rPr>
              <w:t>被购买 方名称</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50"/>
              <w:ind w:left="141" w:right="139"/>
              <w:jc w:val="left"/>
              <w:rPr>
                <w:rFonts w:ascii="宋体" w:hAnsi="宋体" w:cs="宋体" w:eastAsia="宋体" w:hint="default"/>
                <w:sz w:val="21"/>
                <w:szCs w:val="21"/>
              </w:rPr>
            </w:pPr>
            <w:r>
              <w:rPr>
                <w:rFonts w:ascii="宋体" w:hAnsi="宋体" w:cs="宋体" w:eastAsia="宋体" w:hint="default"/>
                <w:sz w:val="21"/>
                <w:szCs w:val="21"/>
              </w:rPr>
              <w:t>股权取 得时点</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50"/>
              <w:ind w:left="118" w:right="119"/>
              <w:jc w:val="left"/>
              <w:rPr>
                <w:rFonts w:ascii="宋体" w:hAnsi="宋体" w:cs="宋体" w:eastAsia="宋体" w:hint="default"/>
                <w:sz w:val="21"/>
                <w:szCs w:val="21"/>
              </w:rPr>
            </w:pPr>
            <w:r>
              <w:rPr>
                <w:rFonts w:ascii="宋体" w:hAnsi="宋体" w:cs="宋体" w:eastAsia="宋体" w:hint="default"/>
                <w:sz w:val="21"/>
                <w:szCs w:val="21"/>
              </w:rPr>
              <w:t>股权取 得成本</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32" w:right="132"/>
              <w:jc w:val="left"/>
              <w:rPr>
                <w:rFonts w:ascii="宋体" w:hAnsi="宋体" w:cs="宋体" w:eastAsia="宋体" w:hint="default"/>
                <w:sz w:val="21"/>
                <w:szCs w:val="21"/>
              </w:rPr>
            </w:pPr>
            <w:r>
              <w:rPr>
                <w:rFonts w:ascii="宋体" w:hAnsi="宋体" w:cs="宋体" w:eastAsia="宋体" w:hint="default"/>
                <w:sz w:val="21"/>
                <w:szCs w:val="21"/>
              </w:rPr>
              <w:t>股权取 得比例</w:t>
            </w:r>
          </w:p>
          <w:p>
            <w:pPr>
              <w:pStyle w:val="TableParagraph"/>
              <w:spacing w:line="240" w:lineRule="auto" w:before="7"/>
              <w:ind w:left="184" w:right="0"/>
              <w:jc w:val="left"/>
              <w:rPr>
                <w:rFonts w:ascii="宋体" w:hAnsi="宋体" w:cs="宋体" w:eastAsia="宋体" w:hint="default"/>
                <w:sz w:val="21"/>
                <w:szCs w:val="21"/>
              </w:rPr>
            </w:pPr>
            <w:r>
              <w:rPr>
                <w:rFonts w:ascii="宋体" w:hAnsi="宋体" w:cs="宋体" w:eastAsia="宋体" w:hint="default"/>
                <w:sz w:val="21"/>
                <w:szCs w:val="21"/>
              </w:rPr>
              <w:t>（%）</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50"/>
              <w:ind w:left="139" w:right="138"/>
              <w:jc w:val="left"/>
              <w:rPr>
                <w:rFonts w:ascii="宋体" w:hAnsi="宋体" w:cs="宋体" w:eastAsia="宋体" w:hint="default"/>
                <w:sz w:val="21"/>
                <w:szCs w:val="21"/>
              </w:rPr>
            </w:pPr>
            <w:r>
              <w:rPr>
                <w:rFonts w:ascii="宋体" w:hAnsi="宋体" w:cs="宋体" w:eastAsia="宋体" w:hint="default"/>
                <w:sz w:val="21"/>
                <w:szCs w:val="21"/>
              </w:rPr>
              <w:t>股权取 得方式</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购买日</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50"/>
              <w:ind w:left="103" w:right="104"/>
              <w:jc w:val="left"/>
              <w:rPr>
                <w:rFonts w:ascii="宋体" w:hAnsi="宋体" w:cs="宋体" w:eastAsia="宋体" w:hint="default"/>
                <w:sz w:val="21"/>
                <w:szCs w:val="21"/>
              </w:rPr>
            </w:pPr>
            <w:r>
              <w:rPr>
                <w:rFonts w:ascii="宋体" w:hAnsi="宋体" w:cs="宋体" w:eastAsia="宋体" w:hint="default"/>
                <w:sz w:val="21"/>
                <w:szCs w:val="21"/>
              </w:rPr>
              <w:t>购买日的 确定依据</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10" w:right="109"/>
              <w:jc w:val="center"/>
              <w:rPr>
                <w:rFonts w:ascii="宋体" w:hAnsi="宋体" w:cs="宋体" w:eastAsia="宋体" w:hint="default"/>
                <w:sz w:val="21"/>
                <w:szCs w:val="21"/>
              </w:rPr>
            </w:pPr>
            <w:r>
              <w:rPr>
                <w:rFonts w:ascii="宋体" w:hAnsi="宋体" w:cs="宋体" w:eastAsia="宋体" w:hint="default"/>
                <w:sz w:val="21"/>
                <w:szCs w:val="21"/>
              </w:rPr>
              <w:t>购买日至期 末被购买方 的收入</w:t>
            </w:r>
          </w:p>
        </w:tc>
        <w:tc>
          <w:tcPr>
            <w:tcW w:w="1285"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110" w:right="110"/>
              <w:jc w:val="both"/>
              <w:rPr>
                <w:rFonts w:ascii="宋体" w:hAnsi="宋体" w:cs="宋体" w:eastAsia="宋体" w:hint="default"/>
                <w:sz w:val="21"/>
                <w:szCs w:val="21"/>
              </w:rPr>
            </w:pPr>
            <w:r>
              <w:rPr>
                <w:rFonts w:ascii="宋体" w:hAnsi="宋体" w:cs="宋体" w:eastAsia="宋体" w:hint="default"/>
                <w:sz w:val="21"/>
                <w:szCs w:val="21"/>
              </w:rPr>
              <w:t>购买日至期 末被购买方 的净利润</w:t>
            </w:r>
          </w:p>
        </w:tc>
      </w:tr>
      <w:tr>
        <w:trPr>
          <w:trHeight w:val="328" w:hRule="exact"/>
        </w:trPr>
        <w:tc>
          <w:tcPr>
            <w:tcW w:w="881" w:type="dxa"/>
            <w:tcBorders>
              <w:top w:val="single" w:sz="6" w:space="0" w:color="000000"/>
              <w:left w:val="single" w:sz="4" w:space="0" w:color="000000"/>
              <w:bottom w:val="single" w:sz="6" w:space="0" w:color="000000"/>
              <w:right w:val="single" w:sz="6" w:space="0" w:color="000000"/>
            </w:tcBorders>
          </w:tcPr>
          <w:p>
            <w:pPr/>
          </w:p>
        </w:tc>
        <w:tc>
          <w:tcPr>
            <w:tcW w:w="928"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
        </w:tc>
        <w:tc>
          <w:tcPr>
            <w:tcW w:w="911"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4" w:space="0" w:color="000000"/>
            </w:tcBorders>
          </w:tcPr>
          <w:p>
            <w:pPr/>
          </w:p>
        </w:tc>
      </w:tr>
      <w:tr>
        <w:trPr>
          <w:trHeight w:val="325" w:hRule="exact"/>
        </w:trPr>
        <w:tc>
          <w:tcPr>
            <w:tcW w:w="881" w:type="dxa"/>
            <w:tcBorders>
              <w:top w:val="single" w:sz="6" w:space="0" w:color="000000"/>
              <w:left w:val="single" w:sz="4" w:space="0" w:color="000000"/>
              <w:bottom w:val="single" w:sz="4" w:space="0" w:color="000000"/>
              <w:right w:val="single" w:sz="6" w:space="0" w:color="000000"/>
            </w:tcBorders>
          </w:tcPr>
          <w:p>
            <w:pPr/>
          </w:p>
        </w:tc>
        <w:tc>
          <w:tcPr>
            <w:tcW w:w="928" w:type="dxa"/>
            <w:tcBorders>
              <w:top w:val="single" w:sz="6" w:space="0" w:color="000000"/>
              <w:left w:val="single" w:sz="6" w:space="0" w:color="000000"/>
              <w:bottom w:val="single" w:sz="4" w:space="0" w:color="000000"/>
              <w:right w:val="single" w:sz="6" w:space="0" w:color="000000"/>
            </w:tcBorders>
          </w:tcPr>
          <w:p>
            <w:pPr/>
          </w:p>
        </w:tc>
        <w:tc>
          <w:tcPr>
            <w:tcW w:w="884" w:type="dxa"/>
            <w:tcBorders>
              <w:top w:val="single" w:sz="6" w:space="0" w:color="000000"/>
              <w:left w:val="single" w:sz="6" w:space="0" w:color="000000"/>
              <w:bottom w:val="single" w:sz="4" w:space="0" w:color="000000"/>
              <w:right w:val="single" w:sz="6" w:space="0" w:color="000000"/>
            </w:tcBorders>
          </w:tcPr>
          <w:p>
            <w:pPr/>
          </w:p>
        </w:tc>
        <w:tc>
          <w:tcPr>
            <w:tcW w:w="911" w:type="dxa"/>
            <w:tcBorders>
              <w:top w:val="single" w:sz="6" w:space="0" w:color="000000"/>
              <w:left w:val="single" w:sz="6" w:space="0" w:color="000000"/>
              <w:bottom w:val="single" w:sz="4" w:space="0" w:color="000000"/>
              <w:right w:val="single" w:sz="6" w:space="0" w:color="000000"/>
            </w:tcBorders>
          </w:tcPr>
          <w:p>
            <w:pPr/>
          </w:p>
        </w:tc>
        <w:tc>
          <w:tcPr>
            <w:tcW w:w="924" w:type="dxa"/>
            <w:tcBorders>
              <w:top w:val="single" w:sz="6" w:space="0" w:color="000000"/>
              <w:left w:val="single" w:sz="6" w:space="0" w:color="000000"/>
              <w:bottom w:val="single" w:sz="4" w:space="0" w:color="000000"/>
              <w:right w:val="single" w:sz="6" w:space="0" w:color="000000"/>
            </w:tcBorders>
          </w:tcPr>
          <w:p>
            <w:pPr/>
          </w:p>
        </w:tc>
        <w:tc>
          <w:tcPr>
            <w:tcW w:w="886" w:type="dxa"/>
            <w:tcBorders>
              <w:top w:val="single" w:sz="6" w:space="0" w:color="000000"/>
              <w:left w:val="single" w:sz="6" w:space="0" w:color="000000"/>
              <w:bottom w:val="single" w:sz="4" w:space="0" w:color="000000"/>
              <w:right w:val="single" w:sz="6" w:space="0" w:color="000000"/>
            </w:tcBorders>
          </w:tcPr>
          <w:p>
            <w:pPr/>
          </w:p>
        </w:tc>
        <w:tc>
          <w:tcPr>
            <w:tcW w:w="1064" w:type="dxa"/>
            <w:tcBorders>
              <w:top w:val="single" w:sz="6" w:space="0" w:color="000000"/>
              <w:left w:val="single" w:sz="6" w:space="0" w:color="000000"/>
              <w:bottom w:val="single" w:sz="4" w:space="0" w:color="000000"/>
              <w:right w:val="single" w:sz="6" w:space="0" w:color="000000"/>
            </w:tcBorders>
          </w:tcPr>
          <w:p>
            <w:pPr/>
          </w:p>
        </w:tc>
        <w:tc>
          <w:tcPr>
            <w:tcW w:w="1286" w:type="dxa"/>
            <w:tcBorders>
              <w:top w:val="single" w:sz="6" w:space="0" w:color="000000"/>
              <w:left w:val="single" w:sz="6" w:space="0" w:color="000000"/>
              <w:bottom w:val="single" w:sz="4" w:space="0" w:color="000000"/>
              <w:right w:val="single" w:sz="6" w:space="0" w:color="000000"/>
            </w:tcBorders>
          </w:tcPr>
          <w:p>
            <w:pPr/>
          </w:p>
        </w:tc>
        <w:tc>
          <w:tcPr>
            <w:tcW w:w="1285"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auto" w:before="45"/>
        <w:ind w:right="114"/>
        <w:jc w:val="left"/>
      </w:pPr>
      <w:r>
        <w:rPr/>
        <w:t>其他说明：</w:t>
      </w:r>
    </w:p>
    <w:p>
      <w:pPr>
        <w:spacing w:line="240" w:lineRule="auto" w:before="7"/>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pStyle w:val="Heading3"/>
        <w:tabs>
          <w:tab w:pos="875" w:val="left" w:leader="none"/>
        </w:tabs>
        <w:spacing w:line="240" w:lineRule="auto"/>
        <w:ind w:right="114"/>
        <w:jc w:val="left"/>
        <w:rPr>
          <w:b w:val="0"/>
          <w:bCs w:val="0"/>
        </w:rPr>
      </w:pPr>
      <w:r>
        <w:rPr>
          <w:w w:val="95"/>
        </w:rPr>
        <w:t>(2).</w:t>
        <w:tab/>
      </w:r>
      <w:r>
        <w:rPr/>
        <w:t>合并成本及商誉</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4604"/>
        <w:gridCol w:w="4445"/>
      </w:tblGrid>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32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--非现金资产的公允价值</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32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--发行或承担的债务的公允价值</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--发行的权益性证券的公允价值</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32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--或有对价的公允价值</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--购买日之前持有的股权于购买日的公允价值</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32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32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63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商誉/合并成本小于取得的可辨认净资产公允价</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值份额的金额</w:t>
            </w:r>
          </w:p>
        </w:tc>
        <w:tc>
          <w:tcPr>
            <w:tcW w:w="4445"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right="114"/>
        <w:jc w:val="left"/>
      </w:pPr>
      <w:r>
        <w:rPr/>
        <w:t>合并成本公允价值的确定方法、或有对价及其变动的说明：</w:t>
      </w:r>
    </w:p>
    <w:p>
      <w:pPr>
        <w:spacing w:line="240" w:lineRule="auto" w:before="13"/>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2"/>
          <w:szCs w:val="22"/>
        </w:rPr>
      </w:pPr>
    </w:p>
    <w:p>
      <w:pPr>
        <w:pStyle w:val="BodyText"/>
        <w:spacing w:line="240" w:lineRule="auto" w:before="35"/>
        <w:ind w:right="114"/>
        <w:jc w:val="left"/>
      </w:pPr>
      <w:r>
        <w:rPr/>
        <w:t>大额商誉形成的主要原因：</w:t>
      </w:r>
    </w:p>
    <w:p>
      <w:pPr>
        <w:spacing w:line="240" w:lineRule="auto" w:before="13"/>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before="35"/>
        <w:ind w:right="114"/>
        <w:jc w:val="left"/>
      </w:pPr>
      <w:r>
        <w:rPr/>
        <w:t>其他说明：</w:t>
      </w:r>
    </w:p>
    <w:p>
      <w:pPr>
        <w:spacing w:line="240" w:lineRule="auto" w:before="7"/>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pStyle w:val="Heading3"/>
        <w:tabs>
          <w:tab w:pos="875" w:val="left" w:leader="none"/>
        </w:tabs>
        <w:spacing w:line="240" w:lineRule="auto"/>
        <w:ind w:right="114"/>
        <w:jc w:val="left"/>
        <w:rPr>
          <w:b w:val="0"/>
          <w:bCs w:val="0"/>
        </w:rPr>
      </w:pPr>
      <w:r>
        <w:rPr>
          <w:w w:val="95"/>
        </w:rPr>
        <w:t>(3).</w:t>
        <w:tab/>
      </w:r>
      <w:r>
        <w:rPr/>
        <w:t>被购买方于购买日可辨认资产、负债</w:t>
      </w:r>
      <w:r>
        <w:rPr>
          <w:b w:val="0"/>
          <w:bCs w:val="0"/>
        </w:rPr>
      </w:r>
    </w:p>
    <w:p>
      <w:pPr>
        <w:pStyle w:val="BodyText"/>
        <w:tabs>
          <w:tab w:pos="1049" w:val="left" w:leader="none"/>
        </w:tabs>
        <w:spacing w:line="240" w:lineRule="auto" w:before="97"/>
        <w:ind w:left="0" w:right="231"/>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481"/>
        <w:gridCol w:w="3793"/>
        <w:gridCol w:w="3775"/>
      </w:tblGrid>
      <w:tr>
        <w:trPr>
          <w:trHeight w:val="326" w:hRule="exact"/>
        </w:trPr>
        <w:tc>
          <w:tcPr>
            <w:tcW w:w="1481" w:type="dxa"/>
            <w:vMerge w:val="restart"/>
            <w:tcBorders>
              <w:top w:val="single" w:sz="6" w:space="0" w:color="000000"/>
              <w:left w:val="single" w:sz="4" w:space="0" w:color="000000"/>
              <w:right w:val="single" w:sz="6" w:space="0" w:color="000000"/>
            </w:tcBorders>
          </w:tcPr>
          <w:p>
            <w:pPr/>
          </w:p>
        </w:tc>
        <w:tc>
          <w:tcPr>
            <w:tcW w:w="7568" w:type="dxa"/>
            <w:gridSpan w:val="2"/>
            <w:tcBorders>
              <w:top w:val="single" w:sz="6" w:space="0" w:color="000000"/>
              <w:left w:val="single" w:sz="6" w:space="0" w:color="000000"/>
              <w:bottom w:val="single" w:sz="6"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XX</w:t>
            </w:r>
            <w:r>
              <w:rPr>
                <w:rFonts w:ascii="宋体" w:hAnsi="宋体" w:cs="宋体" w:eastAsia="宋体" w:hint="default"/>
                <w:spacing w:val="-52"/>
                <w:sz w:val="21"/>
                <w:szCs w:val="21"/>
              </w:rPr>
              <w:t> </w:t>
            </w:r>
            <w:r>
              <w:rPr>
                <w:rFonts w:ascii="宋体" w:hAnsi="宋体" w:cs="宋体" w:eastAsia="宋体" w:hint="default"/>
                <w:sz w:val="21"/>
                <w:szCs w:val="21"/>
              </w:rPr>
              <w:t>公司</w:t>
            </w:r>
          </w:p>
        </w:tc>
      </w:tr>
      <w:tr>
        <w:trPr>
          <w:trHeight w:val="292" w:hRule="exact"/>
        </w:trPr>
        <w:tc>
          <w:tcPr>
            <w:tcW w:w="1481" w:type="dxa"/>
            <w:vMerge/>
            <w:tcBorders>
              <w:left w:val="single" w:sz="4" w:space="0" w:color="000000"/>
              <w:bottom w:val="single" w:sz="6" w:space="0" w:color="000000"/>
              <w:right w:val="single" w:sz="6" w:space="0" w:color="000000"/>
            </w:tcBorders>
          </w:tcPr>
          <w:p>
            <w:pPr/>
          </w:p>
        </w:tc>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4"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37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44"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r>
      <w:tr>
        <w:trPr>
          <w:trHeight w:val="326"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3793" w:type="dxa"/>
            <w:tcBorders>
              <w:top w:val="single" w:sz="6" w:space="0" w:color="000000"/>
              <w:left w:val="single" w:sz="6" w:space="0" w:color="000000"/>
              <w:bottom w:val="single" w:sz="6" w:space="0" w:color="000000"/>
              <w:right w:val="single" w:sz="6" w:space="0" w:color="000000"/>
            </w:tcBorders>
          </w:tcPr>
          <w:p>
            <w:pPr/>
          </w:p>
        </w:tc>
        <w:tc>
          <w:tcPr>
            <w:tcW w:w="377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793" w:type="dxa"/>
            <w:tcBorders>
              <w:top w:val="single" w:sz="6" w:space="0" w:color="000000"/>
              <w:left w:val="single" w:sz="6" w:space="0" w:color="000000"/>
              <w:bottom w:val="single" w:sz="6" w:space="0" w:color="000000"/>
              <w:right w:val="single" w:sz="6" w:space="0" w:color="000000"/>
            </w:tcBorders>
          </w:tcPr>
          <w:p>
            <w:pPr/>
          </w:p>
        </w:tc>
        <w:tc>
          <w:tcPr>
            <w:tcW w:w="3775" w:type="dxa"/>
            <w:tcBorders>
              <w:top w:val="single" w:sz="6" w:space="0" w:color="000000"/>
              <w:left w:val="single" w:sz="6" w:space="0" w:color="000000"/>
              <w:bottom w:val="single" w:sz="6" w:space="0" w:color="000000"/>
              <w:right w:val="single" w:sz="6" w:space="0" w:color="000000"/>
            </w:tcBorders>
          </w:tcPr>
          <w:p>
            <w:pPr/>
          </w:p>
        </w:tc>
      </w:tr>
      <w:tr>
        <w:trPr>
          <w:trHeight w:val="373"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3793" w:type="dxa"/>
            <w:tcBorders>
              <w:top w:val="single" w:sz="6" w:space="0" w:color="000000"/>
              <w:left w:val="single" w:sz="6" w:space="0" w:color="000000"/>
              <w:bottom w:val="single" w:sz="6" w:space="0" w:color="000000"/>
              <w:right w:val="single" w:sz="6" w:space="0" w:color="000000"/>
            </w:tcBorders>
          </w:tcPr>
          <w:p>
            <w:pPr/>
          </w:p>
        </w:tc>
        <w:tc>
          <w:tcPr>
            <w:tcW w:w="377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存款</w:t>
            </w:r>
          </w:p>
        </w:tc>
        <w:tc>
          <w:tcPr>
            <w:tcW w:w="3793" w:type="dxa"/>
            <w:tcBorders>
              <w:top w:val="single" w:sz="6" w:space="0" w:color="000000"/>
              <w:left w:val="single" w:sz="6" w:space="0" w:color="000000"/>
              <w:bottom w:val="single" w:sz="6" w:space="0" w:color="000000"/>
              <w:right w:val="single" w:sz="6" w:space="0" w:color="000000"/>
            </w:tcBorders>
          </w:tcPr>
          <w:p>
            <w:pPr/>
          </w:p>
        </w:tc>
        <w:tc>
          <w:tcPr>
            <w:tcW w:w="3775" w:type="dxa"/>
            <w:tcBorders>
              <w:top w:val="single" w:sz="6" w:space="0" w:color="000000"/>
              <w:left w:val="single" w:sz="6" w:space="0" w:color="000000"/>
              <w:bottom w:val="single" w:sz="6" w:space="0" w:color="000000"/>
              <w:right w:val="single" w:sz="6" w:space="0" w:color="000000"/>
            </w:tcBorders>
          </w:tcPr>
          <w:p>
            <w:pPr/>
          </w:p>
        </w:tc>
      </w:tr>
      <w:tr>
        <w:trPr>
          <w:trHeight w:val="373"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793" w:type="dxa"/>
            <w:tcBorders>
              <w:top w:val="single" w:sz="6" w:space="0" w:color="000000"/>
              <w:left w:val="single" w:sz="6" w:space="0" w:color="000000"/>
              <w:bottom w:val="single" w:sz="6" w:space="0" w:color="000000"/>
              <w:right w:val="single" w:sz="6" w:space="0" w:color="000000"/>
            </w:tcBorders>
          </w:tcPr>
          <w:p>
            <w:pPr/>
          </w:p>
        </w:tc>
        <w:tc>
          <w:tcPr>
            <w:tcW w:w="377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793" w:type="dxa"/>
            <w:tcBorders>
              <w:top w:val="single" w:sz="6" w:space="0" w:color="000000"/>
              <w:left w:val="single" w:sz="6" w:space="0" w:color="000000"/>
              <w:bottom w:val="single" w:sz="6" w:space="0" w:color="000000"/>
              <w:right w:val="single" w:sz="6" w:space="0" w:color="000000"/>
            </w:tcBorders>
          </w:tcPr>
          <w:p>
            <w:pPr/>
          </w:p>
        </w:tc>
        <w:tc>
          <w:tcPr>
            <w:tcW w:w="377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文本:13</w:t>
            </w:r>
          </w:p>
        </w:tc>
        <w:tc>
          <w:tcPr>
            <w:tcW w:w="3793" w:type="dxa"/>
            <w:tcBorders>
              <w:top w:val="single" w:sz="6" w:space="0" w:color="000000"/>
              <w:left w:val="single" w:sz="6" w:space="0" w:color="000000"/>
              <w:bottom w:val="single" w:sz="6" w:space="0" w:color="000000"/>
              <w:right w:val="single" w:sz="6" w:space="0" w:color="000000"/>
            </w:tcBorders>
          </w:tcPr>
          <w:p>
            <w:pPr/>
          </w:p>
        </w:tc>
        <w:tc>
          <w:tcPr>
            <w:tcW w:w="3775"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3793" w:type="dxa"/>
            <w:tcBorders>
              <w:top w:val="single" w:sz="6" w:space="0" w:color="000000"/>
              <w:left w:val="single" w:sz="6" w:space="0" w:color="000000"/>
              <w:bottom w:val="single" w:sz="6" w:space="0" w:color="000000"/>
              <w:right w:val="single" w:sz="6" w:space="0" w:color="000000"/>
            </w:tcBorders>
          </w:tcPr>
          <w:p>
            <w:pPr/>
          </w:p>
        </w:tc>
        <w:tc>
          <w:tcPr>
            <w:tcW w:w="3775" w:type="dxa"/>
            <w:tcBorders>
              <w:top w:val="single" w:sz="6" w:space="0" w:color="000000"/>
              <w:left w:val="single" w:sz="6" w:space="0" w:color="000000"/>
              <w:bottom w:val="single" w:sz="6" w:space="0" w:color="000000"/>
              <w:right w:val="single" w:sz="6" w:space="0" w:color="000000"/>
            </w:tcBorders>
          </w:tcPr>
          <w:p>
            <w:pPr/>
          </w:p>
        </w:tc>
      </w:tr>
      <w:tr>
        <w:trPr>
          <w:trHeight w:val="373"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3793" w:type="dxa"/>
            <w:tcBorders>
              <w:top w:val="single" w:sz="6" w:space="0" w:color="000000"/>
              <w:left w:val="single" w:sz="6" w:space="0" w:color="000000"/>
              <w:bottom w:val="single" w:sz="6" w:space="0" w:color="000000"/>
              <w:right w:val="single" w:sz="6" w:space="0" w:color="000000"/>
            </w:tcBorders>
          </w:tcPr>
          <w:p>
            <w:pPr/>
          </w:p>
        </w:tc>
        <w:tc>
          <w:tcPr>
            <w:tcW w:w="377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3793" w:type="dxa"/>
            <w:tcBorders>
              <w:top w:val="single" w:sz="6" w:space="0" w:color="000000"/>
              <w:left w:val="single" w:sz="6" w:space="0" w:color="000000"/>
              <w:bottom w:val="single" w:sz="6" w:space="0" w:color="000000"/>
              <w:right w:val="single" w:sz="6" w:space="0" w:color="000000"/>
            </w:tcBorders>
          </w:tcPr>
          <w:p>
            <w:pPr/>
          </w:p>
        </w:tc>
        <w:tc>
          <w:tcPr>
            <w:tcW w:w="3775"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债</w:t>
            </w:r>
          </w:p>
        </w:tc>
        <w:tc>
          <w:tcPr>
            <w:tcW w:w="3793" w:type="dxa"/>
            <w:tcBorders>
              <w:top w:val="single" w:sz="6" w:space="0" w:color="000000"/>
              <w:left w:val="single" w:sz="6" w:space="0" w:color="000000"/>
              <w:bottom w:val="single" w:sz="6" w:space="0" w:color="000000"/>
              <w:right w:val="single" w:sz="6" w:space="0" w:color="000000"/>
            </w:tcBorders>
          </w:tcPr>
          <w:p>
            <w:pPr/>
          </w:p>
        </w:tc>
        <w:tc>
          <w:tcPr>
            <w:tcW w:w="3775"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481" w:type="dxa"/>
            <w:tcBorders>
              <w:top w:val="single" w:sz="6" w:space="0" w:color="000000"/>
              <w:left w:val="single" w:sz="4" w:space="0" w:color="000000"/>
              <w:bottom w:val="single" w:sz="6" w:space="0" w:color="000000"/>
              <w:right w:val="single" w:sz="6" w:space="0" w:color="000000"/>
            </w:tcBorders>
          </w:tcPr>
          <w:p>
            <w:pPr/>
          </w:p>
        </w:tc>
        <w:tc>
          <w:tcPr>
            <w:tcW w:w="3793" w:type="dxa"/>
            <w:tcBorders>
              <w:top w:val="single" w:sz="6" w:space="0" w:color="000000"/>
              <w:left w:val="single" w:sz="6" w:space="0" w:color="000000"/>
              <w:bottom w:val="single" w:sz="6" w:space="0" w:color="000000"/>
              <w:right w:val="single" w:sz="6" w:space="0" w:color="000000"/>
            </w:tcBorders>
          </w:tcPr>
          <w:p>
            <w:pPr/>
          </w:p>
        </w:tc>
        <w:tc>
          <w:tcPr>
            <w:tcW w:w="377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793" w:type="dxa"/>
            <w:tcBorders>
              <w:top w:val="single" w:sz="6" w:space="0" w:color="000000"/>
              <w:left w:val="single" w:sz="6" w:space="0" w:color="000000"/>
              <w:bottom w:val="single" w:sz="6" w:space="0" w:color="000000"/>
              <w:right w:val="single" w:sz="6" w:space="0" w:color="000000"/>
            </w:tcBorders>
          </w:tcPr>
          <w:p>
            <w:pPr/>
          </w:p>
        </w:tc>
        <w:tc>
          <w:tcPr>
            <w:tcW w:w="3775"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3793" w:type="dxa"/>
            <w:tcBorders>
              <w:top w:val="single" w:sz="6" w:space="0" w:color="000000"/>
              <w:left w:val="single" w:sz="6" w:space="0" w:color="000000"/>
              <w:bottom w:val="single" w:sz="6" w:space="0" w:color="000000"/>
              <w:right w:val="single" w:sz="6" w:space="0" w:color="000000"/>
            </w:tcBorders>
          </w:tcPr>
          <w:p>
            <w:pPr/>
          </w:p>
        </w:tc>
        <w:tc>
          <w:tcPr>
            <w:tcW w:w="3775" w:type="dxa"/>
            <w:tcBorders>
              <w:top w:val="single" w:sz="6" w:space="0" w:color="000000"/>
              <w:left w:val="single" w:sz="6" w:space="0" w:color="000000"/>
              <w:bottom w:val="single" w:sz="6" w:space="0" w:color="000000"/>
              <w:right w:val="single" w:sz="6" w:space="0" w:color="000000"/>
            </w:tcBorders>
          </w:tcPr>
          <w:p>
            <w:pPr/>
          </w:p>
        </w:tc>
      </w:tr>
      <w:tr>
        <w:trPr>
          <w:trHeight w:val="325" w:hRule="exact"/>
        </w:trPr>
        <w:tc>
          <w:tcPr>
            <w:tcW w:w="1481" w:type="dxa"/>
            <w:tcBorders>
              <w:top w:val="single" w:sz="6" w:space="0" w:color="000000"/>
              <w:left w:val="single" w:sz="4" w:space="0" w:color="000000"/>
              <w:bottom w:val="single" w:sz="4"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793" w:type="dxa"/>
            <w:tcBorders>
              <w:top w:val="single" w:sz="6" w:space="0" w:color="000000"/>
              <w:left w:val="single" w:sz="6" w:space="0" w:color="000000"/>
              <w:bottom w:val="single" w:sz="4" w:space="0" w:color="000000"/>
              <w:right w:val="single" w:sz="6" w:space="0" w:color="000000"/>
            </w:tcBorders>
          </w:tcPr>
          <w:p>
            <w:pPr/>
          </w:p>
        </w:tc>
        <w:tc>
          <w:tcPr>
            <w:tcW w:w="3775"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0" w:lineRule="auto" w:before="45"/>
        <w:ind w:right="114"/>
        <w:jc w:val="left"/>
      </w:pPr>
      <w:r>
        <w:rPr/>
        <w:t>可辨认资产、负债公允价值的确定方法：</w:t>
      </w:r>
    </w:p>
    <w:p>
      <w:pPr>
        <w:spacing w:line="240" w:lineRule="auto" w:before="7"/>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a">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right="114"/>
        <w:jc w:val="left"/>
      </w:pPr>
      <w:r>
        <w:rPr/>
        <w:t>企业合并中承担的被购买方的或有负债：</w:t>
      </w:r>
    </w:p>
    <w:p>
      <w:pPr>
        <w:spacing w:line="240" w:lineRule="auto" w:before="7"/>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pStyle w:val="BodyText"/>
        <w:spacing w:line="240" w:lineRule="auto" w:before="75"/>
        <w:ind w:right="114"/>
        <w:jc w:val="left"/>
      </w:pPr>
      <w:r>
        <w:rPr/>
        <w:t>其他说明：</w:t>
      </w:r>
    </w:p>
    <w:p>
      <w:pPr>
        <w:spacing w:line="240" w:lineRule="auto" w:before="7"/>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a">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tabs>
          <w:tab w:pos="875" w:val="left" w:leader="none"/>
        </w:tabs>
        <w:spacing w:line="324" w:lineRule="auto" w:before="35"/>
        <w:ind w:left="217" w:right="2344"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spacing w:val="1"/>
          <w:w w:val="99"/>
          <w:sz w:val="21"/>
          <w:szCs w:val="21"/>
        </w:rPr>
        <w:t> </w:t>
      </w:r>
      <w:r>
        <w:rPr>
          <w:rFonts w:ascii="宋体" w:hAnsi="宋体" w:cs="宋体" w:eastAsia="宋体" w:hint="default"/>
          <w:sz w:val="21"/>
          <w:szCs w:val="21"/>
        </w:rPr>
        <w:t>是否存在通过多次交易分步实现企业合并且在报告期内取得控制权的交易</w:t>
      </w:r>
    </w:p>
    <w:p>
      <w:pPr>
        <w:pStyle w:val="BodyText"/>
        <w:spacing w:line="238" w:lineRule="exact"/>
        <w:ind w:right="114"/>
        <w:jc w:val="left"/>
      </w:pPr>
      <w:r>
        <w:rPr/>
        <w:t>□适用</w:t>
      </w:r>
      <w:r>
        <w:rPr>
          <w:spacing w:val="-2"/>
        </w:rPr>
        <w:t> </w:t>
      </w:r>
      <w:r>
        <w:rPr/>
        <w:t>□不适用</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136"/>
        <w:gridCol w:w="1450"/>
        <w:gridCol w:w="1464"/>
        <w:gridCol w:w="1464"/>
        <w:gridCol w:w="1762"/>
        <w:gridCol w:w="1774"/>
      </w:tblGrid>
      <w:tr>
        <w:trPr>
          <w:trHeight w:val="318" w:hRule="exact"/>
        </w:trPr>
        <w:tc>
          <w:tcPr>
            <w:tcW w:w="1136" w:type="dxa"/>
            <w:tcBorders>
              <w:top w:val="single" w:sz="6" w:space="0" w:color="000000"/>
              <w:left w:val="single" w:sz="4" w:space="0" w:color="000000"/>
              <w:bottom w:val="nil" w:sz="6" w:space="0" w:color="auto"/>
              <w:right w:val="single" w:sz="6" w:space="0" w:color="000000"/>
            </w:tcBorders>
          </w:tcPr>
          <w:p>
            <w:pPr/>
          </w:p>
        </w:tc>
        <w:tc>
          <w:tcPr>
            <w:tcW w:w="1450" w:type="dxa"/>
            <w:tcBorders>
              <w:top w:val="single" w:sz="6" w:space="0" w:color="000000"/>
              <w:left w:val="single" w:sz="6" w:space="0" w:color="000000"/>
              <w:bottom w:val="nil" w:sz="6" w:space="0" w:color="auto"/>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购买日之前</w:t>
            </w:r>
          </w:p>
        </w:tc>
        <w:tc>
          <w:tcPr>
            <w:tcW w:w="1464" w:type="dxa"/>
            <w:tcBorders>
              <w:top w:val="single" w:sz="6" w:space="0" w:color="000000"/>
              <w:left w:val="single" w:sz="6" w:space="0" w:color="000000"/>
              <w:bottom w:val="nil" w:sz="6" w:space="0" w:color="auto"/>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购买日之前</w:t>
            </w:r>
          </w:p>
        </w:tc>
        <w:tc>
          <w:tcPr>
            <w:tcW w:w="1464" w:type="dxa"/>
            <w:tcBorders>
              <w:top w:val="single" w:sz="6" w:space="0" w:color="000000"/>
              <w:left w:val="single" w:sz="6" w:space="0" w:color="000000"/>
              <w:bottom w:val="nil" w:sz="6" w:space="0" w:color="auto"/>
              <w:right w:val="single" w:sz="6" w:space="0" w:color="000000"/>
            </w:tcBorders>
          </w:tcPr>
          <w:p>
            <w:pPr>
              <w:pStyle w:val="TableParagraph"/>
              <w:spacing w:line="260" w:lineRule="exact"/>
              <w:ind w:left="199" w:right="0"/>
              <w:jc w:val="left"/>
              <w:rPr>
                <w:rFonts w:ascii="宋体" w:hAnsi="宋体" w:cs="宋体" w:eastAsia="宋体" w:hint="default"/>
                <w:sz w:val="21"/>
                <w:szCs w:val="21"/>
              </w:rPr>
            </w:pPr>
            <w:r>
              <w:rPr>
                <w:rFonts w:ascii="宋体" w:hAnsi="宋体" w:cs="宋体" w:eastAsia="宋体" w:hint="default"/>
                <w:sz w:val="21"/>
                <w:szCs w:val="21"/>
              </w:rPr>
              <w:t>购买日之前</w:t>
            </w:r>
          </w:p>
        </w:tc>
        <w:tc>
          <w:tcPr>
            <w:tcW w:w="1762" w:type="dxa"/>
            <w:tcBorders>
              <w:top w:val="single" w:sz="6" w:space="0" w:color="000000"/>
              <w:left w:val="single" w:sz="6" w:space="0" w:color="000000"/>
              <w:bottom w:val="nil" w:sz="6" w:space="0" w:color="auto"/>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购买日之前原持</w:t>
            </w:r>
          </w:p>
        </w:tc>
        <w:tc>
          <w:tcPr>
            <w:tcW w:w="1774" w:type="dxa"/>
            <w:tcBorders>
              <w:top w:val="single" w:sz="6" w:space="0" w:color="000000"/>
              <w:left w:val="single" w:sz="6" w:space="0" w:color="000000"/>
              <w:bottom w:val="nil" w:sz="6" w:space="0" w:color="auto"/>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购买日之前与原</w:t>
            </w:r>
          </w:p>
        </w:tc>
      </w:tr>
      <w:tr>
        <w:trPr>
          <w:trHeight w:val="312" w:hRule="exact"/>
        </w:trPr>
        <w:tc>
          <w:tcPr>
            <w:tcW w:w="1136" w:type="dxa"/>
            <w:tcBorders>
              <w:top w:val="nil" w:sz="6" w:space="0" w:color="auto"/>
              <w:left w:val="single" w:sz="4" w:space="0" w:color="000000"/>
              <w:bottom w:val="nil" w:sz="6" w:space="0" w:color="auto"/>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被购买方</w:t>
            </w:r>
          </w:p>
        </w:tc>
        <w:tc>
          <w:tcPr>
            <w:tcW w:w="1450"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原持有股权</w:t>
            </w:r>
          </w:p>
        </w:tc>
        <w:tc>
          <w:tcPr>
            <w:tcW w:w="146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原持有股权</w:t>
            </w:r>
          </w:p>
        </w:tc>
        <w:tc>
          <w:tcPr>
            <w:tcW w:w="146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99" w:right="0"/>
              <w:jc w:val="left"/>
              <w:rPr>
                <w:rFonts w:ascii="宋体" w:hAnsi="宋体" w:cs="宋体" w:eastAsia="宋体" w:hint="default"/>
                <w:sz w:val="21"/>
                <w:szCs w:val="21"/>
              </w:rPr>
            </w:pPr>
            <w:r>
              <w:rPr>
                <w:rFonts w:ascii="宋体" w:hAnsi="宋体" w:cs="宋体" w:eastAsia="宋体" w:hint="default"/>
                <w:sz w:val="21"/>
                <w:szCs w:val="21"/>
              </w:rPr>
              <w:t>原持有股权</w:t>
            </w:r>
          </w:p>
        </w:tc>
        <w:tc>
          <w:tcPr>
            <w:tcW w:w="176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有股权在购买日</w:t>
            </w:r>
          </w:p>
        </w:tc>
        <w:tc>
          <w:tcPr>
            <w:tcW w:w="177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持有股权相关的</w:t>
            </w:r>
          </w:p>
        </w:tc>
      </w:tr>
      <w:tr>
        <w:trPr>
          <w:trHeight w:val="312" w:hRule="exact"/>
        </w:trPr>
        <w:tc>
          <w:tcPr>
            <w:tcW w:w="1136" w:type="dxa"/>
            <w:tcBorders>
              <w:top w:val="nil" w:sz="6" w:space="0" w:color="auto"/>
              <w:left w:val="single" w:sz="4" w:space="0" w:color="000000"/>
              <w:bottom w:val="nil" w:sz="6" w:space="0" w:color="auto"/>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450"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在购买日的</w:t>
            </w:r>
          </w:p>
        </w:tc>
        <w:tc>
          <w:tcPr>
            <w:tcW w:w="146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在购买日的</w:t>
            </w:r>
          </w:p>
        </w:tc>
        <w:tc>
          <w:tcPr>
            <w:tcW w:w="146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99" w:right="0"/>
              <w:jc w:val="left"/>
              <w:rPr>
                <w:rFonts w:ascii="宋体" w:hAnsi="宋体" w:cs="宋体" w:eastAsia="宋体" w:hint="default"/>
                <w:sz w:val="21"/>
                <w:szCs w:val="21"/>
              </w:rPr>
            </w:pPr>
            <w:r>
              <w:rPr>
                <w:rFonts w:ascii="宋体" w:hAnsi="宋体" w:cs="宋体" w:eastAsia="宋体" w:hint="default"/>
                <w:sz w:val="21"/>
                <w:szCs w:val="21"/>
              </w:rPr>
              <w:t>按照公允价</w:t>
            </w:r>
          </w:p>
        </w:tc>
        <w:tc>
          <w:tcPr>
            <w:tcW w:w="176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的公允价值的确</w:t>
            </w:r>
          </w:p>
        </w:tc>
        <w:tc>
          <w:tcPr>
            <w:tcW w:w="177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其他综合收益转</w:t>
            </w:r>
          </w:p>
        </w:tc>
      </w:tr>
      <w:tr>
        <w:trPr>
          <w:trHeight w:val="320" w:hRule="exact"/>
        </w:trPr>
        <w:tc>
          <w:tcPr>
            <w:tcW w:w="1136" w:type="dxa"/>
            <w:tcBorders>
              <w:top w:val="nil" w:sz="6" w:space="0" w:color="auto"/>
              <w:left w:val="single" w:sz="4" w:space="0" w:color="000000"/>
              <w:bottom w:val="single" w:sz="6" w:space="0" w:color="000000"/>
              <w:right w:val="single" w:sz="6" w:space="0" w:color="000000"/>
            </w:tcBorders>
          </w:tcPr>
          <w:p>
            <w:pPr/>
          </w:p>
        </w:tc>
        <w:tc>
          <w:tcPr>
            <w:tcW w:w="14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46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公允价值</w:t>
            </w:r>
          </w:p>
        </w:tc>
        <w:tc>
          <w:tcPr>
            <w:tcW w:w="146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99" w:right="0"/>
              <w:jc w:val="left"/>
              <w:rPr>
                <w:rFonts w:ascii="宋体" w:hAnsi="宋体" w:cs="宋体" w:eastAsia="宋体" w:hint="default"/>
                <w:sz w:val="21"/>
                <w:szCs w:val="21"/>
              </w:rPr>
            </w:pPr>
            <w:r>
              <w:rPr>
                <w:rFonts w:ascii="宋体" w:hAnsi="宋体" w:cs="宋体" w:eastAsia="宋体" w:hint="default"/>
                <w:sz w:val="21"/>
                <w:szCs w:val="21"/>
              </w:rPr>
              <w:t>值重新计量</w:t>
            </w:r>
          </w:p>
        </w:tc>
        <w:tc>
          <w:tcPr>
            <w:tcW w:w="176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定方法及主要假</w:t>
            </w:r>
          </w:p>
        </w:tc>
        <w:tc>
          <w:tcPr>
            <w:tcW w:w="177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入投资收益的金</w:t>
            </w:r>
          </w:p>
        </w:tc>
      </w:tr>
    </w:tbl>
    <w:p>
      <w:pPr>
        <w:spacing w:after="0" w:line="261" w:lineRule="exact"/>
        <w:jc w:val="center"/>
        <w:rPr>
          <w:rFonts w:ascii="宋体" w:hAnsi="宋体" w:cs="宋体" w:eastAsia="宋体" w:hint="default"/>
          <w:sz w:val="21"/>
          <w:szCs w:val="21"/>
        </w:rPr>
        <w:sectPr>
          <w:pgSz w:w="11910" w:h="16840"/>
          <w:pgMar w:header="0" w:footer="1197"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136"/>
        <w:gridCol w:w="1450"/>
        <w:gridCol w:w="1464"/>
        <w:gridCol w:w="1464"/>
        <w:gridCol w:w="1762"/>
        <w:gridCol w:w="1774"/>
      </w:tblGrid>
      <w:tr>
        <w:trPr>
          <w:trHeight w:val="638" w:hRule="exact"/>
        </w:trPr>
        <w:tc>
          <w:tcPr>
            <w:tcW w:w="1136" w:type="dxa"/>
            <w:tcBorders>
              <w:top w:val="single" w:sz="6" w:space="0" w:color="000000"/>
              <w:left w:val="single" w:sz="4"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产生的利得</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或损失</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设</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额</w:t>
            </w:r>
          </w:p>
        </w:tc>
      </w:tr>
      <w:tr>
        <w:trPr>
          <w:trHeight w:val="328" w:hRule="exact"/>
        </w:trPr>
        <w:tc>
          <w:tcPr>
            <w:tcW w:w="1136" w:type="dxa"/>
            <w:tcBorders>
              <w:top w:val="single" w:sz="6" w:space="0" w:color="000000"/>
              <w:left w:val="single" w:sz="4"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
        </w:tc>
        <w:tc>
          <w:tcPr>
            <w:tcW w:w="1774" w:type="dxa"/>
            <w:tcBorders>
              <w:top w:val="single" w:sz="6" w:space="0" w:color="000000"/>
              <w:left w:val="single" w:sz="6" w:space="0" w:color="000000"/>
              <w:bottom w:val="single" w:sz="6" w:space="0" w:color="000000"/>
              <w:right w:val="single" w:sz="6" w:space="0" w:color="000000"/>
            </w:tcBorders>
          </w:tcPr>
          <w:p>
            <w:pPr/>
          </w:p>
        </w:tc>
      </w:tr>
      <w:tr>
        <w:trPr>
          <w:trHeight w:val="325" w:hRule="exact"/>
        </w:trPr>
        <w:tc>
          <w:tcPr>
            <w:tcW w:w="1136" w:type="dxa"/>
            <w:tcBorders>
              <w:top w:val="single" w:sz="6" w:space="0" w:color="000000"/>
              <w:left w:val="single" w:sz="4" w:space="0" w:color="000000"/>
              <w:bottom w:val="single" w:sz="4" w:space="0" w:color="000000"/>
              <w:right w:val="single" w:sz="6" w:space="0" w:color="000000"/>
            </w:tcBorders>
          </w:tcPr>
          <w:p>
            <w:pPr/>
          </w:p>
        </w:tc>
        <w:tc>
          <w:tcPr>
            <w:tcW w:w="1450" w:type="dxa"/>
            <w:tcBorders>
              <w:top w:val="single" w:sz="6" w:space="0" w:color="000000"/>
              <w:left w:val="single" w:sz="6" w:space="0" w:color="000000"/>
              <w:bottom w:val="single" w:sz="4" w:space="0" w:color="000000"/>
              <w:right w:val="single" w:sz="6" w:space="0" w:color="000000"/>
            </w:tcBorders>
          </w:tcPr>
          <w:p>
            <w:pPr/>
          </w:p>
        </w:tc>
        <w:tc>
          <w:tcPr>
            <w:tcW w:w="1464" w:type="dxa"/>
            <w:tcBorders>
              <w:top w:val="single" w:sz="6" w:space="0" w:color="000000"/>
              <w:left w:val="single" w:sz="6" w:space="0" w:color="000000"/>
              <w:bottom w:val="single" w:sz="4" w:space="0" w:color="000000"/>
              <w:right w:val="single" w:sz="6" w:space="0" w:color="000000"/>
            </w:tcBorders>
          </w:tcPr>
          <w:p>
            <w:pPr/>
          </w:p>
        </w:tc>
        <w:tc>
          <w:tcPr>
            <w:tcW w:w="1464" w:type="dxa"/>
            <w:tcBorders>
              <w:top w:val="single" w:sz="6" w:space="0" w:color="000000"/>
              <w:left w:val="single" w:sz="6" w:space="0" w:color="000000"/>
              <w:bottom w:val="single" w:sz="4" w:space="0" w:color="000000"/>
              <w:right w:val="single" w:sz="6" w:space="0" w:color="000000"/>
            </w:tcBorders>
          </w:tcPr>
          <w:p>
            <w:pPr/>
          </w:p>
        </w:tc>
        <w:tc>
          <w:tcPr>
            <w:tcW w:w="1762" w:type="dxa"/>
            <w:tcBorders>
              <w:top w:val="single" w:sz="6" w:space="0" w:color="000000"/>
              <w:left w:val="single" w:sz="6" w:space="0" w:color="000000"/>
              <w:bottom w:val="single" w:sz="4" w:space="0" w:color="000000"/>
              <w:right w:val="single" w:sz="6" w:space="0" w:color="000000"/>
            </w:tcBorders>
          </w:tcPr>
          <w:p>
            <w:pPr/>
          </w:p>
        </w:tc>
        <w:tc>
          <w:tcPr>
            <w:tcW w:w="1774"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0" w:lineRule="auto" w:before="45"/>
        <w:ind w:right="114"/>
        <w:jc w:val="left"/>
      </w:pPr>
      <w:r>
        <w:rPr/>
        <w:t>其他说明：</w:t>
      </w:r>
    </w:p>
    <w:p>
      <w:pPr>
        <w:spacing w:line="240" w:lineRule="auto" w:before="7"/>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pStyle w:val="Heading3"/>
        <w:tabs>
          <w:tab w:pos="875" w:val="left" w:leader="none"/>
        </w:tabs>
        <w:spacing w:line="273" w:lineRule="auto"/>
        <w:ind w:right="240"/>
        <w:jc w:val="left"/>
        <w:rPr>
          <w:b w:val="0"/>
          <w:bCs w:val="0"/>
        </w:rPr>
      </w:pPr>
      <w:r>
        <w:rPr>
          <w:w w:val="95"/>
        </w:rPr>
        <w:t>(5).</w:t>
        <w:tab/>
      </w:r>
      <w:r>
        <w:rPr>
          <w:spacing w:val="-1"/>
          <w:w w:val="95"/>
        </w:rPr>
        <w:t>购买日或合并当期期末无法合理确定合并对价或被购买方可辨认资产、负债公允价值的相</w:t>
      </w:r>
      <w:r>
        <w:rPr>
          <w:spacing w:val="95"/>
          <w:w w:val="95"/>
        </w:rPr>
        <w:t> </w:t>
      </w:r>
      <w:r>
        <w:rPr>
          <w:spacing w:val="95"/>
          <w:w w:val="95"/>
        </w:rPr>
      </w:r>
      <w:r>
        <w:rPr/>
        <w:t>关说明</w:t>
      </w:r>
      <w:r>
        <w:rPr>
          <w:b w:val="0"/>
          <w:bCs w:val="0"/>
        </w:rPr>
      </w:r>
    </w:p>
    <w:p>
      <w:pPr>
        <w:spacing w:line="240" w:lineRule="auto" w:before="4"/>
        <w:rPr>
          <w:rFonts w:ascii="宋体" w:hAnsi="宋体" w:cs="宋体" w:eastAsia="宋体" w:hint="default"/>
          <w:b/>
          <w:bCs/>
          <w:sz w:val="26"/>
          <w:szCs w:val="26"/>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26"/>
          <w:szCs w:val="26"/>
        </w:rPr>
      </w:pPr>
    </w:p>
    <w:p>
      <w:pPr>
        <w:pStyle w:val="Heading3"/>
        <w:tabs>
          <w:tab w:pos="875" w:val="left" w:leader="none"/>
        </w:tabs>
        <w:spacing w:line="240" w:lineRule="auto"/>
        <w:ind w:right="114"/>
        <w:jc w:val="left"/>
        <w:rPr>
          <w:b w:val="0"/>
          <w:bCs w:val="0"/>
        </w:rPr>
      </w:pPr>
      <w:r>
        <w:rPr>
          <w:w w:val="95"/>
        </w:rPr>
        <w:t>(6).</w:t>
        <w:tab/>
      </w:r>
      <w:r>
        <w:rPr/>
        <w:t>其他说明：</w:t>
      </w:r>
      <w:r>
        <w:rPr>
          <w:b w:val="0"/>
          <w:bCs w:val="0"/>
        </w:rPr>
      </w:r>
    </w:p>
    <w:p>
      <w:pPr>
        <w:spacing w:line="240" w:lineRule="auto" w:before="7"/>
        <w:rPr>
          <w:rFonts w:ascii="宋体" w:hAnsi="宋体" w:cs="宋体" w:eastAsia="宋体" w:hint="default"/>
          <w:b/>
          <w:bCs/>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7" w:top="1120" w:bottom="1380" w:left="1580" w:right="1040"/>
        </w:sectPr>
      </w:pPr>
    </w:p>
    <w:p>
      <w:pPr>
        <w:pStyle w:val="Heading3"/>
        <w:spacing w:line="240" w:lineRule="auto" w:before="75"/>
        <w:ind w:right="-19"/>
        <w:jc w:val="left"/>
        <w:rPr>
          <w:b w:val="0"/>
          <w:bCs w:val="0"/>
        </w:rPr>
      </w:pPr>
      <w:r>
        <w:rPr/>
        <w:t>2、</w:t>
      </w:r>
      <w:r>
        <w:rPr>
          <w:spacing w:val="-5"/>
        </w:rPr>
        <w:t> </w:t>
      </w:r>
      <w:r>
        <w:rPr/>
        <w:t>同一控制下企业合并</w:t>
      </w:r>
      <w:r>
        <w:rPr>
          <w:b w:val="0"/>
          <w:bCs w:val="0"/>
        </w:rPr>
      </w:r>
    </w:p>
    <w:p>
      <w:pPr>
        <w:pStyle w:val="Heading3"/>
        <w:tabs>
          <w:tab w:pos="847" w:val="left" w:leader="none"/>
        </w:tabs>
        <w:spacing w:line="240" w:lineRule="auto" w:before="97"/>
        <w:ind w:right="-19"/>
        <w:jc w:val="left"/>
        <w:rPr>
          <w:b w:val="0"/>
          <w:bCs w:val="0"/>
        </w:rPr>
      </w:pPr>
      <w:r>
        <w:rPr>
          <w:w w:val="95"/>
        </w:rPr>
        <w:t>(1).</w:t>
        <w:tab/>
      </w:r>
      <w:r>
        <w:rPr/>
        <w:t>本期发生的同一控制下企业合并</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2"/>
          <w:szCs w:val="22"/>
        </w:rPr>
      </w:pPr>
    </w:p>
    <w:p>
      <w:pPr>
        <w:pStyle w:val="BodyText"/>
        <w:tabs>
          <w:tab w:pos="1163" w:val="left" w:leader="none"/>
        </w:tabs>
        <w:spacing w:line="240" w:lineRule="auto"/>
        <w:ind w:right="0"/>
        <w:jc w:val="left"/>
      </w:pPr>
      <w:r>
        <w:rPr/>
        <w:t>单位:元</w:t>
        <w:tab/>
        <w:t>币种:人民币</w:t>
      </w:r>
    </w:p>
    <w:p>
      <w:pPr>
        <w:spacing w:after="0" w:line="240" w:lineRule="auto"/>
        <w:jc w:val="left"/>
        <w:sectPr>
          <w:type w:val="continuous"/>
          <w:pgSz w:w="11910" w:h="16840"/>
          <w:pgMar w:top="1080" w:bottom="1380" w:left="1580" w:right="1040"/>
          <w:cols w:num="2" w:equalWidth="0">
            <w:col w:w="3800" w:space="2934"/>
            <w:col w:w="2556"/>
          </w:cols>
        </w:sectPr>
      </w:pP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832"/>
        <w:gridCol w:w="1075"/>
        <w:gridCol w:w="1217"/>
        <w:gridCol w:w="835"/>
        <w:gridCol w:w="907"/>
        <w:gridCol w:w="1024"/>
        <w:gridCol w:w="1054"/>
        <w:gridCol w:w="1052"/>
        <w:gridCol w:w="1054"/>
      </w:tblGrid>
      <w:tr>
        <w:trPr>
          <w:trHeight w:val="318" w:hRule="exact"/>
        </w:trPr>
        <w:tc>
          <w:tcPr>
            <w:tcW w:w="832" w:type="dxa"/>
            <w:tcBorders>
              <w:top w:val="single" w:sz="6" w:space="0" w:color="000000"/>
              <w:left w:val="single" w:sz="4" w:space="0" w:color="000000"/>
              <w:bottom w:val="nil" w:sz="6" w:space="0" w:color="auto"/>
              <w:right w:val="single" w:sz="6" w:space="0" w:color="000000"/>
            </w:tcBorders>
          </w:tcPr>
          <w:p>
            <w:pPr/>
          </w:p>
        </w:tc>
        <w:tc>
          <w:tcPr>
            <w:tcW w:w="1075" w:type="dxa"/>
            <w:tcBorders>
              <w:top w:val="single" w:sz="6" w:space="0" w:color="000000"/>
              <w:left w:val="single" w:sz="6" w:space="0" w:color="000000"/>
              <w:bottom w:val="nil" w:sz="6" w:space="0" w:color="auto"/>
              <w:right w:val="single" w:sz="6" w:space="0" w:color="000000"/>
            </w:tcBorders>
          </w:tcPr>
          <w:p>
            <w:pPr/>
          </w:p>
        </w:tc>
        <w:tc>
          <w:tcPr>
            <w:tcW w:w="1217" w:type="dxa"/>
            <w:tcBorders>
              <w:top w:val="single" w:sz="6" w:space="0" w:color="000000"/>
              <w:left w:val="single" w:sz="6" w:space="0" w:color="000000"/>
              <w:bottom w:val="nil" w:sz="6" w:space="0" w:color="auto"/>
              <w:right w:val="single" w:sz="6" w:space="0" w:color="000000"/>
            </w:tcBorders>
          </w:tcPr>
          <w:p>
            <w:pPr/>
          </w:p>
        </w:tc>
        <w:tc>
          <w:tcPr>
            <w:tcW w:w="835" w:type="dxa"/>
            <w:tcBorders>
              <w:top w:val="single" w:sz="6" w:space="0" w:color="000000"/>
              <w:left w:val="single" w:sz="6" w:space="0" w:color="000000"/>
              <w:bottom w:val="nil" w:sz="6" w:space="0" w:color="auto"/>
              <w:right w:val="single" w:sz="6" w:space="0" w:color="000000"/>
            </w:tcBorders>
          </w:tcPr>
          <w:p>
            <w:pPr/>
          </w:p>
        </w:tc>
        <w:tc>
          <w:tcPr>
            <w:tcW w:w="907" w:type="dxa"/>
            <w:tcBorders>
              <w:top w:val="single" w:sz="6" w:space="0" w:color="000000"/>
              <w:left w:val="single" w:sz="6" w:space="0" w:color="000000"/>
              <w:bottom w:val="nil" w:sz="6" w:space="0" w:color="auto"/>
              <w:right w:val="single" w:sz="6" w:space="0" w:color="000000"/>
            </w:tcBorders>
          </w:tcPr>
          <w:p>
            <w:pPr/>
          </w:p>
        </w:tc>
        <w:tc>
          <w:tcPr>
            <w:tcW w:w="1024" w:type="dxa"/>
            <w:tcBorders>
              <w:top w:val="single" w:sz="6" w:space="0" w:color="000000"/>
              <w:left w:val="single" w:sz="6" w:space="0" w:color="000000"/>
              <w:bottom w:val="nil" w:sz="6" w:space="0" w:color="auto"/>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合并当</w:t>
            </w:r>
          </w:p>
        </w:tc>
        <w:tc>
          <w:tcPr>
            <w:tcW w:w="1054" w:type="dxa"/>
            <w:tcBorders>
              <w:top w:val="single" w:sz="6" w:space="0" w:color="000000"/>
              <w:left w:val="single" w:sz="6" w:space="0" w:color="000000"/>
              <w:bottom w:val="nil" w:sz="6" w:space="0" w:color="auto"/>
              <w:right w:val="single" w:sz="6" w:space="0" w:color="000000"/>
            </w:tcBorders>
          </w:tcPr>
          <w:p>
            <w:pPr>
              <w:pStyle w:val="TableParagraph"/>
              <w:spacing w:line="260" w:lineRule="exact"/>
              <w:ind w:left="203" w:right="0"/>
              <w:jc w:val="left"/>
              <w:rPr>
                <w:rFonts w:ascii="宋体" w:hAnsi="宋体" w:cs="宋体" w:eastAsia="宋体" w:hint="default"/>
                <w:sz w:val="21"/>
                <w:szCs w:val="21"/>
              </w:rPr>
            </w:pPr>
            <w:r>
              <w:rPr>
                <w:rFonts w:ascii="宋体" w:hAnsi="宋体" w:cs="宋体" w:eastAsia="宋体" w:hint="default"/>
                <w:sz w:val="21"/>
                <w:szCs w:val="21"/>
              </w:rPr>
              <w:t>合并当</w:t>
            </w:r>
          </w:p>
        </w:tc>
        <w:tc>
          <w:tcPr>
            <w:tcW w:w="1052" w:type="dxa"/>
            <w:tcBorders>
              <w:top w:val="single" w:sz="6" w:space="0" w:color="000000"/>
              <w:left w:val="single" w:sz="6" w:space="0" w:color="000000"/>
              <w:bottom w:val="nil" w:sz="6" w:space="0" w:color="auto"/>
              <w:right w:val="single" w:sz="6" w:space="0" w:color="000000"/>
            </w:tcBorders>
          </w:tcPr>
          <w:p>
            <w:pPr/>
          </w:p>
        </w:tc>
        <w:tc>
          <w:tcPr>
            <w:tcW w:w="1054" w:type="dxa"/>
            <w:tcBorders>
              <w:top w:val="single" w:sz="6" w:space="0" w:color="000000"/>
              <w:left w:val="single" w:sz="6" w:space="0" w:color="000000"/>
              <w:bottom w:val="nil" w:sz="6" w:space="0" w:color="auto"/>
              <w:right w:val="single" w:sz="4" w:space="0" w:color="000000"/>
            </w:tcBorders>
          </w:tcPr>
          <w:p>
            <w:pPr/>
          </w:p>
        </w:tc>
      </w:tr>
      <w:tr>
        <w:trPr>
          <w:trHeight w:val="1248" w:hRule="exact"/>
        </w:trPr>
        <w:tc>
          <w:tcPr>
            <w:tcW w:w="832" w:type="dxa"/>
            <w:tcBorders>
              <w:top w:val="nil" w:sz="6" w:space="0" w:color="auto"/>
              <w:left w:val="single" w:sz="4" w:space="0" w:color="000000"/>
              <w:bottom w:val="nil" w:sz="6" w:space="0" w:color="auto"/>
              <w:right w:val="single" w:sz="6" w:space="0" w:color="000000"/>
            </w:tcBorders>
          </w:tcPr>
          <w:p>
            <w:pPr>
              <w:pStyle w:val="TableParagraph"/>
              <w:spacing w:line="273" w:lineRule="auto" w:before="142"/>
              <w:ind w:left="200" w:right="197"/>
              <w:jc w:val="both"/>
              <w:rPr>
                <w:rFonts w:ascii="宋体" w:hAnsi="宋体" w:cs="宋体" w:eastAsia="宋体" w:hint="default"/>
                <w:sz w:val="21"/>
                <w:szCs w:val="21"/>
              </w:rPr>
            </w:pPr>
            <w:r>
              <w:rPr>
                <w:rFonts w:ascii="宋体" w:hAnsi="宋体" w:cs="宋体" w:eastAsia="宋体" w:hint="default"/>
                <w:sz w:val="21"/>
                <w:szCs w:val="21"/>
              </w:rPr>
              <w:t>被合 并方 名称</w:t>
            </w:r>
          </w:p>
        </w:tc>
        <w:tc>
          <w:tcPr>
            <w:tcW w:w="1075" w:type="dxa"/>
            <w:tcBorders>
              <w:top w:val="nil" w:sz="6" w:space="0" w:color="auto"/>
              <w:left w:val="single" w:sz="6" w:space="0" w:color="000000"/>
              <w:bottom w:val="nil" w:sz="6" w:space="0" w:color="auto"/>
              <w:right w:val="single" w:sz="6" w:space="0" w:color="000000"/>
            </w:tcBorders>
          </w:tcPr>
          <w:p>
            <w:pPr>
              <w:pStyle w:val="TableParagraph"/>
              <w:spacing w:line="273" w:lineRule="auto" w:before="142"/>
              <w:ind w:left="110" w:right="108"/>
              <w:jc w:val="both"/>
              <w:rPr>
                <w:rFonts w:ascii="宋体" w:hAnsi="宋体" w:cs="宋体" w:eastAsia="宋体" w:hint="default"/>
                <w:sz w:val="21"/>
                <w:szCs w:val="21"/>
              </w:rPr>
            </w:pPr>
            <w:r>
              <w:rPr>
                <w:rFonts w:ascii="宋体" w:hAnsi="宋体" w:cs="宋体" w:eastAsia="宋体" w:hint="default"/>
                <w:sz w:val="21"/>
                <w:szCs w:val="21"/>
              </w:rPr>
              <w:t>企业合并 中取得的 权益比例</w:t>
            </w:r>
          </w:p>
        </w:tc>
        <w:tc>
          <w:tcPr>
            <w:tcW w:w="121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构成同一</w:t>
            </w:r>
          </w:p>
          <w:p>
            <w:pPr>
              <w:pStyle w:val="TableParagraph"/>
              <w:spacing w:line="273" w:lineRule="auto" w:before="37"/>
              <w:ind w:left="179" w:right="180"/>
              <w:jc w:val="center"/>
              <w:rPr>
                <w:rFonts w:ascii="宋体" w:hAnsi="宋体" w:cs="宋体" w:eastAsia="宋体" w:hint="default"/>
                <w:sz w:val="21"/>
                <w:szCs w:val="21"/>
              </w:rPr>
            </w:pPr>
            <w:r>
              <w:rPr>
                <w:rFonts w:ascii="宋体" w:hAnsi="宋体" w:cs="宋体" w:eastAsia="宋体" w:hint="default"/>
                <w:sz w:val="21"/>
                <w:szCs w:val="21"/>
              </w:rPr>
              <w:t>控制下企 业合并的 依据</w:t>
            </w:r>
          </w:p>
        </w:tc>
        <w:tc>
          <w:tcPr>
            <w:tcW w:w="83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304" w:right="199" w:hanging="106"/>
              <w:jc w:val="left"/>
              <w:rPr>
                <w:rFonts w:ascii="宋体" w:hAnsi="宋体" w:cs="宋体" w:eastAsia="宋体" w:hint="default"/>
                <w:sz w:val="21"/>
                <w:szCs w:val="21"/>
              </w:rPr>
            </w:pPr>
            <w:r>
              <w:rPr>
                <w:rFonts w:ascii="宋体" w:hAnsi="宋体" w:cs="宋体" w:eastAsia="宋体" w:hint="default"/>
                <w:sz w:val="21"/>
                <w:szCs w:val="21"/>
              </w:rPr>
              <w:t>合并 日</w:t>
            </w: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73" w:lineRule="auto" w:before="142"/>
              <w:ind w:left="130" w:right="131"/>
              <w:jc w:val="both"/>
              <w:rPr>
                <w:rFonts w:ascii="宋体" w:hAnsi="宋体" w:cs="宋体" w:eastAsia="宋体" w:hint="default"/>
                <w:sz w:val="21"/>
                <w:szCs w:val="21"/>
              </w:rPr>
            </w:pPr>
            <w:r>
              <w:rPr>
                <w:rFonts w:ascii="宋体" w:hAnsi="宋体" w:cs="宋体" w:eastAsia="宋体" w:hint="default"/>
                <w:sz w:val="21"/>
                <w:szCs w:val="21"/>
              </w:rPr>
              <w:t>合并日 的确定 依据</w:t>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89" w:right="0"/>
              <w:jc w:val="both"/>
              <w:rPr>
                <w:rFonts w:ascii="宋体" w:hAnsi="宋体" w:cs="宋体" w:eastAsia="宋体" w:hint="default"/>
                <w:sz w:val="21"/>
                <w:szCs w:val="21"/>
              </w:rPr>
            </w:pPr>
            <w:r>
              <w:rPr>
                <w:rFonts w:ascii="宋体" w:hAnsi="宋体" w:cs="宋体" w:eastAsia="宋体" w:hint="default"/>
                <w:sz w:val="21"/>
                <w:szCs w:val="21"/>
              </w:rPr>
              <w:t>期期初</w:t>
            </w:r>
          </w:p>
          <w:p>
            <w:pPr>
              <w:pStyle w:val="TableParagraph"/>
              <w:spacing w:line="273" w:lineRule="auto" w:before="37"/>
              <w:ind w:left="189" w:right="187"/>
              <w:jc w:val="both"/>
              <w:rPr>
                <w:rFonts w:ascii="宋体" w:hAnsi="宋体" w:cs="宋体" w:eastAsia="宋体" w:hint="default"/>
                <w:sz w:val="21"/>
                <w:szCs w:val="21"/>
              </w:rPr>
            </w:pPr>
            <w:r>
              <w:rPr>
                <w:rFonts w:ascii="宋体" w:hAnsi="宋体" w:cs="宋体" w:eastAsia="宋体" w:hint="default"/>
                <w:sz w:val="21"/>
                <w:szCs w:val="21"/>
              </w:rPr>
              <w:t>至合并 日被合 并方的</w:t>
            </w:r>
          </w:p>
        </w:tc>
        <w:tc>
          <w:tcPr>
            <w:tcW w:w="105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03" w:right="0"/>
              <w:jc w:val="both"/>
              <w:rPr>
                <w:rFonts w:ascii="宋体" w:hAnsi="宋体" w:cs="宋体" w:eastAsia="宋体" w:hint="default"/>
                <w:sz w:val="21"/>
                <w:szCs w:val="21"/>
              </w:rPr>
            </w:pPr>
            <w:r>
              <w:rPr>
                <w:rFonts w:ascii="宋体" w:hAnsi="宋体" w:cs="宋体" w:eastAsia="宋体" w:hint="default"/>
                <w:sz w:val="21"/>
                <w:szCs w:val="21"/>
              </w:rPr>
              <w:t>期期初</w:t>
            </w:r>
          </w:p>
          <w:p>
            <w:pPr>
              <w:pStyle w:val="TableParagraph"/>
              <w:spacing w:line="273" w:lineRule="auto" w:before="37"/>
              <w:ind w:left="203" w:right="203"/>
              <w:jc w:val="both"/>
              <w:rPr>
                <w:rFonts w:ascii="宋体" w:hAnsi="宋体" w:cs="宋体" w:eastAsia="宋体" w:hint="default"/>
                <w:sz w:val="21"/>
                <w:szCs w:val="21"/>
              </w:rPr>
            </w:pPr>
            <w:r>
              <w:rPr>
                <w:rFonts w:ascii="宋体" w:hAnsi="宋体" w:cs="宋体" w:eastAsia="宋体" w:hint="default"/>
                <w:sz w:val="21"/>
                <w:szCs w:val="21"/>
              </w:rPr>
              <w:t>至合并 日被合 并方的</w:t>
            </w:r>
          </w:p>
        </w:tc>
        <w:tc>
          <w:tcPr>
            <w:tcW w:w="105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02" w:right="0"/>
              <w:jc w:val="both"/>
              <w:rPr>
                <w:rFonts w:ascii="宋体" w:hAnsi="宋体" w:cs="宋体" w:eastAsia="宋体" w:hint="default"/>
                <w:sz w:val="21"/>
                <w:szCs w:val="21"/>
              </w:rPr>
            </w:pPr>
            <w:r>
              <w:rPr>
                <w:rFonts w:ascii="宋体" w:hAnsi="宋体" w:cs="宋体" w:eastAsia="宋体" w:hint="default"/>
                <w:sz w:val="21"/>
                <w:szCs w:val="21"/>
              </w:rPr>
              <w:t>比较期</w:t>
            </w:r>
          </w:p>
          <w:p>
            <w:pPr>
              <w:pStyle w:val="TableParagraph"/>
              <w:spacing w:line="273" w:lineRule="auto" w:before="37"/>
              <w:ind w:left="202" w:right="203"/>
              <w:jc w:val="both"/>
              <w:rPr>
                <w:rFonts w:ascii="宋体" w:hAnsi="宋体" w:cs="宋体" w:eastAsia="宋体" w:hint="default"/>
                <w:sz w:val="21"/>
                <w:szCs w:val="21"/>
              </w:rPr>
            </w:pPr>
            <w:r>
              <w:rPr>
                <w:rFonts w:ascii="宋体" w:hAnsi="宋体" w:cs="宋体" w:eastAsia="宋体" w:hint="default"/>
                <w:sz w:val="21"/>
                <w:szCs w:val="21"/>
              </w:rPr>
              <w:t>间被合 并方的 收入</w:t>
            </w:r>
          </w:p>
        </w:tc>
        <w:tc>
          <w:tcPr>
            <w:tcW w:w="1054" w:type="dxa"/>
            <w:tcBorders>
              <w:top w:val="nil" w:sz="6" w:space="0" w:color="auto"/>
              <w:left w:val="single" w:sz="6" w:space="0" w:color="000000"/>
              <w:bottom w:val="nil" w:sz="6" w:space="0" w:color="auto"/>
              <w:right w:val="single" w:sz="4" w:space="0" w:color="000000"/>
            </w:tcBorders>
          </w:tcPr>
          <w:p>
            <w:pPr>
              <w:pStyle w:val="TableParagraph"/>
              <w:spacing w:line="261" w:lineRule="exact"/>
              <w:ind w:left="203" w:right="0"/>
              <w:jc w:val="both"/>
              <w:rPr>
                <w:rFonts w:ascii="宋体" w:hAnsi="宋体" w:cs="宋体" w:eastAsia="宋体" w:hint="default"/>
                <w:sz w:val="21"/>
                <w:szCs w:val="21"/>
              </w:rPr>
            </w:pPr>
            <w:r>
              <w:rPr>
                <w:rFonts w:ascii="宋体" w:hAnsi="宋体" w:cs="宋体" w:eastAsia="宋体" w:hint="default"/>
                <w:sz w:val="21"/>
                <w:szCs w:val="21"/>
              </w:rPr>
              <w:t>比较期</w:t>
            </w:r>
          </w:p>
          <w:p>
            <w:pPr>
              <w:pStyle w:val="TableParagraph"/>
              <w:spacing w:line="273" w:lineRule="auto" w:before="37"/>
              <w:ind w:left="203" w:right="205"/>
              <w:jc w:val="both"/>
              <w:rPr>
                <w:rFonts w:ascii="宋体" w:hAnsi="宋体" w:cs="宋体" w:eastAsia="宋体" w:hint="default"/>
                <w:sz w:val="21"/>
                <w:szCs w:val="21"/>
              </w:rPr>
            </w:pPr>
            <w:r>
              <w:rPr>
                <w:rFonts w:ascii="宋体" w:hAnsi="宋体" w:cs="宋体" w:eastAsia="宋体" w:hint="default"/>
                <w:sz w:val="21"/>
                <w:szCs w:val="21"/>
              </w:rPr>
              <w:t>间被合 并方的 净利润</w:t>
            </w:r>
          </w:p>
        </w:tc>
      </w:tr>
      <w:tr>
        <w:trPr>
          <w:trHeight w:val="320" w:hRule="exact"/>
        </w:trPr>
        <w:tc>
          <w:tcPr>
            <w:tcW w:w="832" w:type="dxa"/>
            <w:tcBorders>
              <w:top w:val="nil" w:sz="6" w:space="0" w:color="auto"/>
              <w:left w:val="single" w:sz="4" w:space="0" w:color="000000"/>
              <w:bottom w:val="single" w:sz="6" w:space="0" w:color="000000"/>
              <w:right w:val="single" w:sz="6" w:space="0" w:color="000000"/>
            </w:tcBorders>
          </w:tcPr>
          <w:p>
            <w:pPr/>
          </w:p>
        </w:tc>
        <w:tc>
          <w:tcPr>
            <w:tcW w:w="1075" w:type="dxa"/>
            <w:tcBorders>
              <w:top w:val="nil" w:sz="6" w:space="0" w:color="auto"/>
              <w:left w:val="single" w:sz="6" w:space="0" w:color="000000"/>
              <w:bottom w:val="single" w:sz="6" w:space="0" w:color="000000"/>
              <w:right w:val="single" w:sz="6" w:space="0" w:color="000000"/>
            </w:tcBorders>
          </w:tcPr>
          <w:p>
            <w:pPr/>
          </w:p>
        </w:tc>
        <w:tc>
          <w:tcPr>
            <w:tcW w:w="1217" w:type="dxa"/>
            <w:tcBorders>
              <w:top w:val="nil" w:sz="6" w:space="0" w:color="auto"/>
              <w:left w:val="single" w:sz="6" w:space="0" w:color="000000"/>
              <w:bottom w:val="single" w:sz="6" w:space="0" w:color="000000"/>
              <w:right w:val="single" w:sz="6" w:space="0" w:color="000000"/>
            </w:tcBorders>
          </w:tcPr>
          <w:p>
            <w:pPr/>
          </w:p>
        </w:tc>
        <w:tc>
          <w:tcPr>
            <w:tcW w:w="835" w:type="dxa"/>
            <w:tcBorders>
              <w:top w:val="nil" w:sz="6" w:space="0" w:color="auto"/>
              <w:left w:val="single" w:sz="6" w:space="0" w:color="000000"/>
              <w:bottom w:val="single" w:sz="6" w:space="0" w:color="000000"/>
              <w:right w:val="single" w:sz="6" w:space="0" w:color="000000"/>
            </w:tcBorders>
          </w:tcPr>
          <w:p>
            <w:pPr/>
          </w:p>
        </w:tc>
        <w:tc>
          <w:tcPr>
            <w:tcW w:w="907" w:type="dxa"/>
            <w:tcBorders>
              <w:top w:val="nil" w:sz="6" w:space="0" w:color="auto"/>
              <w:left w:val="single" w:sz="6" w:space="0" w:color="000000"/>
              <w:bottom w:val="single" w:sz="6" w:space="0" w:color="000000"/>
              <w:right w:val="single" w:sz="6" w:space="0" w:color="000000"/>
            </w:tcBorders>
          </w:tcPr>
          <w:p>
            <w:pPr/>
          </w:p>
        </w:tc>
        <w:tc>
          <w:tcPr>
            <w:tcW w:w="102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05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2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52" w:type="dxa"/>
            <w:tcBorders>
              <w:top w:val="nil" w:sz="6" w:space="0" w:color="auto"/>
              <w:left w:val="single" w:sz="6" w:space="0" w:color="000000"/>
              <w:bottom w:val="single" w:sz="6" w:space="0" w:color="000000"/>
              <w:right w:val="single" w:sz="6" w:space="0" w:color="000000"/>
            </w:tcBorders>
          </w:tcPr>
          <w:p>
            <w:pPr/>
          </w:p>
        </w:tc>
        <w:tc>
          <w:tcPr>
            <w:tcW w:w="1054" w:type="dxa"/>
            <w:tcBorders>
              <w:top w:val="nil" w:sz="6" w:space="0" w:color="auto"/>
              <w:left w:val="single" w:sz="6" w:space="0" w:color="000000"/>
              <w:bottom w:val="single" w:sz="6" w:space="0" w:color="000000"/>
              <w:right w:val="single" w:sz="4" w:space="0" w:color="000000"/>
            </w:tcBorders>
          </w:tcPr>
          <w:p>
            <w:pPr/>
          </w:p>
        </w:tc>
      </w:tr>
      <w:tr>
        <w:trPr>
          <w:trHeight w:val="328" w:hRule="exact"/>
        </w:trPr>
        <w:tc>
          <w:tcPr>
            <w:tcW w:w="832" w:type="dxa"/>
            <w:tcBorders>
              <w:top w:val="single" w:sz="6" w:space="0" w:color="000000"/>
              <w:left w:val="single" w:sz="4"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single" w:sz="6" w:space="0" w:color="000000"/>
            </w:tcBorders>
          </w:tcPr>
          <w:p>
            <w:pPr/>
          </w:p>
        </w:tc>
        <w:tc>
          <w:tcPr>
            <w:tcW w:w="1052"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single" w:sz="4" w:space="0" w:color="000000"/>
            </w:tcBorders>
          </w:tcPr>
          <w:p>
            <w:pPr/>
          </w:p>
        </w:tc>
      </w:tr>
      <w:tr>
        <w:trPr>
          <w:trHeight w:val="324" w:hRule="exact"/>
        </w:trPr>
        <w:tc>
          <w:tcPr>
            <w:tcW w:w="832" w:type="dxa"/>
            <w:tcBorders>
              <w:top w:val="single" w:sz="6" w:space="0" w:color="000000"/>
              <w:left w:val="single" w:sz="4" w:space="0" w:color="000000"/>
              <w:bottom w:val="single" w:sz="4" w:space="0" w:color="000000"/>
              <w:right w:val="single" w:sz="6" w:space="0" w:color="000000"/>
            </w:tcBorders>
          </w:tcPr>
          <w:p>
            <w:pPr/>
          </w:p>
        </w:tc>
        <w:tc>
          <w:tcPr>
            <w:tcW w:w="1075" w:type="dxa"/>
            <w:tcBorders>
              <w:top w:val="single" w:sz="6" w:space="0" w:color="000000"/>
              <w:left w:val="single" w:sz="6" w:space="0" w:color="000000"/>
              <w:bottom w:val="single" w:sz="4" w:space="0" w:color="000000"/>
              <w:right w:val="single" w:sz="6" w:space="0" w:color="000000"/>
            </w:tcBorders>
          </w:tcPr>
          <w:p>
            <w:pPr/>
          </w:p>
        </w:tc>
        <w:tc>
          <w:tcPr>
            <w:tcW w:w="1217" w:type="dxa"/>
            <w:tcBorders>
              <w:top w:val="single" w:sz="6" w:space="0" w:color="000000"/>
              <w:left w:val="single" w:sz="6" w:space="0" w:color="000000"/>
              <w:bottom w:val="single" w:sz="4" w:space="0" w:color="000000"/>
              <w:right w:val="single" w:sz="6" w:space="0" w:color="000000"/>
            </w:tcBorders>
          </w:tcPr>
          <w:p>
            <w:pPr/>
          </w:p>
        </w:tc>
        <w:tc>
          <w:tcPr>
            <w:tcW w:w="835" w:type="dxa"/>
            <w:tcBorders>
              <w:top w:val="single" w:sz="6" w:space="0" w:color="000000"/>
              <w:left w:val="single" w:sz="6" w:space="0" w:color="000000"/>
              <w:bottom w:val="single" w:sz="4" w:space="0" w:color="000000"/>
              <w:right w:val="single" w:sz="6" w:space="0" w:color="000000"/>
            </w:tcBorders>
          </w:tcPr>
          <w:p>
            <w:pPr/>
          </w:p>
        </w:tc>
        <w:tc>
          <w:tcPr>
            <w:tcW w:w="907" w:type="dxa"/>
            <w:tcBorders>
              <w:top w:val="single" w:sz="6" w:space="0" w:color="000000"/>
              <w:left w:val="single" w:sz="6" w:space="0" w:color="000000"/>
              <w:bottom w:val="single" w:sz="4" w:space="0" w:color="000000"/>
              <w:right w:val="single" w:sz="6" w:space="0" w:color="000000"/>
            </w:tcBorders>
          </w:tcPr>
          <w:p>
            <w:pPr/>
          </w:p>
        </w:tc>
        <w:tc>
          <w:tcPr>
            <w:tcW w:w="1024" w:type="dxa"/>
            <w:tcBorders>
              <w:top w:val="single" w:sz="6" w:space="0" w:color="000000"/>
              <w:left w:val="single" w:sz="6" w:space="0" w:color="000000"/>
              <w:bottom w:val="single" w:sz="4" w:space="0" w:color="000000"/>
              <w:right w:val="single" w:sz="6" w:space="0" w:color="000000"/>
            </w:tcBorders>
          </w:tcPr>
          <w:p>
            <w:pPr/>
          </w:p>
        </w:tc>
        <w:tc>
          <w:tcPr>
            <w:tcW w:w="1054" w:type="dxa"/>
            <w:tcBorders>
              <w:top w:val="single" w:sz="6" w:space="0" w:color="000000"/>
              <w:left w:val="single" w:sz="6" w:space="0" w:color="000000"/>
              <w:bottom w:val="single" w:sz="4" w:space="0" w:color="000000"/>
              <w:right w:val="single" w:sz="6" w:space="0" w:color="000000"/>
            </w:tcBorders>
          </w:tcPr>
          <w:p>
            <w:pPr/>
          </w:p>
        </w:tc>
        <w:tc>
          <w:tcPr>
            <w:tcW w:w="1052" w:type="dxa"/>
            <w:tcBorders>
              <w:top w:val="single" w:sz="6" w:space="0" w:color="000000"/>
              <w:left w:val="single" w:sz="6" w:space="0" w:color="000000"/>
              <w:bottom w:val="single" w:sz="4" w:space="0" w:color="000000"/>
              <w:right w:val="single" w:sz="6" w:space="0" w:color="000000"/>
            </w:tcBorders>
          </w:tcPr>
          <w:p>
            <w:pPr/>
          </w:p>
        </w:tc>
        <w:tc>
          <w:tcPr>
            <w:tcW w:w="1054"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60" w:lineRule="exact"/>
        <w:ind w:right="114"/>
        <w:jc w:val="left"/>
      </w:pPr>
      <w:r>
        <w:rPr/>
        <w:t>其他说明：</w:t>
      </w:r>
    </w:p>
    <w:p>
      <w:pPr>
        <w:spacing w:line="240" w:lineRule="auto" w:before="13"/>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pStyle w:val="Heading3"/>
        <w:tabs>
          <w:tab w:pos="847" w:val="left" w:leader="none"/>
        </w:tabs>
        <w:spacing w:line="240" w:lineRule="auto"/>
        <w:ind w:right="114"/>
        <w:jc w:val="left"/>
        <w:rPr>
          <w:b w:val="0"/>
          <w:bCs w:val="0"/>
        </w:rPr>
      </w:pPr>
      <w:r>
        <w:rPr>
          <w:w w:val="95"/>
        </w:rPr>
        <w:t>(2).</w:t>
        <w:tab/>
      </w:r>
      <w:r>
        <w:rPr/>
        <w:t>合并成本</w:t>
      </w:r>
      <w:r>
        <w:rPr>
          <w:b w:val="0"/>
          <w:bCs w:val="0"/>
        </w:rPr>
      </w:r>
    </w:p>
    <w:p>
      <w:pPr>
        <w:spacing w:line="240" w:lineRule="auto" w:before="7"/>
        <w:rPr>
          <w:rFonts w:ascii="宋体" w:hAnsi="宋体" w:cs="宋体" w:eastAsia="宋体" w:hint="default"/>
          <w:b/>
          <w:bCs/>
          <w:sz w:val="8"/>
          <w:szCs w:val="8"/>
        </w:rPr>
      </w:pPr>
    </w:p>
    <w:tbl>
      <w:tblPr>
        <w:tblW w:w="0" w:type="auto"/>
        <w:jc w:val="left"/>
        <w:tblInd w:w="104" w:type="dxa"/>
        <w:tblLayout w:type="fixed"/>
        <w:tblCellMar>
          <w:top w:w="0" w:type="dxa"/>
          <w:left w:w="0" w:type="dxa"/>
          <w:bottom w:w="0" w:type="dxa"/>
          <w:right w:w="0" w:type="dxa"/>
        </w:tblCellMar>
        <w:tblLook w:val="01E0"/>
      </w:tblPr>
      <w:tblGrid>
        <w:gridCol w:w="4447"/>
        <w:gridCol w:w="4602"/>
      </w:tblGrid>
      <w:tr>
        <w:trPr>
          <w:trHeight w:val="328" w:hRule="exact"/>
        </w:trPr>
        <w:tc>
          <w:tcPr>
            <w:tcW w:w="4447"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4602"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4447"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4602" w:type="dxa"/>
            <w:tcBorders>
              <w:top w:val="single" w:sz="6" w:space="0" w:color="000000"/>
              <w:left w:val="single" w:sz="6" w:space="0" w:color="000000"/>
              <w:bottom w:val="single" w:sz="6" w:space="0" w:color="000000"/>
              <w:right w:val="single" w:sz="4" w:space="0" w:color="000000"/>
            </w:tcBorders>
          </w:tcPr>
          <w:p>
            <w:pPr/>
          </w:p>
        </w:tc>
      </w:tr>
      <w:tr>
        <w:trPr>
          <w:trHeight w:val="328" w:hRule="exact"/>
        </w:trPr>
        <w:tc>
          <w:tcPr>
            <w:tcW w:w="4447"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--非现金资产的账面价值</w:t>
            </w:r>
          </w:p>
        </w:tc>
        <w:tc>
          <w:tcPr>
            <w:tcW w:w="4602"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4447"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--发行或承担的债务的账面价值</w:t>
            </w:r>
          </w:p>
        </w:tc>
        <w:tc>
          <w:tcPr>
            <w:tcW w:w="4602" w:type="dxa"/>
            <w:tcBorders>
              <w:top w:val="single" w:sz="6" w:space="0" w:color="000000"/>
              <w:left w:val="single" w:sz="6" w:space="0" w:color="000000"/>
              <w:bottom w:val="single" w:sz="6" w:space="0" w:color="000000"/>
              <w:right w:val="single" w:sz="4" w:space="0" w:color="000000"/>
            </w:tcBorders>
          </w:tcPr>
          <w:p>
            <w:pPr/>
          </w:p>
        </w:tc>
      </w:tr>
      <w:tr>
        <w:trPr>
          <w:trHeight w:val="328" w:hRule="exact"/>
        </w:trPr>
        <w:tc>
          <w:tcPr>
            <w:tcW w:w="4447"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--发行的权益性证券的面值</w:t>
            </w:r>
          </w:p>
        </w:tc>
        <w:tc>
          <w:tcPr>
            <w:tcW w:w="4602" w:type="dxa"/>
            <w:tcBorders>
              <w:top w:val="single" w:sz="6" w:space="0" w:color="000000"/>
              <w:left w:val="single" w:sz="6" w:space="0" w:color="000000"/>
              <w:bottom w:val="single" w:sz="6" w:space="0" w:color="000000"/>
              <w:right w:val="single" w:sz="4" w:space="0" w:color="000000"/>
            </w:tcBorders>
          </w:tcPr>
          <w:p>
            <w:pPr/>
          </w:p>
        </w:tc>
      </w:tr>
      <w:tr>
        <w:trPr>
          <w:trHeight w:val="325" w:hRule="exact"/>
        </w:trPr>
        <w:tc>
          <w:tcPr>
            <w:tcW w:w="4447" w:type="dxa"/>
            <w:tcBorders>
              <w:top w:val="single" w:sz="6" w:space="0" w:color="000000"/>
              <w:left w:val="single" w:sz="4" w:space="0" w:color="000000"/>
              <w:bottom w:val="single" w:sz="4"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--或有对价</w:t>
            </w:r>
          </w:p>
        </w:tc>
        <w:tc>
          <w:tcPr>
            <w:tcW w:w="4602"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pStyle w:val="BodyText"/>
        <w:spacing w:line="240" w:lineRule="auto" w:before="35"/>
        <w:ind w:right="114"/>
        <w:jc w:val="left"/>
      </w:pPr>
      <w:r>
        <w:rPr/>
        <w:t>或有对价及其变动的说明：</w:t>
      </w:r>
    </w:p>
    <w:p>
      <w:pPr>
        <w:spacing w:line="240" w:lineRule="auto" w:before="13"/>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a">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2"/>
          <w:szCs w:val="22"/>
        </w:rPr>
      </w:pPr>
    </w:p>
    <w:p>
      <w:pPr>
        <w:pStyle w:val="BodyText"/>
        <w:spacing w:line="240" w:lineRule="auto" w:before="35"/>
        <w:ind w:right="114"/>
        <w:jc w:val="left"/>
      </w:pPr>
      <w:r>
        <w:rPr/>
        <w:t>其他说明：</w:t>
      </w:r>
    </w:p>
    <w:p>
      <w:pPr>
        <w:spacing w:line="240" w:lineRule="auto" w:before="13"/>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80" w:bottom="1380" w:left="1580" w:right="1040"/>
        </w:sectPr>
      </w:pPr>
    </w:p>
    <w:p>
      <w:pPr>
        <w:spacing w:line="240" w:lineRule="auto" w:before="10"/>
        <w:rPr>
          <w:rFonts w:ascii="宋体" w:hAnsi="宋体" w:cs="宋体" w:eastAsia="宋体" w:hint="default"/>
          <w:sz w:val="26"/>
          <w:szCs w:val="26"/>
        </w:rPr>
      </w:pPr>
    </w:p>
    <w:p>
      <w:pPr>
        <w:pStyle w:val="Heading3"/>
        <w:tabs>
          <w:tab w:pos="847" w:val="left" w:leader="none"/>
        </w:tabs>
        <w:spacing w:line="240" w:lineRule="auto"/>
        <w:ind w:right="114"/>
        <w:jc w:val="left"/>
        <w:rPr>
          <w:b w:val="0"/>
          <w:bCs w:val="0"/>
        </w:rPr>
      </w:pPr>
      <w:r>
        <w:rPr>
          <w:w w:val="95"/>
        </w:rPr>
        <w:t>(3).</w:t>
        <w:tab/>
      </w:r>
      <w:r>
        <w:rPr/>
        <w:t>合并日被合并方资产、负债的账面价值</w:t>
      </w:r>
      <w:r>
        <w:rPr>
          <w:b w:val="0"/>
          <w:bCs w:val="0"/>
        </w:rPr>
      </w:r>
    </w:p>
    <w:p>
      <w:pPr>
        <w:pStyle w:val="BodyText"/>
        <w:tabs>
          <w:tab w:pos="945" w:val="left" w:leader="none"/>
        </w:tabs>
        <w:spacing w:line="240" w:lineRule="auto" w:before="97"/>
        <w:ind w:left="0" w:right="229"/>
        <w:jc w:val="right"/>
      </w:pPr>
      <w:r>
        <w:rPr/>
        <w:t>单位:元</w:t>
        <w:tab/>
      </w:r>
      <w:r>
        <w:rPr>
          <w:spacing w:val="-1"/>
        </w:rPr>
        <w:t>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549"/>
        <w:gridCol w:w="3766"/>
        <w:gridCol w:w="3734"/>
      </w:tblGrid>
      <w:tr>
        <w:trPr>
          <w:trHeight w:val="326" w:hRule="exact"/>
        </w:trPr>
        <w:tc>
          <w:tcPr>
            <w:tcW w:w="1549" w:type="dxa"/>
            <w:vMerge w:val="restart"/>
            <w:tcBorders>
              <w:top w:val="single" w:sz="6" w:space="0" w:color="000000"/>
              <w:left w:val="single" w:sz="4" w:space="0" w:color="000000"/>
              <w:right w:val="single" w:sz="6" w:space="0" w:color="000000"/>
            </w:tcBorders>
          </w:tcPr>
          <w:p>
            <w:pPr/>
          </w:p>
        </w:tc>
        <w:tc>
          <w:tcPr>
            <w:tcW w:w="7500" w:type="dxa"/>
            <w:gridSpan w:val="2"/>
            <w:tcBorders>
              <w:top w:val="single" w:sz="6" w:space="0" w:color="000000"/>
              <w:left w:val="single" w:sz="6" w:space="0" w:color="000000"/>
              <w:bottom w:val="single" w:sz="6"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XX</w:t>
            </w:r>
            <w:r>
              <w:rPr>
                <w:rFonts w:ascii="宋体" w:hAnsi="宋体" w:cs="宋体" w:eastAsia="宋体" w:hint="default"/>
                <w:spacing w:val="-52"/>
                <w:sz w:val="21"/>
                <w:szCs w:val="21"/>
              </w:rPr>
              <w:t> </w:t>
            </w:r>
            <w:r>
              <w:rPr>
                <w:rFonts w:ascii="宋体" w:hAnsi="宋体" w:cs="宋体" w:eastAsia="宋体" w:hint="default"/>
                <w:sz w:val="21"/>
                <w:szCs w:val="21"/>
              </w:rPr>
              <w:t>公司</w:t>
            </w:r>
          </w:p>
        </w:tc>
      </w:tr>
      <w:tr>
        <w:trPr>
          <w:trHeight w:val="328" w:hRule="exact"/>
        </w:trPr>
        <w:tc>
          <w:tcPr>
            <w:tcW w:w="1549" w:type="dxa"/>
            <w:vMerge/>
            <w:tcBorders>
              <w:left w:val="single" w:sz="4" w:space="0" w:color="000000"/>
              <w:bottom w:val="single" w:sz="6" w:space="0" w:color="000000"/>
              <w:right w:val="single" w:sz="6" w:space="0" w:color="000000"/>
            </w:tcBorders>
          </w:tcPr>
          <w:p>
            <w:pPr/>
          </w:p>
        </w:tc>
        <w:tc>
          <w:tcPr>
            <w:tcW w:w="37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合并日</w:t>
            </w:r>
          </w:p>
        </w:tc>
        <w:tc>
          <w:tcPr>
            <w:tcW w:w="3734" w:type="dxa"/>
            <w:tcBorders>
              <w:top w:val="single" w:sz="6" w:space="0" w:color="000000"/>
              <w:left w:val="single" w:sz="6" w:space="0" w:color="000000"/>
              <w:bottom w:val="single" w:sz="6"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上期期末</w:t>
            </w:r>
          </w:p>
        </w:tc>
      </w:tr>
      <w:tr>
        <w:trPr>
          <w:trHeight w:val="326"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4" w:type="dxa"/>
            <w:tcBorders>
              <w:top w:val="single" w:sz="6" w:space="0" w:color="000000"/>
              <w:left w:val="single" w:sz="6" w:space="0" w:color="000000"/>
              <w:bottom w:val="single" w:sz="6" w:space="0" w:color="000000"/>
              <w:right w:val="single" w:sz="4" w:space="0" w:color="000000"/>
            </w:tcBorders>
          </w:tcPr>
          <w:p>
            <w:pPr/>
          </w:p>
        </w:tc>
      </w:tr>
      <w:tr>
        <w:trPr>
          <w:trHeight w:val="374"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4" w:type="dxa"/>
            <w:tcBorders>
              <w:top w:val="single" w:sz="6" w:space="0" w:color="000000"/>
              <w:left w:val="single" w:sz="6" w:space="0" w:color="000000"/>
              <w:bottom w:val="single" w:sz="6" w:space="0" w:color="000000"/>
              <w:right w:val="single" w:sz="4" w:space="0" w:color="000000"/>
            </w:tcBorders>
          </w:tcPr>
          <w:p>
            <w:pPr/>
          </w:p>
        </w:tc>
      </w:tr>
      <w:tr>
        <w:trPr>
          <w:trHeight w:val="373"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4" w:type="dxa"/>
            <w:tcBorders>
              <w:top w:val="single" w:sz="6" w:space="0" w:color="000000"/>
              <w:left w:val="single" w:sz="6" w:space="0" w:color="000000"/>
              <w:bottom w:val="single" w:sz="6" w:space="0" w:color="000000"/>
              <w:right w:val="single" w:sz="4" w:space="0" w:color="000000"/>
            </w:tcBorders>
          </w:tcPr>
          <w:p>
            <w:pPr/>
          </w:p>
        </w:tc>
      </w:tr>
      <w:tr>
        <w:trPr>
          <w:trHeight w:val="374"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4" w:type="dxa"/>
            <w:tcBorders>
              <w:top w:val="single" w:sz="6" w:space="0" w:color="000000"/>
              <w:left w:val="single" w:sz="6" w:space="0" w:color="000000"/>
              <w:bottom w:val="single" w:sz="6" w:space="0" w:color="000000"/>
              <w:right w:val="single" w:sz="4" w:space="0" w:color="000000"/>
            </w:tcBorders>
          </w:tcPr>
          <w:p>
            <w:pPr/>
          </w:p>
        </w:tc>
      </w:tr>
      <w:tr>
        <w:trPr>
          <w:trHeight w:val="373"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4" w:type="dxa"/>
            <w:tcBorders>
              <w:top w:val="single" w:sz="6" w:space="0" w:color="000000"/>
              <w:left w:val="single" w:sz="6" w:space="0" w:color="000000"/>
              <w:bottom w:val="single" w:sz="6" w:space="0" w:color="000000"/>
              <w:right w:val="single" w:sz="4" w:space="0" w:color="000000"/>
            </w:tcBorders>
          </w:tcPr>
          <w:p>
            <w:pPr/>
          </w:p>
        </w:tc>
      </w:tr>
      <w:tr>
        <w:trPr>
          <w:trHeight w:val="374"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4"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1549" w:type="dxa"/>
            <w:tcBorders>
              <w:top w:val="single" w:sz="6" w:space="0" w:color="000000"/>
              <w:left w:val="single" w:sz="4" w:space="0" w:color="000000"/>
              <w:bottom w:val="single" w:sz="6" w:space="0" w:color="000000"/>
              <w:right w:val="single" w:sz="6" w:space="0" w:color="000000"/>
            </w:tcBorders>
          </w:tcPr>
          <w:p>
            <w:pPr/>
          </w:p>
        </w:tc>
        <w:tc>
          <w:tcPr>
            <w:tcW w:w="3766" w:type="dxa"/>
            <w:tcBorders>
              <w:top w:val="single" w:sz="6" w:space="0" w:color="000000"/>
              <w:left w:val="single" w:sz="6" w:space="0" w:color="000000"/>
              <w:bottom w:val="single" w:sz="6" w:space="0" w:color="000000"/>
              <w:right w:val="single" w:sz="6" w:space="0" w:color="000000"/>
            </w:tcBorders>
          </w:tcPr>
          <w:p>
            <w:pPr/>
          </w:p>
        </w:tc>
        <w:tc>
          <w:tcPr>
            <w:tcW w:w="3734" w:type="dxa"/>
            <w:tcBorders>
              <w:top w:val="single" w:sz="6" w:space="0" w:color="000000"/>
              <w:left w:val="single" w:sz="6" w:space="0" w:color="000000"/>
              <w:bottom w:val="single" w:sz="6" w:space="0" w:color="000000"/>
              <w:right w:val="single" w:sz="4" w:space="0" w:color="000000"/>
            </w:tcBorders>
          </w:tcPr>
          <w:p>
            <w:pPr/>
          </w:p>
        </w:tc>
      </w:tr>
      <w:tr>
        <w:trPr>
          <w:trHeight w:val="328"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4" w:type="dxa"/>
            <w:tcBorders>
              <w:top w:val="single" w:sz="6" w:space="0" w:color="000000"/>
              <w:left w:val="single" w:sz="6" w:space="0" w:color="000000"/>
              <w:bottom w:val="single" w:sz="6" w:space="0" w:color="000000"/>
              <w:right w:val="single" w:sz="4" w:space="0" w:color="000000"/>
            </w:tcBorders>
          </w:tcPr>
          <w:p>
            <w:pPr/>
          </w:p>
        </w:tc>
      </w:tr>
      <w:tr>
        <w:trPr>
          <w:trHeight w:val="373"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4" w:type="dxa"/>
            <w:tcBorders>
              <w:top w:val="single" w:sz="6" w:space="0" w:color="000000"/>
              <w:left w:val="single" w:sz="6" w:space="0" w:color="000000"/>
              <w:bottom w:val="single" w:sz="6" w:space="0" w:color="000000"/>
              <w:right w:val="single" w:sz="4" w:space="0" w:color="000000"/>
            </w:tcBorders>
          </w:tcPr>
          <w:p>
            <w:pPr/>
          </w:p>
        </w:tc>
      </w:tr>
      <w:tr>
        <w:trPr>
          <w:trHeight w:val="374"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4"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1549" w:type="dxa"/>
            <w:tcBorders>
              <w:top w:val="single" w:sz="6" w:space="0" w:color="000000"/>
              <w:left w:val="single" w:sz="4" w:space="0" w:color="000000"/>
              <w:bottom w:val="single" w:sz="6" w:space="0" w:color="000000"/>
              <w:right w:val="single" w:sz="6" w:space="0" w:color="000000"/>
            </w:tcBorders>
          </w:tcPr>
          <w:p>
            <w:pPr/>
          </w:p>
        </w:tc>
        <w:tc>
          <w:tcPr>
            <w:tcW w:w="3766" w:type="dxa"/>
            <w:tcBorders>
              <w:top w:val="single" w:sz="6" w:space="0" w:color="000000"/>
              <w:left w:val="single" w:sz="6" w:space="0" w:color="000000"/>
              <w:bottom w:val="single" w:sz="6" w:space="0" w:color="000000"/>
              <w:right w:val="single" w:sz="6" w:space="0" w:color="000000"/>
            </w:tcBorders>
          </w:tcPr>
          <w:p>
            <w:pPr/>
          </w:p>
        </w:tc>
        <w:tc>
          <w:tcPr>
            <w:tcW w:w="3734" w:type="dxa"/>
            <w:tcBorders>
              <w:top w:val="single" w:sz="6" w:space="0" w:color="000000"/>
              <w:left w:val="single" w:sz="6" w:space="0" w:color="000000"/>
              <w:bottom w:val="single" w:sz="6" w:space="0" w:color="000000"/>
              <w:right w:val="single" w:sz="4" w:space="0" w:color="000000"/>
            </w:tcBorders>
          </w:tcPr>
          <w:p>
            <w:pPr/>
          </w:p>
        </w:tc>
      </w:tr>
      <w:tr>
        <w:trPr>
          <w:trHeight w:val="328"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4" w:type="dxa"/>
            <w:tcBorders>
              <w:top w:val="single" w:sz="6" w:space="0" w:color="000000"/>
              <w:left w:val="single" w:sz="6" w:space="0" w:color="000000"/>
              <w:bottom w:val="single" w:sz="6" w:space="0" w:color="000000"/>
              <w:right w:val="single" w:sz="4" w:space="0" w:color="000000"/>
            </w:tcBorders>
          </w:tcPr>
          <w:p>
            <w:pPr/>
          </w:p>
        </w:tc>
      </w:tr>
      <w:tr>
        <w:trPr>
          <w:trHeight w:val="638"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4" w:type="dxa"/>
            <w:tcBorders>
              <w:top w:val="single" w:sz="6" w:space="0" w:color="000000"/>
              <w:left w:val="single" w:sz="6" w:space="0" w:color="000000"/>
              <w:bottom w:val="single" w:sz="6" w:space="0" w:color="000000"/>
              <w:right w:val="single" w:sz="4" w:space="0" w:color="000000"/>
            </w:tcBorders>
          </w:tcPr>
          <w:p>
            <w:pPr/>
          </w:p>
        </w:tc>
      </w:tr>
      <w:tr>
        <w:trPr>
          <w:trHeight w:val="325" w:hRule="exact"/>
        </w:trPr>
        <w:tc>
          <w:tcPr>
            <w:tcW w:w="1549" w:type="dxa"/>
            <w:tcBorders>
              <w:top w:val="single" w:sz="6" w:space="0" w:color="000000"/>
              <w:left w:val="single" w:sz="4" w:space="0" w:color="000000"/>
              <w:bottom w:val="single" w:sz="4" w:space="0" w:color="000000"/>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766" w:type="dxa"/>
            <w:tcBorders>
              <w:top w:val="single" w:sz="6" w:space="0" w:color="000000"/>
              <w:left w:val="single" w:sz="6" w:space="0" w:color="000000"/>
              <w:bottom w:val="single" w:sz="4" w:space="0" w:color="000000"/>
              <w:right w:val="single" w:sz="6" w:space="0" w:color="000000"/>
            </w:tcBorders>
          </w:tcPr>
          <w:p>
            <w:pPr/>
          </w:p>
        </w:tc>
        <w:tc>
          <w:tcPr>
            <w:tcW w:w="3734"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60" w:lineRule="exact"/>
        <w:ind w:right="114"/>
        <w:jc w:val="left"/>
      </w:pPr>
      <w:r>
        <w:rPr/>
        <w:t>企业合并中承担的被合并方的或有负债：</w:t>
      </w:r>
    </w:p>
    <w:p>
      <w:pPr>
        <w:spacing w:line="240" w:lineRule="auto" w:before="13"/>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2"/>
          <w:szCs w:val="22"/>
        </w:rPr>
      </w:pPr>
    </w:p>
    <w:p>
      <w:pPr>
        <w:pStyle w:val="BodyText"/>
        <w:spacing w:line="240" w:lineRule="auto" w:before="35"/>
        <w:ind w:right="114"/>
        <w:jc w:val="left"/>
      </w:pPr>
      <w:r>
        <w:rPr/>
        <w:t>其他说明：</w:t>
      </w:r>
    </w:p>
    <w:p>
      <w:pPr>
        <w:spacing w:line="240" w:lineRule="auto" w:before="13"/>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a">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pStyle w:val="Heading3"/>
        <w:spacing w:line="240" w:lineRule="auto"/>
        <w:ind w:right="114"/>
        <w:jc w:val="left"/>
        <w:rPr>
          <w:b w:val="0"/>
          <w:bCs w:val="0"/>
        </w:rPr>
      </w:pPr>
      <w:r>
        <w:rPr/>
        <w:t>3、</w:t>
      </w:r>
      <w:r>
        <w:rPr>
          <w:spacing w:val="-3"/>
        </w:rPr>
        <w:t> </w:t>
      </w:r>
      <w:r>
        <w:rPr/>
        <w:t>反向购买</w:t>
      </w:r>
      <w:r>
        <w:rPr>
          <w:b w:val="0"/>
          <w:bCs w:val="0"/>
        </w:rPr>
      </w:r>
    </w:p>
    <w:p>
      <w:pPr>
        <w:pStyle w:val="BodyText"/>
        <w:spacing w:line="273" w:lineRule="auto" w:before="97"/>
        <w:ind w:right="227"/>
        <w:jc w:val="left"/>
      </w:pPr>
      <w:r>
        <w:rPr/>
        <w:t>交易基本信息、交易构成反向购买的依据、上市公司保留的资产、负债是否构成业务及其依据、 合并成本的确定、按照权益性交易处理时调整权益的金额及其计算：</w:t>
      </w:r>
    </w:p>
    <w:p>
      <w:pPr>
        <w:spacing w:line="240" w:lineRule="auto" w:before="9"/>
        <w:rPr>
          <w:rFonts w:ascii="宋体" w:hAnsi="宋体" w:cs="宋体" w:eastAsia="宋体" w:hint="default"/>
          <w:sz w:val="21"/>
          <w:szCs w:val="2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7"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20"/>
          <w:footerReference w:type="default" r:id="rId121"/>
          <w:pgSz w:w="16840" w:h="11910" w:orient="landscape"/>
          <w:pgMar w:header="882" w:footer="1193" w:top="1120" w:bottom="1380" w:left="1300" w:right="1380"/>
          <w:pgNumType w:start="160"/>
        </w:sectPr>
      </w:pPr>
    </w:p>
    <w:p>
      <w:pPr>
        <w:spacing w:line="240" w:lineRule="auto" w:before="1"/>
        <w:rPr>
          <w:rFonts w:ascii="宋体" w:hAnsi="宋体" w:cs="宋体" w:eastAsia="宋体" w:hint="default"/>
          <w:sz w:val="14"/>
          <w:szCs w:val="14"/>
        </w:rPr>
      </w:pPr>
    </w:p>
    <w:p>
      <w:pPr>
        <w:spacing w:line="290" w:lineRule="auto" w:before="0"/>
        <w:ind w:left="139" w:right="-2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4"/>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t>是否存在单次处置对子公司投资即丧失控制权的情形</w:t>
      </w:r>
    </w:p>
    <w:p>
      <w:pPr>
        <w:pStyle w:val="BodyText"/>
        <w:spacing w:line="228" w:lineRule="exact"/>
        <w:ind w:left="139"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tabs>
          <w:tab w:pos="1085" w:val="left" w:leader="none"/>
        </w:tabs>
        <w:spacing w:line="240" w:lineRule="auto"/>
        <w:ind w:left="139" w:right="0"/>
        <w:jc w:val="left"/>
      </w:pPr>
      <w:r>
        <w:rPr/>
        <w:t>单位:元</w:t>
        <w:tab/>
        <w:t>币种:人民币</w:t>
      </w:r>
    </w:p>
    <w:p>
      <w:pPr>
        <w:spacing w:after="0" w:line="240" w:lineRule="auto"/>
        <w:jc w:val="left"/>
        <w:sectPr>
          <w:type w:val="continuous"/>
          <w:pgSz w:w="16840" w:h="11910" w:orient="landscape"/>
          <w:pgMar w:top="1080" w:bottom="1380" w:left="1300" w:right="1380"/>
          <w:cols w:num="2" w:equalWidth="0">
            <w:col w:w="4970" w:space="6804"/>
            <w:col w:w="2386"/>
          </w:cols>
        </w:sectPr>
      </w:pPr>
    </w:p>
    <w:p>
      <w:pPr>
        <w:spacing w:line="240" w:lineRule="auto" w:before="7"/>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704"/>
        <w:gridCol w:w="910"/>
        <w:gridCol w:w="950"/>
        <w:gridCol w:w="968"/>
        <w:gridCol w:w="965"/>
        <w:gridCol w:w="1144"/>
        <w:gridCol w:w="1423"/>
        <w:gridCol w:w="1102"/>
        <w:gridCol w:w="1162"/>
        <w:gridCol w:w="1151"/>
        <w:gridCol w:w="1262"/>
        <w:gridCol w:w="1296"/>
        <w:gridCol w:w="865"/>
      </w:tblGrid>
      <w:tr>
        <w:trPr>
          <w:trHeight w:val="1916"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36" w:right="30" w:hanging="105"/>
              <w:jc w:val="left"/>
              <w:rPr>
                <w:rFonts w:ascii="宋体" w:hAnsi="宋体" w:cs="宋体" w:eastAsia="宋体" w:hint="default"/>
                <w:sz w:val="21"/>
                <w:szCs w:val="21"/>
              </w:rPr>
            </w:pPr>
            <w:r>
              <w:rPr>
                <w:rFonts w:ascii="宋体" w:hAnsi="宋体" w:cs="宋体" w:eastAsia="宋体" w:hint="default"/>
                <w:sz w:val="21"/>
                <w:szCs w:val="21"/>
              </w:rPr>
              <w:t>子公司 名称</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239" w:right="28" w:hanging="210"/>
              <w:jc w:val="left"/>
              <w:rPr>
                <w:rFonts w:ascii="宋体" w:hAnsi="宋体" w:cs="宋体" w:eastAsia="宋体" w:hint="default"/>
                <w:sz w:val="21"/>
                <w:szCs w:val="21"/>
              </w:rPr>
            </w:pPr>
            <w:r>
              <w:rPr>
                <w:rFonts w:ascii="宋体" w:hAnsi="宋体" w:cs="宋体" w:eastAsia="宋体" w:hint="default"/>
                <w:sz w:val="21"/>
                <w:szCs w:val="21"/>
              </w:rPr>
              <w:t>股权处置 价款</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 w:right="-5" w:firstLine="50"/>
              <w:jc w:val="left"/>
              <w:rPr>
                <w:rFonts w:ascii="宋体" w:hAnsi="宋体" w:cs="宋体" w:eastAsia="宋体" w:hint="default"/>
                <w:sz w:val="21"/>
                <w:szCs w:val="21"/>
              </w:rPr>
            </w:pPr>
            <w:r>
              <w:rPr>
                <w:rFonts w:ascii="宋体" w:hAnsi="宋体" w:cs="宋体" w:eastAsia="宋体" w:hint="default"/>
                <w:sz w:val="21"/>
                <w:szCs w:val="21"/>
              </w:rPr>
              <w:t>股权处置 比例（%）</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269" w:right="56" w:hanging="210"/>
              <w:jc w:val="left"/>
              <w:rPr>
                <w:rFonts w:ascii="宋体" w:hAnsi="宋体" w:cs="宋体" w:eastAsia="宋体" w:hint="default"/>
                <w:sz w:val="21"/>
                <w:szCs w:val="21"/>
              </w:rPr>
            </w:pPr>
            <w:r>
              <w:rPr>
                <w:rFonts w:ascii="宋体" w:hAnsi="宋体" w:cs="宋体" w:eastAsia="宋体" w:hint="default"/>
                <w:sz w:val="21"/>
                <w:szCs w:val="21"/>
              </w:rPr>
              <w:t>股权处置 方式</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57" w:right="55"/>
              <w:jc w:val="left"/>
              <w:rPr>
                <w:rFonts w:ascii="宋体" w:hAnsi="宋体" w:cs="宋体" w:eastAsia="宋体" w:hint="default"/>
                <w:sz w:val="21"/>
                <w:szCs w:val="21"/>
              </w:rPr>
            </w:pPr>
            <w:r>
              <w:rPr>
                <w:rFonts w:ascii="宋体" w:hAnsi="宋体" w:cs="宋体" w:eastAsia="宋体" w:hint="default"/>
                <w:sz w:val="21"/>
                <w:szCs w:val="21"/>
              </w:rPr>
              <w:t>丧失控制 权的时点</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40" w:right="41"/>
              <w:jc w:val="center"/>
              <w:rPr>
                <w:rFonts w:ascii="宋体" w:hAnsi="宋体" w:cs="宋体" w:eastAsia="宋体" w:hint="default"/>
                <w:sz w:val="21"/>
                <w:szCs w:val="21"/>
              </w:rPr>
            </w:pPr>
            <w:r>
              <w:rPr>
                <w:rFonts w:ascii="宋体" w:hAnsi="宋体" w:cs="宋体" w:eastAsia="宋体" w:hint="default"/>
                <w:sz w:val="21"/>
                <w:szCs w:val="21"/>
              </w:rPr>
              <w:t>丧失控制权 时点的确定 依据</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76" w:right="74"/>
              <w:jc w:val="center"/>
              <w:rPr>
                <w:rFonts w:ascii="宋体" w:hAnsi="宋体" w:cs="宋体" w:eastAsia="宋体" w:hint="default"/>
                <w:sz w:val="21"/>
                <w:szCs w:val="21"/>
              </w:rPr>
            </w:pPr>
            <w:r>
              <w:rPr>
                <w:rFonts w:ascii="宋体" w:hAnsi="宋体" w:cs="宋体" w:eastAsia="宋体" w:hint="default"/>
                <w:sz w:val="21"/>
                <w:szCs w:val="21"/>
              </w:rPr>
              <w:t>处置价款与处 置投资对应的 合并财务报表 层面享有该子 公司净资产份 额的差额</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21" w:right="18"/>
              <w:jc w:val="both"/>
              <w:rPr>
                <w:rFonts w:ascii="宋体" w:hAnsi="宋体" w:cs="宋体" w:eastAsia="宋体" w:hint="default"/>
                <w:sz w:val="21"/>
                <w:szCs w:val="21"/>
              </w:rPr>
            </w:pPr>
            <w:r>
              <w:rPr>
                <w:rFonts w:ascii="宋体" w:hAnsi="宋体" w:cs="宋体" w:eastAsia="宋体" w:hint="default"/>
                <w:sz w:val="21"/>
                <w:szCs w:val="21"/>
              </w:rPr>
              <w:t>丧失控制权 之日剩余股 权的比例</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50" w:right="49"/>
              <w:jc w:val="center"/>
              <w:rPr>
                <w:rFonts w:ascii="宋体" w:hAnsi="宋体" w:cs="宋体" w:eastAsia="宋体" w:hint="default"/>
                <w:sz w:val="21"/>
                <w:szCs w:val="21"/>
              </w:rPr>
            </w:pPr>
            <w:r>
              <w:rPr>
                <w:rFonts w:ascii="宋体" w:hAnsi="宋体" w:cs="宋体" w:eastAsia="宋体" w:hint="default"/>
                <w:sz w:val="21"/>
                <w:szCs w:val="21"/>
              </w:rPr>
              <w:t>丧失控制权 之日剩余股 权的账面价 值</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45" w:right="43"/>
              <w:jc w:val="center"/>
              <w:rPr>
                <w:rFonts w:ascii="宋体" w:hAnsi="宋体" w:cs="宋体" w:eastAsia="宋体" w:hint="default"/>
                <w:sz w:val="21"/>
                <w:szCs w:val="21"/>
              </w:rPr>
            </w:pPr>
            <w:r>
              <w:rPr>
                <w:rFonts w:ascii="宋体" w:hAnsi="宋体" w:cs="宋体" w:eastAsia="宋体" w:hint="default"/>
                <w:sz w:val="21"/>
                <w:szCs w:val="21"/>
              </w:rPr>
              <w:t>丧失控制权 之日剩余股 权的公允价 值</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00" w:right="101"/>
              <w:jc w:val="center"/>
              <w:rPr>
                <w:rFonts w:ascii="宋体" w:hAnsi="宋体" w:cs="宋体" w:eastAsia="宋体" w:hint="default"/>
                <w:sz w:val="21"/>
                <w:szCs w:val="21"/>
              </w:rPr>
            </w:pPr>
            <w:r>
              <w:rPr>
                <w:rFonts w:ascii="宋体" w:hAnsi="宋体" w:cs="宋体" w:eastAsia="宋体" w:hint="default"/>
                <w:sz w:val="21"/>
                <w:szCs w:val="21"/>
              </w:rPr>
              <w:t>按照公允价 值重新计量 剩余股权产 生的利得或 损失</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3" w:right="11"/>
              <w:jc w:val="center"/>
              <w:rPr>
                <w:rFonts w:ascii="宋体" w:hAnsi="宋体" w:cs="宋体" w:eastAsia="宋体" w:hint="default"/>
                <w:sz w:val="21"/>
                <w:szCs w:val="21"/>
              </w:rPr>
            </w:pPr>
            <w:r>
              <w:rPr>
                <w:rFonts w:ascii="宋体" w:hAnsi="宋体" w:cs="宋体" w:eastAsia="宋体" w:hint="default"/>
                <w:sz w:val="21"/>
                <w:szCs w:val="21"/>
              </w:rPr>
              <w:t>丧失控制权之 日剩余股权公 允价值的确定 方法及主要假 设</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 w:right="0"/>
              <w:jc w:val="both"/>
              <w:rPr>
                <w:rFonts w:ascii="宋体" w:hAnsi="宋体" w:cs="宋体" w:eastAsia="宋体" w:hint="default"/>
                <w:sz w:val="21"/>
                <w:szCs w:val="21"/>
              </w:rPr>
            </w:pPr>
            <w:r>
              <w:rPr>
                <w:rFonts w:ascii="宋体" w:hAnsi="宋体" w:cs="宋体" w:eastAsia="宋体" w:hint="default"/>
                <w:sz w:val="21"/>
                <w:szCs w:val="21"/>
              </w:rPr>
              <w:t>与原子公</w:t>
            </w:r>
          </w:p>
          <w:p>
            <w:pPr>
              <w:pStyle w:val="TableParagraph"/>
              <w:spacing w:line="237" w:lineRule="auto" w:before="1"/>
              <w:ind w:left="7" w:right="6"/>
              <w:jc w:val="both"/>
              <w:rPr>
                <w:rFonts w:ascii="宋体" w:hAnsi="宋体" w:cs="宋体" w:eastAsia="宋体" w:hint="default"/>
                <w:sz w:val="21"/>
                <w:szCs w:val="21"/>
              </w:rPr>
            </w:pPr>
            <w:r>
              <w:rPr>
                <w:rFonts w:ascii="宋体" w:hAnsi="宋体" w:cs="宋体" w:eastAsia="宋体" w:hint="default"/>
                <w:sz w:val="21"/>
                <w:szCs w:val="21"/>
              </w:rPr>
              <w:t>司股权投 资相关的 其他综合 收益转入 投资损益 的金额</w:t>
            </w:r>
          </w:p>
        </w:tc>
      </w:tr>
      <w:tr>
        <w:trPr>
          <w:trHeight w:val="283" w:hRule="exact"/>
        </w:trPr>
        <w:tc>
          <w:tcPr>
            <w:tcW w:w="70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70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139" w:right="0"/>
        <w:jc w:val="left"/>
      </w:pPr>
      <w:r>
        <w:rPr/>
        <w:t>其他说明：</w:t>
      </w:r>
    </w:p>
    <w:p>
      <w:pPr>
        <w:spacing w:line="240" w:lineRule="auto" w:before="12"/>
        <w:rPr>
          <w:rFonts w:ascii="宋体" w:hAnsi="宋体" w:cs="宋体" w:eastAsia="宋体" w:hint="default"/>
          <w:sz w:val="20"/>
          <w:szCs w:val="20"/>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74" w:lineRule="exact" w:before="35"/>
        <w:ind w:left="139" w:right="0"/>
        <w:jc w:val="left"/>
      </w:pPr>
      <w:r>
        <w:rPr/>
        <w:t>是否存在通过多次交易分步处置对子公司投资且在本期丧失控制权的情形</w:t>
      </w:r>
    </w:p>
    <w:p>
      <w:pPr>
        <w:pStyle w:val="BodyText"/>
        <w:spacing w:line="274" w:lineRule="exact"/>
        <w:ind w:left="139" w:right="0"/>
        <w:jc w:val="left"/>
      </w:pPr>
      <w:r>
        <w:rPr/>
        <w:t>□适用□不适用</w:t>
      </w:r>
    </w:p>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6840" w:h="11910" w:orient="landscape"/>
          <w:pgMar w:top="1080" w:bottom="1380" w:left="1300" w:right="1380"/>
        </w:sectPr>
      </w:pPr>
    </w:p>
    <w:p>
      <w:pPr>
        <w:pStyle w:val="BodyText"/>
        <w:spacing w:line="274" w:lineRule="exact" w:before="35"/>
        <w:ind w:left="139" w:right="-18"/>
        <w:jc w:val="left"/>
      </w:pPr>
      <w:r>
        <w:rPr/>
        <w:t>一揽子交易</w:t>
      </w:r>
    </w:p>
    <w:p>
      <w:pPr>
        <w:pStyle w:val="BodyText"/>
        <w:spacing w:line="274" w:lineRule="exact"/>
        <w:ind w:left="139" w:right="-18"/>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1085" w:val="left" w:leader="none"/>
        </w:tabs>
        <w:spacing w:line="240" w:lineRule="auto"/>
        <w:ind w:left="139" w:right="0"/>
        <w:jc w:val="left"/>
      </w:pPr>
      <w:r>
        <w:rPr/>
        <w:t>单位:元</w:t>
        <w:tab/>
        <w:t>币种:人民币</w:t>
      </w:r>
    </w:p>
    <w:p>
      <w:pPr>
        <w:spacing w:after="0" w:line="240" w:lineRule="auto"/>
        <w:jc w:val="left"/>
        <w:sectPr>
          <w:type w:val="continuous"/>
          <w:pgSz w:w="16840" w:h="11910" w:orient="landscape"/>
          <w:pgMar w:top="1080" w:bottom="1380" w:left="1300" w:right="1380"/>
          <w:cols w:num="2" w:equalWidth="0">
            <w:col w:w="1715" w:space="10060"/>
            <w:col w:w="2385"/>
          </w:cols>
        </w:sectPr>
      </w:pPr>
    </w:p>
    <w:p>
      <w:pPr>
        <w:spacing w:line="240" w:lineRule="auto" w:before="7"/>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642"/>
        <w:gridCol w:w="642"/>
        <w:gridCol w:w="556"/>
        <w:gridCol w:w="725"/>
        <w:gridCol w:w="731"/>
        <w:gridCol w:w="1236"/>
        <w:gridCol w:w="691"/>
        <w:gridCol w:w="802"/>
        <w:gridCol w:w="839"/>
        <w:gridCol w:w="936"/>
        <w:gridCol w:w="922"/>
        <w:gridCol w:w="1111"/>
        <w:gridCol w:w="1175"/>
        <w:gridCol w:w="1156"/>
        <w:gridCol w:w="1721"/>
      </w:tblGrid>
      <w:tr>
        <w:trPr>
          <w:trHeight w:val="1916" w:hRule="exact"/>
        </w:trPr>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5" w:right="1" w:hanging="105"/>
              <w:jc w:val="left"/>
              <w:rPr>
                <w:rFonts w:ascii="宋体" w:hAnsi="宋体" w:cs="宋体" w:eastAsia="宋体" w:hint="default"/>
                <w:sz w:val="21"/>
                <w:szCs w:val="21"/>
              </w:rPr>
            </w:pPr>
            <w:r>
              <w:rPr>
                <w:rFonts w:ascii="宋体" w:hAnsi="宋体" w:cs="宋体" w:eastAsia="宋体" w:hint="default"/>
                <w:sz w:val="21"/>
                <w:szCs w:val="21"/>
              </w:rPr>
              <w:t>子公司 名称</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 w:right="1"/>
              <w:jc w:val="left"/>
              <w:rPr>
                <w:rFonts w:ascii="宋体" w:hAnsi="宋体" w:cs="宋体" w:eastAsia="宋体" w:hint="default"/>
                <w:sz w:val="21"/>
                <w:szCs w:val="21"/>
              </w:rPr>
            </w:pPr>
            <w:r>
              <w:rPr>
                <w:rFonts w:ascii="宋体" w:hAnsi="宋体" w:cs="宋体" w:eastAsia="宋体" w:hint="default"/>
                <w:sz w:val="21"/>
                <w:szCs w:val="21"/>
              </w:rPr>
              <w:t>股权处 置时点</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62" w:right="61"/>
              <w:jc w:val="both"/>
              <w:rPr>
                <w:rFonts w:ascii="宋体" w:hAnsi="宋体" w:cs="宋体" w:eastAsia="宋体" w:hint="default"/>
                <w:sz w:val="21"/>
                <w:szCs w:val="21"/>
              </w:rPr>
            </w:pPr>
            <w:r>
              <w:rPr>
                <w:rFonts w:ascii="宋体" w:hAnsi="宋体" w:cs="宋体" w:eastAsia="宋体" w:hint="default"/>
                <w:sz w:val="21"/>
                <w:szCs w:val="21"/>
              </w:rPr>
              <w:t>股权 处置 价款</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41" w:right="41"/>
              <w:jc w:val="left"/>
              <w:rPr>
                <w:rFonts w:ascii="宋体" w:hAnsi="宋体" w:cs="宋体" w:eastAsia="宋体" w:hint="default"/>
                <w:sz w:val="21"/>
                <w:szCs w:val="21"/>
              </w:rPr>
            </w:pPr>
            <w:r>
              <w:rPr>
                <w:rFonts w:ascii="宋体" w:hAnsi="宋体" w:cs="宋体" w:eastAsia="宋体" w:hint="default"/>
                <w:sz w:val="21"/>
                <w:szCs w:val="21"/>
              </w:rPr>
              <w:t>股权处 置比例</w:t>
            </w:r>
          </w:p>
          <w:p>
            <w:pPr>
              <w:pStyle w:val="TableParagraph"/>
              <w:spacing w:line="248" w:lineRule="exact"/>
              <w:ind w:left="94" w:right="0"/>
              <w:jc w:val="left"/>
              <w:rPr>
                <w:rFonts w:ascii="宋体" w:hAnsi="宋体" w:cs="宋体" w:eastAsia="宋体" w:hint="default"/>
                <w:sz w:val="21"/>
                <w:szCs w:val="21"/>
              </w:rPr>
            </w:pPr>
            <w:r>
              <w:rPr>
                <w:rFonts w:ascii="宋体" w:hAnsi="宋体" w:cs="宋体" w:eastAsia="宋体" w:hint="default"/>
                <w:sz w:val="21"/>
                <w:szCs w:val="21"/>
              </w:rPr>
              <w:t>（%）</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45" w:right="43"/>
              <w:jc w:val="left"/>
              <w:rPr>
                <w:rFonts w:ascii="宋体" w:hAnsi="宋体" w:cs="宋体" w:eastAsia="宋体" w:hint="default"/>
                <w:sz w:val="21"/>
                <w:szCs w:val="21"/>
              </w:rPr>
            </w:pPr>
            <w:r>
              <w:rPr>
                <w:rFonts w:ascii="宋体" w:hAnsi="宋体" w:cs="宋体" w:eastAsia="宋体" w:hint="default"/>
                <w:sz w:val="21"/>
                <w:szCs w:val="21"/>
              </w:rPr>
              <w:t>股权处 置方式</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7" w:right="0"/>
              <w:jc w:val="both"/>
              <w:rPr>
                <w:rFonts w:ascii="宋体" w:hAnsi="宋体" w:cs="宋体" w:eastAsia="宋体" w:hint="default"/>
                <w:sz w:val="21"/>
                <w:szCs w:val="21"/>
              </w:rPr>
            </w:pPr>
            <w:r>
              <w:rPr>
                <w:rFonts w:ascii="宋体" w:hAnsi="宋体" w:cs="宋体" w:eastAsia="宋体" w:hint="default"/>
                <w:sz w:val="21"/>
                <w:szCs w:val="21"/>
              </w:rPr>
              <w:t>处置价款与</w:t>
            </w:r>
          </w:p>
          <w:p>
            <w:pPr>
              <w:pStyle w:val="TableParagraph"/>
              <w:spacing w:line="272" w:lineRule="exact" w:before="26"/>
              <w:ind w:left="87" w:right="86"/>
              <w:jc w:val="both"/>
              <w:rPr>
                <w:rFonts w:ascii="宋体" w:hAnsi="宋体" w:cs="宋体" w:eastAsia="宋体" w:hint="default"/>
                <w:sz w:val="21"/>
                <w:szCs w:val="21"/>
              </w:rPr>
            </w:pPr>
            <w:r>
              <w:rPr>
                <w:rFonts w:ascii="宋体" w:hAnsi="宋体" w:cs="宋体" w:eastAsia="宋体" w:hint="default"/>
                <w:sz w:val="21"/>
                <w:szCs w:val="21"/>
              </w:rPr>
              <w:t>处置投资对 应的合并财 务报表层面 享有该子公 司净资产份 额的差额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5" w:right="24"/>
              <w:jc w:val="both"/>
              <w:rPr>
                <w:rFonts w:ascii="宋体" w:hAnsi="宋体" w:cs="宋体" w:eastAsia="宋体" w:hint="default"/>
                <w:sz w:val="21"/>
                <w:szCs w:val="21"/>
              </w:rPr>
            </w:pPr>
            <w:r>
              <w:rPr>
                <w:rFonts w:ascii="宋体" w:hAnsi="宋体" w:cs="宋体" w:eastAsia="宋体" w:hint="default"/>
                <w:sz w:val="21"/>
                <w:szCs w:val="21"/>
              </w:rPr>
              <w:t>丧失控 制权的 时点</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80" w:right="79"/>
              <w:jc w:val="both"/>
              <w:rPr>
                <w:rFonts w:ascii="宋体" w:hAnsi="宋体" w:cs="宋体" w:eastAsia="宋体" w:hint="default"/>
                <w:sz w:val="21"/>
                <w:szCs w:val="21"/>
              </w:rPr>
            </w:pPr>
            <w:r>
              <w:rPr>
                <w:rFonts w:ascii="宋体" w:hAnsi="宋体" w:cs="宋体" w:eastAsia="宋体" w:hint="default"/>
                <w:sz w:val="21"/>
                <w:szCs w:val="21"/>
              </w:rPr>
              <w:t>丧失控 制权时 点的确 定依据</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9" w:right="97"/>
              <w:jc w:val="both"/>
              <w:rPr>
                <w:rFonts w:ascii="宋体" w:hAnsi="宋体" w:cs="宋体" w:eastAsia="宋体" w:hint="default"/>
                <w:sz w:val="21"/>
                <w:szCs w:val="21"/>
              </w:rPr>
            </w:pPr>
            <w:r>
              <w:rPr>
                <w:rFonts w:ascii="宋体" w:hAnsi="宋体" w:cs="宋体" w:eastAsia="宋体" w:hint="default"/>
                <w:sz w:val="21"/>
                <w:szCs w:val="21"/>
              </w:rPr>
              <w:t>丧失控 制权之 日剩余 股权的 比例</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43" w:right="41"/>
              <w:jc w:val="both"/>
              <w:rPr>
                <w:rFonts w:ascii="宋体" w:hAnsi="宋体" w:cs="宋体" w:eastAsia="宋体" w:hint="default"/>
                <w:sz w:val="21"/>
                <w:szCs w:val="21"/>
              </w:rPr>
            </w:pPr>
            <w:r>
              <w:rPr>
                <w:rFonts w:ascii="宋体" w:hAnsi="宋体" w:cs="宋体" w:eastAsia="宋体" w:hint="default"/>
                <w:sz w:val="21"/>
                <w:szCs w:val="21"/>
              </w:rPr>
              <w:t>丧失控制 权之日剩 余股权的 账面价值</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35" w:right="34"/>
              <w:jc w:val="both"/>
              <w:rPr>
                <w:rFonts w:ascii="宋体" w:hAnsi="宋体" w:cs="宋体" w:eastAsia="宋体" w:hint="default"/>
                <w:sz w:val="21"/>
                <w:szCs w:val="21"/>
              </w:rPr>
            </w:pPr>
            <w:r>
              <w:rPr>
                <w:rFonts w:ascii="宋体" w:hAnsi="宋体" w:cs="宋体" w:eastAsia="宋体" w:hint="default"/>
                <w:sz w:val="21"/>
                <w:szCs w:val="21"/>
              </w:rPr>
              <w:t>丧失控制 权之日剩 余股权的 公允价值</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6" w:right="23"/>
              <w:jc w:val="center"/>
              <w:rPr>
                <w:rFonts w:ascii="宋体" w:hAnsi="宋体" w:cs="宋体" w:eastAsia="宋体" w:hint="default"/>
                <w:sz w:val="21"/>
                <w:szCs w:val="21"/>
              </w:rPr>
            </w:pPr>
            <w:r>
              <w:rPr>
                <w:rFonts w:ascii="宋体" w:hAnsi="宋体" w:cs="宋体" w:eastAsia="宋体" w:hint="default"/>
                <w:sz w:val="21"/>
                <w:szCs w:val="21"/>
              </w:rPr>
              <w:t>按照公允价 值重新计量 剩余股权产 生的利得或 损失</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7" w:right="55"/>
              <w:jc w:val="both"/>
              <w:rPr>
                <w:rFonts w:ascii="宋体" w:hAnsi="宋体" w:cs="宋体" w:eastAsia="宋体" w:hint="default"/>
                <w:sz w:val="21"/>
                <w:szCs w:val="21"/>
              </w:rPr>
            </w:pPr>
            <w:r>
              <w:rPr>
                <w:rFonts w:ascii="宋体" w:hAnsi="宋体" w:cs="宋体" w:eastAsia="宋体" w:hint="default"/>
                <w:sz w:val="21"/>
                <w:szCs w:val="21"/>
              </w:rPr>
              <w:t>丧失控制权 之日剩余股 权公允价值 的确定方法 及主要假设</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48" w:right="45"/>
              <w:jc w:val="center"/>
              <w:rPr>
                <w:rFonts w:ascii="宋体" w:hAnsi="宋体" w:cs="宋体" w:eastAsia="宋体" w:hint="default"/>
                <w:sz w:val="21"/>
                <w:szCs w:val="21"/>
              </w:rPr>
            </w:pPr>
            <w:r>
              <w:rPr>
                <w:rFonts w:ascii="宋体" w:hAnsi="宋体" w:cs="宋体" w:eastAsia="宋体" w:hint="default"/>
                <w:sz w:val="21"/>
                <w:szCs w:val="21"/>
              </w:rPr>
              <w:t>与原子公司 股权投资相 关的其他综 合收益转入 投资损益的 金额</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5" w:right="13"/>
              <w:jc w:val="center"/>
              <w:rPr>
                <w:rFonts w:ascii="宋体" w:hAnsi="宋体" w:cs="宋体" w:eastAsia="宋体" w:hint="default"/>
                <w:sz w:val="21"/>
                <w:szCs w:val="21"/>
              </w:rPr>
            </w:pPr>
            <w:r>
              <w:rPr>
                <w:rFonts w:ascii="宋体" w:hAnsi="宋体" w:cs="宋体" w:eastAsia="宋体" w:hint="default"/>
                <w:sz w:val="21"/>
                <w:szCs w:val="21"/>
              </w:rPr>
              <w:t>丧失控制权之前的 各步交易处置价款 与处置投资对应的 合并财务报表层面 享有该子公司净资 产份额的差额</w:t>
            </w:r>
          </w:p>
        </w:tc>
      </w:tr>
      <w:tr>
        <w:trPr>
          <w:trHeight w:val="283" w:hRule="exact"/>
        </w:trPr>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80" w:bottom="1380" w:left="1300" w:right="1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30" w:type="dxa"/>
        <w:tblLayout w:type="fixed"/>
        <w:tblCellMar>
          <w:top w:w="0" w:type="dxa"/>
          <w:left w:w="0" w:type="dxa"/>
          <w:bottom w:w="0" w:type="dxa"/>
          <w:right w:w="0" w:type="dxa"/>
        </w:tblCellMar>
        <w:tblLook w:val="01E0"/>
      </w:tblPr>
      <w:tblGrid>
        <w:gridCol w:w="642"/>
        <w:gridCol w:w="642"/>
        <w:gridCol w:w="556"/>
        <w:gridCol w:w="725"/>
        <w:gridCol w:w="731"/>
        <w:gridCol w:w="1236"/>
        <w:gridCol w:w="691"/>
        <w:gridCol w:w="802"/>
        <w:gridCol w:w="839"/>
        <w:gridCol w:w="936"/>
        <w:gridCol w:w="922"/>
        <w:gridCol w:w="1111"/>
        <w:gridCol w:w="1175"/>
        <w:gridCol w:w="1156"/>
        <w:gridCol w:w="1721"/>
      </w:tblGrid>
      <w:tr>
        <w:trPr>
          <w:trHeight w:val="282" w:hRule="exact"/>
        </w:trPr>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left="139" w:right="6001"/>
        <w:jc w:val="left"/>
      </w:pPr>
      <w:r>
        <w:rPr/>
        <w:t>分步处置股权至丧失控制权过程中的各项交易构成一揽子交易的原因：</w:t>
      </w:r>
    </w:p>
    <w:p>
      <w:pPr>
        <w:spacing w:line="240" w:lineRule="auto" w:before="12"/>
        <w:rPr>
          <w:rFonts w:ascii="宋体" w:hAnsi="宋体" w:cs="宋体" w:eastAsia="宋体" w:hint="default"/>
          <w:sz w:val="20"/>
          <w:szCs w:val="20"/>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pStyle w:val="BodyText"/>
        <w:spacing w:line="251" w:lineRule="exact"/>
        <w:ind w:left="139" w:right="6001"/>
        <w:jc w:val="left"/>
      </w:pPr>
      <w:r>
        <w:rPr/>
        <w:t>其他说明：</w:t>
      </w:r>
    </w:p>
    <w:p>
      <w:pPr>
        <w:spacing w:line="240" w:lineRule="auto" w:before="12"/>
        <w:rPr>
          <w:rFonts w:ascii="宋体" w:hAnsi="宋体" w:cs="宋体" w:eastAsia="宋体" w:hint="default"/>
          <w:sz w:val="20"/>
          <w:szCs w:val="20"/>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a">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6840" w:h="11910" w:orient="landscape"/>
          <w:pgMar w:header="882" w:footer="1193" w:top="1120" w:bottom="1380" w:left="1300" w:right="1400"/>
        </w:sectPr>
      </w:pPr>
    </w:p>
    <w:p>
      <w:pPr>
        <w:pStyle w:val="BodyText"/>
        <w:spacing w:line="274" w:lineRule="exact" w:before="35"/>
        <w:ind w:left="139" w:right="-18"/>
        <w:jc w:val="left"/>
      </w:pPr>
      <w:r>
        <w:rPr/>
        <w:t>非一揽子交易</w:t>
      </w:r>
    </w:p>
    <w:p>
      <w:pPr>
        <w:pStyle w:val="BodyText"/>
        <w:spacing w:line="274" w:lineRule="exact"/>
        <w:ind w:left="139" w:right="-18"/>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1085" w:val="left" w:leader="none"/>
        </w:tabs>
        <w:spacing w:line="240" w:lineRule="auto"/>
        <w:ind w:left="139" w:right="0"/>
        <w:jc w:val="left"/>
      </w:pPr>
      <w:r>
        <w:rPr/>
        <w:t>单位:元</w:t>
        <w:tab/>
        <w:t>币种:人民币</w:t>
      </w:r>
    </w:p>
    <w:p>
      <w:pPr>
        <w:spacing w:after="0" w:line="240" w:lineRule="auto"/>
        <w:jc w:val="left"/>
        <w:sectPr>
          <w:type w:val="continuous"/>
          <w:pgSz w:w="16840" w:h="11910" w:orient="landscape"/>
          <w:pgMar w:top="1080" w:bottom="1380" w:left="1300" w:right="1400"/>
          <w:cols w:num="2" w:equalWidth="0">
            <w:col w:w="1715" w:space="10060"/>
            <w:col w:w="2365"/>
          </w:cols>
        </w:sectPr>
      </w:pPr>
    </w:p>
    <w:p>
      <w:pPr>
        <w:spacing w:line="240" w:lineRule="auto" w:before="7"/>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686"/>
        <w:gridCol w:w="810"/>
        <w:gridCol w:w="686"/>
        <w:gridCol w:w="894"/>
        <w:gridCol w:w="758"/>
        <w:gridCol w:w="1277"/>
        <w:gridCol w:w="968"/>
        <w:gridCol w:w="686"/>
        <w:gridCol w:w="1033"/>
        <w:gridCol w:w="1158"/>
        <w:gridCol w:w="1138"/>
        <w:gridCol w:w="1006"/>
        <w:gridCol w:w="1408"/>
        <w:gridCol w:w="1374"/>
      </w:tblGrid>
      <w:tr>
        <w:trPr>
          <w:trHeight w:val="1644"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27" w:right="22" w:hanging="105"/>
              <w:jc w:val="left"/>
              <w:rPr>
                <w:rFonts w:ascii="宋体" w:hAnsi="宋体" w:cs="宋体" w:eastAsia="宋体" w:hint="default"/>
                <w:sz w:val="21"/>
                <w:szCs w:val="21"/>
              </w:rPr>
            </w:pPr>
            <w:r>
              <w:rPr>
                <w:rFonts w:ascii="宋体" w:hAnsi="宋体" w:cs="宋体" w:eastAsia="宋体" w:hint="default"/>
                <w:sz w:val="21"/>
                <w:szCs w:val="21"/>
              </w:rPr>
              <w:t>子公司 名称</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85" w:right="83"/>
              <w:jc w:val="left"/>
              <w:rPr>
                <w:rFonts w:ascii="宋体" w:hAnsi="宋体" w:cs="宋体" w:eastAsia="宋体" w:hint="default"/>
                <w:sz w:val="21"/>
                <w:szCs w:val="21"/>
              </w:rPr>
            </w:pPr>
            <w:r>
              <w:rPr>
                <w:rFonts w:ascii="宋体" w:hAnsi="宋体" w:cs="宋体" w:eastAsia="宋体" w:hint="default"/>
                <w:sz w:val="21"/>
                <w:szCs w:val="21"/>
              </w:rPr>
              <w:t>股权处 置时点</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3" w:right="20"/>
              <w:jc w:val="left"/>
              <w:rPr>
                <w:rFonts w:ascii="宋体" w:hAnsi="宋体" w:cs="宋体" w:eastAsia="宋体" w:hint="default"/>
                <w:sz w:val="21"/>
                <w:szCs w:val="21"/>
              </w:rPr>
            </w:pPr>
            <w:r>
              <w:rPr>
                <w:rFonts w:ascii="宋体" w:hAnsi="宋体" w:cs="宋体" w:eastAsia="宋体" w:hint="default"/>
                <w:sz w:val="21"/>
                <w:szCs w:val="21"/>
              </w:rPr>
              <w:t>股权处 置价款</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 w:right="20" w:firstLine="21"/>
              <w:jc w:val="left"/>
              <w:rPr>
                <w:rFonts w:ascii="宋体" w:hAnsi="宋体" w:cs="宋体" w:eastAsia="宋体" w:hint="default"/>
                <w:sz w:val="21"/>
                <w:szCs w:val="21"/>
              </w:rPr>
            </w:pPr>
            <w:r>
              <w:rPr>
                <w:rFonts w:ascii="宋体" w:hAnsi="宋体" w:cs="宋体" w:eastAsia="宋体" w:hint="default"/>
                <w:sz w:val="21"/>
                <w:szCs w:val="21"/>
              </w:rPr>
              <w:t>股权处置 比例（%</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74" w:lineRule="exact"/>
              <w:ind w:left="58" w:right="0"/>
              <w:jc w:val="left"/>
              <w:rPr>
                <w:rFonts w:ascii="宋体" w:hAnsi="宋体" w:cs="宋体" w:eastAsia="宋体" w:hint="default"/>
                <w:sz w:val="21"/>
                <w:szCs w:val="21"/>
              </w:rPr>
            </w:pPr>
            <w:r>
              <w:rPr>
                <w:rFonts w:ascii="宋体" w:hAnsi="宋体" w:cs="宋体" w:eastAsia="宋体" w:hint="default"/>
                <w:sz w:val="21"/>
                <w:szCs w:val="21"/>
              </w:rPr>
              <w:t>股权处</w:t>
            </w:r>
          </w:p>
          <w:p>
            <w:pPr>
              <w:pStyle w:val="TableParagraph"/>
              <w:spacing w:line="274" w:lineRule="exact"/>
              <w:ind w:left="-159" w:right="0"/>
              <w:jc w:val="left"/>
              <w:rPr>
                <w:rFonts w:ascii="宋体" w:hAnsi="宋体" w:cs="宋体" w:eastAsia="宋体" w:hint="default"/>
                <w:sz w:val="21"/>
                <w:szCs w:val="21"/>
              </w:rPr>
            </w:pPr>
            <w:r>
              <w:rPr>
                <w:rFonts w:ascii="宋体" w:hAnsi="宋体" w:cs="宋体" w:eastAsia="宋体" w:hint="default"/>
                <w:sz w:val="21"/>
                <w:szCs w:val="21"/>
              </w:rPr>
              <w:t>）置方式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处置价款与处</w:t>
            </w:r>
          </w:p>
          <w:p>
            <w:pPr>
              <w:pStyle w:val="TableParagraph"/>
              <w:spacing w:line="272" w:lineRule="exact" w:before="26"/>
              <w:ind w:left="3" w:right="1"/>
              <w:jc w:val="center"/>
              <w:rPr>
                <w:rFonts w:ascii="宋体" w:hAnsi="宋体" w:cs="宋体" w:eastAsia="宋体" w:hint="default"/>
                <w:sz w:val="21"/>
                <w:szCs w:val="21"/>
              </w:rPr>
            </w:pPr>
            <w:r>
              <w:rPr>
                <w:rFonts w:ascii="宋体" w:hAnsi="宋体" w:cs="宋体" w:eastAsia="宋体" w:hint="default"/>
                <w:sz w:val="21"/>
                <w:szCs w:val="21"/>
              </w:rPr>
              <w:t>置投资对应的 合并财务报表 层面享有该子 公司净资产份 额的差额</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58" w:right="58"/>
              <w:jc w:val="left"/>
              <w:rPr>
                <w:rFonts w:ascii="宋体" w:hAnsi="宋体" w:cs="宋体" w:eastAsia="宋体" w:hint="default"/>
                <w:sz w:val="21"/>
                <w:szCs w:val="21"/>
              </w:rPr>
            </w:pPr>
            <w:r>
              <w:rPr>
                <w:rFonts w:ascii="宋体" w:hAnsi="宋体" w:cs="宋体" w:eastAsia="宋体" w:hint="default"/>
                <w:sz w:val="21"/>
                <w:szCs w:val="21"/>
              </w:rPr>
              <w:t>丧失控制 权的时点</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3" w:right="20"/>
              <w:jc w:val="both"/>
              <w:rPr>
                <w:rFonts w:ascii="宋体" w:hAnsi="宋体" w:cs="宋体" w:eastAsia="宋体" w:hint="default"/>
                <w:sz w:val="21"/>
                <w:szCs w:val="21"/>
              </w:rPr>
            </w:pPr>
            <w:r>
              <w:rPr>
                <w:rFonts w:ascii="宋体" w:hAnsi="宋体" w:cs="宋体" w:eastAsia="宋体" w:hint="default"/>
                <w:sz w:val="21"/>
                <w:szCs w:val="21"/>
              </w:rPr>
              <w:t>丧失控 制权时 点的确 定依据</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1" w:right="90"/>
              <w:jc w:val="center"/>
              <w:rPr>
                <w:rFonts w:ascii="宋体" w:hAnsi="宋体" w:cs="宋体" w:eastAsia="宋体" w:hint="default"/>
                <w:sz w:val="21"/>
                <w:szCs w:val="21"/>
              </w:rPr>
            </w:pPr>
            <w:r>
              <w:rPr>
                <w:rFonts w:ascii="宋体" w:hAnsi="宋体" w:cs="宋体" w:eastAsia="宋体" w:hint="default"/>
                <w:sz w:val="21"/>
                <w:szCs w:val="21"/>
              </w:rPr>
              <w:t>丧失控制 权之日剩 余股权的 比例</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49" w:right="47"/>
              <w:jc w:val="center"/>
              <w:rPr>
                <w:rFonts w:ascii="宋体" w:hAnsi="宋体" w:cs="宋体" w:eastAsia="宋体" w:hint="default"/>
                <w:sz w:val="21"/>
                <w:szCs w:val="21"/>
              </w:rPr>
            </w:pPr>
            <w:r>
              <w:rPr>
                <w:rFonts w:ascii="宋体" w:hAnsi="宋体" w:cs="宋体" w:eastAsia="宋体" w:hint="default"/>
                <w:sz w:val="21"/>
                <w:szCs w:val="21"/>
              </w:rPr>
              <w:t>丧失控制权 之日剩余股 权的账面价 值</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8" w:right="37"/>
              <w:jc w:val="center"/>
              <w:rPr>
                <w:rFonts w:ascii="宋体" w:hAnsi="宋体" w:cs="宋体" w:eastAsia="宋体" w:hint="default"/>
                <w:sz w:val="21"/>
                <w:szCs w:val="21"/>
              </w:rPr>
            </w:pPr>
            <w:r>
              <w:rPr>
                <w:rFonts w:ascii="宋体" w:hAnsi="宋体" w:cs="宋体" w:eastAsia="宋体" w:hint="default"/>
                <w:sz w:val="21"/>
                <w:szCs w:val="21"/>
              </w:rPr>
              <w:t>丧失控制权 之日剩余股 权的公允价 值</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按照公允</w:t>
            </w:r>
          </w:p>
          <w:p>
            <w:pPr>
              <w:pStyle w:val="TableParagraph"/>
              <w:spacing w:line="272" w:lineRule="exact" w:before="26"/>
              <w:ind w:left="76" w:right="77"/>
              <w:jc w:val="center"/>
              <w:rPr>
                <w:rFonts w:ascii="宋体" w:hAnsi="宋体" w:cs="宋体" w:eastAsia="宋体" w:hint="default"/>
                <w:sz w:val="21"/>
                <w:szCs w:val="21"/>
              </w:rPr>
            </w:pPr>
            <w:r>
              <w:rPr>
                <w:rFonts w:ascii="宋体" w:hAnsi="宋体" w:cs="宋体" w:eastAsia="宋体" w:hint="default"/>
                <w:sz w:val="21"/>
                <w:szCs w:val="21"/>
              </w:rPr>
              <w:t>价值重新 计量剩余 股权产生 的利得或 损失</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68" w:right="67"/>
              <w:jc w:val="center"/>
              <w:rPr>
                <w:rFonts w:ascii="宋体" w:hAnsi="宋体" w:cs="宋体" w:eastAsia="宋体" w:hint="default"/>
                <w:sz w:val="21"/>
                <w:szCs w:val="21"/>
              </w:rPr>
            </w:pPr>
            <w:r>
              <w:rPr>
                <w:rFonts w:ascii="宋体" w:hAnsi="宋体" w:cs="宋体" w:eastAsia="宋体" w:hint="default"/>
                <w:sz w:val="21"/>
                <w:szCs w:val="21"/>
              </w:rPr>
              <w:t>丧失控制权之 日剩余股权公 允价值的确定 方法及主要假 设</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51" w:right="50"/>
              <w:jc w:val="center"/>
              <w:rPr>
                <w:rFonts w:ascii="宋体" w:hAnsi="宋体" w:cs="宋体" w:eastAsia="宋体" w:hint="default"/>
                <w:sz w:val="21"/>
                <w:szCs w:val="21"/>
              </w:rPr>
            </w:pPr>
            <w:r>
              <w:rPr>
                <w:rFonts w:ascii="宋体" w:hAnsi="宋体" w:cs="宋体" w:eastAsia="宋体" w:hint="default"/>
                <w:sz w:val="21"/>
                <w:szCs w:val="21"/>
              </w:rPr>
              <w:t>与原子公司股 权投资相关的 其他综合收益 转入投资损益 的金额</w:t>
            </w:r>
          </w:p>
        </w:tc>
      </w:tr>
      <w:tr>
        <w:trPr>
          <w:trHeight w:val="252" w:hRule="exact"/>
        </w:trPr>
        <w:tc>
          <w:tcPr>
            <w:tcW w:w="686"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686"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40" w:lineRule="auto" w:before="35"/>
        <w:ind w:left="139" w:right="6001"/>
        <w:jc w:val="left"/>
      </w:pPr>
      <w:r>
        <w:rPr/>
        <w:t>分步处置股权至丧失控制权过程中的各项交易不构成一揽子交易的原因：</w:t>
      </w:r>
    </w:p>
    <w:p>
      <w:pPr>
        <w:spacing w:line="240" w:lineRule="auto" w:before="12"/>
        <w:rPr>
          <w:rFonts w:ascii="宋体" w:hAnsi="宋体" w:cs="宋体" w:eastAsia="宋体" w:hint="default"/>
          <w:sz w:val="20"/>
          <w:szCs w:val="20"/>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left="139" w:right="6001"/>
        <w:jc w:val="left"/>
      </w:pPr>
      <w:r>
        <w:rPr/>
        <w:t>其他说明：</w:t>
      </w:r>
    </w:p>
    <w:p>
      <w:pPr>
        <w:spacing w:line="240" w:lineRule="auto" w:before="12"/>
        <w:rPr>
          <w:rFonts w:ascii="宋体" w:hAnsi="宋体" w:cs="宋体" w:eastAsia="宋体" w:hint="default"/>
          <w:sz w:val="20"/>
          <w:szCs w:val="20"/>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9"/>
          <w:szCs w:val="19"/>
        </w:rPr>
      </w:pPr>
    </w:p>
    <w:p>
      <w:pPr>
        <w:spacing w:line="290" w:lineRule="auto" w:before="35"/>
        <w:ind w:left="139" w:right="600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pacing w:val="-4"/>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99"/>
          <w:sz w:val="21"/>
          <w:szCs w:val="21"/>
        </w:rPr>
        <w:t> </w:t>
      </w:r>
      <w:r>
        <w:rPr>
          <w:rFonts w:ascii="宋体" w:hAnsi="宋体" w:cs="宋体" w:eastAsia="宋体" w:hint="default"/>
          <w:sz w:val="21"/>
          <w:szCs w:val="21"/>
        </w:rPr>
        <w:t>说明其他原因导致的合并范围变动（如，新设子公司、清算子公司等）及其相关情况：</w:t>
      </w:r>
    </w:p>
    <w:p>
      <w:pPr>
        <w:spacing w:line="240" w:lineRule="auto" w:before="10"/>
        <w:rPr>
          <w:rFonts w:ascii="宋体" w:hAnsi="宋体" w:cs="宋体" w:eastAsia="宋体" w:hint="default"/>
          <w:sz w:val="16"/>
          <w:szCs w:val="16"/>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a">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9"/>
          <w:szCs w:val="19"/>
        </w:rPr>
      </w:pPr>
    </w:p>
    <w:p>
      <w:pPr>
        <w:pStyle w:val="Heading3"/>
        <w:spacing w:line="240" w:lineRule="auto"/>
        <w:ind w:left="139" w:right="6001"/>
        <w:jc w:val="left"/>
        <w:rPr>
          <w:b w:val="0"/>
          <w:bCs w:val="0"/>
        </w:rPr>
      </w:pPr>
      <w:r>
        <w:rPr/>
        <w:t>6、</w:t>
      </w:r>
      <w:r>
        <w:rPr>
          <w:spacing w:val="-4"/>
        </w:rPr>
        <w:t> </w:t>
      </w:r>
      <w:r>
        <w:rPr/>
        <w:t>其他</w:t>
      </w:r>
      <w:r>
        <w:rPr>
          <w:b w:val="0"/>
          <w:bCs w:val="0"/>
        </w:rPr>
      </w:r>
    </w:p>
    <w:p>
      <w:pPr>
        <w:spacing w:line="240" w:lineRule="auto" w:before="9"/>
        <w:rPr>
          <w:rFonts w:ascii="宋体" w:hAnsi="宋体" w:cs="宋体" w:eastAsia="宋体" w:hint="default"/>
          <w:b/>
          <w:bCs/>
          <w:sz w:val="24"/>
          <w:szCs w:val="24"/>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6840" w:h="11910" w:orient="landscape"/>
          <w:pgMar w:top="1080" w:bottom="1380" w:left="1300" w:right="14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tabs>
          <w:tab w:pos="861" w:val="left" w:leader="none"/>
        </w:tabs>
        <w:spacing w:line="290" w:lineRule="auto" w:before="174"/>
        <w:ind w:right="6741"/>
        <w:jc w:val="left"/>
        <w:rPr>
          <w:b w:val="0"/>
          <w:bCs w:val="0"/>
        </w:rPr>
      </w:pPr>
      <w:r>
        <w:rPr/>
        <w:t>七、在其他主体中的权益</w:t>
      </w:r>
      <w:r>
        <w:rPr>
          <w:spacing w:val="1"/>
          <w:w w:val="99"/>
        </w:rPr>
        <w:t> </w:t>
      </w:r>
      <w:r>
        <w:rPr/>
        <w:t>1、</w:t>
      </w:r>
      <w:r>
        <w:rPr>
          <w:spacing w:val="-4"/>
        </w:rPr>
        <w:t> </w:t>
      </w:r>
      <w:r>
        <w:rPr/>
        <w:t>在子公司中的权益</w:t>
      </w:r>
      <w:r>
        <w:rPr>
          <w:spacing w:val="1"/>
          <w:w w:val="99"/>
        </w:rPr>
        <w:t> </w:t>
      </w:r>
      <w:r>
        <w:rPr>
          <w:w w:val="95"/>
        </w:rPr>
        <w:t>(1).</w:t>
        <w:tab/>
      </w:r>
      <w:r>
        <w:rPr/>
        <w:t>企业集团的构成</w:t>
      </w:r>
      <w:r>
        <w:rPr>
          <w:b w:val="0"/>
          <w:bCs w:val="0"/>
        </w:rPr>
      </w:r>
    </w:p>
    <w:p>
      <w:pPr>
        <w:spacing w:line="240" w:lineRule="auto" w:before="9"/>
        <w:rPr>
          <w:rFonts w:ascii="宋体" w:hAnsi="宋体" w:cs="宋体" w:eastAsia="宋体" w:hint="default"/>
          <w:b/>
          <w:bCs/>
          <w:sz w:val="3"/>
          <w:szCs w:val="3"/>
        </w:rPr>
      </w:pPr>
    </w:p>
    <w:tbl>
      <w:tblPr>
        <w:tblW w:w="0" w:type="auto"/>
        <w:jc w:val="left"/>
        <w:tblInd w:w="104" w:type="dxa"/>
        <w:tblLayout w:type="fixed"/>
        <w:tblCellMar>
          <w:top w:w="0" w:type="dxa"/>
          <w:left w:w="0" w:type="dxa"/>
          <w:bottom w:w="0" w:type="dxa"/>
          <w:right w:w="0" w:type="dxa"/>
        </w:tblCellMar>
        <w:tblLook w:val="01E0"/>
      </w:tblPr>
      <w:tblGrid>
        <w:gridCol w:w="1199"/>
        <w:gridCol w:w="1289"/>
        <w:gridCol w:w="1271"/>
        <w:gridCol w:w="1300"/>
        <w:gridCol w:w="1288"/>
        <w:gridCol w:w="1286"/>
        <w:gridCol w:w="1417"/>
      </w:tblGrid>
      <w:tr>
        <w:trPr>
          <w:trHeight w:val="284" w:hRule="exact"/>
        </w:trPr>
        <w:tc>
          <w:tcPr>
            <w:tcW w:w="1199" w:type="dxa"/>
            <w:vMerge w:val="restart"/>
            <w:tcBorders>
              <w:top w:val="single" w:sz="4" w:space="0" w:color="000000"/>
              <w:left w:val="single" w:sz="4" w:space="0" w:color="000000"/>
              <w:right w:val="single" w:sz="6" w:space="0" w:color="000000"/>
            </w:tcBorders>
          </w:tcPr>
          <w:p>
            <w:pPr>
              <w:pStyle w:val="TableParagraph"/>
              <w:spacing w:line="272" w:lineRule="exact" w:before="3"/>
              <w:ind w:left="383" w:right="275" w:hanging="105"/>
              <w:jc w:val="left"/>
              <w:rPr>
                <w:rFonts w:ascii="宋体" w:hAnsi="宋体" w:cs="宋体" w:eastAsia="宋体" w:hint="default"/>
                <w:sz w:val="21"/>
                <w:szCs w:val="21"/>
              </w:rPr>
            </w:pPr>
            <w:r>
              <w:rPr>
                <w:rFonts w:ascii="宋体" w:hAnsi="宋体" w:cs="宋体" w:eastAsia="宋体" w:hint="default"/>
                <w:sz w:val="21"/>
                <w:szCs w:val="21"/>
              </w:rPr>
              <w:t>子公司 名称</w:t>
            </w:r>
          </w:p>
        </w:tc>
        <w:tc>
          <w:tcPr>
            <w:tcW w:w="1289" w:type="dxa"/>
            <w:vMerge w:val="restart"/>
            <w:tcBorders>
              <w:top w:val="single" w:sz="4" w:space="0" w:color="000000"/>
              <w:left w:val="single" w:sz="6" w:space="0" w:color="000000"/>
              <w:right w:val="single" w:sz="6" w:space="0" w:color="000000"/>
            </w:tcBorders>
          </w:tcPr>
          <w:p>
            <w:pPr>
              <w:pStyle w:val="TableParagraph"/>
              <w:spacing w:line="240" w:lineRule="auto" w:before="111"/>
              <w:ind w:left="111"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71" w:type="dxa"/>
            <w:vMerge w:val="restart"/>
            <w:tcBorders>
              <w:top w:val="single" w:sz="4" w:space="0" w:color="000000"/>
              <w:left w:val="single" w:sz="6" w:space="0" w:color="000000"/>
              <w:right w:val="single" w:sz="6" w:space="0" w:color="000000"/>
            </w:tcBorders>
          </w:tcPr>
          <w:p>
            <w:pPr>
              <w:pStyle w:val="TableParagraph"/>
              <w:spacing w:line="240" w:lineRule="auto" w:before="111"/>
              <w:ind w:left="311"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0" w:type="dxa"/>
            <w:vMerge w:val="restart"/>
            <w:tcBorders>
              <w:top w:val="single" w:sz="4" w:space="0" w:color="000000"/>
              <w:left w:val="single" w:sz="6" w:space="0" w:color="000000"/>
              <w:right w:val="single" w:sz="6" w:space="0" w:color="000000"/>
            </w:tcBorders>
          </w:tcPr>
          <w:p>
            <w:pPr>
              <w:pStyle w:val="TableParagraph"/>
              <w:spacing w:line="240" w:lineRule="auto" w:before="111"/>
              <w:ind w:left="220"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574"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702"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417" w:type="dxa"/>
            <w:vMerge w:val="restart"/>
            <w:tcBorders>
              <w:top w:val="single" w:sz="4" w:space="0" w:color="000000"/>
              <w:left w:val="single" w:sz="6" w:space="0" w:color="000000"/>
              <w:right w:val="single" w:sz="4" w:space="0" w:color="000000"/>
            </w:tcBorders>
          </w:tcPr>
          <w:p>
            <w:pPr>
              <w:pStyle w:val="TableParagraph"/>
              <w:spacing w:line="272" w:lineRule="exact" w:before="3"/>
              <w:ind w:left="490" w:right="492"/>
              <w:jc w:val="center"/>
              <w:rPr>
                <w:rFonts w:ascii="宋体" w:hAnsi="宋体" w:cs="宋体" w:eastAsia="宋体" w:hint="default"/>
                <w:sz w:val="21"/>
                <w:szCs w:val="21"/>
              </w:rPr>
            </w:pPr>
            <w:r>
              <w:rPr>
                <w:rFonts w:ascii="宋体" w:hAnsi="宋体" w:cs="宋体" w:eastAsia="宋体" w:hint="default"/>
                <w:sz w:val="21"/>
                <w:szCs w:val="21"/>
              </w:rPr>
              <w:t>取得 方式</w:t>
            </w:r>
          </w:p>
        </w:tc>
      </w:tr>
      <w:tr>
        <w:trPr>
          <w:trHeight w:val="293" w:hRule="exact"/>
        </w:trPr>
        <w:tc>
          <w:tcPr>
            <w:tcW w:w="1199" w:type="dxa"/>
            <w:vMerge/>
            <w:tcBorders>
              <w:left w:val="single" w:sz="4" w:space="0" w:color="000000"/>
              <w:bottom w:val="single" w:sz="6" w:space="0" w:color="000000"/>
              <w:right w:val="single" w:sz="6" w:space="0" w:color="000000"/>
            </w:tcBorders>
          </w:tcPr>
          <w:p>
            <w:pPr/>
          </w:p>
        </w:tc>
        <w:tc>
          <w:tcPr>
            <w:tcW w:w="1289" w:type="dxa"/>
            <w:vMerge/>
            <w:tcBorders>
              <w:left w:val="single" w:sz="6" w:space="0" w:color="000000"/>
              <w:bottom w:val="single" w:sz="6" w:space="0" w:color="000000"/>
              <w:right w:val="single" w:sz="6" w:space="0" w:color="000000"/>
            </w:tcBorders>
          </w:tcPr>
          <w:p>
            <w:pPr/>
          </w:p>
        </w:tc>
        <w:tc>
          <w:tcPr>
            <w:tcW w:w="1271" w:type="dxa"/>
            <w:vMerge/>
            <w:tcBorders>
              <w:left w:val="single" w:sz="6" w:space="0" w:color="000000"/>
              <w:bottom w:val="single" w:sz="6" w:space="0" w:color="000000"/>
              <w:right w:val="single" w:sz="6" w:space="0" w:color="000000"/>
            </w:tcBorders>
          </w:tcPr>
          <w:p>
            <w:pPr/>
          </w:p>
        </w:tc>
        <w:tc>
          <w:tcPr>
            <w:tcW w:w="1300" w:type="dxa"/>
            <w:vMerge/>
            <w:tcBorders>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26"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417" w:type="dxa"/>
            <w:vMerge/>
            <w:tcBorders>
              <w:left w:val="single" w:sz="6" w:space="0" w:color="000000"/>
              <w:bottom w:val="single" w:sz="6" w:space="0" w:color="000000"/>
              <w:right w:val="single" w:sz="4" w:space="0" w:color="000000"/>
            </w:tcBorders>
          </w:tcPr>
          <w:p>
            <w:pPr/>
          </w:p>
        </w:tc>
      </w:tr>
      <w:tr>
        <w:trPr>
          <w:trHeight w:val="279" w:hRule="exact"/>
        </w:trPr>
        <w:tc>
          <w:tcPr>
            <w:tcW w:w="1199" w:type="dxa"/>
            <w:tcBorders>
              <w:top w:val="single" w:sz="6" w:space="0" w:color="000000"/>
              <w:left w:val="single" w:sz="4" w:space="0" w:color="000000"/>
              <w:bottom w:val="nil" w:sz="6" w:space="0" w:color="auto"/>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w:t>
            </w:r>
          </w:p>
        </w:tc>
        <w:tc>
          <w:tcPr>
            <w:tcW w:w="1289" w:type="dxa"/>
            <w:tcBorders>
              <w:top w:val="single" w:sz="6" w:space="0" w:color="000000"/>
              <w:left w:val="single" w:sz="6" w:space="0" w:color="000000"/>
              <w:bottom w:val="nil" w:sz="6" w:space="0" w:color="auto"/>
              <w:right w:val="single" w:sz="6" w:space="0" w:color="000000"/>
            </w:tcBorders>
          </w:tcPr>
          <w:p>
            <w:pPr/>
          </w:p>
        </w:tc>
        <w:tc>
          <w:tcPr>
            <w:tcW w:w="1271" w:type="dxa"/>
            <w:tcBorders>
              <w:top w:val="single" w:sz="6" w:space="0" w:color="000000"/>
              <w:left w:val="single" w:sz="6" w:space="0" w:color="000000"/>
              <w:bottom w:val="nil" w:sz="6" w:space="0" w:color="auto"/>
              <w:right w:val="single" w:sz="6" w:space="0" w:color="000000"/>
            </w:tcBorders>
          </w:tcPr>
          <w:p>
            <w:pPr/>
          </w:p>
        </w:tc>
        <w:tc>
          <w:tcPr>
            <w:tcW w:w="1300" w:type="dxa"/>
            <w:tcBorders>
              <w:top w:val="single" w:sz="6" w:space="0" w:color="000000"/>
              <w:left w:val="single" w:sz="6" w:space="0" w:color="000000"/>
              <w:bottom w:val="nil" w:sz="6" w:space="0" w:color="auto"/>
              <w:right w:val="single" w:sz="6" w:space="0" w:color="000000"/>
            </w:tcBorders>
          </w:tcPr>
          <w:p>
            <w:pPr/>
          </w:p>
        </w:tc>
        <w:tc>
          <w:tcPr>
            <w:tcW w:w="1288" w:type="dxa"/>
            <w:tcBorders>
              <w:top w:val="single" w:sz="6" w:space="0" w:color="000000"/>
              <w:left w:val="single" w:sz="6" w:space="0" w:color="000000"/>
              <w:bottom w:val="nil" w:sz="6" w:space="0" w:color="auto"/>
              <w:right w:val="single" w:sz="6" w:space="0" w:color="000000"/>
            </w:tcBorders>
          </w:tcPr>
          <w:p>
            <w:pPr/>
          </w:p>
        </w:tc>
        <w:tc>
          <w:tcPr>
            <w:tcW w:w="1286" w:type="dxa"/>
            <w:vMerge w:val="restart"/>
            <w:tcBorders>
              <w:top w:val="single" w:sz="6" w:space="0" w:color="000000"/>
              <w:left w:val="single" w:sz="6" w:space="0" w:color="000000"/>
              <w:right w:val="single" w:sz="6" w:space="0" w:color="000000"/>
            </w:tcBorders>
          </w:tcPr>
          <w:p>
            <w:pPr/>
          </w:p>
        </w:tc>
        <w:tc>
          <w:tcPr>
            <w:tcW w:w="1417" w:type="dxa"/>
            <w:tcBorders>
              <w:top w:val="single" w:sz="6" w:space="0" w:color="000000"/>
              <w:left w:val="single" w:sz="6" w:space="0" w:color="000000"/>
              <w:bottom w:val="nil" w:sz="6" w:space="0" w:color="auto"/>
              <w:right w:val="single" w:sz="4" w:space="0" w:color="000000"/>
            </w:tcBorders>
          </w:tcPr>
          <w:p>
            <w:pPr/>
          </w:p>
        </w:tc>
      </w:tr>
      <w:tr>
        <w:trPr>
          <w:trHeight w:val="544" w:hRule="exact"/>
        </w:trPr>
        <w:tc>
          <w:tcPr>
            <w:tcW w:w="1199" w:type="dxa"/>
            <w:tcBorders>
              <w:top w:val="nil" w:sz="6" w:space="0" w:color="auto"/>
              <w:left w:val="single" w:sz="4" w:space="0" w:color="000000"/>
              <w:bottom w:val="nil" w:sz="6" w:space="0" w:color="auto"/>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普生信息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w:t>
            </w:r>
          </w:p>
        </w:tc>
        <w:tc>
          <w:tcPr>
            <w:tcW w:w="128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深圳市</w:t>
            </w:r>
          </w:p>
        </w:tc>
        <w:tc>
          <w:tcPr>
            <w:tcW w:w="127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130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12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53</w:t>
            </w:r>
          </w:p>
        </w:tc>
        <w:tc>
          <w:tcPr>
            <w:tcW w:w="1286" w:type="dxa"/>
            <w:vMerge/>
            <w:tcBorders>
              <w:left w:val="single" w:sz="6" w:space="0" w:color="000000"/>
              <w:right w:val="single" w:sz="6" w:space="0" w:color="000000"/>
            </w:tcBorders>
          </w:tcPr>
          <w:p>
            <w:pPr/>
          </w:p>
        </w:tc>
        <w:tc>
          <w:tcPr>
            <w:tcW w:w="1417" w:type="dxa"/>
            <w:tcBorders>
              <w:top w:val="nil" w:sz="6" w:space="0" w:color="auto"/>
              <w:left w:val="single" w:sz="6" w:space="0" w:color="000000"/>
              <w:bottom w:val="nil" w:sz="6" w:space="0" w:color="auto"/>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1199" w:type="dxa"/>
            <w:tcBorders>
              <w:top w:val="nil" w:sz="6" w:space="0" w:color="auto"/>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89" w:type="dxa"/>
            <w:tcBorders>
              <w:top w:val="nil" w:sz="6" w:space="0" w:color="auto"/>
              <w:left w:val="single" w:sz="6" w:space="0" w:color="000000"/>
              <w:bottom w:val="single" w:sz="6" w:space="0" w:color="000000"/>
              <w:right w:val="single" w:sz="6" w:space="0" w:color="000000"/>
            </w:tcBorders>
          </w:tcPr>
          <w:p>
            <w:pPr/>
          </w:p>
        </w:tc>
        <w:tc>
          <w:tcPr>
            <w:tcW w:w="1271" w:type="dxa"/>
            <w:tcBorders>
              <w:top w:val="nil" w:sz="6" w:space="0" w:color="auto"/>
              <w:left w:val="single" w:sz="6" w:space="0" w:color="000000"/>
              <w:bottom w:val="single" w:sz="6" w:space="0" w:color="000000"/>
              <w:right w:val="single" w:sz="6" w:space="0" w:color="000000"/>
            </w:tcBorders>
          </w:tcPr>
          <w:p>
            <w:pPr/>
          </w:p>
        </w:tc>
        <w:tc>
          <w:tcPr>
            <w:tcW w:w="1300" w:type="dxa"/>
            <w:tcBorders>
              <w:top w:val="nil" w:sz="6" w:space="0" w:color="auto"/>
              <w:left w:val="single" w:sz="6" w:space="0" w:color="000000"/>
              <w:bottom w:val="single" w:sz="6" w:space="0" w:color="000000"/>
              <w:right w:val="single" w:sz="6" w:space="0" w:color="000000"/>
            </w:tcBorders>
          </w:tcPr>
          <w:p>
            <w:pPr/>
          </w:p>
        </w:tc>
        <w:tc>
          <w:tcPr>
            <w:tcW w:w="1288" w:type="dxa"/>
            <w:tcBorders>
              <w:top w:val="nil" w:sz="6" w:space="0" w:color="auto"/>
              <w:left w:val="single" w:sz="6" w:space="0" w:color="000000"/>
              <w:bottom w:val="single" w:sz="6" w:space="0" w:color="000000"/>
              <w:right w:val="single" w:sz="6" w:space="0" w:color="000000"/>
            </w:tcBorders>
          </w:tcPr>
          <w:p>
            <w:pPr/>
          </w:p>
        </w:tc>
        <w:tc>
          <w:tcPr>
            <w:tcW w:w="1286" w:type="dxa"/>
            <w:vMerge/>
            <w:tcBorders>
              <w:left w:val="single" w:sz="6" w:space="0" w:color="000000"/>
              <w:bottom w:val="single" w:sz="6" w:space="0" w:color="000000"/>
              <w:right w:val="single" w:sz="6" w:space="0" w:color="000000"/>
            </w:tcBorders>
          </w:tcPr>
          <w:p>
            <w:pPr/>
          </w:p>
        </w:tc>
        <w:tc>
          <w:tcPr>
            <w:tcW w:w="1417" w:type="dxa"/>
            <w:tcBorders>
              <w:top w:val="nil" w:sz="6" w:space="0" w:color="auto"/>
              <w:left w:val="single" w:sz="6" w:space="0" w:color="000000"/>
              <w:bottom w:val="single" w:sz="6" w:space="0" w:color="000000"/>
              <w:right w:val="single" w:sz="4" w:space="0" w:color="000000"/>
            </w:tcBorders>
          </w:tcPr>
          <w:p>
            <w:pPr/>
          </w:p>
        </w:tc>
      </w:tr>
      <w:tr>
        <w:trPr>
          <w:trHeight w:val="279" w:hRule="exact"/>
        </w:trPr>
        <w:tc>
          <w:tcPr>
            <w:tcW w:w="1199" w:type="dxa"/>
            <w:tcBorders>
              <w:top w:val="single" w:sz="6" w:space="0" w:color="000000"/>
              <w:left w:val="single" w:sz="4" w:space="0" w:color="000000"/>
              <w:bottom w:val="nil" w:sz="6" w:space="0" w:color="auto"/>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w:t>
            </w:r>
          </w:p>
        </w:tc>
        <w:tc>
          <w:tcPr>
            <w:tcW w:w="1289" w:type="dxa"/>
            <w:tcBorders>
              <w:top w:val="single" w:sz="6" w:space="0" w:color="000000"/>
              <w:left w:val="single" w:sz="6" w:space="0" w:color="000000"/>
              <w:bottom w:val="nil" w:sz="6" w:space="0" w:color="auto"/>
              <w:right w:val="single" w:sz="6" w:space="0" w:color="000000"/>
            </w:tcBorders>
          </w:tcPr>
          <w:p>
            <w:pPr/>
          </w:p>
        </w:tc>
        <w:tc>
          <w:tcPr>
            <w:tcW w:w="1271" w:type="dxa"/>
            <w:tcBorders>
              <w:top w:val="single" w:sz="6" w:space="0" w:color="000000"/>
              <w:left w:val="single" w:sz="6" w:space="0" w:color="000000"/>
              <w:bottom w:val="nil" w:sz="6" w:space="0" w:color="auto"/>
              <w:right w:val="single" w:sz="6" w:space="0" w:color="000000"/>
            </w:tcBorders>
          </w:tcPr>
          <w:p>
            <w:pPr/>
          </w:p>
        </w:tc>
        <w:tc>
          <w:tcPr>
            <w:tcW w:w="1300" w:type="dxa"/>
            <w:tcBorders>
              <w:top w:val="single" w:sz="6" w:space="0" w:color="000000"/>
              <w:left w:val="single" w:sz="6" w:space="0" w:color="000000"/>
              <w:bottom w:val="nil" w:sz="6" w:space="0" w:color="auto"/>
              <w:right w:val="single" w:sz="6" w:space="0" w:color="000000"/>
            </w:tcBorders>
          </w:tcPr>
          <w:p>
            <w:pPr/>
          </w:p>
        </w:tc>
        <w:tc>
          <w:tcPr>
            <w:tcW w:w="1288" w:type="dxa"/>
            <w:tcBorders>
              <w:top w:val="single" w:sz="6" w:space="0" w:color="000000"/>
              <w:left w:val="single" w:sz="6" w:space="0" w:color="000000"/>
              <w:bottom w:val="nil" w:sz="6" w:space="0" w:color="auto"/>
              <w:right w:val="single" w:sz="6" w:space="0" w:color="000000"/>
            </w:tcBorders>
          </w:tcPr>
          <w:p>
            <w:pPr/>
          </w:p>
        </w:tc>
        <w:tc>
          <w:tcPr>
            <w:tcW w:w="1286" w:type="dxa"/>
            <w:vMerge w:val="restart"/>
            <w:tcBorders>
              <w:top w:val="single" w:sz="6" w:space="0" w:color="000000"/>
              <w:left w:val="single" w:sz="6" w:space="0" w:color="000000"/>
              <w:right w:val="single" w:sz="6" w:space="0" w:color="000000"/>
            </w:tcBorders>
          </w:tcPr>
          <w:p>
            <w:pPr/>
          </w:p>
        </w:tc>
        <w:tc>
          <w:tcPr>
            <w:tcW w:w="1417" w:type="dxa"/>
            <w:tcBorders>
              <w:top w:val="single" w:sz="6" w:space="0" w:color="000000"/>
              <w:left w:val="single" w:sz="6" w:space="0" w:color="000000"/>
              <w:bottom w:val="nil" w:sz="6" w:space="0" w:color="auto"/>
              <w:right w:val="single" w:sz="4" w:space="0" w:color="000000"/>
            </w:tcBorders>
          </w:tcPr>
          <w:p>
            <w:pPr/>
          </w:p>
        </w:tc>
      </w:tr>
      <w:tr>
        <w:trPr>
          <w:trHeight w:val="545" w:hRule="exact"/>
        </w:trPr>
        <w:tc>
          <w:tcPr>
            <w:tcW w:w="1199" w:type="dxa"/>
            <w:tcBorders>
              <w:top w:val="nil" w:sz="6" w:space="0" w:color="auto"/>
              <w:left w:val="single" w:sz="4" w:space="0" w:color="000000"/>
              <w:bottom w:val="nil" w:sz="6" w:space="0" w:color="auto"/>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证软银科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w:t>
            </w:r>
          </w:p>
        </w:tc>
        <w:tc>
          <w:tcPr>
            <w:tcW w:w="128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深圳市</w:t>
            </w:r>
          </w:p>
        </w:tc>
        <w:tc>
          <w:tcPr>
            <w:tcW w:w="127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130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12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478" w:right="0"/>
              <w:jc w:val="left"/>
              <w:rPr>
                <w:rFonts w:ascii="宋体" w:hAnsi="宋体" w:cs="宋体" w:eastAsia="宋体" w:hint="default"/>
                <w:sz w:val="21"/>
                <w:szCs w:val="21"/>
              </w:rPr>
            </w:pPr>
            <w:r>
              <w:rPr>
                <w:rFonts w:ascii="宋体"/>
                <w:sz w:val="21"/>
              </w:rPr>
              <w:t>100</w:t>
            </w:r>
          </w:p>
        </w:tc>
        <w:tc>
          <w:tcPr>
            <w:tcW w:w="1286" w:type="dxa"/>
            <w:vMerge/>
            <w:tcBorders>
              <w:left w:val="single" w:sz="6" w:space="0" w:color="000000"/>
              <w:right w:val="single" w:sz="6" w:space="0" w:color="000000"/>
            </w:tcBorders>
          </w:tcPr>
          <w:p>
            <w:pPr/>
          </w:p>
        </w:tc>
        <w:tc>
          <w:tcPr>
            <w:tcW w:w="1417" w:type="dxa"/>
            <w:tcBorders>
              <w:top w:val="nil" w:sz="6" w:space="0" w:color="auto"/>
              <w:left w:val="single" w:sz="6" w:space="0" w:color="000000"/>
              <w:bottom w:val="nil" w:sz="6" w:space="0" w:color="auto"/>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1199" w:type="dxa"/>
            <w:tcBorders>
              <w:top w:val="nil" w:sz="6" w:space="0" w:color="auto"/>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289" w:type="dxa"/>
            <w:tcBorders>
              <w:top w:val="nil" w:sz="6" w:space="0" w:color="auto"/>
              <w:left w:val="single" w:sz="6" w:space="0" w:color="000000"/>
              <w:bottom w:val="single" w:sz="6" w:space="0" w:color="000000"/>
              <w:right w:val="single" w:sz="6" w:space="0" w:color="000000"/>
            </w:tcBorders>
          </w:tcPr>
          <w:p>
            <w:pPr/>
          </w:p>
        </w:tc>
        <w:tc>
          <w:tcPr>
            <w:tcW w:w="1271" w:type="dxa"/>
            <w:tcBorders>
              <w:top w:val="nil" w:sz="6" w:space="0" w:color="auto"/>
              <w:left w:val="single" w:sz="6" w:space="0" w:color="000000"/>
              <w:bottom w:val="single" w:sz="6" w:space="0" w:color="000000"/>
              <w:right w:val="single" w:sz="6" w:space="0" w:color="000000"/>
            </w:tcBorders>
          </w:tcPr>
          <w:p>
            <w:pPr/>
          </w:p>
        </w:tc>
        <w:tc>
          <w:tcPr>
            <w:tcW w:w="1300" w:type="dxa"/>
            <w:tcBorders>
              <w:top w:val="nil" w:sz="6" w:space="0" w:color="auto"/>
              <w:left w:val="single" w:sz="6" w:space="0" w:color="000000"/>
              <w:bottom w:val="single" w:sz="6" w:space="0" w:color="000000"/>
              <w:right w:val="single" w:sz="6" w:space="0" w:color="000000"/>
            </w:tcBorders>
          </w:tcPr>
          <w:p>
            <w:pPr/>
          </w:p>
        </w:tc>
        <w:tc>
          <w:tcPr>
            <w:tcW w:w="1288" w:type="dxa"/>
            <w:tcBorders>
              <w:top w:val="nil" w:sz="6" w:space="0" w:color="auto"/>
              <w:left w:val="single" w:sz="6" w:space="0" w:color="000000"/>
              <w:bottom w:val="single" w:sz="6" w:space="0" w:color="000000"/>
              <w:right w:val="single" w:sz="6" w:space="0" w:color="000000"/>
            </w:tcBorders>
          </w:tcPr>
          <w:p>
            <w:pPr/>
          </w:p>
        </w:tc>
        <w:tc>
          <w:tcPr>
            <w:tcW w:w="1286" w:type="dxa"/>
            <w:vMerge/>
            <w:tcBorders>
              <w:left w:val="single" w:sz="6" w:space="0" w:color="000000"/>
              <w:bottom w:val="single" w:sz="6" w:space="0" w:color="000000"/>
              <w:right w:val="single" w:sz="6" w:space="0" w:color="000000"/>
            </w:tcBorders>
          </w:tcPr>
          <w:p>
            <w:pPr/>
          </w:p>
        </w:tc>
        <w:tc>
          <w:tcPr>
            <w:tcW w:w="1417" w:type="dxa"/>
            <w:tcBorders>
              <w:top w:val="nil" w:sz="6" w:space="0" w:color="auto"/>
              <w:left w:val="single" w:sz="6" w:space="0" w:color="000000"/>
              <w:bottom w:val="single" w:sz="6" w:space="0" w:color="000000"/>
              <w:right w:val="single" w:sz="4" w:space="0" w:color="000000"/>
            </w:tcBorders>
          </w:tcPr>
          <w:p>
            <w:pPr/>
          </w:p>
        </w:tc>
      </w:tr>
      <w:tr>
        <w:trPr>
          <w:trHeight w:val="278" w:hRule="exact"/>
        </w:trPr>
        <w:tc>
          <w:tcPr>
            <w:tcW w:w="1199" w:type="dxa"/>
            <w:tcBorders>
              <w:top w:val="single" w:sz="6" w:space="0" w:color="000000"/>
              <w:left w:val="single" w:sz="4" w:space="0" w:color="000000"/>
              <w:bottom w:val="nil" w:sz="6" w:space="0" w:color="auto"/>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上海金证</w:t>
            </w:r>
          </w:p>
        </w:tc>
        <w:tc>
          <w:tcPr>
            <w:tcW w:w="1289" w:type="dxa"/>
            <w:tcBorders>
              <w:top w:val="single" w:sz="6" w:space="0" w:color="000000"/>
              <w:left w:val="single" w:sz="6" w:space="0" w:color="000000"/>
              <w:bottom w:val="nil" w:sz="6" w:space="0" w:color="auto"/>
              <w:right w:val="single" w:sz="6" w:space="0" w:color="000000"/>
            </w:tcBorders>
          </w:tcPr>
          <w:p>
            <w:pPr/>
          </w:p>
        </w:tc>
        <w:tc>
          <w:tcPr>
            <w:tcW w:w="1271" w:type="dxa"/>
            <w:tcBorders>
              <w:top w:val="single" w:sz="6" w:space="0" w:color="000000"/>
              <w:left w:val="single" w:sz="6" w:space="0" w:color="000000"/>
              <w:bottom w:val="nil" w:sz="6" w:space="0" w:color="auto"/>
              <w:right w:val="single" w:sz="6" w:space="0" w:color="000000"/>
            </w:tcBorders>
          </w:tcPr>
          <w:p>
            <w:pPr/>
          </w:p>
        </w:tc>
        <w:tc>
          <w:tcPr>
            <w:tcW w:w="1300" w:type="dxa"/>
            <w:tcBorders>
              <w:top w:val="single" w:sz="6" w:space="0" w:color="000000"/>
              <w:left w:val="single" w:sz="6" w:space="0" w:color="000000"/>
              <w:bottom w:val="nil" w:sz="6" w:space="0" w:color="auto"/>
              <w:right w:val="single" w:sz="6" w:space="0" w:color="000000"/>
            </w:tcBorders>
          </w:tcPr>
          <w:p>
            <w:pPr/>
          </w:p>
        </w:tc>
        <w:tc>
          <w:tcPr>
            <w:tcW w:w="1288" w:type="dxa"/>
            <w:tcBorders>
              <w:top w:val="single" w:sz="6" w:space="0" w:color="000000"/>
              <w:left w:val="single" w:sz="6" w:space="0" w:color="000000"/>
              <w:bottom w:val="nil" w:sz="6" w:space="0" w:color="auto"/>
              <w:right w:val="single" w:sz="6" w:space="0" w:color="000000"/>
            </w:tcBorders>
          </w:tcPr>
          <w:p>
            <w:pPr/>
          </w:p>
        </w:tc>
        <w:tc>
          <w:tcPr>
            <w:tcW w:w="1286" w:type="dxa"/>
            <w:vMerge w:val="restart"/>
            <w:tcBorders>
              <w:top w:val="single" w:sz="6" w:space="0" w:color="000000"/>
              <w:left w:val="single" w:sz="6" w:space="0" w:color="000000"/>
              <w:right w:val="single" w:sz="6" w:space="0" w:color="000000"/>
            </w:tcBorders>
          </w:tcPr>
          <w:p>
            <w:pPr/>
          </w:p>
        </w:tc>
        <w:tc>
          <w:tcPr>
            <w:tcW w:w="1417" w:type="dxa"/>
            <w:tcBorders>
              <w:top w:val="single" w:sz="6" w:space="0" w:color="000000"/>
              <w:left w:val="single" w:sz="6" w:space="0" w:color="000000"/>
              <w:bottom w:val="nil" w:sz="6" w:space="0" w:color="auto"/>
              <w:right w:val="single" w:sz="4" w:space="0" w:color="000000"/>
            </w:tcBorders>
          </w:tcPr>
          <w:p>
            <w:pPr/>
          </w:p>
        </w:tc>
      </w:tr>
      <w:tr>
        <w:trPr>
          <w:trHeight w:val="272" w:hRule="exact"/>
        </w:trPr>
        <w:tc>
          <w:tcPr>
            <w:tcW w:w="1199" w:type="dxa"/>
            <w:tcBorders>
              <w:top w:val="nil" w:sz="6" w:space="0" w:color="auto"/>
              <w:left w:val="single" w:sz="4" w:space="0" w:color="000000"/>
              <w:bottom w:val="nil" w:sz="6" w:space="0" w:color="auto"/>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高科技有</w:t>
            </w:r>
          </w:p>
        </w:tc>
        <w:tc>
          <w:tcPr>
            <w:tcW w:w="128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上海市</w:t>
            </w:r>
          </w:p>
        </w:tc>
        <w:tc>
          <w:tcPr>
            <w:tcW w:w="1271"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上海市</w:t>
            </w:r>
          </w:p>
        </w:tc>
        <w:tc>
          <w:tcPr>
            <w:tcW w:w="130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128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sz w:val="21"/>
              </w:rPr>
              <w:t>100</w:t>
            </w:r>
          </w:p>
        </w:tc>
        <w:tc>
          <w:tcPr>
            <w:tcW w:w="1286" w:type="dxa"/>
            <w:vMerge/>
            <w:tcBorders>
              <w:left w:val="single" w:sz="6" w:space="0" w:color="000000"/>
              <w:right w:val="single" w:sz="6" w:space="0" w:color="000000"/>
            </w:tcBorders>
          </w:tcPr>
          <w:p>
            <w:pPr/>
          </w:p>
        </w:tc>
        <w:tc>
          <w:tcPr>
            <w:tcW w:w="1417" w:type="dxa"/>
            <w:tcBorders>
              <w:top w:val="nil" w:sz="6" w:space="0" w:color="auto"/>
              <w:left w:val="single" w:sz="6" w:space="0" w:color="000000"/>
              <w:bottom w:val="nil" w:sz="6" w:space="0" w:color="auto"/>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1199" w:type="dxa"/>
            <w:tcBorders>
              <w:top w:val="nil" w:sz="6" w:space="0" w:color="auto"/>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89" w:type="dxa"/>
            <w:tcBorders>
              <w:top w:val="nil" w:sz="6" w:space="0" w:color="auto"/>
              <w:left w:val="single" w:sz="6" w:space="0" w:color="000000"/>
              <w:bottom w:val="single" w:sz="6" w:space="0" w:color="000000"/>
              <w:right w:val="single" w:sz="6" w:space="0" w:color="000000"/>
            </w:tcBorders>
          </w:tcPr>
          <w:p>
            <w:pPr/>
          </w:p>
        </w:tc>
        <w:tc>
          <w:tcPr>
            <w:tcW w:w="1271" w:type="dxa"/>
            <w:tcBorders>
              <w:top w:val="nil" w:sz="6" w:space="0" w:color="auto"/>
              <w:left w:val="single" w:sz="6" w:space="0" w:color="000000"/>
              <w:bottom w:val="single" w:sz="6" w:space="0" w:color="000000"/>
              <w:right w:val="single" w:sz="6" w:space="0" w:color="000000"/>
            </w:tcBorders>
          </w:tcPr>
          <w:p>
            <w:pPr/>
          </w:p>
        </w:tc>
        <w:tc>
          <w:tcPr>
            <w:tcW w:w="1300" w:type="dxa"/>
            <w:tcBorders>
              <w:top w:val="nil" w:sz="6" w:space="0" w:color="auto"/>
              <w:left w:val="single" w:sz="6" w:space="0" w:color="000000"/>
              <w:bottom w:val="single" w:sz="6" w:space="0" w:color="000000"/>
              <w:right w:val="single" w:sz="6" w:space="0" w:color="000000"/>
            </w:tcBorders>
          </w:tcPr>
          <w:p>
            <w:pPr/>
          </w:p>
        </w:tc>
        <w:tc>
          <w:tcPr>
            <w:tcW w:w="1288" w:type="dxa"/>
            <w:tcBorders>
              <w:top w:val="nil" w:sz="6" w:space="0" w:color="auto"/>
              <w:left w:val="single" w:sz="6" w:space="0" w:color="000000"/>
              <w:bottom w:val="single" w:sz="6" w:space="0" w:color="000000"/>
              <w:right w:val="single" w:sz="6" w:space="0" w:color="000000"/>
            </w:tcBorders>
          </w:tcPr>
          <w:p>
            <w:pPr/>
          </w:p>
        </w:tc>
        <w:tc>
          <w:tcPr>
            <w:tcW w:w="1286" w:type="dxa"/>
            <w:vMerge/>
            <w:tcBorders>
              <w:left w:val="single" w:sz="6" w:space="0" w:color="000000"/>
              <w:bottom w:val="single" w:sz="6" w:space="0" w:color="000000"/>
              <w:right w:val="single" w:sz="6" w:space="0" w:color="000000"/>
            </w:tcBorders>
          </w:tcPr>
          <w:p>
            <w:pPr/>
          </w:p>
        </w:tc>
        <w:tc>
          <w:tcPr>
            <w:tcW w:w="1417" w:type="dxa"/>
            <w:tcBorders>
              <w:top w:val="nil" w:sz="6" w:space="0" w:color="auto"/>
              <w:left w:val="single" w:sz="6" w:space="0" w:color="000000"/>
              <w:bottom w:val="single" w:sz="6" w:space="0" w:color="000000"/>
              <w:right w:val="single" w:sz="4" w:space="0" w:color="000000"/>
            </w:tcBorders>
          </w:tcPr>
          <w:p>
            <w:pPr/>
          </w:p>
        </w:tc>
      </w:tr>
      <w:tr>
        <w:trPr>
          <w:trHeight w:val="279" w:hRule="exact"/>
        </w:trPr>
        <w:tc>
          <w:tcPr>
            <w:tcW w:w="1199" w:type="dxa"/>
            <w:tcBorders>
              <w:top w:val="single" w:sz="6" w:space="0" w:color="000000"/>
              <w:left w:val="single" w:sz="4" w:space="0" w:color="000000"/>
              <w:bottom w:val="nil" w:sz="6" w:space="0" w:color="auto"/>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北京北方</w:t>
            </w:r>
          </w:p>
        </w:tc>
        <w:tc>
          <w:tcPr>
            <w:tcW w:w="1289" w:type="dxa"/>
            <w:tcBorders>
              <w:top w:val="single" w:sz="6" w:space="0" w:color="000000"/>
              <w:left w:val="single" w:sz="6" w:space="0" w:color="000000"/>
              <w:bottom w:val="nil" w:sz="6" w:space="0" w:color="auto"/>
              <w:right w:val="single" w:sz="6" w:space="0" w:color="000000"/>
            </w:tcBorders>
          </w:tcPr>
          <w:p>
            <w:pPr/>
          </w:p>
        </w:tc>
        <w:tc>
          <w:tcPr>
            <w:tcW w:w="1271" w:type="dxa"/>
            <w:tcBorders>
              <w:top w:val="single" w:sz="6" w:space="0" w:color="000000"/>
              <w:left w:val="single" w:sz="6" w:space="0" w:color="000000"/>
              <w:bottom w:val="nil" w:sz="6" w:space="0" w:color="auto"/>
              <w:right w:val="single" w:sz="6" w:space="0" w:color="000000"/>
            </w:tcBorders>
          </w:tcPr>
          <w:p>
            <w:pPr/>
          </w:p>
        </w:tc>
        <w:tc>
          <w:tcPr>
            <w:tcW w:w="1300" w:type="dxa"/>
            <w:tcBorders>
              <w:top w:val="single" w:sz="6" w:space="0" w:color="000000"/>
              <w:left w:val="single" w:sz="6" w:space="0" w:color="000000"/>
              <w:bottom w:val="nil" w:sz="6" w:space="0" w:color="auto"/>
              <w:right w:val="single" w:sz="6" w:space="0" w:color="000000"/>
            </w:tcBorders>
          </w:tcPr>
          <w:p>
            <w:pPr/>
          </w:p>
        </w:tc>
        <w:tc>
          <w:tcPr>
            <w:tcW w:w="1288" w:type="dxa"/>
            <w:tcBorders>
              <w:top w:val="single" w:sz="6" w:space="0" w:color="000000"/>
              <w:left w:val="single" w:sz="6" w:space="0" w:color="000000"/>
              <w:bottom w:val="nil" w:sz="6" w:space="0" w:color="auto"/>
              <w:right w:val="single" w:sz="6" w:space="0" w:color="000000"/>
            </w:tcBorders>
          </w:tcPr>
          <w:p>
            <w:pPr/>
          </w:p>
        </w:tc>
        <w:tc>
          <w:tcPr>
            <w:tcW w:w="1286" w:type="dxa"/>
            <w:vMerge w:val="restart"/>
            <w:tcBorders>
              <w:top w:val="single" w:sz="6" w:space="0" w:color="000000"/>
              <w:left w:val="single" w:sz="6" w:space="0" w:color="000000"/>
              <w:right w:val="single" w:sz="6" w:space="0" w:color="000000"/>
            </w:tcBorders>
          </w:tcPr>
          <w:p>
            <w:pPr/>
          </w:p>
        </w:tc>
        <w:tc>
          <w:tcPr>
            <w:tcW w:w="1417" w:type="dxa"/>
            <w:tcBorders>
              <w:top w:val="single" w:sz="6" w:space="0" w:color="000000"/>
              <w:left w:val="single" w:sz="6" w:space="0" w:color="000000"/>
              <w:bottom w:val="nil" w:sz="6" w:space="0" w:color="auto"/>
              <w:right w:val="single" w:sz="4" w:space="0" w:color="000000"/>
            </w:tcBorders>
          </w:tcPr>
          <w:p>
            <w:pPr/>
          </w:p>
        </w:tc>
      </w:tr>
      <w:tr>
        <w:trPr>
          <w:trHeight w:val="272" w:hRule="exact"/>
        </w:trPr>
        <w:tc>
          <w:tcPr>
            <w:tcW w:w="1199" w:type="dxa"/>
            <w:tcBorders>
              <w:top w:val="nil" w:sz="6" w:space="0" w:color="auto"/>
              <w:left w:val="single" w:sz="4" w:space="0" w:color="000000"/>
              <w:bottom w:val="nil" w:sz="6" w:space="0" w:color="auto"/>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金证科技</w:t>
            </w:r>
          </w:p>
        </w:tc>
        <w:tc>
          <w:tcPr>
            <w:tcW w:w="128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北京市</w:t>
            </w:r>
          </w:p>
        </w:tc>
        <w:tc>
          <w:tcPr>
            <w:tcW w:w="1271"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130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128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sz w:val="21"/>
              </w:rPr>
              <w:t>100</w:t>
            </w:r>
          </w:p>
        </w:tc>
        <w:tc>
          <w:tcPr>
            <w:tcW w:w="1286" w:type="dxa"/>
            <w:vMerge/>
            <w:tcBorders>
              <w:left w:val="single" w:sz="6" w:space="0" w:color="000000"/>
              <w:right w:val="single" w:sz="6" w:space="0" w:color="000000"/>
            </w:tcBorders>
          </w:tcPr>
          <w:p>
            <w:pPr/>
          </w:p>
        </w:tc>
        <w:tc>
          <w:tcPr>
            <w:tcW w:w="1417" w:type="dxa"/>
            <w:tcBorders>
              <w:top w:val="nil" w:sz="6" w:space="0" w:color="auto"/>
              <w:left w:val="single" w:sz="6" w:space="0" w:color="000000"/>
              <w:bottom w:val="nil" w:sz="6" w:space="0" w:color="auto"/>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1199" w:type="dxa"/>
            <w:tcBorders>
              <w:top w:val="nil" w:sz="6" w:space="0" w:color="auto"/>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89" w:type="dxa"/>
            <w:tcBorders>
              <w:top w:val="nil" w:sz="6" w:space="0" w:color="auto"/>
              <w:left w:val="single" w:sz="6" w:space="0" w:color="000000"/>
              <w:bottom w:val="single" w:sz="6" w:space="0" w:color="000000"/>
              <w:right w:val="single" w:sz="6" w:space="0" w:color="000000"/>
            </w:tcBorders>
          </w:tcPr>
          <w:p>
            <w:pPr/>
          </w:p>
        </w:tc>
        <w:tc>
          <w:tcPr>
            <w:tcW w:w="1271" w:type="dxa"/>
            <w:tcBorders>
              <w:top w:val="nil" w:sz="6" w:space="0" w:color="auto"/>
              <w:left w:val="single" w:sz="6" w:space="0" w:color="000000"/>
              <w:bottom w:val="single" w:sz="6" w:space="0" w:color="000000"/>
              <w:right w:val="single" w:sz="6" w:space="0" w:color="000000"/>
            </w:tcBorders>
          </w:tcPr>
          <w:p>
            <w:pPr/>
          </w:p>
        </w:tc>
        <w:tc>
          <w:tcPr>
            <w:tcW w:w="1300" w:type="dxa"/>
            <w:tcBorders>
              <w:top w:val="nil" w:sz="6" w:space="0" w:color="auto"/>
              <w:left w:val="single" w:sz="6" w:space="0" w:color="000000"/>
              <w:bottom w:val="single" w:sz="6" w:space="0" w:color="000000"/>
              <w:right w:val="single" w:sz="6" w:space="0" w:color="000000"/>
            </w:tcBorders>
          </w:tcPr>
          <w:p>
            <w:pPr/>
          </w:p>
        </w:tc>
        <w:tc>
          <w:tcPr>
            <w:tcW w:w="1288" w:type="dxa"/>
            <w:tcBorders>
              <w:top w:val="nil" w:sz="6" w:space="0" w:color="auto"/>
              <w:left w:val="single" w:sz="6" w:space="0" w:color="000000"/>
              <w:bottom w:val="single" w:sz="6" w:space="0" w:color="000000"/>
              <w:right w:val="single" w:sz="6" w:space="0" w:color="000000"/>
            </w:tcBorders>
          </w:tcPr>
          <w:p>
            <w:pPr/>
          </w:p>
        </w:tc>
        <w:tc>
          <w:tcPr>
            <w:tcW w:w="1286" w:type="dxa"/>
            <w:vMerge/>
            <w:tcBorders>
              <w:left w:val="single" w:sz="6" w:space="0" w:color="000000"/>
              <w:bottom w:val="single" w:sz="6" w:space="0" w:color="000000"/>
              <w:right w:val="single" w:sz="6" w:space="0" w:color="000000"/>
            </w:tcBorders>
          </w:tcPr>
          <w:p>
            <w:pPr/>
          </w:p>
        </w:tc>
        <w:tc>
          <w:tcPr>
            <w:tcW w:w="1417" w:type="dxa"/>
            <w:tcBorders>
              <w:top w:val="nil" w:sz="6" w:space="0" w:color="auto"/>
              <w:left w:val="single" w:sz="6" w:space="0" w:color="000000"/>
              <w:bottom w:val="single" w:sz="6" w:space="0" w:color="000000"/>
              <w:right w:val="single" w:sz="4" w:space="0" w:color="000000"/>
            </w:tcBorders>
          </w:tcPr>
          <w:p>
            <w:pPr/>
          </w:p>
        </w:tc>
      </w:tr>
      <w:tr>
        <w:trPr>
          <w:trHeight w:val="279" w:hRule="exact"/>
        </w:trPr>
        <w:tc>
          <w:tcPr>
            <w:tcW w:w="1199" w:type="dxa"/>
            <w:tcBorders>
              <w:top w:val="single" w:sz="6" w:space="0" w:color="000000"/>
              <w:left w:val="single" w:sz="4" w:space="0" w:color="000000"/>
              <w:bottom w:val="nil" w:sz="6" w:space="0" w:color="auto"/>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成都市金</w:t>
            </w:r>
          </w:p>
        </w:tc>
        <w:tc>
          <w:tcPr>
            <w:tcW w:w="1289" w:type="dxa"/>
            <w:tcBorders>
              <w:top w:val="single" w:sz="6" w:space="0" w:color="000000"/>
              <w:left w:val="single" w:sz="6" w:space="0" w:color="000000"/>
              <w:bottom w:val="nil" w:sz="6" w:space="0" w:color="auto"/>
              <w:right w:val="single" w:sz="6" w:space="0" w:color="000000"/>
            </w:tcBorders>
          </w:tcPr>
          <w:p>
            <w:pPr/>
          </w:p>
        </w:tc>
        <w:tc>
          <w:tcPr>
            <w:tcW w:w="1271" w:type="dxa"/>
            <w:tcBorders>
              <w:top w:val="single" w:sz="6" w:space="0" w:color="000000"/>
              <w:left w:val="single" w:sz="6" w:space="0" w:color="000000"/>
              <w:bottom w:val="nil" w:sz="6" w:space="0" w:color="auto"/>
              <w:right w:val="single" w:sz="6" w:space="0" w:color="000000"/>
            </w:tcBorders>
          </w:tcPr>
          <w:p>
            <w:pPr/>
          </w:p>
        </w:tc>
        <w:tc>
          <w:tcPr>
            <w:tcW w:w="1300" w:type="dxa"/>
            <w:tcBorders>
              <w:top w:val="single" w:sz="6" w:space="0" w:color="000000"/>
              <w:left w:val="single" w:sz="6" w:space="0" w:color="000000"/>
              <w:bottom w:val="nil" w:sz="6" w:space="0" w:color="auto"/>
              <w:right w:val="single" w:sz="6" w:space="0" w:color="000000"/>
            </w:tcBorders>
          </w:tcPr>
          <w:p>
            <w:pPr/>
          </w:p>
        </w:tc>
        <w:tc>
          <w:tcPr>
            <w:tcW w:w="1288" w:type="dxa"/>
            <w:tcBorders>
              <w:top w:val="single" w:sz="6" w:space="0" w:color="000000"/>
              <w:left w:val="single" w:sz="6" w:space="0" w:color="000000"/>
              <w:bottom w:val="nil" w:sz="6" w:space="0" w:color="auto"/>
              <w:right w:val="single" w:sz="6" w:space="0" w:color="000000"/>
            </w:tcBorders>
          </w:tcPr>
          <w:p>
            <w:pPr/>
          </w:p>
        </w:tc>
        <w:tc>
          <w:tcPr>
            <w:tcW w:w="1286" w:type="dxa"/>
            <w:vMerge w:val="restart"/>
            <w:tcBorders>
              <w:top w:val="single" w:sz="6" w:space="0" w:color="000000"/>
              <w:left w:val="single" w:sz="6" w:space="0" w:color="000000"/>
              <w:right w:val="single" w:sz="6" w:space="0" w:color="000000"/>
            </w:tcBorders>
          </w:tcPr>
          <w:p>
            <w:pPr/>
          </w:p>
        </w:tc>
        <w:tc>
          <w:tcPr>
            <w:tcW w:w="1417" w:type="dxa"/>
            <w:tcBorders>
              <w:top w:val="single" w:sz="6" w:space="0" w:color="000000"/>
              <w:left w:val="single" w:sz="6" w:space="0" w:color="000000"/>
              <w:bottom w:val="nil" w:sz="6" w:space="0" w:color="auto"/>
              <w:right w:val="single" w:sz="4" w:space="0" w:color="000000"/>
            </w:tcBorders>
          </w:tcPr>
          <w:p>
            <w:pPr/>
          </w:p>
        </w:tc>
      </w:tr>
      <w:tr>
        <w:trPr>
          <w:trHeight w:val="545" w:hRule="exact"/>
        </w:trPr>
        <w:tc>
          <w:tcPr>
            <w:tcW w:w="1199" w:type="dxa"/>
            <w:tcBorders>
              <w:top w:val="nil" w:sz="6" w:space="0" w:color="auto"/>
              <w:left w:val="single" w:sz="4" w:space="0" w:color="000000"/>
              <w:bottom w:val="nil" w:sz="6" w:space="0" w:color="auto"/>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证科技有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限责任公</w:t>
            </w:r>
          </w:p>
        </w:tc>
        <w:tc>
          <w:tcPr>
            <w:tcW w:w="128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成都市</w:t>
            </w:r>
          </w:p>
        </w:tc>
        <w:tc>
          <w:tcPr>
            <w:tcW w:w="127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成都市</w:t>
            </w:r>
          </w:p>
        </w:tc>
        <w:tc>
          <w:tcPr>
            <w:tcW w:w="130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12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478" w:right="0"/>
              <w:jc w:val="left"/>
              <w:rPr>
                <w:rFonts w:ascii="宋体" w:hAnsi="宋体" w:cs="宋体" w:eastAsia="宋体" w:hint="default"/>
                <w:sz w:val="21"/>
                <w:szCs w:val="21"/>
              </w:rPr>
            </w:pPr>
            <w:r>
              <w:rPr>
                <w:rFonts w:ascii="宋体"/>
                <w:sz w:val="21"/>
              </w:rPr>
              <w:t>100</w:t>
            </w:r>
          </w:p>
        </w:tc>
        <w:tc>
          <w:tcPr>
            <w:tcW w:w="1286" w:type="dxa"/>
            <w:vMerge/>
            <w:tcBorders>
              <w:left w:val="single" w:sz="6" w:space="0" w:color="000000"/>
              <w:right w:val="single" w:sz="6" w:space="0" w:color="000000"/>
            </w:tcBorders>
          </w:tcPr>
          <w:p>
            <w:pPr/>
          </w:p>
        </w:tc>
        <w:tc>
          <w:tcPr>
            <w:tcW w:w="1417" w:type="dxa"/>
            <w:tcBorders>
              <w:top w:val="nil" w:sz="6" w:space="0" w:color="auto"/>
              <w:left w:val="single" w:sz="6" w:space="0" w:color="000000"/>
              <w:bottom w:val="nil" w:sz="6" w:space="0" w:color="auto"/>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1199" w:type="dxa"/>
            <w:tcBorders>
              <w:top w:val="nil" w:sz="6" w:space="0" w:color="auto"/>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289" w:type="dxa"/>
            <w:tcBorders>
              <w:top w:val="nil" w:sz="6" w:space="0" w:color="auto"/>
              <w:left w:val="single" w:sz="6" w:space="0" w:color="000000"/>
              <w:bottom w:val="single" w:sz="6" w:space="0" w:color="000000"/>
              <w:right w:val="single" w:sz="6" w:space="0" w:color="000000"/>
            </w:tcBorders>
          </w:tcPr>
          <w:p>
            <w:pPr/>
          </w:p>
        </w:tc>
        <w:tc>
          <w:tcPr>
            <w:tcW w:w="1271" w:type="dxa"/>
            <w:tcBorders>
              <w:top w:val="nil" w:sz="6" w:space="0" w:color="auto"/>
              <w:left w:val="single" w:sz="6" w:space="0" w:color="000000"/>
              <w:bottom w:val="single" w:sz="6" w:space="0" w:color="000000"/>
              <w:right w:val="single" w:sz="6" w:space="0" w:color="000000"/>
            </w:tcBorders>
          </w:tcPr>
          <w:p>
            <w:pPr/>
          </w:p>
        </w:tc>
        <w:tc>
          <w:tcPr>
            <w:tcW w:w="1300" w:type="dxa"/>
            <w:tcBorders>
              <w:top w:val="nil" w:sz="6" w:space="0" w:color="auto"/>
              <w:left w:val="single" w:sz="6" w:space="0" w:color="000000"/>
              <w:bottom w:val="single" w:sz="6" w:space="0" w:color="000000"/>
              <w:right w:val="single" w:sz="6" w:space="0" w:color="000000"/>
            </w:tcBorders>
          </w:tcPr>
          <w:p>
            <w:pPr/>
          </w:p>
        </w:tc>
        <w:tc>
          <w:tcPr>
            <w:tcW w:w="1288" w:type="dxa"/>
            <w:tcBorders>
              <w:top w:val="nil" w:sz="6" w:space="0" w:color="auto"/>
              <w:left w:val="single" w:sz="6" w:space="0" w:color="000000"/>
              <w:bottom w:val="single" w:sz="6" w:space="0" w:color="000000"/>
              <w:right w:val="single" w:sz="6" w:space="0" w:color="000000"/>
            </w:tcBorders>
          </w:tcPr>
          <w:p>
            <w:pPr/>
          </w:p>
        </w:tc>
        <w:tc>
          <w:tcPr>
            <w:tcW w:w="1286" w:type="dxa"/>
            <w:vMerge/>
            <w:tcBorders>
              <w:left w:val="single" w:sz="6" w:space="0" w:color="000000"/>
              <w:bottom w:val="single" w:sz="6" w:space="0" w:color="000000"/>
              <w:right w:val="single" w:sz="6" w:space="0" w:color="000000"/>
            </w:tcBorders>
          </w:tcPr>
          <w:p>
            <w:pPr/>
          </w:p>
        </w:tc>
        <w:tc>
          <w:tcPr>
            <w:tcW w:w="1417" w:type="dxa"/>
            <w:tcBorders>
              <w:top w:val="nil" w:sz="6" w:space="0" w:color="auto"/>
              <w:left w:val="single" w:sz="6" w:space="0" w:color="000000"/>
              <w:bottom w:val="single" w:sz="6" w:space="0" w:color="000000"/>
              <w:right w:val="single" w:sz="4" w:space="0" w:color="000000"/>
            </w:tcBorders>
          </w:tcPr>
          <w:p>
            <w:pPr/>
          </w:p>
        </w:tc>
      </w:tr>
      <w:tr>
        <w:trPr>
          <w:trHeight w:val="278" w:hRule="exact"/>
        </w:trPr>
        <w:tc>
          <w:tcPr>
            <w:tcW w:w="1199" w:type="dxa"/>
            <w:tcBorders>
              <w:top w:val="single" w:sz="6" w:space="0" w:color="000000"/>
              <w:left w:val="single" w:sz="4" w:space="0" w:color="000000"/>
              <w:bottom w:val="nil" w:sz="6" w:space="0" w:color="auto"/>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成都金证</w:t>
            </w:r>
          </w:p>
        </w:tc>
        <w:tc>
          <w:tcPr>
            <w:tcW w:w="1289" w:type="dxa"/>
            <w:tcBorders>
              <w:top w:val="single" w:sz="6" w:space="0" w:color="000000"/>
              <w:left w:val="single" w:sz="6" w:space="0" w:color="000000"/>
              <w:bottom w:val="nil" w:sz="6" w:space="0" w:color="auto"/>
              <w:right w:val="single" w:sz="6" w:space="0" w:color="000000"/>
            </w:tcBorders>
          </w:tcPr>
          <w:p>
            <w:pPr/>
          </w:p>
        </w:tc>
        <w:tc>
          <w:tcPr>
            <w:tcW w:w="1271" w:type="dxa"/>
            <w:tcBorders>
              <w:top w:val="single" w:sz="6" w:space="0" w:color="000000"/>
              <w:left w:val="single" w:sz="6" w:space="0" w:color="000000"/>
              <w:bottom w:val="nil" w:sz="6" w:space="0" w:color="auto"/>
              <w:right w:val="single" w:sz="6" w:space="0" w:color="000000"/>
            </w:tcBorders>
          </w:tcPr>
          <w:p>
            <w:pPr/>
          </w:p>
        </w:tc>
        <w:tc>
          <w:tcPr>
            <w:tcW w:w="1300" w:type="dxa"/>
            <w:tcBorders>
              <w:top w:val="single" w:sz="6" w:space="0" w:color="000000"/>
              <w:left w:val="single" w:sz="6" w:space="0" w:color="000000"/>
              <w:bottom w:val="nil" w:sz="6" w:space="0" w:color="auto"/>
              <w:right w:val="single" w:sz="6" w:space="0" w:color="000000"/>
            </w:tcBorders>
          </w:tcPr>
          <w:p>
            <w:pPr/>
          </w:p>
        </w:tc>
        <w:tc>
          <w:tcPr>
            <w:tcW w:w="1288" w:type="dxa"/>
            <w:tcBorders>
              <w:top w:val="single" w:sz="6" w:space="0" w:color="000000"/>
              <w:left w:val="single" w:sz="6" w:space="0" w:color="000000"/>
              <w:bottom w:val="nil" w:sz="6" w:space="0" w:color="auto"/>
              <w:right w:val="single" w:sz="6" w:space="0" w:color="000000"/>
            </w:tcBorders>
          </w:tcPr>
          <w:p>
            <w:pPr/>
          </w:p>
        </w:tc>
        <w:tc>
          <w:tcPr>
            <w:tcW w:w="1286" w:type="dxa"/>
            <w:vMerge w:val="restart"/>
            <w:tcBorders>
              <w:top w:val="single" w:sz="6" w:space="0" w:color="000000"/>
              <w:left w:val="single" w:sz="6" w:space="0" w:color="000000"/>
              <w:right w:val="single" w:sz="6" w:space="0" w:color="000000"/>
            </w:tcBorders>
          </w:tcPr>
          <w:p>
            <w:pPr/>
          </w:p>
        </w:tc>
        <w:tc>
          <w:tcPr>
            <w:tcW w:w="1417" w:type="dxa"/>
            <w:tcBorders>
              <w:top w:val="single" w:sz="6" w:space="0" w:color="000000"/>
              <w:left w:val="single" w:sz="6" w:space="0" w:color="000000"/>
              <w:bottom w:val="nil" w:sz="6" w:space="0" w:color="auto"/>
              <w:right w:val="single" w:sz="4" w:space="0" w:color="000000"/>
            </w:tcBorders>
          </w:tcPr>
          <w:p>
            <w:pPr/>
          </w:p>
        </w:tc>
      </w:tr>
      <w:tr>
        <w:trPr>
          <w:trHeight w:val="272" w:hRule="exact"/>
        </w:trPr>
        <w:tc>
          <w:tcPr>
            <w:tcW w:w="1199" w:type="dxa"/>
            <w:tcBorders>
              <w:top w:val="nil" w:sz="6" w:space="0" w:color="auto"/>
              <w:left w:val="single" w:sz="4" w:space="0" w:color="000000"/>
              <w:bottom w:val="nil" w:sz="6" w:space="0" w:color="auto"/>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128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成都市</w:t>
            </w:r>
          </w:p>
        </w:tc>
        <w:tc>
          <w:tcPr>
            <w:tcW w:w="1271"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成都市</w:t>
            </w:r>
          </w:p>
        </w:tc>
        <w:tc>
          <w:tcPr>
            <w:tcW w:w="130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128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sz w:val="21"/>
              </w:rPr>
              <w:t>100</w:t>
            </w:r>
          </w:p>
        </w:tc>
        <w:tc>
          <w:tcPr>
            <w:tcW w:w="1286" w:type="dxa"/>
            <w:vMerge/>
            <w:tcBorders>
              <w:left w:val="single" w:sz="6" w:space="0" w:color="000000"/>
              <w:right w:val="single" w:sz="6" w:space="0" w:color="000000"/>
            </w:tcBorders>
          </w:tcPr>
          <w:p>
            <w:pPr/>
          </w:p>
        </w:tc>
        <w:tc>
          <w:tcPr>
            <w:tcW w:w="1417" w:type="dxa"/>
            <w:tcBorders>
              <w:top w:val="nil" w:sz="6" w:space="0" w:color="auto"/>
              <w:left w:val="single" w:sz="6" w:space="0" w:color="000000"/>
              <w:bottom w:val="nil" w:sz="6" w:space="0" w:color="auto"/>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1199" w:type="dxa"/>
            <w:tcBorders>
              <w:top w:val="nil" w:sz="6" w:space="0" w:color="auto"/>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89" w:type="dxa"/>
            <w:tcBorders>
              <w:top w:val="nil" w:sz="6" w:space="0" w:color="auto"/>
              <w:left w:val="single" w:sz="6" w:space="0" w:color="000000"/>
              <w:bottom w:val="single" w:sz="6" w:space="0" w:color="000000"/>
              <w:right w:val="single" w:sz="6" w:space="0" w:color="000000"/>
            </w:tcBorders>
          </w:tcPr>
          <w:p>
            <w:pPr/>
          </w:p>
        </w:tc>
        <w:tc>
          <w:tcPr>
            <w:tcW w:w="1271" w:type="dxa"/>
            <w:tcBorders>
              <w:top w:val="nil" w:sz="6" w:space="0" w:color="auto"/>
              <w:left w:val="single" w:sz="6" w:space="0" w:color="000000"/>
              <w:bottom w:val="single" w:sz="6" w:space="0" w:color="000000"/>
              <w:right w:val="single" w:sz="6" w:space="0" w:color="000000"/>
            </w:tcBorders>
          </w:tcPr>
          <w:p>
            <w:pPr/>
          </w:p>
        </w:tc>
        <w:tc>
          <w:tcPr>
            <w:tcW w:w="1300" w:type="dxa"/>
            <w:tcBorders>
              <w:top w:val="nil" w:sz="6" w:space="0" w:color="auto"/>
              <w:left w:val="single" w:sz="6" w:space="0" w:color="000000"/>
              <w:bottom w:val="single" w:sz="6" w:space="0" w:color="000000"/>
              <w:right w:val="single" w:sz="6" w:space="0" w:color="000000"/>
            </w:tcBorders>
          </w:tcPr>
          <w:p>
            <w:pPr/>
          </w:p>
        </w:tc>
        <w:tc>
          <w:tcPr>
            <w:tcW w:w="1288" w:type="dxa"/>
            <w:tcBorders>
              <w:top w:val="nil" w:sz="6" w:space="0" w:color="auto"/>
              <w:left w:val="single" w:sz="6" w:space="0" w:color="000000"/>
              <w:bottom w:val="single" w:sz="6" w:space="0" w:color="000000"/>
              <w:right w:val="single" w:sz="6" w:space="0" w:color="000000"/>
            </w:tcBorders>
          </w:tcPr>
          <w:p>
            <w:pPr/>
          </w:p>
        </w:tc>
        <w:tc>
          <w:tcPr>
            <w:tcW w:w="1286" w:type="dxa"/>
            <w:vMerge/>
            <w:tcBorders>
              <w:left w:val="single" w:sz="6" w:space="0" w:color="000000"/>
              <w:bottom w:val="single" w:sz="6" w:space="0" w:color="000000"/>
              <w:right w:val="single" w:sz="6" w:space="0" w:color="000000"/>
            </w:tcBorders>
          </w:tcPr>
          <w:p>
            <w:pPr/>
          </w:p>
        </w:tc>
        <w:tc>
          <w:tcPr>
            <w:tcW w:w="1417" w:type="dxa"/>
            <w:tcBorders>
              <w:top w:val="nil" w:sz="6" w:space="0" w:color="auto"/>
              <w:left w:val="single" w:sz="6" w:space="0" w:color="000000"/>
              <w:bottom w:val="single" w:sz="6" w:space="0" w:color="000000"/>
              <w:right w:val="single" w:sz="4" w:space="0" w:color="000000"/>
            </w:tcBorders>
          </w:tcPr>
          <w:p>
            <w:pPr/>
          </w:p>
        </w:tc>
      </w:tr>
      <w:tr>
        <w:trPr>
          <w:trHeight w:val="279" w:hRule="exact"/>
        </w:trPr>
        <w:tc>
          <w:tcPr>
            <w:tcW w:w="1199" w:type="dxa"/>
            <w:tcBorders>
              <w:top w:val="single" w:sz="6" w:space="0" w:color="000000"/>
              <w:left w:val="single" w:sz="4" w:space="0" w:color="000000"/>
              <w:bottom w:val="nil" w:sz="6" w:space="0" w:color="auto"/>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w:t>
            </w:r>
          </w:p>
        </w:tc>
        <w:tc>
          <w:tcPr>
            <w:tcW w:w="1289" w:type="dxa"/>
            <w:tcBorders>
              <w:top w:val="single" w:sz="6" w:space="0" w:color="000000"/>
              <w:left w:val="single" w:sz="6" w:space="0" w:color="000000"/>
              <w:bottom w:val="nil" w:sz="6" w:space="0" w:color="auto"/>
              <w:right w:val="single" w:sz="6" w:space="0" w:color="000000"/>
            </w:tcBorders>
          </w:tcPr>
          <w:p>
            <w:pPr/>
          </w:p>
        </w:tc>
        <w:tc>
          <w:tcPr>
            <w:tcW w:w="1271" w:type="dxa"/>
            <w:tcBorders>
              <w:top w:val="single" w:sz="6" w:space="0" w:color="000000"/>
              <w:left w:val="single" w:sz="6" w:space="0" w:color="000000"/>
              <w:bottom w:val="nil" w:sz="6" w:space="0" w:color="auto"/>
              <w:right w:val="single" w:sz="6" w:space="0" w:color="000000"/>
            </w:tcBorders>
          </w:tcPr>
          <w:p>
            <w:pPr/>
          </w:p>
        </w:tc>
        <w:tc>
          <w:tcPr>
            <w:tcW w:w="1300" w:type="dxa"/>
            <w:tcBorders>
              <w:top w:val="single" w:sz="6" w:space="0" w:color="000000"/>
              <w:left w:val="single" w:sz="6" w:space="0" w:color="000000"/>
              <w:bottom w:val="nil" w:sz="6" w:space="0" w:color="auto"/>
              <w:right w:val="single" w:sz="6" w:space="0" w:color="000000"/>
            </w:tcBorders>
          </w:tcPr>
          <w:p>
            <w:pPr/>
          </w:p>
        </w:tc>
        <w:tc>
          <w:tcPr>
            <w:tcW w:w="1288" w:type="dxa"/>
            <w:tcBorders>
              <w:top w:val="single" w:sz="6" w:space="0" w:color="000000"/>
              <w:left w:val="single" w:sz="6" w:space="0" w:color="000000"/>
              <w:bottom w:val="nil" w:sz="6" w:space="0" w:color="auto"/>
              <w:right w:val="single" w:sz="6" w:space="0" w:color="000000"/>
            </w:tcBorders>
          </w:tcPr>
          <w:p>
            <w:pPr/>
          </w:p>
        </w:tc>
        <w:tc>
          <w:tcPr>
            <w:tcW w:w="1286" w:type="dxa"/>
            <w:vMerge w:val="restart"/>
            <w:tcBorders>
              <w:top w:val="single" w:sz="6" w:space="0" w:color="000000"/>
              <w:left w:val="single" w:sz="6" w:space="0" w:color="000000"/>
              <w:right w:val="single" w:sz="6" w:space="0" w:color="000000"/>
            </w:tcBorders>
          </w:tcPr>
          <w:p>
            <w:pPr/>
          </w:p>
        </w:tc>
        <w:tc>
          <w:tcPr>
            <w:tcW w:w="1417" w:type="dxa"/>
            <w:tcBorders>
              <w:top w:val="single" w:sz="6" w:space="0" w:color="000000"/>
              <w:left w:val="single" w:sz="6" w:space="0" w:color="000000"/>
              <w:bottom w:val="nil" w:sz="6" w:space="0" w:color="auto"/>
              <w:right w:val="single" w:sz="4" w:space="0" w:color="000000"/>
            </w:tcBorders>
          </w:tcPr>
          <w:p>
            <w:pPr/>
          </w:p>
        </w:tc>
      </w:tr>
      <w:tr>
        <w:trPr>
          <w:trHeight w:val="544" w:hRule="exact"/>
        </w:trPr>
        <w:tc>
          <w:tcPr>
            <w:tcW w:w="1199" w:type="dxa"/>
            <w:tcBorders>
              <w:top w:val="nil" w:sz="6" w:space="0" w:color="auto"/>
              <w:left w:val="single" w:sz="4" w:space="0" w:color="000000"/>
              <w:bottom w:val="nil" w:sz="6" w:space="0" w:color="auto"/>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证博泽科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w:t>
            </w:r>
          </w:p>
        </w:tc>
        <w:tc>
          <w:tcPr>
            <w:tcW w:w="128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深圳市</w:t>
            </w:r>
          </w:p>
        </w:tc>
        <w:tc>
          <w:tcPr>
            <w:tcW w:w="127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130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12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478" w:right="0"/>
              <w:jc w:val="left"/>
              <w:rPr>
                <w:rFonts w:ascii="宋体" w:hAnsi="宋体" w:cs="宋体" w:eastAsia="宋体" w:hint="default"/>
                <w:sz w:val="21"/>
                <w:szCs w:val="21"/>
              </w:rPr>
            </w:pPr>
            <w:r>
              <w:rPr>
                <w:rFonts w:ascii="宋体"/>
                <w:sz w:val="21"/>
              </w:rPr>
              <w:t>100</w:t>
            </w:r>
          </w:p>
        </w:tc>
        <w:tc>
          <w:tcPr>
            <w:tcW w:w="1286" w:type="dxa"/>
            <w:vMerge/>
            <w:tcBorders>
              <w:left w:val="single" w:sz="6" w:space="0" w:color="000000"/>
              <w:right w:val="single" w:sz="6" w:space="0" w:color="000000"/>
            </w:tcBorders>
          </w:tcPr>
          <w:p>
            <w:pPr/>
          </w:p>
        </w:tc>
        <w:tc>
          <w:tcPr>
            <w:tcW w:w="1417" w:type="dxa"/>
            <w:tcBorders>
              <w:top w:val="nil" w:sz="6" w:space="0" w:color="auto"/>
              <w:left w:val="single" w:sz="6" w:space="0" w:color="000000"/>
              <w:bottom w:val="nil" w:sz="6" w:space="0" w:color="auto"/>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1199" w:type="dxa"/>
            <w:tcBorders>
              <w:top w:val="nil" w:sz="6" w:space="0" w:color="auto"/>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289" w:type="dxa"/>
            <w:tcBorders>
              <w:top w:val="nil" w:sz="6" w:space="0" w:color="auto"/>
              <w:left w:val="single" w:sz="6" w:space="0" w:color="000000"/>
              <w:bottom w:val="single" w:sz="6" w:space="0" w:color="000000"/>
              <w:right w:val="single" w:sz="6" w:space="0" w:color="000000"/>
            </w:tcBorders>
          </w:tcPr>
          <w:p>
            <w:pPr/>
          </w:p>
        </w:tc>
        <w:tc>
          <w:tcPr>
            <w:tcW w:w="1271" w:type="dxa"/>
            <w:tcBorders>
              <w:top w:val="nil" w:sz="6" w:space="0" w:color="auto"/>
              <w:left w:val="single" w:sz="6" w:space="0" w:color="000000"/>
              <w:bottom w:val="single" w:sz="6" w:space="0" w:color="000000"/>
              <w:right w:val="single" w:sz="6" w:space="0" w:color="000000"/>
            </w:tcBorders>
          </w:tcPr>
          <w:p>
            <w:pPr/>
          </w:p>
        </w:tc>
        <w:tc>
          <w:tcPr>
            <w:tcW w:w="1300" w:type="dxa"/>
            <w:tcBorders>
              <w:top w:val="nil" w:sz="6" w:space="0" w:color="auto"/>
              <w:left w:val="single" w:sz="6" w:space="0" w:color="000000"/>
              <w:bottom w:val="single" w:sz="6" w:space="0" w:color="000000"/>
              <w:right w:val="single" w:sz="6" w:space="0" w:color="000000"/>
            </w:tcBorders>
          </w:tcPr>
          <w:p>
            <w:pPr/>
          </w:p>
        </w:tc>
        <w:tc>
          <w:tcPr>
            <w:tcW w:w="1288" w:type="dxa"/>
            <w:tcBorders>
              <w:top w:val="nil" w:sz="6" w:space="0" w:color="auto"/>
              <w:left w:val="single" w:sz="6" w:space="0" w:color="000000"/>
              <w:bottom w:val="single" w:sz="6" w:space="0" w:color="000000"/>
              <w:right w:val="single" w:sz="6" w:space="0" w:color="000000"/>
            </w:tcBorders>
          </w:tcPr>
          <w:p>
            <w:pPr/>
          </w:p>
        </w:tc>
        <w:tc>
          <w:tcPr>
            <w:tcW w:w="1286" w:type="dxa"/>
            <w:vMerge/>
            <w:tcBorders>
              <w:left w:val="single" w:sz="6" w:space="0" w:color="000000"/>
              <w:bottom w:val="single" w:sz="6" w:space="0" w:color="000000"/>
              <w:right w:val="single" w:sz="6" w:space="0" w:color="000000"/>
            </w:tcBorders>
          </w:tcPr>
          <w:p>
            <w:pPr/>
          </w:p>
        </w:tc>
        <w:tc>
          <w:tcPr>
            <w:tcW w:w="1417" w:type="dxa"/>
            <w:tcBorders>
              <w:top w:val="nil" w:sz="6" w:space="0" w:color="auto"/>
              <w:left w:val="single" w:sz="6" w:space="0" w:color="000000"/>
              <w:bottom w:val="single" w:sz="6" w:space="0" w:color="000000"/>
              <w:right w:val="single" w:sz="4" w:space="0" w:color="000000"/>
            </w:tcBorders>
          </w:tcPr>
          <w:p>
            <w:pPr/>
          </w:p>
        </w:tc>
      </w:tr>
      <w:tr>
        <w:trPr>
          <w:trHeight w:val="279" w:hRule="exact"/>
        </w:trPr>
        <w:tc>
          <w:tcPr>
            <w:tcW w:w="1199" w:type="dxa"/>
            <w:tcBorders>
              <w:top w:val="single" w:sz="6" w:space="0" w:color="000000"/>
              <w:left w:val="single" w:sz="4" w:space="0" w:color="000000"/>
              <w:bottom w:val="nil" w:sz="6" w:space="0" w:color="auto"/>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南京金证</w:t>
            </w:r>
          </w:p>
        </w:tc>
        <w:tc>
          <w:tcPr>
            <w:tcW w:w="1289" w:type="dxa"/>
            <w:tcBorders>
              <w:top w:val="single" w:sz="6" w:space="0" w:color="000000"/>
              <w:left w:val="single" w:sz="6" w:space="0" w:color="000000"/>
              <w:bottom w:val="nil" w:sz="6" w:space="0" w:color="auto"/>
              <w:right w:val="single" w:sz="6" w:space="0" w:color="000000"/>
            </w:tcBorders>
          </w:tcPr>
          <w:p>
            <w:pPr/>
          </w:p>
        </w:tc>
        <w:tc>
          <w:tcPr>
            <w:tcW w:w="1271" w:type="dxa"/>
            <w:tcBorders>
              <w:top w:val="single" w:sz="6" w:space="0" w:color="000000"/>
              <w:left w:val="single" w:sz="6" w:space="0" w:color="000000"/>
              <w:bottom w:val="nil" w:sz="6" w:space="0" w:color="auto"/>
              <w:right w:val="single" w:sz="6" w:space="0" w:color="000000"/>
            </w:tcBorders>
          </w:tcPr>
          <w:p>
            <w:pPr/>
          </w:p>
        </w:tc>
        <w:tc>
          <w:tcPr>
            <w:tcW w:w="1300" w:type="dxa"/>
            <w:tcBorders>
              <w:top w:val="single" w:sz="6" w:space="0" w:color="000000"/>
              <w:left w:val="single" w:sz="6" w:space="0" w:color="000000"/>
              <w:bottom w:val="nil" w:sz="6" w:space="0" w:color="auto"/>
              <w:right w:val="single" w:sz="6" w:space="0" w:color="000000"/>
            </w:tcBorders>
          </w:tcPr>
          <w:p>
            <w:pPr/>
          </w:p>
        </w:tc>
        <w:tc>
          <w:tcPr>
            <w:tcW w:w="1288" w:type="dxa"/>
            <w:tcBorders>
              <w:top w:val="single" w:sz="6" w:space="0" w:color="000000"/>
              <w:left w:val="single" w:sz="6" w:space="0" w:color="000000"/>
              <w:bottom w:val="nil" w:sz="6" w:space="0" w:color="auto"/>
              <w:right w:val="single" w:sz="6" w:space="0" w:color="000000"/>
            </w:tcBorders>
          </w:tcPr>
          <w:p>
            <w:pPr/>
          </w:p>
        </w:tc>
        <w:tc>
          <w:tcPr>
            <w:tcW w:w="1286" w:type="dxa"/>
            <w:tcBorders>
              <w:top w:val="single" w:sz="6" w:space="0" w:color="000000"/>
              <w:left w:val="single" w:sz="6" w:space="0" w:color="000000"/>
              <w:bottom w:val="nil" w:sz="6" w:space="0" w:color="auto"/>
              <w:right w:val="single" w:sz="6" w:space="0" w:color="000000"/>
            </w:tcBorders>
          </w:tcPr>
          <w:p>
            <w:pPr/>
          </w:p>
        </w:tc>
        <w:tc>
          <w:tcPr>
            <w:tcW w:w="1417" w:type="dxa"/>
            <w:tcBorders>
              <w:top w:val="single" w:sz="6" w:space="0" w:color="000000"/>
              <w:left w:val="single" w:sz="6" w:space="0" w:color="000000"/>
              <w:bottom w:val="nil" w:sz="6" w:space="0" w:color="auto"/>
              <w:right w:val="single" w:sz="4" w:space="0" w:color="000000"/>
            </w:tcBorders>
          </w:tcPr>
          <w:p>
            <w:pPr/>
          </w:p>
        </w:tc>
      </w:tr>
      <w:tr>
        <w:trPr>
          <w:trHeight w:val="272" w:hRule="exact"/>
        </w:trPr>
        <w:tc>
          <w:tcPr>
            <w:tcW w:w="1199" w:type="dxa"/>
            <w:tcBorders>
              <w:top w:val="nil" w:sz="6" w:space="0" w:color="auto"/>
              <w:left w:val="single" w:sz="4" w:space="0" w:color="000000"/>
              <w:bottom w:val="nil" w:sz="6" w:space="0" w:color="auto"/>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128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南京市</w:t>
            </w:r>
          </w:p>
        </w:tc>
        <w:tc>
          <w:tcPr>
            <w:tcW w:w="1271"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南京市</w:t>
            </w:r>
          </w:p>
        </w:tc>
        <w:tc>
          <w:tcPr>
            <w:tcW w:w="130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128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80</w:t>
            </w:r>
          </w:p>
        </w:tc>
        <w:tc>
          <w:tcPr>
            <w:tcW w:w="12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w:t>
            </w:r>
          </w:p>
        </w:tc>
        <w:tc>
          <w:tcPr>
            <w:tcW w:w="1417" w:type="dxa"/>
            <w:tcBorders>
              <w:top w:val="nil" w:sz="6" w:space="0" w:color="auto"/>
              <w:left w:val="single" w:sz="6" w:space="0" w:color="000000"/>
              <w:bottom w:val="nil" w:sz="6" w:space="0" w:color="auto"/>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1199" w:type="dxa"/>
            <w:tcBorders>
              <w:top w:val="nil" w:sz="6" w:space="0" w:color="auto"/>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89" w:type="dxa"/>
            <w:tcBorders>
              <w:top w:val="nil" w:sz="6" w:space="0" w:color="auto"/>
              <w:left w:val="single" w:sz="6" w:space="0" w:color="000000"/>
              <w:bottom w:val="single" w:sz="6" w:space="0" w:color="000000"/>
              <w:right w:val="single" w:sz="6" w:space="0" w:color="000000"/>
            </w:tcBorders>
          </w:tcPr>
          <w:p>
            <w:pPr/>
          </w:p>
        </w:tc>
        <w:tc>
          <w:tcPr>
            <w:tcW w:w="1271" w:type="dxa"/>
            <w:tcBorders>
              <w:top w:val="nil" w:sz="6" w:space="0" w:color="auto"/>
              <w:left w:val="single" w:sz="6" w:space="0" w:color="000000"/>
              <w:bottom w:val="single" w:sz="6" w:space="0" w:color="000000"/>
              <w:right w:val="single" w:sz="6" w:space="0" w:color="000000"/>
            </w:tcBorders>
          </w:tcPr>
          <w:p>
            <w:pPr/>
          </w:p>
        </w:tc>
        <w:tc>
          <w:tcPr>
            <w:tcW w:w="1300" w:type="dxa"/>
            <w:tcBorders>
              <w:top w:val="nil" w:sz="6" w:space="0" w:color="auto"/>
              <w:left w:val="single" w:sz="6" w:space="0" w:color="000000"/>
              <w:bottom w:val="single" w:sz="6" w:space="0" w:color="000000"/>
              <w:right w:val="single" w:sz="6" w:space="0" w:color="000000"/>
            </w:tcBorders>
          </w:tcPr>
          <w:p>
            <w:pPr/>
          </w:p>
        </w:tc>
        <w:tc>
          <w:tcPr>
            <w:tcW w:w="1288" w:type="dxa"/>
            <w:tcBorders>
              <w:top w:val="nil" w:sz="6" w:space="0" w:color="auto"/>
              <w:left w:val="single" w:sz="6" w:space="0" w:color="000000"/>
              <w:bottom w:val="single" w:sz="6" w:space="0" w:color="000000"/>
              <w:right w:val="single" w:sz="6" w:space="0" w:color="000000"/>
            </w:tcBorders>
          </w:tcPr>
          <w:p>
            <w:pPr/>
          </w:p>
        </w:tc>
        <w:tc>
          <w:tcPr>
            <w:tcW w:w="1286" w:type="dxa"/>
            <w:tcBorders>
              <w:top w:val="nil" w:sz="6" w:space="0" w:color="auto"/>
              <w:left w:val="single" w:sz="6" w:space="0" w:color="000000"/>
              <w:bottom w:val="single" w:sz="6" w:space="0" w:color="000000"/>
              <w:right w:val="single" w:sz="6" w:space="0" w:color="000000"/>
            </w:tcBorders>
          </w:tcPr>
          <w:p>
            <w:pPr/>
          </w:p>
        </w:tc>
        <w:tc>
          <w:tcPr>
            <w:tcW w:w="1417" w:type="dxa"/>
            <w:tcBorders>
              <w:top w:val="nil" w:sz="6" w:space="0" w:color="auto"/>
              <w:left w:val="single" w:sz="6" w:space="0" w:color="000000"/>
              <w:bottom w:val="single" w:sz="6" w:space="0" w:color="000000"/>
              <w:right w:val="single" w:sz="4" w:space="0" w:color="000000"/>
            </w:tcBorders>
          </w:tcPr>
          <w:p>
            <w:pPr/>
          </w:p>
        </w:tc>
      </w:tr>
      <w:tr>
        <w:trPr>
          <w:trHeight w:val="278" w:hRule="exact"/>
        </w:trPr>
        <w:tc>
          <w:tcPr>
            <w:tcW w:w="1199" w:type="dxa"/>
            <w:tcBorders>
              <w:top w:val="single" w:sz="6" w:space="0" w:color="000000"/>
              <w:left w:val="single" w:sz="4" w:space="0" w:color="000000"/>
              <w:bottom w:val="nil" w:sz="6" w:space="0" w:color="auto"/>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金证财富</w:t>
            </w:r>
          </w:p>
        </w:tc>
        <w:tc>
          <w:tcPr>
            <w:tcW w:w="1289" w:type="dxa"/>
            <w:tcBorders>
              <w:top w:val="single" w:sz="6" w:space="0" w:color="000000"/>
              <w:left w:val="single" w:sz="6" w:space="0" w:color="000000"/>
              <w:bottom w:val="nil" w:sz="6" w:space="0" w:color="auto"/>
              <w:right w:val="single" w:sz="6" w:space="0" w:color="000000"/>
            </w:tcBorders>
          </w:tcPr>
          <w:p>
            <w:pPr/>
          </w:p>
        </w:tc>
        <w:tc>
          <w:tcPr>
            <w:tcW w:w="1271" w:type="dxa"/>
            <w:tcBorders>
              <w:top w:val="single" w:sz="6" w:space="0" w:color="000000"/>
              <w:left w:val="single" w:sz="6" w:space="0" w:color="000000"/>
              <w:bottom w:val="nil" w:sz="6" w:space="0" w:color="auto"/>
              <w:right w:val="single" w:sz="6" w:space="0" w:color="000000"/>
            </w:tcBorders>
          </w:tcPr>
          <w:p>
            <w:pPr/>
          </w:p>
        </w:tc>
        <w:tc>
          <w:tcPr>
            <w:tcW w:w="1300" w:type="dxa"/>
            <w:tcBorders>
              <w:top w:val="single" w:sz="6" w:space="0" w:color="000000"/>
              <w:left w:val="single" w:sz="6" w:space="0" w:color="000000"/>
              <w:bottom w:val="nil" w:sz="6" w:space="0" w:color="auto"/>
              <w:right w:val="single" w:sz="6" w:space="0" w:color="000000"/>
            </w:tcBorders>
          </w:tcPr>
          <w:p>
            <w:pPr/>
          </w:p>
        </w:tc>
        <w:tc>
          <w:tcPr>
            <w:tcW w:w="1288" w:type="dxa"/>
            <w:tcBorders>
              <w:top w:val="single" w:sz="6" w:space="0" w:color="000000"/>
              <w:left w:val="single" w:sz="6" w:space="0" w:color="000000"/>
              <w:bottom w:val="nil" w:sz="6" w:space="0" w:color="auto"/>
              <w:right w:val="single" w:sz="6" w:space="0" w:color="000000"/>
            </w:tcBorders>
          </w:tcPr>
          <w:p>
            <w:pPr/>
          </w:p>
        </w:tc>
        <w:tc>
          <w:tcPr>
            <w:tcW w:w="1286" w:type="dxa"/>
            <w:vMerge w:val="restart"/>
            <w:tcBorders>
              <w:top w:val="single" w:sz="6" w:space="0" w:color="000000"/>
              <w:left w:val="single" w:sz="6" w:space="0" w:color="000000"/>
              <w:right w:val="single" w:sz="6" w:space="0" w:color="000000"/>
            </w:tcBorders>
          </w:tcPr>
          <w:p>
            <w:pPr/>
          </w:p>
        </w:tc>
        <w:tc>
          <w:tcPr>
            <w:tcW w:w="1417" w:type="dxa"/>
            <w:tcBorders>
              <w:top w:val="single" w:sz="6" w:space="0" w:color="000000"/>
              <w:left w:val="single" w:sz="6" w:space="0" w:color="000000"/>
              <w:bottom w:val="nil" w:sz="6" w:space="0" w:color="auto"/>
              <w:right w:val="single" w:sz="4" w:space="0" w:color="000000"/>
            </w:tcBorders>
          </w:tcPr>
          <w:p>
            <w:pPr/>
          </w:p>
        </w:tc>
      </w:tr>
      <w:tr>
        <w:trPr>
          <w:trHeight w:val="272" w:hRule="exact"/>
        </w:trPr>
        <w:tc>
          <w:tcPr>
            <w:tcW w:w="1199" w:type="dxa"/>
            <w:tcBorders>
              <w:top w:val="nil" w:sz="6" w:space="0" w:color="auto"/>
              <w:left w:val="single" w:sz="4" w:space="0" w:color="000000"/>
              <w:bottom w:val="nil" w:sz="6" w:space="0" w:color="auto"/>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南京科技</w:t>
            </w:r>
          </w:p>
        </w:tc>
        <w:tc>
          <w:tcPr>
            <w:tcW w:w="128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南京市</w:t>
            </w:r>
          </w:p>
        </w:tc>
        <w:tc>
          <w:tcPr>
            <w:tcW w:w="1271"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南京市</w:t>
            </w:r>
          </w:p>
        </w:tc>
        <w:tc>
          <w:tcPr>
            <w:tcW w:w="130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128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65</w:t>
            </w:r>
          </w:p>
        </w:tc>
        <w:tc>
          <w:tcPr>
            <w:tcW w:w="1286" w:type="dxa"/>
            <w:vMerge/>
            <w:tcBorders>
              <w:left w:val="single" w:sz="6" w:space="0" w:color="000000"/>
              <w:right w:val="single" w:sz="6" w:space="0" w:color="000000"/>
            </w:tcBorders>
          </w:tcPr>
          <w:p>
            <w:pPr/>
          </w:p>
        </w:tc>
        <w:tc>
          <w:tcPr>
            <w:tcW w:w="1417" w:type="dxa"/>
            <w:tcBorders>
              <w:top w:val="nil" w:sz="6" w:space="0" w:color="auto"/>
              <w:left w:val="single" w:sz="6"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1199" w:type="dxa"/>
            <w:tcBorders>
              <w:top w:val="nil" w:sz="6" w:space="0" w:color="auto"/>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89" w:type="dxa"/>
            <w:tcBorders>
              <w:top w:val="nil" w:sz="6" w:space="0" w:color="auto"/>
              <w:left w:val="single" w:sz="6" w:space="0" w:color="000000"/>
              <w:bottom w:val="single" w:sz="6" w:space="0" w:color="000000"/>
              <w:right w:val="single" w:sz="6" w:space="0" w:color="000000"/>
            </w:tcBorders>
          </w:tcPr>
          <w:p>
            <w:pPr/>
          </w:p>
        </w:tc>
        <w:tc>
          <w:tcPr>
            <w:tcW w:w="1271" w:type="dxa"/>
            <w:tcBorders>
              <w:top w:val="nil" w:sz="6" w:space="0" w:color="auto"/>
              <w:left w:val="single" w:sz="6" w:space="0" w:color="000000"/>
              <w:bottom w:val="single" w:sz="6" w:space="0" w:color="000000"/>
              <w:right w:val="single" w:sz="6" w:space="0" w:color="000000"/>
            </w:tcBorders>
          </w:tcPr>
          <w:p>
            <w:pPr/>
          </w:p>
        </w:tc>
        <w:tc>
          <w:tcPr>
            <w:tcW w:w="1300" w:type="dxa"/>
            <w:tcBorders>
              <w:top w:val="nil" w:sz="6" w:space="0" w:color="auto"/>
              <w:left w:val="single" w:sz="6" w:space="0" w:color="000000"/>
              <w:bottom w:val="single" w:sz="6" w:space="0" w:color="000000"/>
              <w:right w:val="single" w:sz="6" w:space="0" w:color="000000"/>
            </w:tcBorders>
          </w:tcPr>
          <w:p>
            <w:pPr/>
          </w:p>
        </w:tc>
        <w:tc>
          <w:tcPr>
            <w:tcW w:w="1288" w:type="dxa"/>
            <w:tcBorders>
              <w:top w:val="nil" w:sz="6" w:space="0" w:color="auto"/>
              <w:left w:val="single" w:sz="6" w:space="0" w:color="000000"/>
              <w:bottom w:val="single" w:sz="6" w:space="0" w:color="000000"/>
              <w:right w:val="single" w:sz="6" w:space="0" w:color="000000"/>
            </w:tcBorders>
          </w:tcPr>
          <w:p>
            <w:pPr/>
          </w:p>
        </w:tc>
        <w:tc>
          <w:tcPr>
            <w:tcW w:w="1286" w:type="dxa"/>
            <w:vMerge/>
            <w:tcBorders>
              <w:left w:val="single" w:sz="6" w:space="0" w:color="000000"/>
              <w:bottom w:val="single" w:sz="6" w:space="0" w:color="000000"/>
              <w:right w:val="single" w:sz="6" w:space="0" w:color="000000"/>
            </w:tcBorders>
          </w:tcPr>
          <w:p>
            <w:pPr/>
          </w:p>
        </w:tc>
        <w:tc>
          <w:tcPr>
            <w:tcW w:w="1417" w:type="dxa"/>
            <w:tcBorders>
              <w:top w:val="nil" w:sz="6" w:space="0" w:color="auto"/>
              <w:left w:val="single" w:sz="6" w:space="0" w:color="000000"/>
              <w:bottom w:val="single" w:sz="6" w:space="0" w:color="000000"/>
              <w:right w:val="single" w:sz="4" w:space="0" w:color="000000"/>
            </w:tcBorders>
          </w:tcPr>
          <w:p>
            <w:pPr/>
          </w:p>
        </w:tc>
      </w:tr>
      <w:tr>
        <w:trPr>
          <w:trHeight w:val="279" w:hRule="exact"/>
        </w:trPr>
        <w:tc>
          <w:tcPr>
            <w:tcW w:w="1199" w:type="dxa"/>
            <w:tcBorders>
              <w:top w:val="single" w:sz="6" w:space="0" w:color="000000"/>
              <w:left w:val="single" w:sz="4" w:space="0" w:color="000000"/>
              <w:bottom w:val="nil" w:sz="6" w:space="0" w:color="auto"/>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成都金证</w:t>
            </w:r>
          </w:p>
        </w:tc>
        <w:tc>
          <w:tcPr>
            <w:tcW w:w="1289" w:type="dxa"/>
            <w:tcBorders>
              <w:top w:val="single" w:sz="6" w:space="0" w:color="000000"/>
              <w:left w:val="single" w:sz="6" w:space="0" w:color="000000"/>
              <w:bottom w:val="nil" w:sz="6" w:space="0" w:color="auto"/>
              <w:right w:val="single" w:sz="6" w:space="0" w:color="000000"/>
            </w:tcBorders>
          </w:tcPr>
          <w:p>
            <w:pPr/>
          </w:p>
        </w:tc>
        <w:tc>
          <w:tcPr>
            <w:tcW w:w="1271" w:type="dxa"/>
            <w:tcBorders>
              <w:top w:val="single" w:sz="6" w:space="0" w:color="000000"/>
              <w:left w:val="single" w:sz="6" w:space="0" w:color="000000"/>
              <w:bottom w:val="nil" w:sz="6" w:space="0" w:color="auto"/>
              <w:right w:val="single" w:sz="6" w:space="0" w:color="000000"/>
            </w:tcBorders>
          </w:tcPr>
          <w:p>
            <w:pPr/>
          </w:p>
        </w:tc>
        <w:tc>
          <w:tcPr>
            <w:tcW w:w="1300" w:type="dxa"/>
            <w:tcBorders>
              <w:top w:val="single" w:sz="6" w:space="0" w:color="000000"/>
              <w:left w:val="single" w:sz="6" w:space="0" w:color="000000"/>
              <w:bottom w:val="nil" w:sz="6" w:space="0" w:color="auto"/>
              <w:right w:val="single" w:sz="6" w:space="0" w:color="000000"/>
            </w:tcBorders>
          </w:tcPr>
          <w:p>
            <w:pPr/>
          </w:p>
        </w:tc>
        <w:tc>
          <w:tcPr>
            <w:tcW w:w="1288" w:type="dxa"/>
            <w:vMerge w:val="restart"/>
            <w:tcBorders>
              <w:top w:val="single" w:sz="6" w:space="0" w:color="000000"/>
              <w:left w:val="single" w:sz="6" w:space="0" w:color="000000"/>
              <w:right w:val="single" w:sz="6" w:space="0" w:color="000000"/>
            </w:tcBorders>
          </w:tcPr>
          <w:p>
            <w:pPr/>
          </w:p>
        </w:tc>
        <w:tc>
          <w:tcPr>
            <w:tcW w:w="1286" w:type="dxa"/>
            <w:tcBorders>
              <w:top w:val="single" w:sz="6" w:space="0" w:color="000000"/>
              <w:left w:val="single" w:sz="6" w:space="0" w:color="000000"/>
              <w:bottom w:val="nil" w:sz="6" w:space="0" w:color="auto"/>
              <w:right w:val="single" w:sz="6" w:space="0" w:color="000000"/>
            </w:tcBorders>
          </w:tcPr>
          <w:p>
            <w:pPr/>
          </w:p>
        </w:tc>
        <w:tc>
          <w:tcPr>
            <w:tcW w:w="1417" w:type="dxa"/>
            <w:tcBorders>
              <w:top w:val="single" w:sz="6" w:space="0" w:color="000000"/>
              <w:left w:val="single" w:sz="6" w:space="0" w:color="000000"/>
              <w:bottom w:val="nil" w:sz="6" w:space="0" w:color="auto"/>
              <w:right w:val="single" w:sz="4" w:space="0" w:color="000000"/>
            </w:tcBorders>
          </w:tcPr>
          <w:p>
            <w:pPr/>
          </w:p>
        </w:tc>
      </w:tr>
      <w:tr>
        <w:trPr>
          <w:trHeight w:val="272" w:hRule="exact"/>
        </w:trPr>
        <w:tc>
          <w:tcPr>
            <w:tcW w:w="1199" w:type="dxa"/>
            <w:tcBorders>
              <w:top w:val="nil" w:sz="6" w:space="0" w:color="auto"/>
              <w:left w:val="single" w:sz="4" w:space="0" w:color="000000"/>
              <w:bottom w:val="nil" w:sz="6" w:space="0" w:color="auto"/>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博泽科技</w:t>
            </w:r>
          </w:p>
        </w:tc>
        <w:tc>
          <w:tcPr>
            <w:tcW w:w="128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成都市</w:t>
            </w:r>
          </w:p>
        </w:tc>
        <w:tc>
          <w:tcPr>
            <w:tcW w:w="1271"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成都市</w:t>
            </w:r>
          </w:p>
        </w:tc>
        <w:tc>
          <w:tcPr>
            <w:tcW w:w="130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1288" w:type="dxa"/>
            <w:vMerge/>
            <w:tcBorders>
              <w:left w:val="single" w:sz="6" w:space="0" w:color="000000"/>
              <w:right w:val="single" w:sz="6" w:space="0" w:color="000000"/>
            </w:tcBorders>
          </w:tcPr>
          <w:p>
            <w:pPr/>
          </w:p>
        </w:tc>
        <w:tc>
          <w:tcPr>
            <w:tcW w:w="12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100</w:t>
            </w:r>
          </w:p>
        </w:tc>
        <w:tc>
          <w:tcPr>
            <w:tcW w:w="1417" w:type="dxa"/>
            <w:tcBorders>
              <w:top w:val="nil" w:sz="6" w:space="0" w:color="auto"/>
              <w:left w:val="single" w:sz="6" w:space="0" w:color="000000"/>
              <w:bottom w:val="nil" w:sz="6" w:space="0" w:color="auto"/>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1199" w:type="dxa"/>
            <w:tcBorders>
              <w:top w:val="nil" w:sz="6" w:space="0" w:color="auto"/>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89" w:type="dxa"/>
            <w:tcBorders>
              <w:top w:val="nil" w:sz="6" w:space="0" w:color="auto"/>
              <w:left w:val="single" w:sz="6" w:space="0" w:color="000000"/>
              <w:bottom w:val="single" w:sz="6" w:space="0" w:color="000000"/>
              <w:right w:val="single" w:sz="6" w:space="0" w:color="000000"/>
            </w:tcBorders>
          </w:tcPr>
          <w:p>
            <w:pPr/>
          </w:p>
        </w:tc>
        <w:tc>
          <w:tcPr>
            <w:tcW w:w="1271" w:type="dxa"/>
            <w:tcBorders>
              <w:top w:val="nil" w:sz="6" w:space="0" w:color="auto"/>
              <w:left w:val="single" w:sz="6" w:space="0" w:color="000000"/>
              <w:bottom w:val="single" w:sz="6" w:space="0" w:color="000000"/>
              <w:right w:val="single" w:sz="6" w:space="0" w:color="000000"/>
            </w:tcBorders>
          </w:tcPr>
          <w:p>
            <w:pPr/>
          </w:p>
        </w:tc>
        <w:tc>
          <w:tcPr>
            <w:tcW w:w="1300" w:type="dxa"/>
            <w:tcBorders>
              <w:top w:val="nil" w:sz="6" w:space="0" w:color="auto"/>
              <w:left w:val="single" w:sz="6" w:space="0" w:color="000000"/>
              <w:bottom w:val="single" w:sz="6" w:space="0" w:color="000000"/>
              <w:right w:val="single" w:sz="6" w:space="0" w:color="000000"/>
            </w:tcBorders>
          </w:tcPr>
          <w:p>
            <w:pPr/>
          </w:p>
        </w:tc>
        <w:tc>
          <w:tcPr>
            <w:tcW w:w="1288" w:type="dxa"/>
            <w:vMerge/>
            <w:tcBorders>
              <w:left w:val="single" w:sz="6" w:space="0" w:color="000000"/>
              <w:bottom w:val="single" w:sz="6" w:space="0" w:color="000000"/>
              <w:right w:val="single" w:sz="6" w:space="0" w:color="000000"/>
            </w:tcBorders>
          </w:tcPr>
          <w:p>
            <w:pPr/>
          </w:p>
        </w:tc>
        <w:tc>
          <w:tcPr>
            <w:tcW w:w="1286" w:type="dxa"/>
            <w:tcBorders>
              <w:top w:val="nil" w:sz="6" w:space="0" w:color="auto"/>
              <w:left w:val="single" w:sz="6" w:space="0" w:color="000000"/>
              <w:bottom w:val="single" w:sz="6" w:space="0" w:color="000000"/>
              <w:right w:val="single" w:sz="6" w:space="0" w:color="000000"/>
            </w:tcBorders>
          </w:tcPr>
          <w:p>
            <w:pPr/>
          </w:p>
        </w:tc>
        <w:tc>
          <w:tcPr>
            <w:tcW w:w="1417" w:type="dxa"/>
            <w:tcBorders>
              <w:top w:val="nil" w:sz="6" w:space="0" w:color="auto"/>
              <w:left w:val="single" w:sz="6" w:space="0" w:color="000000"/>
              <w:bottom w:val="single" w:sz="6" w:space="0" w:color="000000"/>
              <w:right w:val="single" w:sz="4" w:space="0" w:color="000000"/>
            </w:tcBorders>
          </w:tcPr>
          <w:p>
            <w:pPr/>
          </w:p>
        </w:tc>
      </w:tr>
      <w:tr>
        <w:trPr>
          <w:trHeight w:val="278" w:hRule="exact"/>
        </w:trPr>
        <w:tc>
          <w:tcPr>
            <w:tcW w:w="1199" w:type="dxa"/>
            <w:tcBorders>
              <w:top w:val="single" w:sz="6" w:space="0" w:color="000000"/>
              <w:left w:val="single" w:sz="4" w:space="0" w:color="000000"/>
              <w:bottom w:val="nil" w:sz="6" w:space="0" w:color="auto"/>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成都金证</w:t>
            </w:r>
          </w:p>
        </w:tc>
        <w:tc>
          <w:tcPr>
            <w:tcW w:w="1289" w:type="dxa"/>
            <w:tcBorders>
              <w:top w:val="single" w:sz="6" w:space="0" w:color="000000"/>
              <w:left w:val="single" w:sz="6" w:space="0" w:color="000000"/>
              <w:bottom w:val="nil" w:sz="6" w:space="0" w:color="auto"/>
              <w:right w:val="single" w:sz="6" w:space="0" w:color="000000"/>
            </w:tcBorders>
          </w:tcPr>
          <w:p>
            <w:pPr/>
          </w:p>
        </w:tc>
        <w:tc>
          <w:tcPr>
            <w:tcW w:w="1271" w:type="dxa"/>
            <w:tcBorders>
              <w:top w:val="single" w:sz="6" w:space="0" w:color="000000"/>
              <w:left w:val="single" w:sz="6" w:space="0" w:color="000000"/>
              <w:bottom w:val="nil" w:sz="6" w:space="0" w:color="auto"/>
              <w:right w:val="single" w:sz="6" w:space="0" w:color="000000"/>
            </w:tcBorders>
          </w:tcPr>
          <w:p>
            <w:pPr/>
          </w:p>
        </w:tc>
        <w:tc>
          <w:tcPr>
            <w:tcW w:w="1300" w:type="dxa"/>
            <w:tcBorders>
              <w:top w:val="single" w:sz="6" w:space="0" w:color="000000"/>
              <w:left w:val="single" w:sz="6" w:space="0" w:color="000000"/>
              <w:bottom w:val="nil" w:sz="6" w:space="0" w:color="auto"/>
              <w:right w:val="single" w:sz="6" w:space="0" w:color="000000"/>
            </w:tcBorders>
          </w:tcPr>
          <w:p>
            <w:pPr/>
          </w:p>
        </w:tc>
        <w:tc>
          <w:tcPr>
            <w:tcW w:w="1288" w:type="dxa"/>
            <w:vMerge w:val="restart"/>
            <w:tcBorders>
              <w:top w:val="single" w:sz="6" w:space="0" w:color="000000"/>
              <w:left w:val="single" w:sz="6" w:space="0" w:color="000000"/>
              <w:right w:val="single" w:sz="6" w:space="0" w:color="000000"/>
            </w:tcBorders>
          </w:tcPr>
          <w:p>
            <w:pPr/>
          </w:p>
        </w:tc>
        <w:tc>
          <w:tcPr>
            <w:tcW w:w="1286" w:type="dxa"/>
            <w:tcBorders>
              <w:top w:val="single" w:sz="6" w:space="0" w:color="000000"/>
              <w:left w:val="single" w:sz="6" w:space="0" w:color="000000"/>
              <w:bottom w:val="nil" w:sz="6" w:space="0" w:color="auto"/>
              <w:right w:val="single" w:sz="6" w:space="0" w:color="000000"/>
            </w:tcBorders>
          </w:tcPr>
          <w:p>
            <w:pPr/>
          </w:p>
        </w:tc>
        <w:tc>
          <w:tcPr>
            <w:tcW w:w="1417" w:type="dxa"/>
            <w:tcBorders>
              <w:top w:val="single" w:sz="6" w:space="0" w:color="000000"/>
              <w:left w:val="single" w:sz="6" w:space="0" w:color="000000"/>
              <w:bottom w:val="nil" w:sz="6" w:space="0" w:color="auto"/>
              <w:right w:val="single" w:sz="4" w:space="0" w:color="000000"/>
            </w:tcBorders>
          </w:tcPr>
          <w:p>
            <w:pPr/>
          </w:p>
        </w:tc>
      </w:tr>
      <w:tr>
        <w:trPr>
          <w:trHeight w:val="272" w:hRule="exact"/>
        </w:trPr>
        <w:tc>
          <w:tcPr>
            <w:tcW w:w="1199" w:type="dxa"/>
            <w:tcBorders>
              <w:top w:val="nil" w:sz="6" w:space="0" w:color="auto"/>
              <w:left w:val="single" w:sz="4" w:space="0" w:color="000000"/>
              <w:bottom w:val="nil" w:sz="6" w:space="0" w:color="auto"/>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同洲科技</w:t>
            </w:r>
          </w:p>
        </w:tc>
        <w:tc>
          <w:tcPr>
            <w:tcW w:w="128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成都市</w:t>
            </w:r>
          </w:p>
        </w:tc>
        <w:tc>
          <w:tcPr>
            <w:tcW w:w="1271"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成都市</w:t>
            </w:r>
          </w:p>
        </w:tc>
        <w:tc>
          <w:tcPr>
            <w:tcW w:w="130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1288" w:type="dxa"/>
            <w:vMerge/>
            <w:tcBorders>
              <w:left w:val="single" w:sz="6" w:space="0" w:color="000000"/>
              <w:right w:val="single" w:sz="6" w:space="0" w:color="000000"/>
            </w:tcBorders>
          </w:tcPr>
          <w:p>
            <w:pPr/>
          </w:p>
        </w:tc>
        <w:tc>
          <w:tcPr>
            <w:tcW w:w="12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51</w:t>
            </w:r>
          </w:p>
        </w:tc>
        <w:tc>
          <w:tcPr>
            <w:tcW w:w="1417" w:type="dxa"/>
            <w:tcBorders>
              <w:top w:val="nil" w:sz="6" w:space="0" w:color="auto"/>
              <w:left w:val="single" w:sz="6"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1199" w:type="dxa"/>
            <w:tcBorders>
              <w:top w:val="nil" w:sz="6" w:space="0" w:color="auto"/>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89" w:type="dxa"/>
            <w:tcBorders>
              <w:top w:val="nil" w:sz="6" w:space="0" w:color="auto"/>
              <w:left w:val="single" w:sz="6" w:space="0" w:color="000000"/>
              <w:bottom w:val="single" w:sz="6" w:space="0" w:color="000000"/>
              <w:right w:val="single" w:sz="6" w:space="0" w:color="000000"/>
            </w:tcBorders>
          </w:tcPr>
          <w:p>
            <w:pPr/>
          </w:p>
        </w:tc>
        <w:tc>
          <w:tcPr>
            <w:tcW w:w="1271" w:type="dxa"/>
            <w:tcBorders>
              <w:top w:val="nil" w:sz="6" w:space="0" w:color="auto"/>
              <w:left w:val="single" w:sz="6" w:space="0" w:color="000000"/>
              <w:bottom w:val="single" w:sz="6" w:space="0" w:color="000000"/>
              <w:right w:val="single" w:sz="6" w:space="0" w:color="000000"/>
            </w:tcBorders>
          </w:tcPr>
          <w:p>
            <w:pPr/>
          </w:p>
        </w:tc>
        <w:tc>
          <w:tcPr>
            <w:tcW w:w="1300" w:type="dxa"/>
            <w:tcBorders>
              <w:top w:val="nil" w:sz="6" w:space="0" w:color="auto"/>
              <w:left w:val="single" w:sz="6" w:space="0" w:color="000000"/>
              <w:bottom w:val="single" w:sz="6" w:space="0" w:color="000000"/>
              <w:right w:val="single" w:sz="6" w:space="0" w:color="000000"/>
            </w:tcBorders>
          </w:tcPr>
          <w:p>
            <w:pPr/>
          </w:p>
        </w:tc>
        <w:tc>
          <w:tcPr>
            <w:tcW w:w="1288" w:type="dxa"/>
            <w:vMerge/>
            <w:tcBorders>
              <w:left w:val="single" w:sz="6" w:space="0" w:color="000000"/>
              <w:bottom w:val="single" w:sz="6" w:space="0" w:color="000000"/>
              <w:right w:val="single" w:sz="6" w:space="0" w:color="000000"/>
            </w:tcBorders>
          </w:tcPr>
          <w:p>
            <w:pPr/>
          </w:p>
        </w:tc>
        <w:tc>
          <w:tcPr>
            <w:tcW w:w="1286" w:type="dxa"/>
            <w:tcBorders>
              <w:top w:val="nil" w:sz="6" w:space="0" w:color="auto"/>
              <w:left w:val="single" w:sz="6" w:space="0" w:color="000000"/>
              <w:bottom w:val="single" w:sz="6" w:space="0" w:color="000000"/>
              <w:right w:val="single" w:sz="6" w:space="0" w:color="000000"/>
            </w:tcBorders>
          </w:tcPr>
          <w:p>
            <w:pPr/>
          </w:p>
        </w:tc>
        <w:tc>
          <w:tcPr>
            <w:tcW w:w="1417" w:type="dxa"/>
            <w:tcBorders>
              <w:top w:val="nil" w:sz="6" w:space="0" w:color="auto"/>
              <w:left w:val="single" w:sz="6" w:space="0" w:color="000000"/>
              <w:bottom w:val="single" w:sz="6" w:space="0" w:color="000000"/>
              <w:right w:val="single" w:sz="4" w:space="0" w:color="000000"/>
            </w:tcBorders>
          </w:tcPr>
          <w:p>
            <w:pPr/>
          </w:p>
        </w:tc>
      </w:tr>
      <w:tr>
        <w:trPr>
          <w:trHeight w:val="278" w:hRule="exact"/>
        </w:trPr>
        <w:tc>
          <w:tcPr>
            <w:tcW w:w="1199" w:type="dxa"/>
            <w:tcBorders>
              <w:top w:val="single" w:sz="6" w:space="0" w:color="000000"/>
              <w:left w:val="single" w:sz="4" w:space="0" w:color="000000"/>
              <w:bottom w:val="nil" w:sz="6" w:space="0" w:color="auto"/>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齐普生信</w:t>
            </w:r>
          </w:p>
        </w:tc>
        <w:tc>
          <w:tcPr>
            <w:tcW w:w="1289" w:type="dxa"/>
            <w:tcBorders>
              <w:top w:val="single" w:sz="6" w:space="0" w:color="000000"/>
              <w:left w:val="single" w:sz="6" w:space="0" w:color="000000"/>
              <w:bottom w:val="nil" w:sz="6" w:space="0" w:color="auto"/>
              <w:right w:val="single" w:sz="6" w:space="0" w:color="000000"/>
            </w:tcBorders>
          </w:tcPr>
          <w:p>
            <w:pPr/>
          </w:p>
        </w:tc>
        <w:tc>
          <w:tcPr>
            <w:tcW w:w="1271" w:type="dxa"/>
            <w:tcBorders>
              <w:top w:val="single" w:sz="6" w:space="0" w:color="000000"/>
              <w:left w:val="single" w:sz="6" w:space="0" w:color="000000"/>
              <w:bottom w:val="nil" w:sz="6" w:space="0" w:color="auto"/>
              <w:right w:val="single" w:sz="6" w:space="0" w:color="000000"/>
            </w:tcBorders>
          </w:tcPr>
          <w:p>
            <w:pPr/>
          </w:p>
        </w:tc>
        <w:tc>
          <w:tcPr>
            <w:tcW w:w="1300" w:type="dxa"/>
            <w:tcBorders>
              <w:top w:val="single" w:sz="6" w:space="0" w:color="000000"/>
              <w:left w:val="single" w:sz="6" w:space="0" w:color="000000"/>
              <w:bottom w:val="nil" w:sz="6" w:space="0" w:color="auto"/>
              <w:right w:val="single" w:sz="6" w:space="0" w:color="000000"/>
            </w:tcBorders>
          </w:tcPr>
          <w:p>
            <w:pPr/>
          </w:p>
        </w:tc>
        <w:tc>
          <w:tcPr>
            <w:tcW w:w="1288" w:type="dxa"/>
            <w:vMerge w:val="restart"/>
            <w:tcBorders>
              <w:top w:val="single" w:sz="6" w:space="0" w:color="000000"/>
              <w:left w:val="single" w:sz="6" w:space="0" w:color="000000"/>
              <w:right w:val="single" w:sz="6" w:space="0" w:color="000000"/>
            </w:tcBorders>
          </w:tcPr>
          <w:p>
            <w:pPr/>
          </w:p>
        </w:tc>
        <w:tc>
          <w:tcPr>
            <w:tcW w:w="1286" w:type="dxa"/>
            <w:tcBorders>
              <w:top w:val="single" w:sz="6" w:space="0" w:color="000000"/>
              <w:left w:val="single" w:sz="6" w:space="0" w:color="000000"/>
              <w:bottom w:val="nil" w:sz="6" w:space="0" w:color="auto"/>
              <w:right w:val="single" w:sz="6" w:space="0" w:color="000000"/>
            </w:tcBorders>
          </w:tcPr>
          <w:p>
            <w:pPr/>
          </w:p>
        </w:tc>
        <w:tc>
          <w:tcPr>
            <w:tcW w:w="1417" w:type="dxa"/>
            <w:tcBorders>
              <w:top w:val="single" w:sz="6" w:space="0" w:color="000000"/>
              <w:left w:val="single" w:sz="6" w:space="0" w:color="000000"/>
              <w:bottom w:val="nil" w:sz="6" w:space="0" w:color="auto"/>
              <w:right w:val="single" w:sz="4" w:space="0" w:color="000000"/>
            </w:tcBorders>
          </w:tcPr>
          <w:p>
            <w:pPr/>
          </w:p>
        </w:tc>
      </w:tr>
      <w:tr>
        <w:trPr>
          <w:trHeight w:val="545" w:hRule="exact"/>
        </w:trPr>
        <w:tc>
          <w:tcPr>
            <w:tcW w:w="1199" w:type="dxa"/>
            <w:tcBorders>
              <w:top w:val="nil" w:sz="6" w:space="0" w:color="auto"/>
              <w:left w:val="single" w:sz="4" w:space="0" w:color="000000"/>
              <w:bottom w:val="nil" w:sz="6" w:space="0" w:color="auto"/>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息科技南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京有限公</w:t>
            </w:r>
          </w:p>
        </w:tc>
        <w:tc>
          <w:tcPr>
            <w:tcW w:w="1289"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1"/>
              <w:jc w:val="center"/>
              <w:rPr>
                <w:rFonts w:ascii="宋体" w:hAnsi="宋体" w:cs="宋体" w:eastAsia="宋体" w:hint="default"/>
                <w:sz w:val="21"/>
                <w:szCs w:val="21"/>
              </w:rPr>
            </w:pPr>
            <w:r>
              <w:rPr>
                <w:rFonts w:ascii="宋体" w:hAnsi="宋体" w:cs="宋体" w:eastAsia="宋体" w:hint="default"/>
                <w:sz w:val="21"/>
                <w:szCs w:val="21"/>
              </w:rPr>
              <w:t>南京市</w:t>
            </w:r>
          </w:p>
        </w:tc>
        <w:tc>
          <w:tcPr>
            <w:tcW w:w="1271"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南京市</w:t>
            </w:r>
          </w:p>
        </w:tc>
        <w:tc>
          <w:tcPr>
            <w:tcW w:w="1300"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1"/>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1288" w:type="dxa"/>
            <w:vMerge/>
            <w:tcBorders>
              <w:left w:val="single" w:sz="6" w:space="0" w:color="000000"/>
              <w:right w:val="single" w:sz="6" w:space="0" w:color="000000"/>
            </w:tcBorders>
          </w:tcPr>
          <w:p>
            <w:pPr/>
          </w:p>
        </w:tc>
        <w:tc>
          <w:tcPr>
            <w:tcW w:w="12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1"/>
              <w:jc w:val="center"/>
              <w:rPr>
                <w:rFonts w:ascii="宋体" w:hAnsi="宋体" w:cs="宋体" w:eastAsia="宋体" w:hint="default"/>
                <w:sz w:val="21"/>
                <w:szCs w:val="21"/>
              </w:rPr>
            </w:pPr>
            <w:r>
              <w:rPr>
                <w:rFonts w:ascii="宋体"/>
                <w:sz w:val="21"/>
              </w:rPr>
              <w:t>53</w:t>
            </w:r>
          </w:p>
        </w:tc>
        <w:tc>
          <w:tcPr>
            <w:tcW w:w="1417" w:type="dxa"/>
            <w:tcBorders>
              <w:top w:val="nil" w:sz="6" w:space="0" w:color="auto"/>
              <w:left w:val="single" w:sz="6" w:space="0" w:color="000000"/>
              <w:bottom w:val="nil" w:sz="6" w:space="0" w:color="auto"/>
              <w:right w:val="single" w:sz="4" w:space="0" w:color="000000"/>
            </w:tcBorders>
          </w:tcPr>
          <w:p>
            <w:pPr>
              <w:pStyle w:val="TableParagraph"/>
              <w:spacing w:line="240" w:lineRule="auto" w:before="103"/>
              <w:ind w:right="1"/>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0" w:hRule="exact"/>
        </w:trPr>
        <w:tc>
          <w:tcPr>
            <w:tcW w:w="1199" w:type="dxa"/>
            <w:tcBorders>
              <w:top w:val="nil" w:sz="6" w:space="0" w:color="auto"/>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289" w:type="dxa"/>
            <w:tcBorders>
              <w:top w:val="nil" w:sz="6" w:space="0" w:color="auto"/>
              <w:left w:val="single" w:sz="6" w:space="0" w:color="000000"/>
              <w:bottom w:val="single" w:sz="4" w:space="0" w:color="000000"/>
              <w:right w:val="single" w:sz="6" w:space="0" w:color="000000"/>
            </w:tcBorders>
          </w:tcPr>
          <w:p>
            <w:pPr/>
          </w:p>
        </w:tc>
        <w:tc>
          <w:tcPr>
            <w:tcW w:w="1271" w:type="dxa"/>
            <w:tcBorders>
              <w:top w:val="nil" w:sz="6" w:space="0" w:color="auto"/>
              <w:left w:val="single" w:sz="6" w:space="0" w:color="000000"/>
              <w:bottom w:val="single" w:sz="4" w:space="0" w:color="000000"/>
              <w:right w:val="single" w:sz="6" w:space="0" w:color="000000"/>
            </w:tcBorders>
          </w:tcPr>
          <w:p>
            <w:pPr/>
          </w:p>
        </w:tc>
        <w:tc>
          <w:tcPr>
            <w:tcW w:w="1300" w:type="dxa"/>
            <w:tcBorders>
              <w:top w:val="nil" w:sz="6" w:space="0" w:color="auto"/>
              <w:left w:val="single" w:sz="6" w:space="0" w:color="000000"/>
              <w:bottom w:val="single" w:sz="4" w:space="0" w:color="000000"/>
              <w:right w:val="single" w:sz="6" w:space="0" w:color="000000"/>
            </w:tcBorders>
          </w:tcPr>
          <w:p>
            <w:pPr/>
          </w:p>
        </w:tc>
        <w:tc>
          <w:tcPr>
            <w:tcW w:w="1288" w:type="dxa"/>
            <w:vMerge/>
            <w:tcBorders>
              <w:left w:val="single" w:sz="6" w:space="0" w:color="000000"/>
              <w:bottom w:val="single" w:sz="4" w:space="0" w:color="000000"/>
              <w:right w:val="single" w:sz="6" w:space="0" w:color="000000"/>
            </w:tcBorders>
          </w:tcPr>
          <w:p>
            <w:pPr/>
          </w:p>
        </w:tc>
        <w:tc>
          <w:tcPr>
            <w:tcW w:w="1286" w:type="dxa"/>
            <w:tcBorders>
              <w:top w:val="nil" w:sz="6" w:space="0" w:color="auto"/>
              <w:left w:val="single" w:sz="6" w:space="0" w:color="000000"/>
              <w:bottom w:val="single" w:sz="4" w:space="0" w:color="000000"/>
              <w:right w:val="single" w:sz="6" w:space="0" w:color="000000"/>
            </w:tcBorders>
          </w:tcPr>
          <w:p>
            <w:pPr/>
          </w:p>
        </w:tc>
        <w:tc>
          <w:tcPr>
            <w:tcW w:w="1417" w:type="dxa"/>
            <w:tcBorders>
              <w:top w:val="nil" w:sz="6" w:space="0" w:color="auto"/>
              <w:left w:val="single" w:sz="6" w:space="0" w:color="000000"/>
              <w:bottom w:val="single" w:sz="4" w:space="0" w:color="000000"/>
              <w:right w:val="single" w:sz="4" w:space="0" w:color="000000"/>
            </w:tcBorders>
          </w:tcPr>
          <w:p>
            <w:pPr/>
          </w:p>
        </w:tc>
      </w:tr>
    </w:tbl>
    <w:p>
      <w:pPr>
        <w:pStyle w:val="BodyText"/>
        <w:spacing w:line="240" w:lineRule="exact"/>
        <w:ind w:right="114"/>
        <w:jc w:val="left"/>
      </w:pPr>
      <w:r>
        <w:rPr/>
        <w:t>在子公司的持股比例不同于表决权比例的说明：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headerReference w:type="default" r:id="rId122"/>
          <w:footerReference w:type="default" r:id="rId123"/>
          <w:pgSz w:w="11910" w:h="16840"/>
          <w:pgMar w:header="882" w:footer="1197" w:top="1120" w:bottom="1380" w:left="1580" w:right="1040"/>
          <w:pgNumType w:start="162"/>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72" w:lineRule="exact" w:before="63"/>
        <w:ind w:right="227"/>
        <w:jc w:val="left"/>
      </w:pPr>
      <w:r>
        <w:rPr/>
        <w:t>持有半数或以下表决权但仍控制被投资单位、以及持有半数以上表决权但不控制被投资单位的依 据：</w:t>
      </w:r>
    </w:p>
    <w:p>
      <w:pPr>
        <w:spacing w:line="240" w:lineRule="auto" w:before="1"/>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a">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right="114"/>
        <w:jc w:val="left"/>
      </w:pPr>
      <w:r>
        <w:rPr/>
        <w:t>对于纳入合并范围的重要的结构化主体，控制的依据：</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a">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6"/>
          <w:szCs w:val="16"/>
        </w:rPr>
      </w:pPr>
    </w:p>
    <w:p>
      <w:pPr>
        <w:pStyle w:val="BodyText"/>
        <w:spacing w:line="240" w:lineRule="auto" w:before="35"/>
        <w:ind w:right="114"/>
        <w:jc w:val="left"/>
      </w:pPr>
      <w:r>
        <w:rPr/>
        <w:t>确定公司是代理人还是委托人的依据：</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a">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74" w:lineRule="exact" w:before="35"/>
        <w:ind w:right="114"/>
        <w:jc w:val="left"/>
      </w:pPr>
      <w:r>
        <w:rPr/>
        <w:t>其他说明：</w:t>
      </w:r>
    </w:p>
    <w:p>
      <w:pPr>
        <w:pStyle w:val="BodyText"/>
        <w:spacing w:line="272" w:lineRule="exact" w:before="26"/>
        <w:ind w:right="215"/>
        <w:jc w:val="left"/>
      </w:pPr>
      <w:r>
        <w:rPr/>
        <w:t>本公司持有深圳市齐普生信息科技有限公司</w:t>
      </w:r>
      <w:r>
        <w:rPr>
          <w:spacing w:val="-58"/>
        </w:rPr>
        <w:t> </w:t>
      </w:r>
      <w:r>
        <w:rPr>
          <w:rFonts w:ascii="Times New Roman" w:hAnsi="Times New Roman" w:cs="Times New Roman" w:eastAsia="Times New Roman" w:hint="default"/>
        </w:rPr>
        <w:t>53%</w:t>
      </w:r>
      <w:r>
        <w:rPr/>
        <w:t>的股权，而深圳市齐普生信息科技有限公司持有 齐普生信息科技南京有限公司</w:t>
      </w:r>
      <w:r>
        <w:rPr>
          <w:spacing w:val="-54"/>
        </w:rPr>
        <w:t> </w:t>
      </w:r>
      <w:r>
        <w:rPr>
          <w:rFonts w:ascii="Times New Roman" w:hAnsi="Times New Roman" w:cs="Times New Roman" w:eastAsia="Times New Roman" w:hint="default"/>
        </w:rPr>
        <w:t>100%</w:t>
      </w:r>
      <w:r>
        <w:rPr/>
        <w:t>的股权，因此本公司间接持有齐普生信息科技南京有限公司 </w:t>
      </w:r>
      <w:r>
        <w:rPr>
          <w:rFonts w:ascii="Times New Roman" w:hAnsi="Times New Roman" w:cs="Times New Roman" w:eastAsia="Times New Roman" w:hint="default"/>
        </w:rPr>
        <w:t>53%</w:t>
      </w:r>
      <w:r>
        <w:rPr/>
        <w:t>的股权，表决权比例为</w:t>
      </w:r>
      <w:r>
        <w:rPr>
          <w:spacing w:val="-56"/>
        </w:rPr>
        <w:t> </w:t>
      </w:r>
      <w:r>
        <w:rPr>
          <w:rFonts w:ascii="Times New Roman" w:hAnsi="Times New Roman" w:cs="Times New Roman" w:eastAsia="Times New Roman" w:hint="default"/>
        </w:rPr>
        <w:t>100%</w:t>
      </w:r>
      <w:r>
        <w:rPr/>
        <w:t>。</w:t>
      </w:r>
    </w:p>
    <w:p>
      <w:pPr>
        <w:spacing w:line="240" w:lineRule="auto" w:before="8"/>
        <w:rPr>
          <w:rFonts w:ascii="宋体" w:hAnsi="宋体" w:cs="宋体" w:eastAsia="宋体" w:hint="default"/>
          <w:sz w:val="20"/>
          <w:szCs w:val="20"/>
        </w:rPr>
      </w:pPr>
    </w:p>
    <w:p>
      <w:pPr>
        <w:pStyle w:val="Heading3"/>
        <w:tabs>
          <w:tab w:pos="861" w:val="left" w:leader="none"/>
        </w:tabs>
        <w:spacing w:line="240" w:lineRule="auto"/>
        <w:ind w:right="114"/>
        <w:jc w:val="left"/>
        <w:rPr>
          <w:b w:val="0"/>
          <w:bCs w:val="0"/>
        </w:rPr>
      </w:pPr>
      <w:r>
        <w:rPr>
          <w:w w:val="95"/>
        </w:rPr>
        <w:t>(2).</w:t>
        <w:tab/>
      </w:r>
      <w:r>
        <w:rPr/>
        <w:t>重要的非全资子公司</w:t>
      </w:r>
      <w:r>
        <w:rPr>
          <w:b w:val="0"/>
          <w:bCs w:val="0"/>
        </w:rPr>
      </w:r>
    </w:p>
    <w:p>
      <w:pPr>
        <w:pStyle w:val="BodyText"/>
        <w:tabs>
          <w:tab w:pos="945" w:val="left" w:leader="none"/>
        </w:tabs>
        <w:spacing w:line="240" w:lineRule="auto" w:before="57"/>
        <w:ind w:left="0" w:right="230"/>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612"/>
        <w:gridCol w:w="1814"/>
        <w:gridCol w:w="1937"/>
        <w:gridCol w:w="1943"/>
        <w:gridCol w:w="1744"/>
      </w:tblGrid>
      <w:tr>
        <w:trPr>
          <w:trHeight w:val="557" w:hRule="exact"/>
        </w:trPr>
        <w:tc>
          <w:tcPr>
            <w:tcW w:w="161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1"/>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4"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37"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3"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4" w:type="dxa"/>
            <w:tcBorders>
              <w:top w:val="single" w:sz="4" w:space="0" w:color="000000"/>
              <w:left w:val="single" w:sz="6" w:space="0" w:color="000000"/>
              <w:bottom w:val="single" w:sz="6" w:space="0" w:color="000000"/>
              <w:right w:val="single" w:sz="4" w:space="0" w:color="000000"/>
            </w:tcBorders>
          </w:tcPr>
          <w:p>
            <w:pPr>
              <w:pStyle w:val="TableParagraph"/>
              <w:spacing w:line="238" w:lineRule="exact"/>
              <w:ind w:left="11"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1"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833" w:hRule="exact"/>
        </w:trPr>
        <w:tc>
          <w:tcPr>
            <w:tcW w:w="161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深圳市齐普生</w:t>
            </w:r>
          </w:p>
          <w:p>
            <w:pPr>
              <w:pStyle w:val="TableParagraph"/>
              <w:spacing w:line="272" w:lineRule="exact" w:before="26"/>
              <w:ind w:left="103" w:right="234"/>
              <w:jc w:val="left"/>
              <w:rPr>
                <w:rFonts w:ascii="宋体" w:hAnsi="宋体" w:cs="宋体" w:eastAsia="宋体" w:hint="default"/>
                <w:sz w:val="21"/>
                <w:szCs w:val="21"/>
              </w:rPr>
            </w:pPr>
            <w:r>
              <w:rPr>
                <w:rFonts w:ascii="宋体" w:hAnsi="宋体" w:cs="宋体" w:eastAsia="宋体" w:hint="default"/>
                <w:sz w:val="21"/>
                <w:szCs w:val="21"/>
              </w:rPr>
              <w:t>信息科技有限 公司</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47</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18,896,872.22</w:t>
            </w:r>
          </w:p>
        </w:tc>
        <w:tc>
          <w:tcPr>
            <w:tcW w:w="1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68" w:right="0"/>
              <w:jc w:val="left"/>
              <w:rPr>
                <w:rFonts w:ascii="宋体" w:hAnsi="宋体" w:cs="宋体" w:eastAsia="宋体" w:hint="default"/>
                <w:sz w:val="21"/>
                <w:szCs w:val="21"/>
              </w:rPr>
            </w:pPr>
            <w:r>
              <w:rPr>
                <w:rFonts w:ascii="宋体"/>
                <w:sz w:val="21"/>
              </w:rPr>
              <w:t>4,700,000.00</w:t>
            </w:r>
          </w:p>
        </w:tc>
        <w:tc>
          <w:tcPr>
            <w:tcW w:w="1744" w:type="dxa"/>
            <w:tcBorders>
              <w:top w:val="single" w:sz="6" w:space="0" w:color="000000"/>
              <w:left w:val="single" w:sz="6" w:space="0" w:color="000000"/>
              <w:bottom w:val="single" w:sz="6" w:space="0" w:color="000000"/>
              <w:right w:val="single" w:sz="4" w:space="0" w:color="000000"/>
            </w:tcBorders>
          </w:tcPr>
          <w:p>
            <w:pPr/>
          </w:p>
        </w:tc>
      </w:tr>
      <w:tr>
        <w:trPr>
          <w:trHeight w:val="557" w:hRule="exact"/>
        </w:trPr>
        <w:tc>
          <w:tcPr>
            <w:tcW w:w="1612"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金证财富南京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81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35</w:t>
            </w:r>
          </w:p>
        </w:tc>
        <w:tc>
          <w:tcPr>
            <w:tcW w:w="193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4,830,040.55</w:t>
            </w:r>
          </w:p>
        </w:tc>
        <w:tc>
          <w:tcPr>
            <w:tcW w:w="1943" w:type="dxa"/>
            <w:tcBorders>
              <w:top w:val="single" w:sz="6" w:space="0" w:color="000000"/>
              <w:left w:val="single" w:sz="6" w:space="0" w:color="000000"/>
              <w:bottom w:val="single" w:sz="4" w:space="0" w:color="000000"/>
              <w:right w:val="single" w:sz="6" w:space="0" w:color="000000"/>
            </w:tcBorders>
          </w:tcPr>
          <w:p>
            <w:pPr/>
          </w:p>
        </w:tc>
        <w:tc>
          <w:tcPr>
            <w:tcW w:w="1744"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right="114"/>
        <w:jc w:val="left"/>
      </w:pPr>
      <w:r>
        <w:rPr/>
        <w:t>子公司少数股东的持股比例不同于表决权比例的说明：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a">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right="114"/>
        <w:jc w:val="left"/>
      </w:pPr>
      <w:r>
        <w:rPr/>
        <w:t>其他说明：</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Heading3"/>
        <w:tabs>
          <w:tab w:pos="861" w:val="left" w:leader="none"/>
        </w:tabs>
        <w:spacing w:line="240" w:lineRule="auto"/>
        <w:ind w:right="114"/>
        <w:jc w:val="left"/>
        <w:rPr>
          <w:b w:val="0"/>
          <w:bCs w:val="0"/>
        </w:rPr>
      </w:pPr>
      <w:r>
        <w:rPr>
          <w:w w:val="95"/>
        </w:rPr>
        <w:t>(3).</w:t>
        <w:tab/>
      </w:r>
      <w:r>
        <w:rPr/>
        <w:t>重要非全资子公司的主要财务信息</w:t>
      </w:r>
      <w:r>
        <w:rPr>
          <w:b w:val="0"/>
          <w:bCs w:val="0"/>
        </w:rPr>
      </w:r>
    </w:p>
    <w:p>
      <w:pPr>
        <w:pStyle w:val="BodyText"/>
        <w:tabs>
          <w:tab w:pos="1154" w:val="left" w:leader="none"/>
        </w:tabs>
        <w:spacing w:line="240" w:lineRule="auto" w:before="57"/>
        <w:ind w:left="0" w:right="230"/>
        <w:jc w:val="right"/>
      </w:pPr>
      <w:r>
        <w:rPr/>
        <w:t>单位:万元</w:t>
        <w:tab/>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40"/>
        <w:gridCol w:w="779"/>
        <w:gridCol w:w="589"/>
        <w:gridCol w:w="779"/>
        <w:gridCol w:w="778"/>
        <w:gridCol w:w="590"/>
        <w:gridCol w:w="778"/>
        <w:gridCol w:w="778"/>
        <w:gridCol w:w="715"/>
        <w:gridCol w:w="779"/>
        <w:gridCol w:w="778"/>
        <w:gridCol w:w="590"/>
        <w:gridCol w:w="778"/>
      </w:tblGrid>
      <w:tr>
        <w:trPr>
          <w:trHeight w:val="284" w:hRule="exact"/>
        </w:trPr>
        <w:tc>
          <w:tcPr>
            <w:tcW w:w="340" w:type="dxa"/>
            <w:vMerge w:val="restart"/>
            <w:tcBorders>
              <w:top w:val="single" w:sz="4" w:space="0" w:color="000000"/>
              <w:left w:val="single" w:sz="4" w:space="0" w:color="000000"/>
              <w:right w:val="single" w:sz="6"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子</w:t>
            </w:r>
          </w:p>
          <w:p>
            <w:pPr>
              <w:pStyle w:val="TableParagraph"/>
              <w:spacing w:line="272" w:lineRule="exact" w:before="26"/>
              <w:ind w:left="103" w:right="12"/>
              <w:jc w:val="both"/>
              <w:rPr>
                <w:rFonts w:ascii="宋体" w:hAnsi="宋体" w:cs="宋体" w:eastAsia="宋体" w:hint="default"/>
                <w:sz w:val="21"/>
                <w:szCs w:val="21"/>
              </w:rPr>
            </w:pPr>
            <w:r>
              <w:rPr>
                <w:rFonts w:ascii="宋体" w:hAnsi="宋体" w:cs="宋体" w:eastAsia="宋体" w:hint="default"/>
                <w:sz w:val="21"/>
                <w:szCs w:val="21"/>
              </w:rPr>
              <w:t>公 司 名 称</w:t>
            </w:r>
          </w:p>
        </w:tc>
        <w:tc>
          <w:tcPr>
            <w:tcW w:w="4292" w:type="dxa"/>
            <w:gridSpan w:val="6"/>
            <w:tcBorders>
              <w:top w:val="single" w:sz="4" w:space="0" w:color="000000"/>
              <w:left w:val="single" w:sz="6" w:space="0" w:color="000000"/>
              <w:bottom w:val="single" w:sz="6" w:space="0" w:color="000000"/>
              <w:right w:val="single" w:sz="6" w:space="0" w:color="000000"/>
            </w:tcBorders>
          </w:tcPr>
          <w:p>
            <w:pPr>
              <w:pStyle w:val="TableParagraph"/>
              <w:spacing w:line="239" w:lineRule="exact"/>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417" w:type="dxa"/>
            <w:gridSpan w:val="6"/>
            <w:tcBorders>
              <w:top w:val="single" w:sz="4" w:space="0" w:color="000000"/>
              <w:left w:val="single" w:sz="6" w:space="0" w:color="000000"/>
              <w:bottom w:val="single" w:sz="6" w:space="0" w:color="000000"/>
              <w:right w:val="single" w:sz="4" w:space="0" w:color="000000"/>
            </w:tcBorders>
          </w:tcPr>
          <w:p>
            <w:pPr>
              <w:pStyle w:val="TableParagraph"/>
              <w:spacing w:line="239" w:lineRule="exact"/>
              <w:ind w:left="13"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090" w:hRule="exact"/>
        </w:trPr>
        <w:tc>
          <w:tcPr>
            <w:tcW w:w="340" w:type="dxa"/>
            <w:vMerge/>
            <w:tcBorders>
              <w:left w:val="single" w:sz="4"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171" w:right="170"/>
              <w:jc w:val="left"/>
              <w:rPr>
                <w:rFonts w:ascii="宋体" w:hAnsi="宋体" w:cs="宋体" w:eastAsia="宋体" w:hint="default"/>
                <w:sz w:val="21"/>
                <w:szCs w:val="21"/>
              </w:rPr>
            </w:pPr>
            <w:r>
              <w:rPr>
                <w:rFonts w:ascii="宋体" w:hAnsi="宋体" w:cs="宋体" w:eastAsia="宋体" w:hint="default"/>
                <w:sz w:val="21"/>
                <w:szCs w:val="21"/>
              </w:rPr>
              <w:t>流动 资产</w:t>
            </w:r>
          </w:p>
        </w:tc>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2"/>
              <w:ind w:left="105" w:right="47"/>
              <w:jc w:val="both"/>
              <w:rPr>
                <w:rFonts w:ascii="宋体" w:hAnsi="宋体" w:cs="宋体" w:eastAsia="宋体" w:hint="default"/>
                <w:sz w:val="21"/>
                <w:szCs w:val="21"/>
              </w:rPr>
            </w:pPr>
            <w:r>
              <w:rPr>
                <w:rFonts w:ascii="宋体" w:hAnsi="宋体" w:cs="宋体" w:eastAsia="宋体" w:hint="default"/>
                <w:sz w:val="21"/>
                <w:szCs w:val="21"/>
              </w:rPr>
              <w:t>非流 动资 产</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171" w:right="170"/>
              <w:jc w:val="left"/>
              <w:rPr>
                <w:rFonts w:ascii="宋体" w:hAnsi="宋体" w:cs="宋体" w:eastAsia="宋体" w:hint="default"/>
                <w:sz w:val="21"/>
                <w:szCs w:val="21"/>
              </w:rPr>
            </w:pPr>
            <w:r>
              <w:rPr>
                <w:rFonts w:ascii="宋体" w:hAnsi="宋体" w:cs="宋体" w:eastAsia="宋体" w:hint="default"/>
                <w:sz w:val="21"/>
                <w:szCs w:val="21"/>
              </w:rPr>
              <w:t>资产 合计</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170" w:right="170"/>
              <w:jc w:val="left"/>
              <w:rPr>
                <w:rFonts w:ascii="宋体" w:hAnsi="宋体" w:cs="宋体" w:eastAsia="宋体" w:hint="default"/>
                <w:sz w:val="21"/>
                <w:szCs w:val="21"/>
              </w:rPr>
            </w:pPr>
            <w:r>
              <w:rPr>
                <w:rFonts w:ascii="宋体" w:hAnsi="宋体" w:cs="宋体" w:eastAsia="宋体" w:hint="default"/>
                <w:sz w:val="21"/>
                <w:szCs w:val="21"/>
              </w:rPr>
              <w:t>流动 负债</w:t>
            </w:r>
          </w:p>
        </w:tc>
        <w:tc>
          <w:tcPr>
            <w:tcW w:w="5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2"/>
              <w:ind w:left="106" w:right="47"/>
              <w:jc w:val="both"/>
              <w:rPr>
                <w:rFonts w:ascii="宋体" w:hAnsi="宋体" w:cs="宋体" w:eastAsia="宋体" w:hint="default"/>
                <w:sz w:val="21"/>
                <w:szCs w:val="21"/>
              </w:rPr>
            </w:pPr>
            <w:r>
              <w:rPr>
                <w:rFonts w:ascii="宋体" w:hAnsi="宋体" w:cs="宋体" w:eastAsia="宋体" w:hint="default"/>
                <w:sz w:val="21"/>
                <w:szCs w:val="21"/>
              </w:rPr>
              <w:t>非流 动负 债</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170" w:right="170"/>
              <w:jc w:val="left"/>
              <w:rPr>
                <w:rFonts w:ascii="宋体" w:hAnsi="宋体" w:cs="宋体" w:eastAsia="宋体" w:hint="default"/>
                <w:sz w:val="21"/>
                <w:szCs w:val="21"/>
              </w:rPr>
            </w:pPr>
            <w:r>
              <w:rPr>
                <w:rFonts w:ascii="宋体" w:hAnsi="宋体" w:cs="宋体" w:eastAsia="宋体" w:hint="default"/>
                <w:sz w:val="21"/>
                <w:szCs w:val="21"/>
              </w:rPr>
              <w:t>负债 合计</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171" w:right="169"/>
              <w:jc w:val="left"/>
              <w:rPr>
                <w:rFonts w:ascii="宋体" w:hAnsi="宋体" w:cs="宋体" w:eastAsia="宋体" w:hint="default"/>
                <w:sz w:val="21"/>
                <w:szCs w:val="21"/>
              </w:rPr>
            </w:pPr>
            <w:r>
              <w:rPr>
                <w:rFonts w:ascii="宋体" w:hAnsi="宋体" w:cs="宋体" w:eastAsia="宋体" w:hint="default"/>
                <w:sz w:val="21"/>
                <w:szCs w:val="21"/>
              </w:rPr>
              <w:t>流动 资产</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169" w:right="5" w:hanging="106"/>
              <w:jc w:val="left"/>
              <w:rPr>
                <w:rFonts w:ascii="宋体" w:hAnsi="宋体" w:cs="宋体" w:eastAsia="宋体" w:hint="default"/>
                <w:sz w:val="21"/>
                <w:szCs w:val="21"/>
              </w:rPr>
            </w:pPr>
            <w:r>
              <w:rPr>
                <w:rFonts w:ascii="宋体" w:hAnsi="宋体" w:cs="宋体" w:eastAsia="宋体" w:hint="default"/>
                <w:sz w:val="21"/>
                <w:szCs w:val="21"/>
              </w:rPr>
              <w:t>非流动 资产</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171" w:right="170"/>
              <w:jc w:val="left"/>
              <w:rPr>
                <w:rFonts w:ascii="宋体" w:hAnsi="宋体" w:cs="宋体" w:eastAsia="宋体" w:hint="default"/>
                <w:sz w:val="21"/>
                <w:szCs w:val="21"/>
              </w:rPr>
            </w:pPr>
            <w:r>
              <w:rPr>
                <w:rFonts w:ascii="宋体" w:hAnsi="宋体" w:cs="宋体" w:eastAsia="宋体" w:hint="default"/>
                <w:sz w:val="21"/>
                <w:szCs w:val="21"/>
              </w:rPr>
              <w:t>资产 合计</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170" w:right="170"/>
              <w:jc w:val="left"/>
              <w:rPr>
                <w:rFonts w:ascii="宋体" w:hAnsi="宋体" w:cs="宋体" w:eastAsia="宋体" w:hint="default"/>
                <w:sz w:val="21"/>
                <w:szCs w:val="21"/>
              </w:rPr>
            </w:pPr>
            <w:r>
              <w:rPr>
                <w:rFonts w:ascii="宋体" w:hAnsi="宋体" w:cs="宋体" w:eastAsia="宋体" w:hint="default"/>
                <w:sz w:val="21"/>
                <w:szCs w:val="21"/>
              </w:rPr>
              <w:t>流动 负债</w:t>
            </w:r>
          </w:p>
        </w:tc>
        <w:tc>
          <w:tcPr>
            <w:tcW w:w="5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2"/>
              <w:ind w:left="105" w:right="48"/>
              <w:jc w:val="both"/>
              <w:rPr>
                <w:rFonts w:ascii="宋体" w:hAnsi="宋体" w:cs="宋体" w:eastAsia="宋体" w:hint="default"/>
                <w:sz w:val="21"/>
                <w:szCs w:val="21"/>
              </w:rPr>
            </w:pPr>
            <w:r>
              <w:rPr>
                <w:rFonts w:ascii="宋体" w:hAnsi="宋体" w:cs="宋体" w:eastAsia="宋体" w:hint="default"/>
                <w:sz w:val="21"/>
                <w:szCs w:val="21"/>
              </w:rPr>
              <w:t>非流 动负 债</w:t>
            </w:r>
          </w:p>
        </w:tc>
        <w:tc>
          <w:tcPr>
            <w:tcW w:w="7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170" w:right="173"/>
              <w:jc w:val="left"/>
              <w:rPr>
                <w:rFonts w:ascii="宋体" w:hAnsi="宋体" w:cs="宋体" w:eastAsia="宋体" w:hint="default"/>
                <w:sz w:val="21"/>
                <w:szCs w:val="21"/>
              </w:rPr>
            </w:pPr>
            <w:r>
              <w:rPr>
                <w:rFonts w:ascii="宋体" w:hAnsi="宋体" w:cs="宋体" w:eastAsia="宋体" w:hint="default"/>
                <w:sz w:val="21"/>
                <w:szCs w:val="21"/>
              </w:rPr>
              <w:t>负债 合计</w:t>
            </w:r>
          </w:p>
        </w:tc>
      </w:tr>
      <w:tr>
        <w:trPr>
          <w:trHeight w:val="3008" w:hRule="exact"/>
        </w:trPr>
        <w:tc>
          <w:tcPr>
            <w:tcW w:w="340"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深</w:t>
            </w:r>
          </w:p>
          <w:p>
            <w:pPr>
              <w:pStyle w:val="TableParagraph"/>
              <w:spacing w:line="237" w:lineRule="auto" w:before="1"/>
              <w:ind w:left="103" w:right="12"/>
              <w:jc w:val="both"/>
              <w:rPr>
                <w:rFonts w:ascii="宋体" w:hAnsi="宋体" w:cs="宋体" w:eastAsia="宋体" w:hint="default"/>
                <w:sz w:val="21"/>
                <w:szCs w:val="21"/>
              </w:rPr>
            </w:pPr>
            <w:r>
              <w:rPr>
                <w:rFonts w:ascii="宋体" w:hAnsi="宋体" w:cs="宋体" w:eastAsia="宋体" w:hint="default"/>
                <w:sz w:val="21"/>
                <w:szCs w:val="21"/>
              </w:rPr>
              <w:t>圳 市 齐 普 生 信 息 科 技 有</w:t>
            </w:r>
          </w:p>
        </w:tc>
        <w:tc>
          <w:tcPr>
            <w:tcW w:w="77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44"/>
              <w:ind w:left="36" w:right="0"/>
              <w:jc w:val="center"/>
              <w:rPr>
                <w:rFonts w:ascii="宋体" w:hAnsi="宋体" w:cs="宋体" w:eastAsia="宋体" w:hint="default"/>
                <w:sz w:val="21"/>
                <w:szCs w:val="21"/>
              </w:rPr>
            </w:pPr>
            <w:r>
              <w:rPr>
                <w:rFonts w:ascii="宋体"/>
                <w:sz w:val="21"/>
              </w:rPr>
              <w:t>56,88</w:t>
            </w:r>
          </w:p>
          <w:p>
            <w:pPr>
              <w:pStyle w:val="TableParagraph"/>
              <w:spacing w:line="274" w:lineRule="exact"/>
              <w:ind w:left="141" w:right="0"/>
              <w:jc w:val="center"/>
              <w:rPr>
                <w:rFonts w:ascii="宋体" w:hAnsi="宋体" w:cs="宋体" w:eastAsia="宋体" w:hint="default"/>
                <w:sz w:val="21"/>
                <w:szCs w:val="21"/>
              </w:rPr>
            </w:pPr>
            <w:r>
              <w:rPr>
                <w:rFonts w:ascii="宋体"/>
                <w:sz w:val="21"/>
              </w:rPr>
              <w:t>8.79</w:t>
            </w:r>
          </w:p>
        </w:tc>
        <w:tc>
          <w:tcPr>
            <w:tcW w:w="58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44"/>
              <w:ind w:left="159" w:right="0"/>
              <w:jc w:val="left"/>
              <w:rPr>
                <w:rFonts w:ascii="宋体" w:hAnsi="宋体" w:cs="宋体" w:eastAsia="宋体" w:hint="default"/>
                <w:sz w:val="21"/>
                <w:szCs w:val="21"/>
              </w:rPr>
            </w:pPr>
            <w:r>
              <w:rPr>
                <w:rFonts w:ascii="宋体"/>
                <w:sz w:val="21"/>
              </w:rPr>
              <w:t>631</w:t>
            </w:r>
          </w:p>
          <w:p>
            <w:pPr>
              <w:pStyle w:val="TableParagraph"/>
              <w:spacing w:line="274" w:lineRule="exact"/>
              <w:ind w:left="159" w:right="0"/>
              <w:jc w:val="left"/>
              <w:rPr>
                <w:rFonts w:ascii="宋体" w:hAnsi="宋体" w:cs="宋体" w:eastAsia="宋体" w:hint="default"/>
                <w:sz w:val="21"/>
                <w:szCs w:val="21"/>
              </w:rPr>
            </w:pPr>
            <w:r>
              <w:rPr>
                <w:rFonts w:ascii="宋体"/>
                <w:sz w:val="21"/>
              </w:rPr>
              <w:t>.54</w:t>
            </w:r>
          </w:p>
        </w:tc>
        <w:tc>
          <w:tcPr>
            <w:tcW w:w="77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44"/>
              <w:ind w:left="36" w:right="0"/>
              <w:jc w:val="center"/>
              <w:rPr>
                <w:rFonts w:ascii="宋体" w:hAnsi="宋体" w:cs="宋体" w:eastAsia="宋体" w:hint="default"/>
                <w:sz w:val="21"/>
                <w:szCs w:val="21"/>
              </w:rPr>
            </w:pPr>
            <w:r>
              <w:rPr>
                <w:rFonts w:ascii="宋体"/>
                <w:sz w:val="21"/>
              </w:rPr>
              <w:t>57,52</w:t>
            </w:r>
          </w:p>
          <w:p>
            <w:pPr>
              <w:pStyle w:val="TableParagraph"/>
              <w:spacing w:line="274" w:lineRule="exact"/>
              <w:ind w:left="141" w:right="0"/>
              <w:jc w:val="center"/>
              <w:rPr>
                <w:rFonts w:ascii="宋体" w:hAnsi="宋体" w:cs="宋体" w:eastAsia="宋体" w:hint="default"/>
                <w:sz w:val="21"/>
                <w:szCs w:val="21"/>
              </w:rPr>
            </w:pPr>
            <w:r>
              <w:rPr>
                <w:rFonts w:ascii="宋体"/>
                <w:sz w:val="21"/>
              </w:rPr>
              <w:t>0.33</w:t>
            </w:r>
          </w:p>
        </w:tc>
        <w:tc>
          <w:tcPr>
            <w:tcW w:w="77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44"/>
              <w:ind w:left="35" w:right="0"/>
              <w:jc w:val="center"/>
              <w:rPr>
                <w:rFonts w:ascii="宋体" w:hAnsi="宋体" w:cs="宋体" w:eastAsia="宋体" w:hint="default"/>
                <w:sz w:val="21"/>
                <w:szCs w:val="21"/>
              </w:rPr>
            </w:pPr>
            <w:r>
              <w:rPr>
                <w:rFonts w:ascii="宋体"/>
                <w:sz w:val="21"/>
              </w:rPr>
              <w:t>40,11</w:t>
            </w:r>
          </w:p>
          <w:p>
            <w:pPr>
              <w:pStyle w:val="TableParagraph"/>
              <w:spacing w:line="274" w:lineRule="exact"/>
              <w:ind w:left="140" w:right="0"/>
              <w:jc w:val="center"/>
              <w:rPr>
                <w:rFonts w:ascii="宋体" w:hAnsi="宋体" w:cs="宋体" w:eastAsia="宋体" w:hint="default"/>
                <w:sz w:val="21"/>
                <w:szCs w:val="21"/>
              </w:rPr>
            </w:pPr>
            <w:r>
              <w:rPr>
                <w:rFonts w:ascii="宋体"/>
                <w:sz w:val="21"/>
              </w:rPr>
              <w:t>2.77</w:t>
            </w:r>
          </w:p>
        </w:tc>
        <w:tc>
          <w:tcPr>
            <w:tcW w:w="590" w:type="dxa"/>
            <w:tcBorders>
              <w:top w:val="single" w:sz="6" w:space="0" w:color="000000"/>
              <w:left w:val="single" w:sz="6" w:space="0" w:color="000000"/>
              <w:bottom w:val="single" w:sz="4" w:space="0" w:color="000000"/>
              <w:right w:val="single" w:sz="6" w:space="0" w:color="000000"/>
            </w:tcBorders>
          </w:tcPr>
          <w:p>
            <w:pPr/>
          </w:p>
        </w:tc>
        <w:tc>
          <w:tcPr>
            <w:tcW w:w="77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44"/>
              <w:ind w:left="35" w:right="0"/>
              <w:jc w:val="center"/>
              <w:rPr>
                <w:rFonts w:ascii="宋体" w:hAnsi="宋体" w:cs="宋体" w:eastAsia="宋体" w:hint="default"/>
                <w:sz w:val="21"/>
                <w:szCs w:val="21"/>
              </w:rPr>
            </w:pPr>
            <w:r>
              <w:rPr>
                <w:rFonts w:ascii="宋体"/>
                <w:sz w:val="21"/>
              </w:rPr>
              <w:t>40,11</w:t>
            </w:r>
          </w:p>
          <w:p>
            <w:pPr>
              <w:pStyle w:val="TableParagraph"/>
              <w:spacing w:line="274" w:lineRule="exact"/>
              <w:ind w:left="140" w:right="0"/>
              <w:jc w:val="center"/>
              <w:rPr>
                <w:rFonts w:ascii="宋体" w:hAnsi="宋体" w:cs="宋体" w:eastAsia="宋体" w:hint="default"/>
                <w:sz w:val="21"/>
                <w:szCs w:val="21"/>
              </w:rPr>
            </w:pPr>
            <w:r>
              <w:rPr>
                <w:rFonts w:ascii="宋体"/>
                <w:sz w:val="21"/>
              </w:rPr>
              <w:t>2.77</w:t>
            </w:r>
          </w:p>
        </w:tc>
        <w:tc>
          <w:tcPr>
            <w:tcW w:w="77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44"/>
              <w:ind w:left="37" w:right="0"/>
              <w:jc w:val="center"/>
              <w:rPr>
                <w:rFonts w:ascii="宋体" w:hAnsi="宋体" w:cs="宋体" w:eastAsia="宋体" w:hint="default"/>
                <w:sz w:val="21"/>
                <w:szCs w:val="21"/>
              </w:rPr>
            </w:pPr>
            <w:r>
              <w:rPr>
                <w:rFonts w:ascii="宋体"/>
                <w:sz w:val="21"/>
              </w:rPr>
              <w:t>42,82</w:t>
            </w:r>
          </w:p>
          <w:p>
            <w:pPr>
              <w:pStyle w:val="TableParagraph"/>
              <w:spacing w:line="274" w:lineRule="exact"/>
              <w:ind w:left="142" w:right="0"/>
              <w:jc w:val="center"/>
              <w:rPr>
                <w:rFonts w:ascii="宋体" w:hAnsi="宋体" w:cs="宋体" w:eastAsia="宋体" w:hint="default"/>
                <w:sz w:val="21"/>
                <w:szCs w:val="21"/>
              </w:rPr>
            </w:pPr>
            <w:r>
              <w:rPr>
                <w:rFonts w:ascii="宋体"/>
                <w:sz w:val="21"/>
              </w:rPr>
              <w:t>7.47</w:t>
            </w:r>
          </w:p>
        </w:tc>
        <w:tc>
          <w:tcPr>
            <w:tcW w:w="71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44"/>
              <w:ind w:left="179" w:right="0"/>
              <w:jc w:val="left"/>
              <w:rPr>
                <w:rFonts w:ascii="宋体" w:hAnsi="宋体" w:cs="宋体" w:eastAsia="宋体" w:hint="default"/>
                <w:sz w:val="21"/>
                <w:szCs w:val="21"/>
              </w:rPr>
            </w:pPr>
            <w:r>
              <w:rPr>
                <w:rFonts w:ascii="宋体"/>
                <w:sz w:val="21"/>
              </w:rPr>
              <w:t>630.</w:t>
            </w:r>
          </w:p>
          <w:p>
            <w:pPr>
              <w:pStyle w:val="TableParagraph"/>
              <w:spacing w:line="274" w:lineRule="exact"/>
              <w:ind w:left="389" w:right="0"/>
              <w:jc w:val="left"/>
              <w:rPr>
                <w:rFonts w:ascii="宋体" w:hAnsi="宋体" w:cs="宋体" w:eastAsia="宋体" w:hint="default"/>
                <w:sz w:val="21"/>
                <w:szCs w:val="21"/>
              </w:rPr>
            </w:pPr>
            <w:r>
              <w:rPr>
                <w:rFonts w:ascii="宋体"/>
                <w:sz w:val="21"/>
              </w:rPr>
              <w:t>13</w:t>
            </w:r>
          </w:p>
        </w:tc>
        <w:tc>
          <w:tcPr>
            <w:tcW w:w="77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44"/>
              <w:ind w:left="36" w:right="0"/>
              <w:jc w:val="center"/>
              <w:rPr>
                <w:rFonts w:ascii="宋体" w:hAnsi="宋体" w:cs="宋体" w:eastAsia="宋体" w:hint="default"/>
                <w:sz w:val="21"/>
                <w:szCs w:val="21"/>
              </w:rPr>
            </w:pPr>
            <w:r>
              <w:rPr>
                <w:rFonts w:ascii="宋体"/>
                <w:sz w:val="21"/>
              </w:rPr>
              <w:t>43,45</w:t>
            </w:r>
          </w:p>
          <w:p>
            <w:pPr>
              <w:pStyle w:val="TableParagraph"/>
              <w:spacing w:line="274" w:lineRule="exact"/>
              <w:ind w:left="141" w:right="0"/>
              <w:jc w:val="center"/>
              <w:rPr>
                <w:rFonts w:ascii="宋体" w:hAnsi="宋体" w:cs="宋体" w:eastAsia="宋体" w:hint="default"/>
                <w:sz w:val="21"/>
                <w:szCs w:val="21"/>
              </w:rPr>
            </w:pPr>
            <w:r>
              <w:rPr>
                <w:rFonts w:ascii="宋体"/>
                <w:sz w:val="21"/>
              </w:rPr>
              <w:t>7.60</w:t>
            </w:r>
          </w:p>
        </w:tc>
        <w:tc>
          <w:tcPr>
            <w:tcW w:w="77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44"/>
              <w:ind w:left="35" w:right="0"/>
              <w:jc w:val="center"/>
              <w:rPr>
                <w:rFonts w:ascii="宋体" w:hAnsi="宋体" w:cs="宋体" w:eastAsia="宋体" w:hint="default"/>
                <w:sz w:val="21"/>
                <w:szCs w:val="21"/>
              </w:rPr>
            </w:pPr>
            <w:r>
              <w:rPr>
                <w:rFonts w:ascii="宋体"/>
                <w:sz w:val="21"/>
              </w:rPr>
              <w:t>28,92</w:t>
            </w:r>
          </w:p>
          <w:p>
            <w:pPr>
              <w:pStyle w:val="TableParagraph"/>
              <w:spacing w:line="274" w:lineRule="exact"/>
              <w:ind w:left="140" w:right="0"/>
              <w:jc w:val="center"/>
              <w:rPr>
                <w:rFonts w:ascii="宋体" w:hAnsi="宋体" w:cs="宋体" w:eastAsia="宋体" w:hint="default"/>
                <w:sz w:val="21"/>
                <w:szCs w:val="21"/>
              </w:rPr>
            </w:pPr>
            <w:r>
              <w:rPr>
                <w:rFonts w:ascii="宋体"/>
                <w:sz w:val="21"/>
              </w:rPr>
              <w:t>0.65</w:t>
            </w:r>
          </w:p>
        </w:tc>
        <w:tc>
          <w:tcPr>
            <w:tcW w:w="59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44"/>
              <w:ind w:left="159" w:right="0"/>
              <w:jc w:val="left"/>
              <w:rPr>
                <w:rFonts w:ascii="宋体" w:hAnsi="宋体" w:cs="宋体" w:eastAsia="宋体" w:hint="default"/>
                <w:sz w:val="21"/>
                <w:szCs w:val="21"/>
              </w:rPr>
            </w:pPr>
            <w:r>
              <w:rPr>
                <w:rFonts w:ascii="宋体"/>
                <w:sz w:val="21"/>
              </w:rPr>
              <w:t>150</w:t>
            </w:r>
          </w:p>
          <w:p>
            <w:pPr>
              <w:pStyle w:val="TableParagraph"/>
              <w:spacing w:line="274" w:lineRule="exact"/>
              <w:ind w:left="159" w:right="0"/>
              <w:jc w:val="left"/>
              <w:rPr>
                <w:rFonts w:ascii="宋体" w:hAnsi="宋体" w:cs="宋体" w:eastAsia="宋体" w:hint="default"/>
                <w:sz w:val="21"/>
                <w:szCs w:val="21"/>
              </w:rPr>
            </w:pPr>
            <w:r>
              <w:rPr>
                <w:rFonts w:ascii="宋体"/>
                <w:sz w:val="21"/>
              </w:rPr>
              <w:t>.00</w:t>
            </w:r>
          </w:p>
        </w:tc>
        <w:tc>
          <w:tcPr>
            <w:tcW w:w="778"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44"/>
              <w:ind w:left="32" w:right="0"/>
              <w:jc w:val="center"/>
              <w:rPr>
                <w:rFonts w:ascii="宋体" w:hAnsi="宋体" w:cs="宋体" w:eastAsia="宋体" w:hint="default"/>
                <w:sz w:val="21"/>
                <w:szCs w:val="21"/>
              </w:rPr>
            </w:pPr>
            <w:r>
              <w:rPr>
                <w:rFonts w:ascii="宋体"/>
                <w:sz w:val="21"/>
              </w:rPr>
              <w:t>29,07</w:t>
            </w:r>
          </w:p>
          <w:p>
            <w:pPr>
              <w:pStyle w:val="TableParagraph"/>
              <w:spacing w:line="274" w:lineRule="exact"/>
              <w:ind w:left="137" w:right="0"/>
              <w:jc w:val="center"/>
              <w:rPr>
                <w:rFonts w:ascii="宋体" w:hAnsi="宋体" w:cs="宋体" w:eastAsia="宋体" w:hint="default"/>
                <w:sz w:val="21"/>
                <w:szCs w:val="21"/>
              </w:rPr>
            </w:pPr>
            <w:r>
              <w:rPr>
                <w:rFonts w:ascii="宋体"/>
                <w:sz w:val="21"/>
              </w:rPr>
              <w:t>0.65</w:t>
            </w:r>
          </w:p>
        </w:tc>
      </w:tr>
    </w:tbl>
    <w:p>
      <w:pPr>
        <w:spacing w:after="0" w:line="274" w:lineRule="exact"/>
        <w:jc w:val="center"/>
        <w:rPr>
          <w:rFonts w:ascii="宋体" w:hAnsi="宋体" w:cs="宋体" w:eastAsia="宋体" w:hint="default"/>
          <w:sz w:val="21"/>
          <w:szCs w:val="21"/>
        </w:rPr>
        <w:sectPr>
          <w:pgSz w:w="11910" w:h="16840"/>
          <w:pgMar w:header="882" w:footer="1197"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340"/>
        <w:gridCol w:w="779"/>
        <w:gridCol w:w="589"/>
        <w:gridCol w:w="779"/>
        <w:gridCol w:w="778"/>
        <w:gridCol w:w="590"/>
        <w:gridCol w:w="778"/>
        <w:gridCol w:w="778"/>
        <w:gridCol w:w="715"/>
        <w:gridCol w:w="779"/>
        <w:gridCol w:w="778"/>
        <w:gridCol w:w="590"/>
        <w:gridCol w:w="778"/>
      </w:tblGrid>
      <w:tr>
        <w:trPr>
          <w:trHeight w:val="832" w:hRule="exact"/>
        </w:trPr>
        <w:tc>
          <w:tcPr>
            <w:tcW w:w="340"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限</w:t>
            </w:r>
          </w:p>
          <w:p>
            <w:pPr>
              <w:pStyle w:val="TableParagraph"/>
              <w:spacing w:line="272" w:lineRule="exact" w:before="26"/>
              <w:ind w:left="103" w:right="12"/>
              <w:jc w:val="left"/>
              <w:rPr>
                <w:rFonts w:ascii="宋体" w:hAnsi="宋体" w:cs="宋体" w:eastAsia="宋体" w:hint="default"/>
                <w:sz w:val="21"/>
                <w:szCs w:val="21"/>
              </w:rPr>
            </w:pPr>
            <w:r>
              <w:rPr>
                <w:rFonts w:ascii="宋体" w:hAnsi="宋体" w:cs="宋体" w:eastAsia="宋体" w:hint="default"/>
                <w:sz w:val="21"/>
                <w:szCs w:val="21"/>
              </w:rPr>
              <w:t>公 司</w:t>
            </w:r>
          </w:p>
        </w:tc>
        <w:tc>
          <w:tcPr>
            <w:tcW w:w="779"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590"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590"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4" w:space="0" w:color="000000"/>
            </w:tcBorders>
          </w:tcPr>
          <w:p>
            <w:pPr/>
          </w:p>
        </w:tc>
      </w:tr>
      <w:tr>
        <w:trPr>
          <w:trHeight w:val="3281" w:hRule="exact"/>
        </w:trPr>
        <w:tc>
          <w:tcPr>
            <w:tcW w:w="340"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金</w:t>
            </w:r>
          </w:p>
          <w:p>
            <w:pPr>
              <w:pStyle w:val="TableParagraph"/>
              <w:spacing w:line="237" w:lineRule="auto" w:before="1"/>
              <w:ind w:left="103" w:right="12"/>
              <w:jc w:val="both"/>
              <w:rPr>
                <w:rFonts w:ascii="宋体" w:hAnsi="宋体" w:cs="宋体" w:eastAsia="宋体" w:hint="default"/>
                <w:sz w:val="21"/>
                <w:szCs w:val="21"/>
              </w:rPr>
            </w:pPr>
            <w:r>
              <w:rPr>
                <w:rFonts w:ascii="宋体" w:hAnsi="宋体" w:cs="宋体" w:eastAsia="宋体" w:hint="default"/>
                <w:sz w:val="21"/>
                <w:szCs w:val="21"/>
              </w:rPr>
              <w:t>证 财 富 南 京 科 技 有 限 公 司</w:t>
            </w:r>
          </w:p>
        </w:tc>
        <w:tc>
          <w:tcPr>
            <w:tcW w:w="77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76"/>
              <w:ind w:left="138" w:right="0"/>
              <w:jc w:val="left"/>
              <w:rPr>
                <w:rFonts w:ascii="宋体" w:hAnsi="宋体" w:cs="宋体" w:eastAsia="宋体" w:hint="default"/>
                <w:sz w:val="21"/>
                <w:szCs w:val="21"/>
              </w:rPr>
            </w:pPr>
            <w:r>
              <w:rPr>
                <w:rFonts w:ascii="宋体"/>
                <w:sz w:val="21"/>
              </w:rPr>
              <w:t>5,793</w:t>
            </w:r>
          </w:p>
          <w:p>
            <w:pPr>
              <w:pStyle w:val="TableParagraph"/>
              <w:spacing w:line="274" w:lineRule="exact"/>
              <w:ind w:left="348" w:right="0"/>
              <w:jc w:val="left"/>
              <w:rPr>
                <w:rFonts w:ascii="宋体" w:hAnsi="宋体" w:cs="宋体" w:eastAsia="宋体" w:hint="default"/>
                <w:sz w:val="21"/>
                <w:szCs w:val="21"/>
              </w:rPr>
            </w:pPr>
            <w:r>
              <w:rPr>
                <w:rFonts w:ascii="宋体"/>
                <w:sz w:val="21"/>
              </w:rPr>
              <w:t>.65</w:t>
            </w:r>
          </w:p>
        </w:tc>
        <w:tc>
          <w:tcPr>
            <w:tcW w:w="58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76"/>
              <w:ind w:left="59" w:right="0"/>
              <w:jc w:val="center"/>
              <w:rPr>
                <w:rFonts w:ascii="宋体" w:hAnsi="宋体" w:cs="宋体" w:eastAsia="宋体" w:hint="default"/>
                <w:sz w:val="21"/>
                <w:szCs w:val="21"/>
              </w:rPr>
            </w:pPr>
            <w:r>
              <w:rPr>
                <w:rFonts w:ascii="宋体"/>
                <w:sz w:val="21"/>
              </w:rPr>
              <w:t>83.</w:t>
            </w:r>
          </w:p>
          <w:p>
            <w:pPr>
              <w:pStyle w:val="TableParagraph"/>
              <w:spacing w:line="274" w:lineRule="exact"/>
              <w:ind w:left="164" w:right="0"/>
              <w:jc w:val="center"/>
              <w:rPr>
                <w:rFonts w:ascii="宋体" w:hAnsi="宋体" w:cs="宋体" w:eastAsia="宋体" w:hint="default"/>
                <w:sz w:val="21"/>
                <w:szCs w:val="21"/>
              </w:rPr>
            </w:pPr>
            <w:r>
              <w:rPr>
                <w:rFonts w:ascii="宋体"/>
                <w:sz w:val="21"/>
              </w:rPr>
              <w:t>29</w:t>
            </w:r>
          </w:p>
        </w:tc>
        <w:tc>
          <w:tcPr>
            <w:tcW w:w="77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76"/>
              <w:ind w:left="137" w:right="0"/>
              <w:jc w:val="left"/>
              <w:rPr>
                <w:rFonts w:ascii="宋体" w:hAnsi="宋体" w:cs="宋体" w:eastAsia="宋体" w:hint="default"/>
                <w:sz w:val="21"/>
                <w:szCs w:val="21"/>
              </w:rPr>
            </w:pPr>
            <w:r>
              <w:rPr>
                <w:rFonts w:ascii="宋体"/>
                <w:sz w:val="21"/>
              </w:rPr>
              <w:t>5,876</w:t>
            </w:r>
          </w:p>
          <w:p>
            <w:pPr>
              <w:pStyle w:val="TableParagraph"/>
              <w:spacing w:line="274" w:lineRule="exact"/>
              <w:ind w:left="347" w:right="0"/>
              <w:jc w:val="left"/>
              <w:rPr>
                <w:rFonts w:ascii="宋体" w:hAnsi="宋体" w:cs="宋体" w:eastAsia="宋体" w:hint="default"/>
                <w:sz w:val="21"/>
                <w:szCs w:val="21"/>
              </w:rPr>
            </w:pPr>
            <w:r>
              <w:rPr>
                <w:rFonts w:ascii="宋体"/>
                <w:sz w:val="21"/>
              </w:rPr>
              <w:t>.94</w:t>
            </w:r>
          </w:p>
        </w:tc>
        <w:tc>
          <w:tcPr>
            <w:tcW w:w="77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76"/>
              <w:ind w:left="136" w:right="0"/>
              <w:jc w:val="left"/>
              <w:rPr>
                <w:rFonts w:ascii="宋体" w:hAnsi="宋体" w:cs="宋体" w:eastAsia="宋体" w:hint="default"/>
                <w:sz w:val="21"/>
                <w:szCs w:val="21"/>
              </w:rPr>
            </w:pPr>
            <w:r>
              <w:rPr>
                <w:rFonts w:ascii="宋体"/>
                <w:sz w:val="21"/>
              </w:rPr>
              <w:t>1,510</w:t>
            </w:r>
          </w:p>
          <w:p>
            <w:pPr>
              <w:pStyle w:val="TableParagraph"/>
              <w:spacing w:line="274" w:lineRule="exact"/>
              <w:ind w:left="346" w:right="0"/>
              <w:jc w:val="left"/>
              <w:rPr>
                <w:rFonts w:ascii="宋体" w:hAnsi="宋体" w:cs="宋体" w:eastAsia="宋体" w:hint="default"/>
                <w:sz w:val="21"/>
                <w:szCs w:val="21"/>
              </w:rPr>
            </w:pPr>
            <w:r>
              <w:rPr>
                <w:rFonts w:ascii="宋体"/>
                <w:sz w:val="21"/>
              </w:rPr>
              <w:t>.24</w:t>
            </w:r>
          </w:p>
        </w:tc>
        <w:tc>
          <w:tcPr>
            <w:tcW w:w="590" w:type="dxa"/>
            <w:tcBorders>
              <w:top w:val="single" w:sz="6" w:space="0" w:color="000000"/>
              <w:left w:val="single" w:sz="6" w:space="0" w:color="000000"/>
              <w:bottom w:val="single" w:sz="4" w:space="0" w:color="000000"/>
              <w:right w:val="single" w:sz="6" w:space="0" w:color="000000"/>
            </w:tcBorders>
          </w:tcPr>
          <w:p>
            <w:pPr/>
          </w:p>
        </w:tc>
        <w:tc>
          <w:tcPr>
            <w:tcW w:w="77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76"/>
              <w:ind w:left="136" w:right="0"/>
              <w:jc w:val="left"/>
              <w:rPr>
                <w:rFonts w:ascii="宋体" w:hAnsi="宋体" w:cs="宋体" w:eastAsia="宋体" w:hint="default"/>
                <w:sz w:val="21"/>
                <w:szCs w:val="21"/>
              </w:rPr>
            </w:pPr>
            <w:r>
              <w:rPr>
                <w:rFonts w:ascii="宋体"/>
                <w:sz w:val="21"/>
              </w:rPr>
              <w:t>1,510</w:t>
            </w:r>
          </w:p>
          <w:p>
            <w:pPr>
              <w:pStyle w:val="TableParagraph"/>
              <w:spacing w:line="274" w:lineRule="exact"/>
              <w:ind w:left="346" w:right="0"/>
              <w:jc w:val="left"/>
              <w:rPr>
                <w:rFonts w:ascii="宋体" w:hAnsi="宋体" w:cs="宋体" w:eastAsia="宋体" w:hint="default"/>
                <w:sz w:val="21"/>
                <w:szCs w:val="21"/>
              </w:rPr>
            </w:pPr>
            <w:r>
              <w:rPr>
                <w:rFonts w:ascii="宋体"/>
                <w:sz w:val="21"/>
              </w:rPr>
              <w:t>.24</w:t>
            </w:r>
          </w:p>
        </w:tc>
        <w:tc>
          <w:tcPr>
            <w:tcW w:w="77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76"/>
              <w:ind w:right="98"/>
              <w:jc w:val="right"/>
              <w:rPr>
                <w:rFonts w:ascii="宋体" w:hAnsi="宋体" w:cs="宋体" w:eastAsia="宋体" w:hint="default"/>
                <w:sz w:val="21"/>
                <w:szCs w:val="21"/>
              </w:rPr>
            </w:pPr>
            <w:r>
              <w:rPr>
                <w:rFonts w:ascii="宋体"/>
                <w:spacing w:val="-1"/>
                <w:sz w:val="21"/>
              </w:rPr>
              <w:t>829.6</w:t>
            </w:r>
          </w:p>
          <w:p>
            <w:pPr>
              <w:pStyle w:val="TableParagraph"/>
              <w:spacing w:line="274" w:lineRule="exact"/>
              <w:ind w:right="98"/>
              <w:jc w:val="right"/>
              <w:rPr>
                <w:rFonts w:ascii="宋体" w:hAnsi="宋体" w:cs="宋体" w:eastAsia="宋体" w:hint="default"/>
                <w:sz w:val="21"/>
                <w:szCs w:val="21"/>
              </w:rPr>
            </w:pPr>
            <w:r>
              <w:rPr>
                <w:rFonts w:ascii="宋体"/>
                <w:sz w:val="21"/>
              </w:rPr>
              <w:t>6</w:t>
            </w:r>
          </w:p>
        </w:tc>
        <w:tc>
          <w:tcPr>
            <w:tcW w:w="71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76"/>
              <w:ind w:left="180" w:right="0"/>
              <w:jc w:val="left"/>
              <w:rPr>
                <w:rFonts w:ascii="宋体" w:hAnsi="宋体" w:cs="宋体" w:eastAsia="宋体" w:hint="default"/>
                <w:sz w:val="21"/>
                <w:szCs w:val="21"/>
              </w:rPr>
            </w:pPr>
            <w:r>
              <w:rPr>
                <w:rFonts w:ascii="宋体"/>
                <w:sz w:val="21"/>
              </w:rPr>
              <w:t>2,30</w:t>
            </w:r>
          </w:p>
          <w:p>
            <w:pPr>
              <w:pStyle w:val="TableParagraph"/>
              <w:spacing w:line="274" w:lineRule="exact"/>
              <w:ind w:left="180" w:right="0"/>
              <w:jc w:val="left"/>
              <w:rPr>
                <w:rFonts w:ascii="宋体" w:hAnsi="宋体" w:cs="宋体" w:eastAsia="宋体" w:hint="default"/>
                <w:sz w:val="21"/>
                <w:szCs w:val="21"/>
              </w:rPr>
            </w:pPr>
            <w:r>
              <w:rPr>
                <w:rFonts w:ascii="宋体"/>
                <w:sz w:val="21"/>
              </w:rPr>
              <w:t>1.19</w:t>
            </w:r>
          </w:p>
        </w:tc>
        <w:tc>
          <w:tcPr>
            <w:tcW w:w="77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76"/>
              <w:ind w:left="138" w:right="0"/>
              <w:jc w:val="left"/>
              <w:rPr>
                <w:rFonts w:ascii="宋体" w:hAnsi="宋体" w:cs="宋体" w:eastAsia="宋体" w:hint="default"/>
                <w:sz w:val="21"/>
                <w:szCs w:val="21"/>
              </w:rPr>
            </w:pPr>
            <w:r>
              <w:rPr>
                <w:rFonts w:ascii="宋体"/>
                <w:sz w:val="21"/>
              </w:rPr>
              <w:t>3,130</w:t>
            </w:r>
          </w:p>
          <w:p>
            <w:pPr>
              <w:pStyle w:val="TableParagraph"/>
              <w:spacing w:line="274" w:lineRule="exact"/>
              <w:ind w:left="348" w:right="0"/>
              <w:jc w:val="left"/>
              <w:rPr>
                <w:rFonts w:ascii="宋体" w:hAnsi="宋体" w:cs="宋体" w:eastAsia="宋体" w:hint="default"/>
                <w:sz w:val="21"/>
                <w:szCs w:val="21"/>
              </w:rPr>
            </w:pPr>
            <w:r>
              <w:rPr>
                <w:rFonts w:ascii="宋体"/>
                <w:sz w:val="21"/>
              </w:rPr>
              <w:t>.85</w:t>
            </w:r>
          </w:p>
        </w:tc>
        <w:tc>
          <w:tcPr>
            <w:tcW w:w="77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76"/>
              <w:ind w:right="99"/>
              <w:jc w:val="right"/>
              <w:rPr>
                <w:rFonts w:ascii="宋体" w:hAnsi="宋体" w:cs="宋体" w:eastAsia="宋体" w:hint="default"/>
                <w:sz w:val="21"/>
                <w:szCs w:val="21"/>
              </w:rPr>
            </w:pPr>
            <w:r>
              <w:rPr>
                <w:rFonts w:ascii="宋体"/>
                <w:spacing w:val="-1"/>
                <w:sz w:val="21"/>
              </w:rPr>
              <w:t>144.1</w:t>
            </w:r>
          </w:p>
          <w:p>
            <w:pPr>
              <w:pStyle w:val="TableParagraph"/>
              <w:spacing w:line="274" w:lineRule="exact"/>
              <w:ind w:right="99"/>
              <w:jc w:val="right"/>
              <w:rPr>
                <w:rFonts w:ascii="宋体" w:hAnsi="宋体" w:cs="宋体" w:eastAsia="宋体" w:hint="default"/>
                <w:sz w:val="21"/>
                <w:szCs w:val="21"/>
              </w:rPr>
            </w:pPr>
            <w:r>
              <w:rPr>
                <w:rFonts w:ascii="宋体"/>
                <w:sz w:val="21"/>
              </w:rPr>
              <w:t>6</w:t>
            </w:r>
          </w:p>
        </w:tc>
        <w:tc>
          <w:tcPr>
            <w:tcW w:w="590" w:type="dxa"/>
            <w:tcBorders>
              <w:top w:val="single" w:sz="6" w:space="0" w:color="000000"/>
              <w:left w:val="single" w:sz="6" w:space="0" w:color="000000"/>
              <w:bottom w:val="single" w:sz="4" w:space="0" w:color="000000"/>
              <w:right w:val="single" w:sz="6" w:space="0" w:color="000000"/>
            </w:tcBorders>
          </w:tcPr>
          <w:p>
            <w:pPr/>
          </w:p>
        </w:tc>
        <w:tc>
          <w:tcPr>
            <w:tcW w:w="778"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76"/>
              <w:ind w:right="101"/>
              <w:jc w:val="right"/>
              <w:rPr>
                <w:rFonts w:ascii="宋体" w:hAnsi="宋体" w:cs="宋体" w:eastAsia="宋体" w:hint="default"/>
                <w:sz w:val="21"/>
                <w:szCs w:val="21"/>
              </w:rPr>
            </w:pPr>
            <w:r>
              <w:rPr>
                <w:rFonts w:ascii="宋体"/>
                <w:spacing w:val="-1"/>
                <w:sz w:val="21"/>
              </w:rPr>
              <w:t>144.1</w:t>
            </w:r>
          </w:p>
          <w:p>
            <w:pPr>
              <w:pStyle w:val="TableParagraph"/>
              <w:spacing w:line="274" w:lineRule="exact"/>
              <w:ind w:right="101"/>
              <w:jc w:val="right"/>
              <w:rPr>
                <w:rFonts w:ascii="宋体" w:hAnsi="宋体" w:cs="宋体" w:eastAsia="宋体" w:hint="default"/>
                <w:sz w:val="21"/>
                <w:szCs w:val="21"/>
              </w:rPr>
            </w:pPr>
            <w:r>
              <w:rPr>
                <w:rFonts w:ascii="宋体"/>
                <w:sz w:val="21"/>
              </w:rPr>
              <w:t>6</w:t>
            </w:r>
          </w:p>
        </w:tc>
      </w:tr>
    </w:tbl>
    <w:p>
      <w:pPr>
        <w:spacing w:line="240" w:lineRule="auto" w:before="8"/>
        <w:rPr>
          <w:rFonts w:ascii="Times New Roman" w:hAnsi="Times New Roman" w:cs="Times New Roman" w:eastAsia="Times New Roman"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424"/>
        <w:gridCol w:w="1261"/>
        <w:gridCol w:w="1052"/>
        <w:gridCol w:w="1052"/>
        <w:gridCol w:w="1051"/>
        <w:gridCol w:w="1261"/>
        <w:gridCol w:w="1052"/>
        <w:gridCol w:w="1051"/>
        <w:gridCol w:w="844"/>
      </w:tblGrid>
      <w:tr>
        <w:trPr>
          <w:trHeight w:val="326" w:hRule="exact"/>
        </w:trPr>
        <w:tc>
          <w:tcPr>
            <w:tcW w:w="424" w:type="dxa"/>
            <w:vMerge w:val="restart"/>
            <w:tcBorders>
              <w:top w:val="single" w:sz="4" w:space="0" w:color="000000"/>
              <w:left w:val="single" w:sz="4" w:space="0" w:color="000000"/>
              <w:right w:val="single" w:sz="6" w:space="0" w:color="000000"/>
            </w:tcBorders>
          </w:tcPr>
          <w:p>
            <w:pPr>
              <w:pStyle w:val="TableParagraph"/>
              <w:spacing w:line="248" w:lineRule="exact"/>
              <w:ind w:left="110" w:right="0"/>
              <w:jc w:val="both"/>
              <w:rPr>
                <w:rFonts w:ascii="宋体" w:hAnsi="宋体" w:cs="宋体" w:eastAsia="宋体" w:hint="default"/>
                <w:sz w:val="21"/>
                <w:szCs w:val="21"/>
              </w:rPr>
            </w:pPr>
            <w:r>
              <w:rPr>
                <w:rFonts w:ascii="宋体" w:hAnsi="宋体" w:cs="宋体" w:eastAsia="宋体" w:hint="default"/>
                <w:sz w:val="21"/>
                <w:szCs w:val="21"/>
              </w:rPr>
              <w:t>子</w:t>
            </w:r>
          </w:p>
          <w:p>
            <w:pPr>
              <w:pStyle w:val="TableParagraph"/>
              <w:spacing w:line="273" w:lineRule="auto" w:before="38"/>
              <w:ind w:left="110" w:right="89"/>
              <w:jc w:val="both"/>
              <w:rPr>
                <w:rFonts w:ascii="宋体" w:hAnsi="宋体" w:cs="宋体" w:eastAsia="宋体" w:hint="default"/>
                <w:sz w:val="21"/>
                <w:szCs w:val="21"/>
              </w:rPr>
            </w:pPr>
            <w:r>
              <w:rPr>
                <w:rFonts w:ascii="宋体" w:hAnsi="宋体" w:cs="宋体" w:eastAsia="宋体" w:hint="default"/>
                <w:sz w:val="21"/>
                <w:szCs w:val="21"/>
              </w:rPr>
              <w:t>公 司 名 称</w:t>
            </w:r>
          </w:p>
        </w:tc>
        <w:tc>
          <w:tcPr>
            <w:tcW w:w="4417" w:type="dxa"/>
            <w:gridSpan w:val="4"/>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208" w:type="dxa"/>
            <w:gridSpan w:val="4"/>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267" w:hRule="exact"/>
        </w:trPr>
        <w:tc>
          <w:tcPr>
            <w:tcW w:w="424" w:type="dxa"/>
            <w:vMerge/>
            <w:tcBorders>
              <w:left w:val="single" w:sz="4"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73" w:lineRule="auto"/>
              <w:ind w:left="202" w:right="203"/>
              <w:jc w:val="left"/>
              <w:rPr>
                <w:rFonts w:ascii="宋体" w:hAnsi="宋体" w:cs="宋体" w:eastAsia="宋体" w:hint="default"/>
                <w:sz w:val="21"/>
                <w:szCs w:val="21"/>
              </w:rPr>
            </w:pPr>
            <w:r>
              <w:rPr>
                <w:rFonts w:ascii="宋体" w:hAnsi="宋体" w:cs="宋体" w:eastAsia="宋体" w:hint="default"/>
                <w:sz w:val="21"/>
                <w:szCs w:val="21"/>
              </w:rPr>
              <w:t>综合收 益总额</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22"/>
              <w:ind w:left="202" w:right="202"/>
              <w:jc w:val="both"/>
              <w:rPr>
                <w:rFonts w:ascii="宋体" w:hAnsi="宋体" w:cs="宋体" w:eastAsia="宋体" w:hint="default"/>
                <w:sz w:val="21"/>
                <w:szCs w:val="21"/>
              </w:rPr>
            </w:pPr>
            <w:r>
              <w:rPr>
                <w:rFonts w:ascii="宋体" w:hAnsi="宋体" w:cs="宋体" w:eastAsia="宋体" w:hint="default"/>
                <w:sz w:val="21"/>
                <w:szCs w:val="21"/>
              </w:rPr>
              <w:t>经营活 动现金 流量</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73" w:lineRule="auto"/>
              <w:ind w:left="202" w:right="202"/>
              <w:jc w:val="left"/>
              <w:rPr>
                <w:rFonts w:ascii="宋体" w:hAnsi="宋体" w:cs="宋体" w:eastAsia="宋体" w:hint="default"/>
                <w:sz w:val="21"/>
                <w:szCs w:val="21"/>
              </w:rPr>
            </w:pPr>
            <w:r>
              <w:rPr>
                <w:rFonts w:ascii="宋体" w:hAnsi="宋体" w:cs="宋体" w:eastAsia="宋体" w:hint="default"/>
                <w:sz w:val="21"/>
                <w:szCs w:val="21"/>
              </w:rPr>
              <w:t>综合收 益总额</w:t>
            </w:r>
          </w:p>
        </w:tc>
        <w:tc>
          <w:tcPr>
            <w:tcW w:w="844"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203" w:right="0"/>
              <w:jc w:val="both"/>
              <w:rPr>
                <w:rFonts w:ascii="宋体" w:hAnsi="宋体" w:cs="宋体" w:eastAsia="宋体" w:hint="default"/>
                <w:sz w:val="21"/>
                <w:szCs w:val="21"/>
              </w:rPr>
            </w:pPr>
            <w:r>
              <w:rPr>
                <w:rFonts w:ascii="宋体" w:hAnsi="宋体" w:cs="宋体" w:eastAsia="宋体" w:hint="default"/>
                <w:sz w:val="21"/>
                <w:szCs w:val="21"/>
              </w:rPr>
              <w:t>经营</w:t>
            </w:r>
          </w:p>
          <w:p>
            <w:pPr>
              <w:pStyle w:val="TableParagraph"/>
              <w:spacing w:line="273" w:lineRule="auto" w:before="38"/>
              <w:ind w:left="203" w:right="205"/>
              <w:jc w:val="both"/>
              <w:rPr>
                <w:rFonts w:ascii="宋体" w:hAnsi="宋体" w:cs="宋体" w:eastAsia="宋体" w:hint="default"/>
                <w:sz w:val="21"/>
                <w:szCs w:val="21"/>
              </w:rPr>
            </w:pPr>
            <w:r>
              <w:rPr>
                <w:rFonts w:ascii="宋体" w:hAnsi="宋体" w:cs="宋体" w:eastAsia="宋体" w:hint="default"/>
                <w:sz w:val="21"/>
                <w:szCs w:val="21"/>
              </w:rPr>
              <w:t>活动 现金 流量</w:t>
            </w:r>
          </w:p>
        </w:tc>
      </w:tr>
      <w:tr>
        <w:trPr>
          <w:trHeight w:val="4400" w:hRule="exact"/>
        </w:trPr>
        <w:tc>
          <w:tcPr>
            <w:tcW w:w="42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深</w:t>
            </w:r>
          </w:p>
          <w:p>
            <w:pPr>
              <w:pStyle w:val="TableParagraph"/>
              <w:spacing w:line="273" w:lineRule="auto" w:before="38"/>
              <w:ind w:left="103" w:right="96"/>
              <w:jc w:val="both"/>
              <w:rPr>
                <w:rFonts w:ascii="宋体" w:hAnsi="宋体" w:cs="宋体" w:eastAsia="宋体" w:hint="default"/>
                <w:sz w:val="21"/>
                <w:szCs w:val="21"/>
              </w:rPr>
            </w:pPr>
            <w:r>
              <w:rPr>
                <w:rFonts w:ascii="宋体" w:hAnsi="宋体" w:cs="宋体" w:eastAsia="宋体" w:hint="default"/>
                <w:sz w:val="21"/>
                <w:szCs w:val="21"/>
              </w:rPr>
              <w:t>圳 市 齐 普 生 信 息 科 技 有 限 公 司</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168,829.3</w:t>
            </w:r>
          </w:p>
          <w:p>
            <w:pPr>
              <w:pStyle w:val="TableParagraph"/>
              <w:spacing w:line="240" w:lineRule="auto" w:before="38"/>
              <w:ind w:right="98"/>
              <w:jc w:val="right"/>
              <w:rPr>
                <w:rFonts w:ascii="宋体" w:hAnsi="宋体" w:cs="宋体" w:eastAsia="宋体" w:hint="default"/>
                <w:sz w:val="21"/>
                <w:szCs w:val="21"/>
              </w:rPr>
            </w:pPr>
            <w:r>
              <w:rPr>
                <w:rFonts w:ascii="宋体"/>
                <w:sz w:val="21"/>
              </w:rPr>
              <w:t>7</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4,020.6</w:t>
            </w:r>
          </w:p>
          <w:p>
            <w:pPr>
              <w:pStyle w:val="TableParagraph"/>
              <w:spacing w:line="240" w:lineRule="auto" w:before="38"/>
              <w:ind w:right="98"/>
              <w:jc w:val="right"/>
              <w:rPr>
                <w:rFonts w:ascii="宋体" w:hAnsi="宋体" w:cs="宋体" w:eastAsia="宋体" w:hint="default"/>
                <w:sz w:val="21"/>
                <w:szCs w:val="21"/>
              </w:rPr>
            </w:pPr>
            <w:r>
              <w:rPr>
                <w:rFonts w:ascii="宋体"/>
                <w:sz w:val="21"/>
              </w:rPr>
              <w:t>1</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4,020.6</w:t>
            </w:r>
          </w:p>
          <w:p>
            <w:pPr>
              <w:pStyle w:val="TableParagraph"/>
              <w:spacing w:line="240" w:lineRule="auto" w:before="38"/>
              <w:ind w:right="99"/>
              <w:jc w:val="right"/>
              <w:rPr>
                <w:rFonts w:ascii="宋体" w:hAnsi="宋体" w:cs="宋体" w:eastAsia="宋体" w:hint="default"/>
                <w:sz w:val="21"/>
                <w:szCs w:val="21"/>
              </w:rPr>
            </w:pPr>
            <w:r>
              <w:rPr>
                <w:rFonts w:ascii="宋体"/>
                <w:sz w:val="21"/>
              </w:rPr>
              <w:t>1</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1"/>
              <w:ind w:left="305" w:right="0"/>
              <w:jc w:val="left"/>
              <w:rPr>
                <w:rFonts w:ascii="宋体" w:hAnsi="宋体" w:cs="宋体" w:eastAsia="宋体" w:hint="default"/>
                <w:sz w:val="21"/>
                <w:szCs w:val="21"/>
              </w:rPr>
            </w:pPr>
            <w:r>
              <w:rPr>
                <w:rFonts w:ascii="宋体"/>
                <w:sz w:val="21"/>
              </w:rPr>
              <w:t>557.01</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141,242.3</w:t>
            </w:r>
          </w:p>
          <w:p>
            <w:pPr>
              <w:pStyle w:val="TableParagraph"/>
              <w:spacing w:line="240" w:lineRule="auto" w:before="38"/>
              <w:ind w:right="98"/>
              <w:jc w:val="right"/>
              <w:rPr>
                <w:rFonts w:ascii="宋体" w:hAnsi="宋体" w:cs="宋体" w:eastAsia="宋体" w:hint="default"/>
                <w:sz w:val="21"/>
                <w:szCs w:val="21"/>
              </w:rPr>
            </w:pPr>
            <w:r>
              <w:rPr>
                <w:rFonts w:ascii="宋体"/>
                <w:sz w:val="21"/>
              </w:rPr>
              <w:t>0</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3,383.4</w:t>
            </w:r>
          </w:p>
          <w:p>
            <w:pPr>
              <w:pStyle w:val="TableParagraph"/>
              <w:spacing w:line="240" w:lineRule="auto" w:before="38"/>
              <w:ind w:right="98"/>
              <w:jc w:val="right"/>
              <w:rPr>
                <w:rFonts w:ascii="宋体" w:hAnsi="宋体" w:cs="宋体" w:eastAsia="宋体" w:hint="default"/>
                <w:sz w:val="21"/>
                <w:szCs w:val="21"/>
              </w:rPr>
            </w:pPr>
            <w:r>
              <w:rPr>
                <w:rFonts w:ascii="宋体"/>
                <w:sz w:val="21"/>
              </w:rPr>
              <w:t>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3,383.4</w:t>
            </w:r>
          </w:p>
          <w:p>
            <w:pPr>
              <w:pStyle w:val="TableParagraph"/>
              <w:spacing w:line="240" w:lineRule="auto" w:before="38"/>
              <w:ind w:right="98"/>
              <w:jc w:val="right"/>
              <w:rPr>
                <w:rFonts w:ascii="宋体" w:hAnsi="宋体" w:cs="宋体" w:eastAsia="宋体" w:hint="default"/>
                <w:sz w:val="21"/>
                <w:szCs w:val="21"/>
              </w:rPr>
            </w:pPr>
            <w:r>
              <w:rPr>
                <w:rFonts w:ascii="宋体"/>
                <w:sz w:val="21"/>
              </w:rPr>
              <w:t>0</w:t>
            </w:r>
          </w:p>
        </w:tc>
        <w:tc>
          <w:tcPr>
            <w:tcW w:w="84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773.3</w:t>
            </w:r>
          </w:p>
          <w:p>
            <w:pPr>
              <w:pStyle w:val="TableParagraph"/>
              <w:spacing w:line="240" w:lineRule="auto" w:before="38"/>
              <w:ind w:right="100"/>
              <w:jc w:val="right"/>
              <w:rPr>
                <w:rFonts w:ascii="宋体" w:hAnsi="宋体" w:cs="宋体" w:eastAsia="宋体" w:hint="default"/>
                <w:sz w:val="21"/>
                <w:szCs w:val="21"/>
              </w:rPr>
            </w:pPr>
            <w:r>
              <w:rPr>
                <w:rFonts w:ascii="宋体"/>
                <w:sz w:val="21"/>
              </w:rPr>
              <w:t>0</w:t>
            </w:r>
          </w:p>
        </w:tc>
      </w:tr>
      <w:tr>
        <w:trPr>
          <w:trHeight w:val="3457" w:hRule="exact"/>
        </w:trPr>
        <w:tc>
          <w:tcPr>
            <w:tcW w:w="424"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金</w:t>
            </w:r>
          </w:p>
          <w:p>
            <w:pPr>
              <w:pStyle w:val="TableParagraph"/>
              <w:spacing w:line="273" w:lineRule="auto" w:before="38"/>
              <w:ind w:left="103" w:right="96"/>
              <w:jc w:val="both"/>
              <w:rPr>
                <w:rFonts w:ascii="宋体" w:hAnsi="宋体" w:cs="宋体" w:eastAsia="宋体" w:hint="default"/>
                <w:sz w:val="21"/>
                <w:szCs w:val="21"/>
              </w:rPr>
            </w:pPr>
            <w:r>
              <w:rPr>
                <w:rFonts w:ascii="宋体" w:hAnsi="宋体" w:cs="宋体" w:eastAsia="宋体" w:hint="default"/>
                <w:sz w:val="21"/>
                <w:szCs w:val="21"/>
              </w:rPr>
              <w:t>证 财 富 南 京 科 技 有 限 公</w:t>
            </w:r>
          </w:p>
        </w:tc>
        <w:tc>
          <w:tcPr>
            <w:tcW w:w="126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left="306" w:right="0"/>
              <w:jc w:val="left"/>
              <w:rPr>
                <w:rFonts w:ascii="宋体" w:hAnsi="宋体" w:cs="宋体" w:eastAsia="宋体" w:hint="default"/>
                <w:sz w:val="21"/>
                <w:szCs w:val="21"/>
              </w:rPr>
            </w:pPr>
            <w:r>
              <w:rPr>
                <w:rFonts w:ascii="宋体"/>
                <w:sz w:val="21"/>
              </w:rPr>
              <w:t>4,557.36</w:t>
            </w:r>
          </w:p>
        </w:tc>
        <w:tc>
          <w:tcPr>
            <w:tcW w:w="105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1,380.0</w:t>
            </w:r>
          </w:p>
          <w:p>
            <w:pPr>
              <w:pStyle w:val="TableParagraph"/>
              <w:spacing w:line="240" w:lineRule="auto" w:before="38"/>
              <w:ind w:right="98"/>
              <w:jc w:val="right"/>
              <w:rPr>
                <w:rFonts w:ascii="宋体" w:hAnsi="宋体" w:cs="宋体" w:eastAsia="宋体" w:hint="default"/>
                <w:sz w:val="21"/>
                <w:szCs w:val="21"/>
              </w:rPr>
            </w:pPr>
            <w:r>
              <w:rPr>
                <w:rFonts w:ascii="宋体"/>
                <w:sz w:val="21"/>
              </w:rPr>
              <w:t>1</w:t>
            </w:r>
          </w:p>
        </w:tc>
        <w:tc>
          <w:tcPr>
            <w:tcW w:w="105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1,380.0</w:t>
            </w:r>
          </w:p>
          <w:p>
            <w:pPr>
              <w:pStyle w:val="TableParagraph"/>
              <w:spacing w:line="240" w:lineRule="auto" w:before="38"/>
              <w:ind w:right="99"/>
              <w:jc w:val="right"/>
              <w:rPr>
                <w:rFonts w:ascii="宋体" w:hAnsi="宋体" w:cs="宋体" w:eastAsia="宋体" w:hint="default"/>
                <w:sz w:val="21"/>
                <w:szCs w:val="21"/>
              </w:rPr>
            </w:pPr>
            <w:r>
              <w:rPr>
                <w:rFonts w:ascii="宋体"/>
                <w:sz w:val="21"/>
              </w:rPr>
              <w:t>1</w:t>
            </w:r>
          </w:p>
        </w:tc>
        <w:tc>
          <w:tcPr>
            <w:tcW w:w="105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1,153.5</w:t>
            </w:r>
          </w:p>
          <w:p>
            <w:pPr>
              <w:pStyle w:val="TableParagraph"/>
              <w:spacing w:line="240" w:lineRule="auto" w:before="38"/>
              <w:ind w:right="98"/>
              <w:jc w:val="right"/>
              <w:rPr>
                <w:rFonts w:ascii="宋体" w:hAnsi="宋体" w:cs="宋体" w:eastAsia="宋体" w:hint="default"/>
                <w:sz w:val="21"/>
                <w:szCs w:val="21"/>
              </w:rPr>
            </w:pPr>
            <w:r>
              <w:rPr>
                <w:rFonts w:ascii="宋体"/>
                <w:sz w:val="21"/>
              </w:rPr>
              <w:t>9</w:t>
            </w:r>
          </w:p>
        </w:tc>
        <w:tc>
          <w:tcPr>
            <w:tcW w:w="126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left="516" w:right="0"/>
              <w:jc w:val="left"/>
              <w:rPr>
                <w:rFonts w:ascii="宋体" w:hAnsi="宋体" w:cs="宋体" w:eastAsia="宋体" w:hint="default"/>
                <w:sz w:val="21"/>
                <w:szCs w:val="21"/>
              </w:rPr>
            </w:pPr>
            <w:r>
              <w:rPr>
                <w:rFonts w:ascii="宋体"/>
                <w:sz w:val="21"/>
              </w:rPr>
              <w:t>106.89</w:t>
            </w:r>
          </w:p>
        </w:tc>
        <w:tc>
          <w:tcPr>
            <w:tcW w:w="105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left="307" w:right="0"/>
              <w:jc w:val="left"/>
              <w:rPr>
                <w:rFonts w:ascii="宋体" w:hAnsi="宋体" w:cs="宋体" w:eastAsia="宋体" w:hint="default"/>
                <w:sz w:val="21"/>
                <w:szCs w:val="21"/>
              </w:rPr>
            </w:pPr>
            <w:r>
              <w:rPr>
                <w:rFonts w:ascii="宋体"/>
                <w:sz w:val="21"/>
              </w:rPr>
              <w:t>-13.31</w:t>
            </w:r>
          </w:p>
        </w:tc>
        <w:tc>
          <w:tcPr>
            <w:tcW w:w="105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left="306" w:right="0"/>
              <w:jc w:val="left"/>
              <w:rPr>
                <w:rFonts w:ascii="宋体" w:hAnsi="宋体" w:cs="宋体" w:eastAsia="宋体" w:hint="default"/>
                <w:sz w:val="21"/>
                <w:szCs w:val="21"/>
              </w:rPr>
            </w:pPr>
            <w:r>
              <w:rPr>
                <w:rFonts w:ascii="宋体"/>
                <w:sz w:val="21"/>
              </w:rPr>
              <w:t>-13.31</w:t>
            </w:r>
          </w:p>
        </w:tc>
        <w:tc>
          <w:tcPr>
            <w:tcW w:w="844"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left="204" w:right="0"/>
              <w:jc w:val="left"/>
              <w:rPr>
                <w:rFonts w:ascii="宋体" w:hAnsi="宋体" w:cs="宋体" w:eastAsia="宋体" w:hint="default"/>
                <w:sz w:val="21"/>
                <w:szCs w:val="21"/>
              </w:rPr>
            </w:pPr>
            <w:r>
              <w:rPr>
                <w:rFonts w:ascii="宋体"/>
                <w:sz w:val="21"/>
              </w:rPr>
              <w:t>79.03</w:t>
            </w:r>
          </w:p>
        </w:tc>
      </w:tr>
    </w:tbl>
    <w:p>
      <w:pPr>
        <w:spacing w:after="0" w:line="240" w:lineRule="auto"/>
        <w:jc w:val="left"/>
        <w:rPr>
          <w:rFonts w:ascii="宋体" w:hAnsi="宋体" w:cs="宋体" w:eastAsia="宋体" w:hint="default"/>
          <w:sz w:val="21"/>
          <w:szCs w:val="21"/>
        </w:rPr>
        <w:sectPr>
          <w:pgSz w:w="11910" w:h="16840"/>
          <w:pgMar w:header="882" w:footer="1197"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424"/>
        <w:gridCol w:w="1261"/>
        <w:gridCol w:w="1052"/>
        <w:gridCol w:w="1052"/>
        <w:gridCol w:w="1051"/>
        <w:gridCol w:w="1261"/>
        <w:gridCol w:w="1052"/>
        <w:gridCol w:w="1051"/>
        <w:gridCol w:w="844"/>
      </w:tblGrid>
      <w:tr>
        <w:trPr>
          <w:trHeight w:val="326" w:hRule="exact"/>
        </w:trPr>
        <w:tc>
          <w:tcPr>
            <w:tcW w:w="424"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261" w:type="dxa"/>
            <w:tcBorders>
              <w:top w:val="single" w:sz="6" w:space="0" w:color="000000"/>
              <w:left w:val="single" w:sz="6" w:space="0" w:color="000000"/>
              <w:bottom w:val="single" w:sz="4" w:space="0" w:color="000000"/>
              <w:right w:val="single" w:sz="6" w:space="0" w:color="000000"/>
            </w:tcBorders>
          </w:tcPr>
          <w:p>
            <w:pPr/>
          </w:p>
        </w:tc>
        <w:tc>
          <w:tcPr>
            <w:tcW w:w="1052" w:type="dxa"/>
            <w:tcBorders>
              <w:top w:val="single" w:sz="6" w:space="0" w:color="000000"/>
              <w:left w:val="single" w:sz="6" w:space="0" w:color="000000"/>
              <w:bottom w:val="single" w:sz="4" w:space="0" w:color="000000"/>
              <w:right w:val="single" w:sz="6" w:space="0" w:color="000000"/>
            </w:tcBorders>
          </w:tcPr>
          <w:p>
            <w:pPr/>
          </w:p>
        </w:tc>
        <w:tc>
          <w:tcPr>
            <w:tcW w:w="1052" w:type="dxa"/>
            <w:tcBorders>
              <w:top w:val="single" w:sz="6" w:space="0" w:color="000000"/>
              <w:left w:val="single" w:sz="6" w:space="0" w:color="000000"/>
              <w:bottom w:val="single" w:sz="4" w:space="0" w:color="000000"/>
              <w:right w:val="single" w:sz="6" w:space="0" w:color="000000"/>
            </w:tcBorders>
          </w:tcPr>
          <w:p>
            <w:pPr/>
          </w:p>
        </w:tc>
        <w:tc>
          <w:tcPr>
            <w:tcW w:w="1051" w:type="dxa"/>
            <w:tcBorders>
              <w:top w:val="single" w:sz="6" w:space="0" w:color="000000"/>
              <w:left w:val="single" w:sz="6" w:space="0" w:color="000000"/>
              <w:bottom w:val="single" w:sz="4" w:space="0" w:color="000000"/>
              <w:right w:val="single" w:sz="6" w:space="0" w:color="000000"/>
            </w:tcBorders>
          </w:tcPr>
          <w:p>
            <w:pPr/>
          </w:p>
        </w:tc>
        <w:tc>
          <w:tcPr>
            <w:tcW w:w="1261" w:type="dxa"/>
            <w:tcBorders>
              <w:top w:val="single" w:sz="6" w:space="0" w:color="000000"/>
              <w:left w:val="single" w:sz="6" w:space="0" w:color="000000"/>
              <w:bottom w:val="single" w:sz="4" w:space="0" w:color="000000"/>
              <w:right w:val="single" w:sz="6" w:space="0" w:color="000000"/>
            </w:tcBorders>
          </w:tcPr>
          <w:p>
            <w:pPr/>
          </w:p>
        </w:tc>
        <w:tc>
          <w:tcPr>
            <w:tcW w:w="1052" w:type="dxa"/>
            <w:tcBorders>
              <w:top w:val="single" w:sz="6" w:space="0" w:color="000000"/>
              <w:left w:val="single" w:sz="6" w:space="0" w:color="000000"/>
              <w:bottom w:val="single" w:sz="4" w:space="0" w:color="000000"/>
              <w:right w:val="single" w:sz="6" w:space="0" w:color="000000"/>
            </w:tcBorders>
          </w:tcPr>
          <w:p>
            <w:pPr/>
          </w:p>
        </w:tc>
        <w:tc>
          <w:tcPr>
            <w:tcW w:w="1051" w:type="dxa"/>
            <w:tcBorders>
              <w:top w:val="single" w:sz="6" w:space="0" w:color="000000"/>
              <w:left w:val="single" w:sz="6" w:space="0" w:color="000000"/>
              <w:bottom w:val="single" w:sz="4" w:space="0" w:color="000000"/>
              <w:right w:val="single" w:sz="6" w:space="0" w:color="000000"/>
            </w:tcBorders>
          </w:tcPr>
          <w:p>
            <w:pPr/>
          </w:p>
        </w:tc>
        <w:tc>
          <w:tcPr>
            <w:tcW w:w="844"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right="114"/>
        <w:jc w:val="left"/>
      </w:pPr>
      <w:r>
        <w:rPr/>
        <w:t>其他说明：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tabs>
          <w:tab w:pos="861" w:val="left" w:leader="none"/>
        </w:tabs>
        <w:spacing w:line="240" w:lineRule="auto" w:before="0"/>
        <w:ind w:right="114"/>
        <w:jc w:val="left"/>
        <w:rPr>
          <w:b w:val="0"/>
          <w:bCs w:val="0"/>
        </w:rPr>
      </w:pPr>
      <w:r>
        <w:rPr>
          <w:w w:val="95"/>
        </w:rPr>
        <w:t>(4).</w:t>
        <w:tab/>
      </w:r>
      <w:r>
        <w:rPr/>
        <w:t>使用企业集团资产和清偿企业集团债务的重大限制：</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tabs>
          <w:tab w:pos="861" w:val="left" w:leader="none"/>
        </w:tabs>
        <w:spacing w:line="240" w:lineRule="auto" w:before="137"/>
        <w:ind w:right="114"/>
        <w:jc w:val="left"/>
        <w:rPr>
          <w:b w:val="0"/>
          <w:bCs w:val="0"/>
        </w:rPr>
      </w:pPr>
      <w:r>
        <w:rPr>
          <w:w w:val="95"/>
        </w:rPr>
        <w:t>(5).</w:t>
        <w:tab/>
      </w:r>
      <w:r>
        <w:rPr/>
        <w:t>向纳入合并财务报表范围的结构化主体提供的财务支持或其他支持：</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pStyle w:val="BodyText"/>
        <w:spacing w:line="240" w:lineRule="auto"/>
        <w:ind w:right="114"/>
        <w:jc w:val="left"/>
      </w:pPr>
      <w:r>
        <w:rPr/>
        <w:t>其他说明：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290" w:lineRule="auto" w:before="0"/>
        <w:ind w:right="3153"/>
        <w:jc w:val="left"/>
        <w:rPr>
          <w:b w:val="0"/>
          <w:bCs w:val="0"/>
        </w:rPr>
      </w:pPr>
      <w:r>
        <w:rPr/>
        <w:t>2、</w:t>
      </w:r>
      <w:r>
        <w:rPr>
          <w:spacing w:val="-10"/>
        </w:rPr>
        <w:t> </w:t>
      </w:r>
      <w:r>
        <w:rPr/>
        <w:t>在子公司的所有者权益份额发生变化且仍控制子公司的交易</w:t>
      </w:r>
      <w:r>
        <w:rPr>
          <w:w w:val="99"/>
        </w:rPr>
        <w:t> </w:t>
      </w:r>
      <w:r>
        <w:rPr/>
        <w:t>(1).在子公司所有者权益份额的变化情况的说明：</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4"/>
          <w:szCs w:val="24"/>
        </w:rPr>
      </w:pPr>
    </w:p>
    <w:p>
      <w:pPr>
        <w:pStyle w:val="Heading3"/>
        <w:spacing w:line="240" w:lineRule="auto"/>
        <w:ind w:right="114"/>
        <w:jc w:val="left"/>
        <w:rPr>
          <w:rFonts w:ascii="宋体" w:hAnsi="宋体" w:cs="宋体" w:eastAsia="宋体" w:hint="default"/>
          <w:b w:val="0"/>
          <w:bCs w:val="0"/>
        </w:rPr>
      </w:pPr>
      <w:r>
        <w:rPr/>
        <w:t>(2).交易对于少数股东权益及归属于母公司所有者权益的影响</w:t>
      </w:r>
      <w:r>
        <w:rPr>
          <w:rFonts w:ascii="宋体" w:hAnsi="宋体" w:cs="宋体" w:eastAsia="宋体" w:hint="default"/>
          <w:b w:val="0"/>
          <w:bCs w:val="0"/>
        </w:rPr>
        <w:t>：</w:t>
      </w:r>
    </w:p>
    <w:p>
      <w:pPr>
        <w:pStyle w:val="BodyText"/>
        <w:tabs>
          <w:tab w:pos="945" w:val="left" w:leader="none"/>
        </w:tabs>
        <w:spacing w:line="240" w:lineRule="auto" w:before="57"/>
        <w:ind w:left="0" w:right="230"/>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4504"/>
        <w:gridCol w:w="4546"/>
      </w:tblGrid>
      <w:tr>
        <w:trPr>
          <w:trHeight w:val="287" w:hRule="exact"/>
        </w:trPr>
        <w:tc>
          <w:tcPr>
            <w:tcW w:w="4504" w:type="dxa"/>
            <w:tcBorders>
              <w:top w:val="single" w:sz="6" w:space="0" w:color="000000"/>
              <w:left w:val="single" w:sz="4" w:space="0" w:color="000000"/>
              <w:bottom w:val="single" w:sz="6" w:space="0" w:color="000000"/>
              <w:right w:val="single" w:sz="6" w:space="0" w:color="000000"/>
            </w:tcBorders>
          </w:tcPr>
          <w:p>
            <w:pP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购买成本/处置对价</w:t>
            </w: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--非现金资产的公允价值</w:t>
            </w: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504" w:type="dxa"/>
            <w:tcBorders>
              <w:top w:val="single" w:sz="6" w:space="0" w:color="000000"/>
              <w:left w:val="single" w:sz="4" w:space="0" w:color="000000"/>
              <w:bottom w:val="single" w:sz="6" w:space="0" w:color="000000"/>
              <w:right w:val="single" w:sz="6" w:space="0" w:color="000000"/>
            </w:tcBorders>
          </w:tcPr>
          <w:p>
            <w:pP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购买成本/处置对价合计</w:t>
            </w: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减：按取得/处置的股权比例计算的子公司净资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产份额</w:t>
            </w: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45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4546"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right="114"/>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a">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7" w:top="1120" w:bottom="1380" w:left="1580" w:right="1040"/>
        </w:sectPr>
      </w:pPr>
    </w:p>
    <w:p>
      <w:pPr>
        <w:pStyle w:val="Heading3"/>
        <w:tabs>
          <w:tab w:pos="847" w:val="left" w:leader="none"/>
        </w:tabs>
        <w:spacing w:line="290" w:lineRule="auto"/>
        <w:ind w:right="0"/>
        <w:jc w:val="left"/>
        <w:rPr>
          <w:b w:val="0"/>
          <w:bCs w:val="0"/>
        </w:rPr>
      </w:pPr>
      <w:r>
        <w:rPr/>
        <w:t>3、</w:t>
      </w:r>
      <w:r>
        <w:rPr>
          <w:spacing w:val="-6"/>
        </w:rPr>
        <w:t> </w:t>
      </w:r>
      <w:r>
        <w:rPr/>
        <w:t>在合营企业或联营企业中的权益</w:t>
      </w:r>
      <w:r>
        <w:rPr>
          <w:spacing w:val="1"/>
          <w:w w:val="99"/>
        </w:rPr>
        <w:t> </w:t>
      </w:r>
      <w:r>
        <w:rPr>
          <w:w w:val="95"/>
        </w:rPr>
        <w:t>(1).</w:t>
        <w:tab/>
      </w:r>
      <w:r>
        <w:rPr/>
        <w:t>重要的合营企业或联营企业</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6"/>
        <w:ind w:right="0"/>
        <w:jc w:val="left"/>
      </w:pPr>
      <w:r>
        <w:rPr/>
        <w:t>单位:元</w:t>
        <w:tab/>
        <w:t>币种:人民币</w:t>
      </w:r>
    </w:p>
    <w:p>
      <w:pPr>
        <w:spacing w:after="0" w:line="240" w:lineRule="auto"/>
        <w:jc w:val="left"/>
        <w:sectPr>
          <w:type w:val="continuous"/>
          <w:pgSz w:w="11910" w:h="16840"/>
          <w:pgMar w:top="1080" w:bottom="1380" w:left="1580" w:right="1040"/>
          <w:cols w:num="2" w:equalWidth="0">
            <w:col w:w="3590" w:space="3144"/>
            <w:col w:w="2556"/>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222"/>
        <w:gridCol w:w="1344"/>
        <w:gridCol w:w="1266"/>
        <w:gridCol w:w="1308"/>
        <w:gridCol w:w="1324"/>
        <w:gridCol w:w="1334"/>
        <w:gridCol w:w="1252"/>
      </w:tblGrid>
      <w:tr>
        <w:trPr>
          <w:trHeight w:val="463" w:hRule="exact"/>
        </w:trPr>
        <w:tc>
          <w:tcPr>
            <w:tcW w:w="1222" w:type="dxa"/>
            <w:vMerge w:val="restart"/>
            <w:tcBorders>
              <w:top w:val="single" w:sz="4" w:space="0" w:color="000000"/>
              <w:left w:val="single" w:sz="4"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86" w:right="181"/>
              <w:jc w:val="both"/>
              <w:rPr>
                <w:rFonts w:ascii="宋体" w:hAnsi="宋体" w:cs="宋体" w:eastAsia="宋体" w:hint="default"/>
                <w:sz w:val="21"/>
                <w:szCs w:val="21"/>
              </w:rPr>
            </w:pPr>
            <w:r>
              <w:rPr>
                <w:rFonts w:ascii="宋体" w:hAnsi="宋体" w:cs="宋体" w:eastAsia="宋体" w:hint="default"/>
                <w:sz w:val="21"/>
                <w:szCs w:val="21"/>
              </w:rPr>
              <w:t>合营企业 或联营企 业名称</w:t>
            </w:r>
          </w:p>
        </w:tc>
        <w:tc>
          <w:tcPr>
            <w:tcW w:w="1344"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66"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8"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658"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54"/>
              <w:ind w:left="743"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252" w:type="dxa"/>
            <w:vMerge w:val="restart"/>
            <w:tcBorders>
              <w:top w:val="single" w:sz="4" w:space="0" w:color="000000"/>
              <w:left w:val="single" w:sz="6" w:space="0" w:color="000000"/>
              <w:right w:val="single" w:sz="4" w:space="0" w:color="000000"/>
            </w:tcBorders>
          </w:tcPr>
          <w:p>
            <w:pPr>
              <w:pStyle w:val="TableParagraph"/>
              <w:spacing w:line="238" w:lineRule="exact"/>
              <w:ind w:left="196" w:right="0"/>
              <w:jc w:val="both"/>
              <w:rPr>
                <w:rFonts w:ascii="宋体" w:hAnsi="宋体" w:cs="宋体" w:eastAsia="宋体" w:hint="default"/>
                <w:sz w:val="21"/>
                <w:szCs w:val="21"/>
              </w:rPr>
            </w:pPr>
            <w:r>
              <w:rPr>
                <w:rFonts w:ascii="宋体" w:hAnsi="宋体" w:cs="宋体" w:eastAsia="宋体" w:hint="default"/>
                <w:sz w:val="21"/>
                <w:szCs w:val="21"/>
              </w:rPr>
              <w:t>对合营企</w:t>
            </w:r>
          </w:p>
          <w:p>
            <w:pPr>
              <w:pStyle w:val="TableParagraph"/>
              <w:spacing w:line="272" w:lineRule="exact" w:before="26"/>
              <w:ind w:left="196" w:right="200"/>
              <w:jc w:val="both"/>
              <w:rPr>
                <w:rFonts w:ascii="宋体" w:hAnsi="宋体" w:cs="宋体" w:eastAsia="宋体" w:hint="default"/>
                <w:sz w:val="21"/>
                <w:szCs w:val="21"/>
              </w:rPr>
            </w:pPr>
            <w:r>
              <w:rPr>
                <w:rFonts w:ascii="宋体" w:hAnsi="宋体" w:cs="宋体" w:eastAsia="宋体" w:hint="default"/>
                <w:sz w:val="21"/>
                <w:szCs w:val="21"/>
              </w:rPr>
              <w:t>业或联营 企业投资 的会计处 理方法</w:t>
            </w:r>
          </w:p>
        </w:tc>
      </w:tr>
      <w:tr>
        <w:trPr>
          <w:trHeight w:val="911" w:hRule="exact"/>
        </w:trPr>
        <w:tc>
          <w:tcPr>
            <w:tcW w:w="1222" w:type="dxa"/>
            <w:vMerge/>
            <w:tcBorders>
              <w:left w:val="single" w:sz="4" w:space="0" w:color="000000"/>
              <w:bottom w:val="single" w:sz="6" w:space="0" w:color="000000"/>
              <w:right w:val="single" w:sz="6" w:space="0" w:color="000000"/>
            </w:tcBorders>
          </w:tcPr>
          <w:p>
            <w:pPr/>
          </w:p>
        </w:tc>
        <w:tc>
          <w:tcPr>
            <w:tcW w:w="1344" w:type="dxa"/>
            <w:vMerge/>
            <w:tcBorders>
              <w:left w:val="single" w:sz="6" w:space="0" w:color="000000"/>
              <w:bottom w:val="single" w:sz="6" w:space="0" w:color="000000"/>
              <w:right w:val="single" w:sz="6" w:space="0" w:color="000000"/>
            </w:tcBorders>
          </w:tcPr>
          <w:p>
            <w:pPr/>
          </w:p>
        </w:tc>
        <w:tc>
          <w:tcPr>
            <w:tcW w:w="1266" w:type="dxa"/>
            <w:vMerge/>
            <w:tcBorders>
              <w:left w:val="single" w:sz="6" w:space="0" w:color="000000"/>
              <w:bottom w:val="single" w:sz="6" w:space="0" w:color="000000"/>
              <w:right w:val="single" w:sz="6" w:space="0" w:color="000000"/>
            </w:tcBorders>
          </w:tcPr>
          <w:p>
            <w:pPr/>
          </w:p>
        </w:tc>
        <w:tc>
          <w:tcPr>
            <w:tcW w:w="1308" w:type="dxa"/>
            <w:vMerge/>
            <w:tcBorders>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43"/>
              <w:jc w:val="right"/>
              <w:rPr>
                <w:rFonts w:ascii="宋体" w:hAnsi="宋体" w:cs="宋体" w:eastAsia="宋体" w:hint="default"/>
                <w:sz w:val="21"/>
                <w:szCs w:val="21"/>
              </w:rPr>
            </w:pPr>
            <w:r>
              <w:rPr>
                <w:rFonts w:ascii="宋体" w:hAnsi="宋体" w:cs="宋体" w:eastAsia="宋体" w:hint="default"/>
                <w:sz w:val="21"/>
                <w:szCs w:val="21"/>
              </w:rPr>
              <w:t>直接</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252" w:type="dxa"/>
            <w:vMerge/>
            <w:tcBorders>
              <w:left w:val="single" w:sz="6" w:space="0" w:color="000000"/>
              <w:bottom w:val="single" w:sz="6" w:space="0" w:color="000000"/>
              <w:right w:val="single" w:sz="4" w:space="0" w:color="000000"/>
            </w:tcBorders>
          </w:tcPr>
          <w:p>
            <w:pPr/>
          </w:p>
        </w:tc>
      </w:tr>
      <w:tr>
        <w:trPr>
          <w:trHeight w:val="832" w:hRule="exact"/>
        </w:trPr>
        <w:tc>
          <w:tcPr>
            <w:tcW w:w="122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深圳中科</w:t>
            </w:r>
          </w:p>
          <w:p>
            <w:pPr>
              <w:pStyle w:val="TableParagraph"/>
              <w:spacing w:line="272" w:lineRule="exact" w:before="26"/>
              <w:ind w:left="103" w:right="264"/>
              <w:jc w:val="left"/>
              <w:rPr>
                <w:rFonts w:ascii="宋体" w:hAnsi="宋体" w:cs="宋体" w:eastAsia="宋体" w:hint="default"/>
                <w:sz w:val="21"/>
                <w:szCs w:val="21"/>
              </w:rPr>
            </w:pPr>
            <w:r>
              <w:rPr>
                <w:rFonts w:ascii="宋体" w:hAnsi="宋体" w:cs="宋体" w:eastAsia="宋体" w:hint="default"/>
                <w:sz w:val="21"/>
                <w:szCs w:val="21"/>
              </w:rPr>
              <w:t>金证科技 有限公司</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91"/>
              <w:jc w:val="right"/>
              <w:rPr>
                <w:rFonts w:ascii="宋体" w:hAnsi="宋体" w:cs="宋体" w:eastAsia="宋体" w:hint="default"/>
                <w:sz w:val="21"/>
                <w:szCs w:val="21"/>
              </w:rPr>
            </w:pPr>
            <w:r>
              <w:rPr>
                <w:rFonts w:ascii="宋体"/>
                <w:spacing w:val="-1"/>
                <w:w w:val="95"/>
                <w:sz w:val="21"/>
              </w:rPr>
              <w:t>30.00</w:t>
            </w:r>
            <w:r>
              <w:rPr>
                <w:rFonts w:ascii="宋体"/>
                <w:w w:val="95"/>
                <w:sz w:val="21"/>
              </w:rPr>
            </w:r>
          </w:p>
        </w:tc>
        <w:tc>
          <w:tcPr>
            <w:tcW w:w="1334"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1"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558" w:hRule="exact"/>
        </w:trPr>
        <w:tc>
          <w:tcPr>
            <w:tcW w:w="1222"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广州佳时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达软件股</w:t>
            </w:r>
          </w:p>
        </w:tc>
        <w:tc>
          <w:tcPr>
            <w:tcW w:w="134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广州市</w:t>
            </w:r>
          </w:p>
        </w:tc>
        <w:tc>
          <w:tcPr>
            <w:tcW w:w="126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广州市</w:t>
            </w:r>
          </w:p>
        </w:tc>
        <w:tc>
          <w:tcPr>
            <w:tcW w:w="130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132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1"/>
              <w:ind w:right="391"/>
              <w:jc w:val="right"/>
              <w:rPr>
                <w:rFonts w:ascii="宋体" w:hAnsi="宋体" w:cs="宋体" w:eastAsia="宋体" w:hint="default"/>
                <w:sz w:val="21"/>
                <w:szCs w:val="21"/>
              </w:rPr>
            </w:pPr>
            <w:r>
              <w:rPr>
                <w:rFonts w:ascii="宋体"/>
                <w:spacing w:val="-1"/>
                <w:w w:val="95"/>
                <w:sz w:val="21"/>
              </w:rPr>
              <w:t>10.00</w:t>
            </w:r>
            <w:r>
              <w:rPr>
                <w:rFonts w:ascii="宋体"/>
                <w:w w:val="95"/>
                <w:sz w:val="21"/>
              </w:rPr>
            </w:r>
          </w:p>
        </w:tc>
        <w:tc>
          <w:tcPr>
            <w:tcW w:w="1334" w:type="dxa"/>
            <w:tcBorders>
              <w:top w:val="single" w:sz="6" w:space="0" w:color="000000"/>
              <w:left w:val="single" w:sz="6" w:space="0" w:color="000000"/>
              <w:bottom w:val="single" w:sz="4" w:space="0" w:color="000000"/>
              <w:right w:val="single" w:sz="6" w:space="0" w:color="000000"/>
            </w:tcBorders>
          </w:tcPr>
          <w:p>
            <w:pPr/>
          </w:p>
        </w:tc>
        <w:tc>
          <w:tcPr>
            <w:tcW w:w="1252"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01"/>
              <w:ind w:left="301"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spacing w:after="0" w:line="240" w:lineRule="auto"/>
        <w:jc w:val="left"/>
        <w:rPr>
          <w:rFonts w:ascii="宋体" w:hAnsi="宋体" w:cs="宋体" w:eastAsia="宋体" w:hint="default"/>
          <w:sz w:val="21"/>
          <w:szCs w:val="21"/>
        </w:rPr>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222"/>
        <w:gridCol w:w="1344"/>
        <w:gridCol w:w="1266"/>
        <w:gridCol w:w="1308"/>
        <w:gridCol w:w="1324"/>
        <w:gridCol w:w="1334"/>
        <w:gridCol w:w="1252"/>
      </w:tblGrid>
      <w:tr>
        <w:trPr>
          <w:trHeight w:val="558" w:hRule="exact"/>
        </w:trPr>
        <w:tc>
          <w:tcPr>
            <w:tcW w:w="1222"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344" w:type="dxa"/>
            <w:tcBorders>
              <w:top w:val="single" w:sz="6" w:space="0" w:color="000000"/>
              <w:left w:val="single" w:sz="6" w:space="0" w:color="000000"/>
              <w:bottom w:val="single" w:sz="4" w:space="0" w:color="000000"/>
              <w:right w:val="single" w:sz="6" w:space="0" w:color="000000"/>
            </w:tcBorders>
          </w:tcPr>
          <w:p>
            <w:pPr/>
          </w:p>
        </w:tc>
        <w:tc>
          <w:tcPr>
            <w:tcW w:w="1266" w:type="dxa"/>
            <w:tcBorders>
              <w:top w:val="single" w:sz="6" w:space="0" w:color="000000"/>
              <w:left w:val="single" w:sz="6" w:space="0" w:color="000000"/>
              <w:bottom w:val="single" w:sz="4" w:space="0" w:color="000000"/>
              <w:right w:val="single" w:sz="6" w:space="0" w:color="000000"/>
            </w:tcBorders>
          </w:tcPr>
          <w:p>
            <w:pPr/>
          </w:p>
        </w:tc>
        <w:tc>
          <w:tcPr>
            <w:tcW w:w="1308" w:type="dxa"/>
            <w:tcBorders>
              <w:top w:val="single" w:sz="6" w:space="0" w:color="000000"/>
              <w:left w:val="single" w:sz="6" w:space="0" w:color="000000"/>
              <w:bottom w:val="single" w:sz="4" w:space="0" w:color="000000"/>
              <w:right w:val="single" w:sz="6" w:space="0" w:color="000000"/>
            </w:tcBorders>
          </w:tcPr>
          <w:p>
            <w:pPr/>
          </w:p>
        </w:tc>
        <w:tc>
          <w:tcPr>
            <w:tcW w:w="1324" w:type="dxa"/>
            <w:tcBorders>
              <w:top w:val="single" w:sz="6" w:space="0" w:color="000000"/>
              <w:left w:val="single" w:sz="6" w:space="0" w:color="000000"/>
              <w:bottom w:val="single" w:sz="4" w:space="0" w:color="000000"/>
              <w:right w:val="single" w:sz="6" w:space="0" w:color="000000"/>
            </w:tcBorders>
          </w:tcPr>
          <w:p>
            <w:pPr/>
          </w:p>
        </w:tc>
        <w:tc>
          <w:tcPr>
            <w:tcW w:w="1334" w:type="dxa"/>
            <w:tcBorders>
              <w:top w:val="single" w:sz="6" w:space="0" w:color="000000"/>
              <w:left w:val="single" w:sz="6" w:space="0" w:color="000000"/>
              <w:bottom w:val="single" w:sz="4" w:space="0" w:color="000000"/>
              <w:right w:val="single" w:sz="6" w:space="0" w:color="000000"/>
            </w:tcBorders>
          </w:tcPr>
          <w:p>
            <w:pPr/>
          </w:p>
        </w:tc>
        <w:tc>
          <w:tcPr>
            <w:tcW w:w="1252"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right="114"/>
        <w:jc w:val="left"/>
      </w:pPr>
      <w:r>
        <w:rPr/>
        <w:t>在合营企业或联营企业的持股比例不同于表决权比例的说明：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a">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6"/>
          <w:szCs w:val="16"/>
        </w:rPr>
      </w:pPr>
    </w:p>
    <w:p>
      <w:pPr>
        <w:pStyle w:val="BodyText"/>
        <w:spacing w:line="272" w:lineRule="exact" w:before="63"/>
        <w:ind w:right="177"/>
        <w:jc w:val="left"/>
      </w:pPr>
      <w:r>
        <w:rPr/>
        <w:t>持有</w:t>
      </w:r>
      <w:r>
        <w:rPr>
          <w:spacing w:val="-54"/>
        </w:rPr>
        <w:t> </w:t>
      </w:r>
      <w:r>
        <w:rPr/>
        <w:t>20%以下表决权但具有重大影响，或者持有</w:t>
      </w:r>
      <w:r>
        <w:rPr>
          <w:spacing w:val="-54"/>
        </w:rPr>
        <w:t> </w:t>
      </w:r>
      <w:r>
        <w:rPr/>
        <w:t>20%或以上表决权但不具有重大影响的依据：</w:t>
      </w:r>
      <w:r>
        <w:rPr/>
        <w:t> 本公司持有广州佳时达软件股份有限公司</w:t>
      </w:r>
      <w:r>
        <w:rPr>
          <w:spacing w:val="-55"/>
        </w:rPr>
        <w:t> </w:t>
      </w:r>
      <w:r>
        <w:rPr>
          <w:rFonts w:ascii="Arial" w:hAnsi="Arial" w:cs="Arial" w:eastAsia="Arial" w:hint="default"/>
        </w:rPr>
        <w:t>10%</w:t>
      </w:r>
      <w:r>
        <w:rPr/>
        <w:t>的股权，本公司委派有一名董事参与其经营决策， 对其构成重大影响。</w:t>
      </w:r>
    </w:p>
    <w:p>
      <w:pPr>
        <w:spacing w:line="240" w:lineRule="auto" w:before="8"/>
        <w:rPr>
          <w:rFonts w:ascii="宋体" w:hAnsi="宋体" w:cs="宋体" w:eastAsia="宋体" w:hint="default"/>
          <w:sz w:val="20"/>
          <w:szCs w:val="20"/>
        </w:rPr>
      </w:pPr>
    </w:p>
    <w:p>
      <w:pPr>
        <w:pStyle w:val="Heading3"/>
        <w:tabs>
          <w:tab w:pos="847" w:val="left" w:leader="none"/>
        </w:tabs>
        <w:spacing w:line="240" w:lineRule="auto"/>
        <w:ind w:right="114"/>
        <w:jc w:val="left"/>
        <w:rPr>
          <w:b w:val="0"/>
          <w:bCs w:val="0"/>
        </w:rPr>
      </w:pPr>
      <w:r>
        <w:rPr>
          <w:w w:val="95"/>
        </w:rPr>
        <w:t>(2).</w:t>
        <w:tab/>
      </w:r>
      <w:r>
        <w:rPr/>
        <w:t>重要合营企业的主要财务信息</w:t>
      </w:r>
      <w:r>
        <w:rPr>
          <w:b w:val="0"/>
          <w:bCs w:val="0"/>
        </w:rPr>
      </w:r>
    </w:p>
    <w:p>
      <w:pPr>
        <w:pStyle w:val="BodyText"/>
        <w:tabs>
          <w:tab w:pos="945" w:val="left" w:leader="none"/>
        </w:tabs>
        <w:spacing w:line="240" w:lineRule="auto" w:before="57"/>
        <w:ind w:left="0" w:right="229"/>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956"/>
        <w:gridCol w:w="1548"/>
        <w:gridCol w:w="1548"/>
        <w:gridCol w:w="1499"/>
        <w:gridCol w:w="1499"/>
      </w:tblGrid>
      <w:tr>
        <w:trPr>
          <w:trHeight w:val="284" w:hRule="exact"/>
        </w:trPr>
        <w:tc>
          <w:tcPr>
            <w:tcW w:w="2956" w:type="dxa"/>
            <w:vMerge w:val="restart"/>
            <w:tcBorders>
              <w:top w:val="single" w:sz="4" w:space="0" w:color="000000"/>
              <w:left w:val="single" w:sz="4" w:space="0" w:color="000000"/>
              <w:right w:val="single" w:sz="6" w:space="0" w:color="000000"/>
            </w:tcBorders>
          </w:tcPr>
          <w:p>
            <w:pPr/>
          </w:p>
        </w:tc>
        <w:tc>
          <w:tcPr>
            <w:tcW w:w="3096"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489" w:right="0"/>
              <w:jc w:val="left"/>
              <w:rPr>
                <w:rFonts w:ascii="宋体" w:hAnsi="宋体" w:cs="宋体" w:eastAsia="宋体" w:hint="default"/>
                <w:sz w:val="21"/>
                <w:szCs w:val="21"/>
              </w:rPr>
            </w:pPr>
            <w:r>
              <w:rPr>
                <w:rFonts w:ascii="宋体" w:hAnsi="宋体" w:cs="宋体" w:eastAsia="宋体" w:hint="default"/>
                <w:sz w:val="21"/>
                <w:szCs w:val="21"/>
              </w:rPr>
              <w:t>期末余额/ 本期发生额</w:t>
            </w:r>
          </w:p>
        </w:tc>
        <w:tc>
          <w:tcPr>
            <w:tcW w:w="2998"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440" w:right="0"/>
              <w:jc w:val="left"/>
              <w:rPr>
                <w:rFonts w:ascii="宋体" w:hAnsi="宋体" w:cs="宋体" w:eastAsia="宋体" w:hint="default"/>
                <w:sz w:val="21"/>
                <w:szCs w:val="21"/>
              </w:rPr>
            </w:pPr>
            <w:r>
              <w:rPr>
                <w:rFonts w:ascii="宋体" w:hAnsi="宋体" w:cs="宋体" w:eastAsia="宋体" w:hint="default"/>
                <w:sz w:val="21"/>
                <w:szCs w:val="21"/>
              </w:rPr>
              <w:t>期末余额/ 本期发生额</w:t>
            </w:r>
          </w:p>
        </w:tc>
      </w:tr>
      <w:tr>
        <w:trPr>
          <w:trHeight w:val="288" w:hRule="exact"/>
        </w:trPr>
        <w:tc>
          <w:tcPr>
            <w:tcW w:w="2956" w:type="dxa"/>
            <w:vMerge/>
            <w:tcBorders>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其中：现金和现金等价物</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对合营企业权益投资的账面价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存在公开报价的合营企业权益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投资的公允价值</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558" w:hRule="exact"/>
        </w:trPr>
        <w:tc>
          <w:tcPr>
            <w:tcW w:w="2956"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本年度收到的来自合营企业的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股利</w:t>
            </w:r>
          </w:p>
        </w:tc>
        <w:tc>
          <w:tcPr>
            <w:tcW w:w="1548" w:type="dxa"/>
            <w:tcBorders>
              <w:top w:val="single" w:sz="6" w:space="0" w:color="000000"/>
              <w:left w:val="single" w:sz="6" w:space="0" w:color="000000"/>
              <w:bottom w:val="single" w:sz="4" w:space="0" w:color="000000"/>
              <w:right w:val="single" w:sz="6" w:space="0" w:color="000000"/>
            </w:tcBorders>
          </w:tcPr>
          <w:p>
            <w:pPr/>
          </w:p>
        </w:tc>
        <w:tc>
          <w:tcPr>
            <w:tcW w:w="1548" w:type="dxa"/>
            <w:tcBorders>
              <w:top w:val="single" w:sz="6" w:space="0" w:color="000000"/>
              <w:left w:val="single" w:sz="6" w:space="0" w:color="000000"/>
              <w:bottom w:val="single" w:sz="4" w:space="0" w:color="000000"/>
              <w:right w:val="single" w:sz="6" w:space="0" w:color="000000"/>
            </w:tcBorders>
          </w:tcPr>
          <w:p>
            <w:pPr/>
          </w:p>
        </w:tc>
        <w:tc>
          <w:tcPr>
            <w:tcW w:w="1499" w:type="dxa"/>
            <w:tcBorders>
              <w:top w:val="single" w:sz="6" w:space="0" w:color="000000"/>
              <w:left w:val="single" w:sz="6" w:space="0" w:color="000000"/>
              <w:bottom w:val="single" w:sz="4" w:space="0" w:color="000000"/>
              <w:right w:val="single" w:sz="6" w:space="0" w:color="000000"/>
            </w:tcBorders>
          </w:tcPr>
          <w:p>
            <w:pPr/>
          </w:p>
        </w:tc>
        <w:tc>
          <w:tcPr>
            <w:tcW w:w="1499"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0" w:lineRule="exact"/>
        <w:ind w:right="114"/>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7" w:top="1120" w:bottom="1380" w:left="1580" w:right="10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tabs>
          <w:tab w:pos="1267" w:val="left" w:leader="none"/>
        </w:tabs>
        <w:spacing w:line="272" w:lineRule="exact" w:before="63"/>
        <w:ind w:right="6334"/>
        <w:jc w:val="left"/>
      </w:pPr>
      <w:r>
        <w:rPr/>
        <w:t>重要联营企业的主要财务信息 单位：元</w:t>
        <w:tab/>
        <w:t>币种：人民币</w:t>
      </w:r>
    </w:p>
    <w:tbl>
      <w:tblPr>
        <w:tblW w:w="0" w:type="auto"/>
        <w:jc w:val="left"/>
        <w:tblInd w:w="104" w:type="dxa"/>
        <w:tblLayout w:type="fixed"/>
        <w:tblCellMar>
          <w:top w:w="0" w:type="dxa"/>
          <w:left w:w="0" w:type="dxa"/>
          <w:bottom w:w="0" w:type="dxa"/>
          <w:right w:w="0" w:type="dxa"/>
        </w:tblCellMar>
        <w:tblLook w:val="01E0"/>
      </w:tblPr>
      <w:tblGrid>
        <w:gridCol w:w="2800"/>
        <w:gridCol w:w="1580"/>
        <w:gridCol w:w="1582"/>
        <w:gridCol w:w="1686"/>
        <w:gridCol w:w="1402"/>
      </w:tblGrid>
      <w:tr>
        <w:trPr>
          <w:trHeight w:val="284" w:hRule="exact"/>
        </w:trPr>
        <w:tc>
          <w:tcPr>
            <w:tcW w:w="2800" w:type="dxa"/>
            <w:vMerge w:val="restart"/>
            <w:tcBorders>
              <w:top w:val="single" w:sz="4" w:space="0" w:color="000000"/>
              <w:left w:val="single" w:sz="4" w:space="0" w:color="000000"/>
              <w:right w:val="single" w:sz="6" w:space="0" w:color="000000"/>
            </w:tcBorders>
          </w:tcPr>
          <w:p>
            <w:pPr/>
          </w:p>
        </w:tc>
        <w:tc>
          <w:tcPr>
            <w:tcW w:w="3162"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期末余额/ 本期发生额</w:t>
            </w:r>
          </w:p>
        </w:tc>
        <w:tc>
          <w:tcPr>
            <w:tcW w:w="3088"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期初余额/ 上期发生额</w:t>
            </w:r>
          </w:p>
        </w:tc>
      </w:tr>
      <w:tr>
        <w:trPr>
          <w:trHeight w:val="482" w:hRule="exact"/>
        </w:trPr>
        <w:tc>
          <w:tcPr>
            <w:tcW w:w="2800" w:type="dxa"/>
            <w:vMerge/>
            <w:tcBorders>
              <w:left w:val="single" w:sz="4"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深圳中科金证科</w:t>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广州佳时达软件</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深圳中科金证科技</w:t>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7,312,502.51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42,595,138.18</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9,624,866.64</w:t>
            </w:r>
            <w:r>
              <w:rPr>
                <w:rFonts w:ascii="宋体"/>
                <w:sz w:val="21"/>
              </w:rPr>
            </w:r>
          </w:p>
        </w:tc>
        <w:tc>
          <w:tcPr>
            <w:tcW w:w="14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5,231,515.82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1,711,176.12</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2,985,701.42</w:t>
            </w:r>
            <w:r>
              <w:rPr>
                <w:rFonts w:ascii="宋体"/>
                <w:sz w:val="21"/>
              </w:rPr>
            </w:r>
          </w:p>
        </w:tc>
        <w:tc>
          <w:tcPr>
            <w:tcW w:w="14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12,544,018.33</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44,306,314.30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12,610,568.06</w:t>
            </w:r>
            <w:r>
              <w:rPr>
                <w:rFonts w:ascii="宋体"/>
                <w:sz w:val="21"/>
              </w:rPr>
            </w:r>
          </w:p>
        </w:tc>
        <w:tc>
          <w:tcPr>
            <w:tcW w:w="14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00" w:type="dxa"/>
            <w:tcBorders>
              <w:top w:val="single" w:sz="6" w:space="0" w:color="000000"/>
              <w:left w:val="single" w:sz="4"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3,780,862.75</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3,693,017.54</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1,650,124.67</w:t>
            </w:r>
            <w:r>
              <w:rPr>
                <w:rFonts w:ascii="宋体"/>
                <w:sz w:val="21"/>
              </w:rPr>
            </w:r>
          </w:p>
        </w:tc>
        <w:tc>
          <w:tcPr>
            <w:tcW w:w="14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600,000.00</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4,380,862.75</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3,693,017.54</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1,650,124.67</w:t>
            </w:r>
            <w:r>
              <w:rPr>
                <w:rFonts w:ascii="宋体"/>
                <w:sz w:val="21"/>
              </w:rPr>
            </w:r>
          </w:p>
        </w:tc>
        <w:tc>
          <w:tcPr>
            <w:tcW w:w="14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00" w:type="dxa"/>
            <w:tcBorders>
              <w:top w:val="single" w:sz="6" w:space="0" w:color="000000"/>
              <w:left w:val="single" w:sz="4"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8,163,155.58</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40,306,314.30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10,960,443.39</w:t>
            </w:r>
            <w:r>
              <w:rPr>
                <w:rFonts w:ascii="宋体"/>
                <w:sz w:val="21"/>
              </w:rPr>
            </w:r>
          </w:p>
        </w:tc>
        <w:tc>
          <w:tcPr>
            <w:tcW w:w="14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00" w:type="dxa"/>
            <w:tcBorders>
              <w:top w:val="single" w:sz="6" w:space="0" w:color="000000"/>
              <w:left w:val="single" w:sz="4"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2,448,946.68</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4,030,631.43</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3,288,133.02</w:t>
            </w:r>
            <w:r>
              <w:rPr>
                <w:rFonts w:ascii="宋体"/>
                <w:sz w:val="21"/>
              </w:rPr>
            </w:r>
          </w:p>
        </w:tc>
        <w:tc>
          <w:tcPr>
            <w:tcW w:w="14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3,983,525.98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5,969,368.57</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5,625,000.00</w:t>
            </w:r>
            <w:r>
              <w:rPr>
                <w:rFonts w:ascii="宋体"/>
                <w:sz w:val="21"/>
              </w:rPr>
            </w:r>
          </w:p>
        </w:tc>
        <w:tc>
          <w:tcPr>
            <w:tcW w:w="14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5,625,000.00</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5,969,368.57</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5,625,000.00</w:t>
            </w:r>
            <w:r>
              <w:rPr>
                <w:rFonts w:ascii="宋体"/>
                <w:sz w:val="21"/>
              </w:rPr>
            </w:r>
          </w:p>
        </w:tc>
        <w:tc>
          <w:tcPr>
            <w:tcW w:w="14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-1,641,474.02</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6,432,472.66</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10,000,000.00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8,913,133.02</w:t>
            </w:r>
            <w:r>
              <w:rPr>
                <w:rFonts w:ascii="宋体"/>
                <w:sz w:val="21"/>
              </w:rPr>
            </w:r>
          </w:p>
        </w:tc>
        <w:tc>
          <w:tcPr>
            <w:tcW w:w="140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存在公开报价的联营企业权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益投资的公允价值</w:t>
            </w: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00" w:type="dxa"/>
            <w:tcBorders>
              <w:top w:val="single" w:sz="6" w:space="0" w:color="000000"/>
              <w:left w:val="single" w:sz="4"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9,912,519.34</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13,784,173.81</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6,269,877.11</w:t>
            </w:r>
            <w:r>
              <w:rPr>
                <w:rFonts w:ascii="宋体"/>
                <w:sz w:val="21"/>
              </w:rPr>
            </w:r>
          </w:p>
        </w:tc>
        <w:tc>
          <w:tcPr>
            <w:tcW w:w="14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-2,797,287.81</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4,252,253.74</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-12,026,617.00</w:t>
            </w:r>
            <w:r>
              <w:rPr>
                <w:rFonts w:ascii="宋体"/>
                <w:sz w:val="21"/>
              </w:rPr>
            </w:r>
          </w:p>
        </w:tc>
        <w:tc>
          <w:tcPr>
            <w:tcW w:w="14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-2,797,287.81</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pacing w:val="-1"/>
                <w:sz w:val="21"/>
              </w:rPr>
              <w:t>4,252,253.74</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-12,026,617.00</w:t>
            </w:r>
            <w:r>
              <w:rPr>
                <w:rFonts w:ascii="宋体"/>
                <w:sz w:val="21"/>
              </w:rPr>
            </w:r>
          </w:p>
        </w:tc>
        <w:tc>
          <w:tcPr>
            <w:tcW w:w="14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00" w:type="dxa"/>
            <w:tcBorders>
              <w:top w:val="single" w:sz="6" w:space="0" w:color="000000"/>
              <w:left w:val="single" w:sz="4"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r>
      <w:tr>
        <w:trPr>
          <w:trHeight w:val="557" w:hRule="exact"/>
        </w:trPr>
        <w:tc>
          <w:tcPr>
            <w:tcW w:w="2800"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w:t>
            </w:r>
          </w:p>
        </w:tc>
        <w:tc>
          <w:tcPr>
            <w:tcW w:w="1580" w:type="dxa"/>
            <w:tcBorders>
              <w:top w:val="single" w:sz="6" w:space="0" w:color="000000"/>
              <w:left w:val="single" w:sz="6" w:space="0" w:color="000000"/>
              <w:bottom w:val="single" w:sz="4" w:space="0" w:color="000000"/>
              <w:right w:val="single" w:sz="6" w:space="0" w:color="000000"/>
            </w:tcBorders>
          </w:tcPr>
          <w:p>
            <w:pPr/>
          </w:p>
        </w:tc>
        <w:tc>
          <w:tcPr>
            <w:tcW w:w="1582" w:type="dxa"/>
            <w:tcBorders>
              <w:top w:val="single" w:sz="6" w:space="0" w:color="000000"/>
              <w:left w:val="single" w:sz="6" w:space="0" w:color="000000"/>
              <w:bottom w:val="single" w:sz="4" w:space="0" w:color="000000"/>
              <w:right w:val="single" w:sz="6" w:space="0" w:color="000000"/>
            </w:tcBorders>
          </w:tcPr>
          <w:p>
            <w:pPr/>
          </w:p>
        </w:tc>
        <w:tc>
          <w:tcPr>
            <w:tcW w:w="1686" w:type="dxa"/>
            <w:tcBorders>
              <w:top w:val="single" w:sz="6" w:space="0" w:color="000000"/>
              <w:left w:val="single" w:sz="6" w:space="0" w:color="000000"/>
              <w:bottom w:val="single" w:sz="4" w:space="0" w:color="000000"/>
              <w:right w:val="single" w:sz="6" w:space="0" w:color="000000"/>
            </w:tcBorders>
          </w:tcPr>
          <w:p>
            <w:pPr/>
          </w:p>
        </w:tc>
        <w:tc>
          <w:tcPr>
            <w:tcW w:w="1402"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1"/>
        <w:rPr>
          <w:rFonts w:ascii="宋体" w:hAnsi="宋体" w:cs="宋体" w:eastAsia="宋体" w:hint="default"/>
          <w:sz w:val="16"/>
          <w:szCs w:val="16"/>
        </w:rPr>
      </w:pPr>
    </w:p>
    <w:p>
      <w:pPr>
        <w:pStyle w:val="BodyText"/>
        <w:spacing w:line="240" w:lineRule="auto" w:before="35"/>
        <w:ind w:right="114"/>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tabs>
          <w:tab w:pos="1267" w:val="left" w:leader="none"/>
        </w:tabs>
        <w:spacing w:line="272" w:lineRule="exact" w:before="63"/>
        <w:ind w:right="4864"/>
        <w:jc w:val="left"/>
      </w:pPr>
      <w:r>
        <w:rPr/>
        <w:t>不重要的合营企业和联营企业的汇总财务信息 单位：元</w:t>
        <w:tab/>
        <w:t>币种：人民币</w:t>
      </w:r>
    </w:p>
    <w:tbl>
      <w:tblPr>
        <w:tblW w:w="0" w:type="auto"/>
        <w:jc w:val="left"/>
        <w:tblInd w:w="104" w:type="dxa"/>
        <w:tblLayout w:type="fixed"/>
        <w:tblCellMar>
          <w:top w:w="0" w:type="dxa"/>
          <w:left w:w="0" w:type="dxa"/>
          <w:bottom w:w="0" w:type="dxa"/>
          <w:right w:w="0" w:type="dxa"/>
        </w:tblCellMar>
        <w:tblLook w:val="01E0"/>
      </w:tblPr>
      <w:tblGrid>
        <w:gridCol w:w="2903"/>
        <w:gridCol w:w="3071"/>
        <w:gridCol w:w="3076"/>
      </w:tblGrid>
      <w:tr>
        <w:trPr>
          <w:trHeight w:val="284" w:hRule="exact"/>
        </w:trPr>
        <w:tc>
          <w:tcPr>
            <w:tcW w:w="2903" w:type="dxa"/>
            <w:tcBorders>
              <w:top w:val="single" w:sz="4" w:space="0" w:color="000000"/>
              <w:left w:val="single" w:sz="4" w:space="0" w:color="000000"/>
              <w:bottom w:val="single" w:sz="6" w:space="0" w:color="000000"/>
              <w:right w:val="single" w:sz="6" w:space="0" w:color="000000"/>
            </w:tcBorders>
          </w:tcPr>
          <w:p>
            <w:pPr/>
          </w:p>
        </w:tc>
        <w:tc>
          <w:tcPr>
            <w:tcW w:w="3071"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期末余额/ 本期发生额</w:t>
            </w:r>
          </w:p>
        </w:tc>
        <w:tc>
          <w:tcPr>
            <w:tcW w:w="3076"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期初余额/ 上期发生额</w:t>
            </w: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bl>
    <w:p>
      <w:pPr>
        <w:spacing w:after="0"/>
        <w:sectPr>
          <w:pgSz w:w="11910" w:h="16840"/>
          <w:pgMar w:header="882" w:footer="1197"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903"/>
        <w:gridCol w:w="3071"/>
        <w:gridCol w:w="3076"/>
      </w:tblGrid>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11,648,519.41</w:t>
            </w:r>
            <w:r>
              <w:rPr>
                <w:rFonts w:ascii="宋体"/>
                <w:sz w:val="21"/>
              </w:rPr>
            </w:r>
          </w:p>
        </w:tc>
        <w:tc>
          <w:tcPr>
            <w:tcW w:w="307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5,249,024.39</w:t>
            </w:r>
            <w:r>
              <w:rPr>
                <w:rFonts w:ascii="宋体"/>
                <w:sz w:val="21"/>
              </w:rPr>
            </w:r>
          </w:p>
        </w:tc>
      </w:tr>
      <w:tr>
        <w:trPr>
          <w:trHeight w:val="559"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0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pacing w:val="-1"/>
                <w:sz w:val="21"/>
              </w:rPr>
              <w:t>-980,305.85</w:t>
            </w:r>
          </w:p>
        </w:tc>
        <w:tc>
          <w:tcPr>
            <w:tcW w:w="307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886,792.65</w:t>
            </w: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903"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3071"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-980,305.85</w:t>
            </w:r>
          </w:p>
        </w:tc>
        <w:tc>
          <w:tcPr>
            <w:tcW w:w="3076"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886,792.65</w:t>
            </w:r>
          </w:p>
        </w:tc>
      </w:tr>
    </w:tbl>
    <w:p>
      <w:pPr>
        <w:pStyle w:val="BodyText"/>
        <w:spacing w:line="240" w:lineRule="exact"/>
        <w:ind w:right="114"/>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a">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right="114"/>
        <w:jc w:val="left"/>
      </w:pPr>
      <w:r>
        <w:rPr/>
        <w:t>合营企业或联营企业向本公司转移资金的能力存在重大限制的说明：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a">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tabs>
          <w:tab w:pos="1163" w:val="left" w:leader="none"/>
        </w:tabs>
        <w:spacing w:line="272" w:lineRule="exact" w:before="63"/>
        <w:ind w:right="5704"/>
        <w:jc w:val="left"/>
      </w:pPr>
      <w:r>
        <w:rPr/>
        <w:t>合营企业或联营企业发生的超额亏损 单位:元</w:t>
        <w:tab/>
        <w:t>币种:人民币</w:t>
      </w:r>
    </w:p>
    <w:tbl>
      <w:tblPr>
        <w:tblW w:w="0" w:type="auto"/>
        <w:jc w:val="left"/>
        <w:tblInd w:w="104" w:type="dxa"/>
        <w:tblLayout w:type="fixed"/>
        <w:tblCellMar>
          <w:top w:w="0" w:type="dxa"/>
          <w:left w:w="0" w:type="dxa"/>
          <w:bottom w:w="0" w:type="dxa"/>
          <w:right w:w="0" w:type="dxa"/>
        </w:tblCellMar>
        <w:tblLook w:val="01E0"/>
      </w:tblPr>
      <w:tblGrid>
        <w:gridCol w:w="1984"/>
        <w:gridCol w:w="2267"/>
        <w:gridCol w:w="2548"/>
        <w:gridCol w:w="2251"/>
      </w:tblGrid>
      <w:tr>
        <w:trPr>
          <w:trHeight w:val="558" w:hRule="exact"/>
        </w:trPr>
        <w:tc>
          <w:tcPr>
            <w:tcW w:w="1984" w:type="dxa"/>
            <w:tcBorders>
              <w:top w:val="single" w:sz="4"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合营企业或联营企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业名称</w:t>
            </w:r>
          </w:p>
        </w:tc>
        <w:tc>
          <w:tcPr>
            <w:tcW w:w="2267" w:type="dxa"/>
            <w:tcBorders>
              <w:top w:val="single" w:sz="4"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累积未确认前期累计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的损失</w:t>
            </w:r>
          </w:p>
        </w:tc>
        <w:tc>
          <w:tcPr>
            <w:tcW w:w="2548" w:type="dxa"/>
            <w:tcBorders>
              <w:top w:val="single" w:sz="4"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本期未确认的损失</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（或本期分享的净利润）</w:t>
            </w:r>
          </w:p>
        </w:tc>
        <w:tc>
          <w:tcPr>
            <w:tcW w:w="2251" w:type="dxa"/>
            <w:tcBorders>
              <w:top w:val="single" w:sz="4" w:space="0" w:color="000000"/>
              <w:left w:val="single" w:sz="6" w:space="0" w:color="000000"/>
              <w:bottom w:val="single" w:sz="6"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本期末累积未确认的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损失</w:t>
            </w:r>
          </w:p>
        </w:tc>
      </w:tr>
      <w:tr>
        <w:trPr>
          <w:trHeight w:val="287" w:hRule="exact"/>
        </w:trPr>
        <w:tc>
          <w:tcPr>
            <w:tcW w:w="1984" w:type="dxa"/>
            <w:tcBorders>
              <w:top w:val="single" w:sz="6" w:space="0" w:color="000000"/>
              <w:left w:val="single" w:sz="4" w:space="0" w:color="000000"/>
              <w:bottom w:val="single" w:sz="6" w:space="0" w:color="000000"/>
              <w:right w:val="single" w:sz="6" w:space="0" w:color="000000"/>
            </w:tcBorders>
          </w:tcPr>
          <w:p>
            <w:pPr/>
          </w:p>
        </w:tc>
        <w:tc>
          <w:tcPr>
            <w:tcW w:w="2267" w:type="dxa"/>
            <w:tcBorders>
              <w:top w:val="single" w:sz="6" w:space="0" w:color="000000"/>
              <w:left w:val="single" w:sz="6" w:space="0" w:color="000000"/>
              <w:bottom w:val="single" w:sz="6" w:space="0" w:color="000000"/>
              <w:right w:val="single" w:sz="6" w:space="0" w:color="000000"/>
            </w:tcBorders>
          </w:tcPr>
          <w:p>
            <w:pPr/>
          </w:p>
        </w:tc>
        <w:tc>
          <w:tcPr>
            <w:tcW w:w="2548" w:type="dxa"/>
            <w:tcBorders>
              <w:top w:val="single" w:sz="6" w:space="0" w:color="000000"/>
              <w:left w:val="single" w:sz="6" w:space="0" w:color="000000"/>
              <w:bottom w:val="single" w:sz="6" w:space="0" w:color="000000"/>
              <w:right w:val="single" w:sz="6" w:space="0" w:color="000000"/>
            </w:tcBorders>
          </w:tcPr>
          <w:p>
            <w:pPr/>
          </w:p>
        </w:tc>
        <w:tc>
          <w:tcPr>
            <w:tcW w:w="2251"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1984" w:type="dxa"/>
            <w:tcBorders>
              <w:top w:val="single" w:sz="6" w:space="0" w:color="000000"/>
              <w:left w:val="single" w:sz="4" w:space="0" w:color="000000"/>
              <w:bottom w:val="single" w:sz="4" w:space="0" w:color="000000"/>
              <w:right w:val="single" w:sz="6" w:space="0" w:color="000000"/>
            </w:tcBorders>
          </w:tcPr>
          <w:p>
            <w:pPr/>
          </w:p>
        </w:tc>
        <w:tc>
          <w:tcPr>
            <w:tcW w:w="2267" w:type="dxa"/>
            <w:tcBorders>
              <w:top w:val="single" w:sz="6" w:space="0" w:color="000000"/>
              <w:left w:val="single" w:sz="6" w:space="0" w:color="000000"/>
              <w:bottom w:val="single" w:sz="4" w:space="0" w:color="000000"/>
              <w:right w:val="single" w:sz="6" w:space="0" w:color="000000"/>
            </w:tcBorders>
          </w:tcPr>
          <w:p>
            <w:pPr/>
          </w:p>
        </w:tc>
        <w:tc>
          <w:tcPr>
            <w:tcW w:w="2548" w:type="dxa"/>
            <w:tcBorders>
              <w:top w:val="single" w:sz="6" w:space="0" w:color="000000"/>
              <w:left w:val="single" w:sz="6" w:space="0" w:color="000000"/>
              <w:bottom w:val="single" w:sz="4" w:space="0" w:color="000000"/>
              <w:right w:val="single" w:sz="6" w:space="0" w:color="000000"/>
            </w:tcBorders>
          </w:tcPr>
          <w:p>
            <w:pPr/>
          </w:p>
        </w:tc>
        <w:tc>
          <w:tcPr>
            <w:tcW w:w="2251"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8" w:lineRule="exact"/>
        <w:ind w:right="114"/>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right="114"/>
        <w:jc w:val="left"/>
      </w:pPr>
      <w:r>
        <w:rPr/>
        <w:t>与合营企业投资相关的未确认承诺</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a">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6"/>
          <w:szCs w:val="16"/>
        </w:rPr>
      </w:pPr>
    </w:p>
    <w:p>
      <w:pPr>
        <w:pStyle w:val="BodyText"/>
        <w:spacing w:line="240" w:lineRule="auto" w:before="35"/>
        <w:ind w:right="114"/>
        <w:jc w:val="left"/>
      </w:pPr>
      <w:r>
        <w:rPr/>
        <w:t>与合营企业或联营企业投资相关的或有负债</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right="114"/>
        <w:jc w:val="left"/>
      </w:pPr>
      <w:r>
        <w:rPr/>
        <w:t>重要的共同经营</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613"/>
        <w:gridCol w:w="1602"/>
        <w:gridCol w:w="1565"/>
        <w:gridCol w:w="1555"/>
        <w:gridCol w:w="1346"/>
        <w:gridCol w:w="1368"/>
      </w:tblGrid>
      <w:tr>
        <w:trPr>
          <w:trHeight w:val="343" w:hRule="exact"/>
        </w:trPr>
        <w:tc>
          <w:tcPr>
            <w:tcW w:w="1613" w:type="dxa"/>
            <w:vMerge w:val="restart"/>
            <w:tcBorders>
              <w:top w:val="single" w:sz="4" w:space="0" w:color="000000"/>
              <w:left w:val="single" w:sz="4" w:space="0" w:color="000000"/>
              <w:right w:val="single" w:sz="6"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共同经营名称</w:t>
            </w:r>
          </w:p>
        </w:tc>
        <w:tc>
          <w:tcPr>
            <w:tcW w:w="1602" w:type="dxa"/>
            <w:vMerge w:val="restart"/>
            <w:tcBorders>
              <w:top w:val="single" w:sz="4" w:space="0" w:color="000000"/>
              <w:left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565" w:type="dxa"/>
            <w:vMerge w:val="restart"/>
            <w:tcBorders>
              <w:top w:val="single" w:sz="4" w:space="0" w:color="000000"/>
              <w:left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555" w:type="dxa"/>
            <w:vMerge w:val="restart"/>
            <w:tcBorders>
              <w:top w:val="single" w:sz="4" w:space="0" w:color="000000"/>
              <w:left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714" w:type="dxa"/>
            <w:gridSpan w:val="2"/>
            <w:tcBorders>
              <w:top w:val="single" w:sz="4"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持股比例/享有的份额(%)</w:t>
            </w:r>
          </w:p>
        </w:tc>
      </w:tr>
      <w:tr>
        <w:trPr>
          <w:trHeight w:val="294" w:hRule="exact"/>
        </w:trPr>
        <w:tc>
          <w:tcPr>
            <w:tcW w:w="1613" w:type="dxa"/>
            <w:vMerge/>
            <w:tcBorders>
              <w:left w:val="single" w:sz="4" w:space="0" w:color="000000"/>
              <w:bottom w:val="single" w:sz="6" w:space="0" w:color="000000"/>
              <w:right w:val="single" w:sz="6" w:space="0" w:color="000000"/>
            </w:tcBorders>
          </w:tcPr>
          <w:p>
            <w:pPr/>
          </w:p>
        </w:tc>
        <w:tc>
          <w:tcPr>
            <w:tcW w:w="1602" w:type="dxa"/>
            <w:vMerge/>
            <w:tcBorders>
              <w:left w:val="single" w:sz="6" w:space="0" w:color="000000"/>
              <w:bottom w:val="single" w:sz="6" w:space="0" w:color="000000"/>
              <w:right w:val="single" w:sz="6" w:space="0" w:color="000000"/>
            </w:tcBorders>
          </w:tcPr>
          <w:p>
            <w:pPr/>
          </w:p>
        </w:tc>
        <w:tc>
          <w:tcPr>
            <w:tcW w:w="1565" w:type="dxa"/>
            <w:vMerge/>
            <w:tcBorders>
              <w:left w:val="single" w:sz="6" w:space="0" w:color="000000"/>
              <w:bottom w:val="single" w:sz="6" w:space="0" w:color="000000"/>
              <w:right w:val="single" w:sz="6" w:space="0" w:color="000000"/>
            </w:tcBorders>
          </w:tcPr>
          <w:p>
            <w:pPr/>
          </w:p>
        </w:tc>
        <w:tc>
          <w:tcPr>
            <w:tcW w:w="1555" w:type="dxa"/>
            <w:vMerge/>
            <w:tcBorders>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9" w:right="0"/>
              <w:jc w:val="left"/>
              <w:rPr>
                <w:rFonts w:ascii="宋体" w:hAnsi="宋体" w:cs="宋体" w:eastAsia="宋体" w:hint="default"/>
                <w:sz w:val="21"/>
                <w:szCs w:val="21"/>
              </w:rPr>
            </w:pPr>
            <w:r>
              <w:rPr>
                <w:rFonts w:ascii="宋体" w:hAnsi="宋体" w:cs="宋体" w:eastAsia="宋体" w:hint="default"/>
                <w:sz w:val="21"/>
                <w:szCs w:val="21"/>
              </w:rPr>
              <w:t>间接</w:t>
            </w:r>
          </w:p>
        </w:tc>
      </w:tr>
      <w:tr>
        <w:trPr>
          <w:trHeight w:val="287" w:hRule="exact"/>
        </w:trPr>
        <w:tc>
          <w:tcPr>
            <w:tcW w:w="1613" w:type="dxa"/>
            <w:tcBorders>
              <w:top w:val="single" w:sz="6" w:space="0" w:color="000000"/>
              <w:left w:val="single" w:sz="4"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613" w:type="dxa"/>
            <w:tcBorders>
              <w:top w:val="single" w:sz="6" w:space="0" w:color="000000"/>
              <w:left w:val="single" w:sz="4" w:space="0" w:color="000000"/>
              <w:bottom w:val="single" w:sz="4" w:space="0" w:color="000000"/>
              <w:right w:val="single" w:sz="6" w:space="0" w:color="000000"/>
            </w:tcBorders>
          </w:tcPr>
          <w:p>
            <w:pPr/>
          </w:p>
        </w:tc>
        <w:tc>
          <w:tcPr>
            <w:tcW w:w="1602" w:type="dxa"/>
            <w:tcBorders>
              <w:top w:val="single" w:sz="6" w:space="0" w:color="000000"/>
              <w:left w:val="single" w:sz="6" w:space="0" w:color="000000"/>
              <w:bottom w:val="single" w:sz="4" w:space="0" w:color="000000"/>
              <w:right w:val="single" w:sz="6" w:space="0" w:color="000000"/>
            </w:tcBorders>
          </w:tcPr>
          <w:p>
            <w:pPr/>
          </w:p>
        </w:tc>
        <w:tc>
          <w:tcPr>
            <w:tcW w:w="1565" w:type="dxa"/>
            <w:tcBorders>
              <w:top w:val="single" w:sz="6" w:space="0" w:color="000000"/>
              <w:left w:val="single" w:sz="6" w:space="0" w:color="000000"/>
              <w:bottom w:val="single" w:sz="4" w:space="0" w:color="000000"/>
              <w:right w:val="single" w:sz="6" w:space="0" w:color="000000"/>
            </w:tcBorders>
          </w:tcPr>
          <w:p>
            <w:pPr/>
          </w:p>
        </w:tc>
        <w:tc>
          <w:tcPr>
            <w:tcW w:w="1555" w:type="dxa"/>
            <w:tcBorders>
              <w:top w:val="single" w:sz="6" w:space="0" w:color="000000"/>
              <w:left w:val="single" w:sz="6" w:space="0" w:color="000000"/>
              <w:bottom w:val="single" w:sz="4" w:space="0" w:color="000000"/>
              <w:right w:val="single" w:sz="6" w:space="0" w:color="000000"/>
            </w:tcBorders>
          </w:tcPr>
          <w:p>
            <w:pPr/>
          </w:p>
        </w:tc>
        <w:tc>
          <w:tcPr>
            <w:tcW w:w="1346" w:type="dxa"/>
            <w:tcBorders>
              <w:top w:val="single" w:sz="6" w:space="0" w:color="000000"/>
              <w:left w:val="single" w:sz="6" w:space="0" w:color="000000"/>
              <w:bottom w:val="single" w:sz="4" w:space="0" w:color="000000"/>
              <w:right w:val="single" w:sz="6" w:space="0" w:color="000000"/>
            </w:tcBorders>
          </w:tcPr>
          <w:p>
            <w:pPr/>
          </w:p>
        </w:tc>
        <w:tc>
          <w:tcPr>
            <w:tcW w:w="1368"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0" w:lineRule="exact"/>
        <w:ind w:right="114"/>
        <w:jc w:val="left"/>
      </w:pPr>
      <w:r>
        <w:rPr/>
        <w:t>在共同经营中的持股比例或享有的份额不同于表决权比例的说明：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right="114"/>
        <w:jc w:val="left"/>
      </w:pPr>
      <w:r>
        <w:rPr/>
        <w:t>共同经营为单独主体的，分类为共同经营的依据：</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right="114"/>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6"/>
          <w:szCs w:val="16"/>
        </w:rPr>
      </w:pPr>
    </w:p>
    <w:p>
      <w:pPr>
        <w:pStyle w:val="BodyText"/>
        <w:spacing w:line="272" w:lineRule="exact" w:before="63"/>
        <w:ind w:right="4217"/>
        <w:jc w:val="left"/>
      </w:pPr>
      <w:r>
        <w:rPr/>
        <w:t>在未纳入合并财务报表范围的结构化主体中的权益 未纳入合并财务报表范围的结构化主体的相关说明：</w:t>
      </w:r>
    </w:p>
    <w:p>
      <w:pPr>
        <w:spacing w:line="240" w:lineRule="auto" w:before="1"/>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7"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4"/>
        <w:ind w:left="137" w:right="4941"/>
        <w:jc w:val="left"/>
        <w:rPr>
          <w:b w:val="0"/>
          <w:bCs w:val="0"/>
        </w:rPr>
      </w:pPr>
      <w:r>
        <w:rPr/>
        <w:t>4、</w:t>
      </w:r>
      <w:r>
        <w:rPr>
          <w:spacing w:val="-4"/>
        </w:rPr>
        <w:t> </w:t>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a">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3"/>
        <w:spacing w:line="240" w:lineRule="auto"/>
        <w:ind w:left="137" w:right="4941"/>
        <w:jc w:val="left"/>
        <w:rPr>
          <w:b w:val="0"/>
          <w:bCs w:val="0"/>
        </w:rPr>
      </w:pPr>
      <w:r>
        <w:rPr/>
        <w:t>八、与金融工具相关的风险</w:t>
      </w:r>
      <w:r>
        <w:rPr>
          <w:b w:val="0"/>
          <w:bCs w:val="0"/>
        </w:rPr>
      </w:r>
    </w:p>
    <w:p>
      <w:pPr>
        <w:spacing w:line="240" w:lineRule="auto" w:before="7"/>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a">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2" w:footer="1197" w:top="1120" w:bottom="1380" w:left="1660" w:right="1120"/>
        </w:sectPr>
      </w:pPr>
    </w:p>
    <w:p>
      <w:pPr>
        <w:pStyle w:val="Heading3"/>
        <w:spacing w:line="240" w:lineRule="auto"/>
        <w:ind w:left="137" w:right="-15"/>
        <w:jc w:val="left"/>
        <w:rPr>
          <w:b w:val="0"/>
          <w:bCs w:val="0"/>
        </w:rPr>
      </w:pPr>
      <w:r>
        <w:rPr/>
        <w:t>九、公允价值的披露</w:t>
      </w:r>
      <w:r>
        <w:rPr>
          <w:b w:val="0"/>
          <w:bCs w:val="0"/>
        </w:rPr>
      </w:r>
    </w:p>
    <w:p>
      <w:pPr>
        <w:pStyle w:val="Heading3"/>
        <w:spacing w:line="240" w:lineRule="auto" w:before="56"/>
        <w:ind w:left="137" w:right="-15"/>
        <w:jc w:val="left"/>
        <w:rPr>
          <w:b w:val="0"/>
          <w:bCs w:val="0"/>
        </w:rPr>
      </w:pPr>
      <w:r>
        <w:rPr/>
        <w:t>1、</w:t>
      </w:r>
      <w:r>
        <w:rPr>
          <w:spacing w:val="-9"/>
        </w:rPr>
        <w:t> </w:t>
      </w:r>
      <w:r>
        <w:rPr/>
        <w:t>以公允价值计量的资产和负债的期末公允价值</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083" w:val="left" w:leader="none"/>
        </w:tabs>
        <w:spacing w:line="240" w:lineRule="auto" w:before="175"/>
        <w:ind w:left="137" w:right="0"/>
        <w:jc w:val="left"/>
      </w:pPr>
      <w:r>
        <w:rPr/>
        <w:t>单位:元</w:t>
        <w:tab/>
        <w:t>币种:人民币</w:t>
      </w:r>
    </w:p>
    <w:p>
      <w:pPr>
        <w:spacing w:after="0" w:line="240" w:lineRule="auto"/>
        <w:jc w:val="left"/>
        <w:sectPr>
          <w:type w:val="continuous"/>
          <w:pgSz w:w="11910" w:h="16840"/>
          <w:pgMar w:top="1080" w:bottom="1380" w:left="1660" w:right="1120"/>
          <w:cols w:num="2" w:equalWidth="0">
            <w:col w:w="4772" w:space="1962"/>
            <w:col w:w="23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81"/>
        <w:gridCol w:w="1678"/>
        <w:gridCol w:w="1639"/>
        <w:gridCol w:w="1705"/>
        <w:gridCol w:w="1486"/>
      </w:tblGrid>
      <w:tr>
        <w:trPr>
          <w:trHeight w:val="283" w:hRule="exact"/>
        </w:trPr>
        <w:tc>
          <w:tcPr>
            <w:tcW w:w="238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0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4" w:hRule="exact"/>
        </w:trPr>
        <w:tc>
          <w:tcPr>
            <w:tcW w:w="2381"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z w:val="21"/>
                <w:szCs w:val="21"/>
              </w:rPr>
              <w:t>（一）以公允价值计量且</w:t>
            </w:r>
          </w:p>
          <w:p>
            <w:pPr>
              <w:pStyle w:val="TableParagraph"/>
              <w:spacing w:line="272" w:lineRule="exact" w:before="26"/>
              <w:ind w:left="22" w:right="36"/>
              <w:jc w:val="left"/>
              <w:rPr>
                <w:rFonts w:ascii="宋体" w:hAnsi="宋体" w:cs="宋体" w:eastAsia="宋体" w:hint="default"/>
                <w:sz w:val="21"/>
                <w:szCs w:val="21"/>
              </w:rPr>
            </w:pPr>
            <w:r>
              <w:rPr>
                <w:rFonts w:ascii="宋体" w:hAnsi="宋体" w:cs="宋体" w:eastAsia="宋体" w:hint="default"/>
                <w:sz w:val="21"/>
                <w:szCs w:val="21"/>
              </w:rPr>
              <w:t>变动计入当期损益的金融 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交易性金融资产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（1）债务工具投资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（2）权益工具投资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（3）衍生金融资产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指定以公允价值计量</w:t>
            </w:r>
          </w:p>
          <w:p>
            <w:pPr>
              <w:pStyle w:val="TableParagraph"/>
              <w:spacing w:line="272" w:lineRule="exact" w:before="26"/>
              <w:ind w:left="22" w:right="36"/>
              <w:jc w:val="left"/>
              <w:rPr>
                <w:rFonts w:ascii="宋体" w:hAnsi="宋体" w:cs="宋体" w:eastAsia="宋体" w:hint="default"/>
                <w:sz w:val="21"/>
                <w:szCs w:val="21"/>
              </w:rPr>
            </w:pPr>
            <w:r>
              <w:rPr>
                <w:rFonts w:ascii="宋体" w:hAnsi="宋体" w:cs="宋体" w:eastAsia="宋体" w:hint="default"/>
                <w:sz w:val="21"/>
                <w:szCs w:val="21"/>
              </w:rPr>
              <w:t>且其变动计入当期损益的 金融资产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（1）债务工具投资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（2）权益工具投资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（1）债务工具投资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（2）权益工具投资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1.出租用的土地使用权</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2.出租的建筑物</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3.持有并准备增值后转让</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的土地使用权</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1.消耗性生物资产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2.生产性生物资产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产总额</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8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5" w:type="dxa"/>
        <w:tblLayout w:type="fixed"/>
        <w:tblCellMar>
          <w:top w:w="0" w:type="dxa"/>
          <w:left w:w="0" w:type="dxa"/>
          <w:bottom w:w="0" w:type="dxa"/>
          <w:right w:w="0" w:type="dxa"/>
        </w:tblCellMar>
        <w:tblLook w:val="01E0"/>
      </w:tblPr>
      <w:tblGrid>
        <w:gridCol w:w="2381"/>
        <w:gridCol w:w="1678"/>
        <w:gridCol w:w="1639"/>
        <w:gridCol w:w="1705"/>
        <w:gridCol w:w="1486"/>
      </w:tblGrid>
      <w:tr>
        <w:trPr>
          <w:trHeight w:val="82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（六）指定为以公允价值</w:t>
            </w:r>
          </w:p>
          <w:p>
            <w:pPr>
              <w:pStyle w:val="TableParagraph"/>
              <w:spacing w:line="272" w:lineRule="exact" w:before="26"/>
              <w:ind w:left="22" w:right="36"/>
              <w:jc w:val="left"/>
              <w:rPr>
                <w:rFonts w:ascii="宋体" w:hAnsi="宋体" w:cs="宋体" w:eastAsia="宋体" w:hint="default"/>
                <w:sz w:val="21"/>
                <w:szCs w:val="21"/>
              </w:rPr>
            </w:pPr>
            <w:r>
              <w:rPr>
                <w:rFonts w:ascii="宋体" w:hAnsi="宋体" w:cs="宋体" w:eastAsia="宋体" w:hint="default"/>
                <w:sz w:val="21"/>
                <w:szCs w:val="21"/>
              </w:rPr>
              <w:t>计量且变动计入当期损益 的金融负债</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债总额</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w w:val="99"/>
                <w:sz w:val="21"/>
                <w:szCs w:val="21"/>
              </w:rPr>
              <w:t>量</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712" w:lineRule="auto" w:before="35"/>
        <w:ind w:right="114"/>
        <w:jc w:val="left"/>
      </w:pPr>
      <w:r>
        <w:rPr/>
        <w:t>持续和非持续第一层次公允价值计量项目市价的确定依据 持续和非持续第二层次公允价值计量项目，采用的估值技术和重要参数的定性及定量信息 持续和非持续第三层次公允价值计量项目，采用的估值技术和重要参数的定性及定量信息</w:t>
      </w:r>
    </w:p>
    <w:p>
      <w:pPr>
        <w:pStyle w:val="BodyText"/>
        <w:spacing w:line="272" w:lineRule="exact" w:before="156"/>
        <w:ind w:right="227"/>
        <w:jc w:val="left"/>
      </w:pPr>
      <w:r>
        <w:rPr/>
        <w:t>持续的第三层次公允价值计量项目，期初与期末账面价值间的调节信息及不可观察参数敏感性分 析</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712" w:lineRule="auto"/>
        <w:ind w:right="437"/>
        <w:jc w:val="left"/>
      </w:pPr>
      <w:r>
        <w:rPr/>
        <w:t>持续的公允价值计量项目，本期内发生各层级之间转换的，转换的原因及确定转换时点的政策 本期内发生的估值技术变更及变更原因 不以公允价值计量的金融资产和金融负债的公允价值情况</w:t>
      </w:r>
    </w:p>
    <w:p>
      <w:pPr>
        <w:pStyle w:val="BodyText"/>
        <w:spacing w:line="240" w:lineRule="auto" w:before="128"/>
        <w:ind w:right="114"/>
        <w:jc w:val="left"/>
      </w:pPr>
      <w:r>
        <w:rPr/>
        <w:t>其他</w:t>
      </w:r>
    </w:p>
    <w:p>
      <w:pPr>
        <w:spacing w:line="240" w:lineRule="auto" w:before="10"/>
        <w:rPr>
          <w:rFonts w:ascii="宋体" w:hAnsi="宋体" w:cs="宋体" w:eastAsia="宋体" w:hint="default"/>
          <w:sz w:val="22"/>
          <w:szCs w:val="22"/>
        </w:rPr>
      </w:pPr>
    </w:p>
    <w:p>
      <w:pPr>
        <w:pStyle w:val="BodyText"/>
        <w:spacing w:line="272" w:lineRule="exact"/>
        <w:ind w:right="7157"/>
        <w:jc w:val="left"/>
      </w:pPr>
      <w:r>
        <w:rPr/>
        <w:t>关联方及关联交易 本企业的母公司情况</w:t>
      </w:r>
    </w:p>
    <w:tbl>
      <w:tblPr>
        <w:tblW w:w="0" w:type="auto"/>
        <w:jc w:val="left"/>
        <w:tblInd w:w="104" w:type="dxa"/>
        <w:tblLayout w:type="fixed"/>
        <w:tblCellMar>
          <w:top w:w="0" w:type="dxa"/>
          <w:left w:w="0" w:type="dxa"/>
          <w:bottom w:w="0" w:type="dxa"/>
          <w:right w:w="0" w:type="dxa"/>
        </w:tblCellMar>
        <w:tblLook w:val="01E0"/>
      </w:tblPr>
      <w:tblGrid>
        <w:gridCol w:w="1387"/>
        <w:gridCol w:w="1234"/>
        <w:gridCol w:w="1464"/>
        <w:gridCol w:w="1464"/>
        <w:gridCol w:w="1684"/>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308"/>
              <w:jc w:val="both"/>
              <w:rPr>
                <w:rFonts w:ascii="宋体" w:hAnsi="宋体" w:cs="宋体" w:eastAsia="宋体" w:hint="default"/>
                <w:sz w:val="21"/>
                <w:szCs w:val="21"/>
              </w:rPr>
            </w:pPr>
            <w:r>
              <w:rPr>
                <w:rFonts w:ascii="宋体" w:hAnsi="宋体" w:cs="宋体" w:eastAsia="宋体" w:hint="default"/>
                <w:sz w:val="21"/>
                <w:szCs w:val="21"/>
              </w:rPr>
              <w:t>母公司对本企 业的持股比例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1"/>
              <w:ind w:left="102" w:right="128"/>
              <w:jc w:val="left"/>
              <w:rPr>
                <w:rFonts w:ascii="宋体" w:hAnsi="宋体" w:cs="宋体" w:eastAsia="宋体" w:hint="default"/>
                <w:sz w:val="21"/>
                <w:szCs w:val="21"/>
              </w:rPr>
            </w:pPr>
            <w:r>
              <w:rPr>
                <w:rFonts w:ascii="宋体" w:hAnsi="宋体" w:cs="宋体" w:eastAsia="宋体" w:hint="default"/>
                <w:sz w:val="21"/>
                <w:szCs w:val="21"/>
              </w:rPr>
              <w:t>母公司对本企业 的表决权比例(%)</w:t>
            </w:r>
          </w:p>
        </w:tc>
      </w:tr>
      <w:tr>
        <w:trPr>
          <w:trHeight w:val="282" w:hRule="exact"/>
        </w:trPr>
        <w:tc>
          <w:tcPr>
            <w:tcW w:w="138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24"/>
          <w:pgSz w:w="11910" w:h="16840"/>
          <w:pgMar w:footer="1197" w:header="882" w:top="1120" w:bottom="1380" w:left="1580" w:right="1040"/>
        </w:sectPr>
      </w:pPr>
    </w:p>
    <w:p>
      <w:pPr>
        <w:spacing w:line="240" w:lineRule="auto" w:before="3"/>
        <w:rPr>
          <w:rFonts w:ascii="宋体" w:hAnsi="宋体" w:cs="宋体" w:eastAsia="宋体" w:hint="default"/>
          <w:sz w:val="25"/>
          <w:szCs w:val="25"/>
        </w:rPr>
      </w:pPr>
    </w:p>
    <w:tbl>
      <w:tblPr>
        <w:tblW w:w="0" w:type="auto"/>
        <w:jc w:val="left"/>
        <w:tblInd w:w="129" w:type="dxa"/>
        <w:tblLayout w:type="fixed"/>
        <w:tblCellMar>
          <w:top w:w="0" w:type="dxa"/>
          <w:left w:w="0" w:type="dxa"/>
          <w:bottom w:w="0" w:type="dxa"/>
          <w:right w:w="0" w:type="dxa"/>
        </w:tblCellMar>
        <w:tblLook w:val="01E0"/>
      </w:tblPr>
      <w:tblGrid>
        <w:gridCol w:w="108"/>
        <w:gridCol w:w="2521"/>
        <w:gridCol w:w="1820"/>
        <w:gridCol w:w="2258"/>
        <w:gridCol w:w="2342"/>
      </w:tblGrid>
      <w:tr>
        <w:trPr>
          <w:trHeight w:val="589" w:hRule="exact"/>
        </w:trPr>
        <w:tc>
          <w:tcPr>
            <w:tcW w:w="108" w:type="dxa"/>
            <w:vMerge w:val="restart"/>
            <w:tcBorders>
              <w:top w:val="nil" w:sz="6" w:space="0" w:color="auto"/>
              <w:left w:val="nil" w:sz="6" w:space="0" w:color="auto"/>
              <w:right w:val="nil" w:sz="6" w:space="0" w:color="auto"/>
            </w:tcBorders>
          </w:tcPr>
          <w:p>
            <w:pPr/>
          </w:p>
        </w:tc>
        <w:tc>
          <w:tcPr>
            <w:tcW w:w="2521" w:type="dxa"/>
            <w:tcBorders>
              <w:top w:val="nil" w:sz="6" w:space="0" w:color="auto"/>
              <w:left w:val="nil" w:sz="6" w:space="0" w:color="auto"/>
              <w:bottom w:val="single" w:sz="4" w:space="0" w:color="33339A"/>
              <w:right w:val="nil" w:sz="6" w:space="0" w:color="auto"/>
            </w:tcBorders>
          </w:tcPr>
          <w:p>
            <w:pPr>
              <w:pStyle w:val="TableParagraph"/>
              <w:spacing w:line="240" w:lineRule="auto" w:before="35"/>
              <w:ind w:right="0"/>
              <w:jc w:val="left"/>
              <w:rPr>
                <w:rFonts w:ascii="宋体" w:hAnsi="宋体" w:cs="宋体" w:eastAsia="宋体" w:hint="default"/>
                <w:sz w:val="21"/>
                <w:szCs w:val="21"/>
              </w:rPr>
            </w:pPr>
            <w:r>
              <w:rPr>
                <w:rFonts w:ascii="宋体" w:hAnsi="宋体" w:cs="宋体" w:eastAsia="宋体" w:hint="default"/>
                <w:sz w:val="21"/>
                <w:szCs w:val="21"/>
              </w:rPr>
              <w:t>本企业的母公司情况的说明</w:t>
            </w:r>
          </w:p>
        </w:tc>
        <w:tc>
          <w:tcPr>
            <w:tcW w:w="6420" w:type="dxa"/>
            <w:gridSpan w:val="3"/>
            <w:vMerge w:val="restart"/>
            <w:tcBorders>
              <w:top w:val="nil" w:sz="6" w:space="0" w:color="auto"/>
              <w:left w:val="nil" w:sz="6" w:space="0" w:color="auto"/>
              <w:right w:val="nil" w:sz="6" w:space="0" w:color="auto"/>
            </w:tcBorders>
          </w:tcPr>
          <w:p>
            <w:pPr/>
          </w:p>
        </w:tc>
      </w:tr>
      <w:tr>
        <w:trPr>
          <w:trHeight w:val="272" w:hRule="exact"/>
        </w:trPr>
        <w:tc>
          <w:tcPr>
            <w:tcW w:w="108" w:type="dxa"/>
            <w:vMerge/>
            <w:tcBorders>
              <w:left w:val="nil" w:sz="6" w:space="0" w:color="auto"/>
              <w:right w:val="nil" w:sz="6" w:space="0" w:color="auto"/>
            </w:tcBorders>
          </w:tcPr>
          <w:p>
            <w:pPr/>
          </w:p>
        </w:tc>
        <w:tc>
          <w:tcPr>
            <w:tcW w:w="2521" w:type="dxa"/>
            <w:tcBorders>
              <w:top w:val="single" w:sz="4" w:space="0" w:color="33339A"/>
              <w:left w:val="nil" w:sz="6" w:space="0" w:color="auto"/>
              <w:bottom w:val="single" w:sz="4" w:space="0" w:color="33339A"/>
              <w:right w:val="nil" w:sz="6" w:space="0" w:color="auto"/>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本企业最终控制方是</w:t>
            </w:r>
          </w:p>
        </w:tc>
        <w:tc>
          <w:tcPr>
            <w:tcW w:w="6420" w:type="dxa"/>
            <w:gridSpan w:val="3"/>
            <w:vMerge/>
            <w:tcBorders>
              <w:left w:val="nil" w:sz="6" w:space="0" w:color="auto"/>
              <w:right w:val="nil" w:sz="6" w:space="0" w:color="auto"/>
            </w:tcBorders>
          </w:tcPr>
          <w:p>
            <w:pPr/>
          </w:p>
        </w:tc>
      </w:tr>
      <w:tr>
        <w:trPr>
          <w:trHeight w:val="586" w:hRule="exact"/>
        </w:trPr>
        <w:tc>
          <w:tcPr>
            <w:tcW w:w="108" w:type="dxa"/>
            <w:vMerge/>
            <w:tcBorders>
              <w:left w:val="nil" w:sz="6" w:space="0" w:color="auto"/>
              <w:right w:val="nil" w:sz="6" w:space="0" w:color="auto"/>
            </w:tcBorders>
          </w:tcPr>
          <w:p>
            <w:pPr/>
          </w:p>
        </w:tc>
        <w:tc>
          <w:tcPr>
            <w:tcW w:w="2521" w:type="dxa"/>
            <w:tcBorders>
              <w:top w:val="single" w:sz="4" w:space="0" w:color="33339A"/>
              <w:left w:val="nil" w:sz="6" w:space="0" w:color="auto"/>
              <w:bottom w:val="single" w:sz="12" w:space="0" w:color="000000"/>
              <w:right w:val="nil" w:sz="6" w:space="0" w:color="auto"/>
            </w:tcBorders>
          </w:tcPr>
          <w:p>
            <w:pPr>
              <w:pStyle w:val="TableParagraph"/>
              <w:spacing w:line="259" w:lineRule="exact"/>
              <w:ind w:right="0"/>
              <w:jc w:val="left"/>
              <w:rPr>
                <w:rFonts w:ascii="宋体" w:hAnsi="宋体" w:cs="宋体" w:eastAsia="宋体" w:hint="default"/>
                <w:sz w:val="21"/>
                <w:szCs w:val="21"/>
              </w:rPr>
            </w:pPr>
            <w:r>
              <w:rPr>
                <w:rFonts w:ascii="宋体" w:hAnsi="宋体" w:cs="宋体" w:eastAsia="宋体" w:hint="default"/>
                <w:sz w:val="21"/>
                <w:szCs w:val="21"/>
              </w:rPr>
              <w:t>其他说明：</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5"/>
                <w:sz w:val="21"/>
                <w:szCs w:val="21"/>
              </w:rPr>
              <w:t> </w:t>
            </w:r>
            <w:r>
              <w:rPr>
                <w:rFonts w:ascii="宋体" w:hAnsi="宋体" w:cs="宋体" w:eastAsia="宋体" w:hint="default"/>
                <w:sz w:val="21"/>
                <w:szCs w:val="21"/>
              </w:rPr>
              <w:t>5%以上的股东情况</w:t>
            </w:r>
          </w:p>
        </w:tc>
        <w:tc>
          <w:tcPr>
            <w:tcW w:w="6420" w:type="dxa"/>
            <w:gridSpan w:val="3"/>
            <w:vMerge/>
            <w:tcBorders>
              <w:left w:val="nil" w:sz="6" w:space="0" w:color="auto"/>
              <w:bottom w:val="single" w:sz="12" w:space="0" w:color="000000"/>
              <w:right w:val="nil" w:sz="6" w:space="0" w:color="auto"/>
            </w:tcBorders>
          </w:tcPr>
          <w:p>
            <w:pPr/>
          </w:p>
        </w:tc>
      </w:tr>
      <w:tr>
        <w:trPr>
          <w:trHeight w:val="358" w:hRule="exact"/>
        </w:trPr>
        <w:tc>
          <w:tcPr>
            <w:tcW w:w="108" w:type="dxa"/>
            <w:vMerge/>
            <w:tcBorders>
              <w:left w:val="nil" w:sz="6" w:space="0" w:color="auto"/>
              <w:right w:val="nil" w:sz="6" w:space="0" w:color="auto"/>
            </w:tcBorders>
          </w:tcPr>
          <w:p>
            <w:pPr/>
          </w:p>
        </w:tc>
        <w:tc>
          <w:tcPr>
            <w:tcW w:w="2521" w:type="dxa"/>
            <w:tcBorders>
              <w:top w:val="single" w:sz="12" w:space="0" w:color="000000"/>
              <w:left w:val="nil" w:sz="6" w:space="0" w:color="auto"/>
              <w:bottom w:val="nil" w:sz="6" w:space="0" w:color="auto"/>
              <w:right w:val="nil" w:sz="6" w:space="0" w:color="auto"/>
            </w:tcBorders>
          </w:tcPr>
          <w:p>
            <w:pPr>
              <w:pStyle w:val="TableParagraph"/>
              <w:spacing w:line="240" w:lineRule="auto" w:before="22"/>
              <w:ind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820" w:type="dxa"/>
            <w:tcBorders>
              <w:top w:val="single" w:sz="12" w:space="0" w:color="000000"/>
              <w:left w:val="nil" w:sz="6" w:space="0" w:color="auto"/>
              <w:bottom w:val="nil" w:sz="6" w:space="0" w:color="auto"/>
              <w:right w:val="nil" w:sz="6" w:space="0" w:color="auto"/>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258" w:type="dxa"/>
            <w:tcBorders>
              <w:top w:val="single" w:sz="12" w:space="0" w:color="000000"/>
              <w:left w:val="nil" w:sz="6" w:space="0" w:color="auto"/>
              <w:bottom w:val="nil" w:sz="6" w:space="0" w:color="auto"/>
              <w:right w:val="nil" w:sz="6" w:space="0" w:color="auto"/>
            </w:tcBorders>
          </w:tcPr>
          <w:p>
            <w:pPr>
              <w:pStyle w:val="TableParagraph"/>
              <w:spacing w:line="240" w:lineRule="auto" w:before="22"/>
              <w:ind w:left="288"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2342" w:type="dxa"/>
            <w:tcBorders>
              <w:top w:val="single" w:sz="12" w:space="0" w:color="000000"/>
              <w:left w:val="nil" w:sz="6" w:space="0" w:color="auto"/>
              <w:bottom w:val="nil" w:sz="6" w:space="0" w:color="auto"/>
              <w:right w:val="nil" w:sz="6" w:space="0" w:color="auto"/>
            </w:tcBorders>
          </w:tcPr>
          <w:p>
            <w:pPr>
              <w:pStyle w:val="TableParagraph"/>
              <w:spacing w:line="240" w:lineRule="auto" w:before="22"/>
              <w:ind w:left="226" w:right="0"/>
              <w:jc w:val="center"/>
              <w:rPr>
                <w:rFonts w:ascii="宋体" w:hAnsi="宋体" w:cs="宋体" w:eastAsia="宋体" w:hint="default"/>
                <w:sz w:val="18"/>
                <w:szCs w:val="18"/>
              </w:rPr>
            </w:pPr>
            <w:r>
              <w:rPr>
                <w:rFonts w:ascii="宋体" w:hAnsi="宋体" w:cs="宋体" w:eastAsia="宋体" w:hint="default"/>
                <w:sz w:val="18"/>
                <w:szCs w:val="18"/>
              </w:rPr>
              <w:t>期末占总股本比例（%）</w:t>
            </w:r>
          </w:p>
        </w:tc>
      </w:tr>
      <w:tr>
        <w:trPr>
          <w:trHeight w:val="350" w:hRule="exact"/>
        </w:trPr>
        <w:tc>
          <w:tcPr>
            <w:tcW w:w="108" w:type="dxa"/>
            <w:vMerge/>
            <w:tcBorders>
              <w:left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left"/>
              <w:rPr>
                <w:rFonts w:ascii="宋体" w:hAnsi="宋体" w:cs="宋体" w:eastAsia="宋体" w:hint="default"/>
                <w:sz w:val="18"/>
                <w:szCs w:val="18"/>
              </w:rPr>
            </w:pPr>
            <w:r>
              <w:rPr>
                <w:rFonts w:ascii="宋体" w:hAnsi="宋体" w:cs="宋体" w:eastAsia="宋体" w:hint="default"/>
                <w:sz w:val="18"/>
                <w:szCs w:val="18"/>
              </w:rPr>
              <w:t>杜  宣</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6"/>
              <w:jc w:val="right"/>
              <w:rPr>
                <w:rFonts w:ascii="宋体" w:hAnsi="宋体" w:cs="宋体" w:eastAsia="宋体" w:hint="default"/>
                <w:sz w:val="18"/>
                <w:szCs w:val="18"/>
              </w:rPr>
            </w:pPr>
            <w:r>
              <w:rPr>
                <w:rFonts w:ascii="宋体"/>
                <w:sz w:val="18"/>
              </w:rPr>
              <w:t>31,123,120.00</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7"/>
              <w:jc w:val="right"/>
              <w:rPr>
                <w:rFonts w:ascii="宋体" w:hAnsi="宋体" w:cs="宋体" w:eastAsia="宋体" w:hint="default"/>
                <w:sz w:val="18"/>
                <w:szCs w:val="18"/>
              </w:rPr>
            </w:pPr>
            <w:r>
              <w:rPr>
                <w:rFonts w:ascii="宋体"/>
                <w:sz w:val="18"/>
              </w:rPr>
              <w:t>31,123,120.00</w:t>
            </w:r>
          </w:p>
        </w:tc>
        <w:tc>
          <w:tcPr>
            <w:tcW w:w="234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28" w:right="0"/>
              <w:jc w:val="center"/>
              <w:rPr>
                <w:rFonts w:ascii="宋体" w:hAnsi="宋体" w:cs="宋体" w:eastAsia="宋体" w:hint="default"/>
                <w:sz w:val="18"/>
                <w:szCs w:val="18"/>
              </w:rPr>
            </w:pPr>
            <w:r>
              <w:rPr>
                <w:rFonts w:ascii="宋体"/>
                <w:sz w:val="18"/>
              </w:rPr>
              <w:t>11.72</w:t>
            </w:r>
          </w:p>
        </w:tc>
      </w:tr>
      <w:tr>
        <w:trPr>
          <w:trHeight w:val="350" w:hRule="exact"/>
        </w:trPr>
        <w:tc>
          <w:tcPr>
            <w:tcW w:w="108" w:type="dxa"/>
            <w:vMerge/>
            <w:tcBorders>
              <w:left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left"/>
              <w:rPr>
                <w:rFonts w:ascii="宋体" w:hAnsi="宋体" w:cs="宋体" w:eastAsia="宋体" w:hint="default"/>
                <w:sz w:val="18"/>
                <w:szCs w:val="18"/>
              </w:rPr>
            </w:pPr>
            <w:r>
              <w:rPr>
                <w:rFonts w:ascii="宋体" w:hAnsi="宋体" w:cs="宋体" w:eastAsia="宋体" w:hint="default"/>
                <w:sz w:val="18"/>
                <w:szCs w:val="18"/>
              </w:rPr>
              <w:t>赵  剑</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6"/>
              <w:jc w:val="right"/>
              <w:rPr>
                <w:rFonts w:ascii="宋体" w:hAnsi="宋体" w:cs="宋体" w:eastAsia="宋体" w:hint="default"/>
                <w:sz w:val="18"/>
                <w:szCs w:val="18"/>
              </w:rPr>
            </w:pPr>
            <w:r>
              <w:rPr>
                <w:rFonts w:ascii="宋体"/>
                <w:sz w:val="18"/>
              </w:rPr>
              <w:t>31,043,024.00</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7"/>
              <w:jc w:val="right"/>
              <w:rPr>
                <w:rFonts w:ascii="宋体" w:hAnsi="宋体" w:cs="宋体" w:eastAsia="宋体" w:hint="default"/>
                <w:sz w:val="18"/>
                <w:szCs w:val="18"/>
              </w:rPr>
            </w:pPr>
            <w:r>
              <w:rPr>
                <w:rFonts w:ascii="宋体"/>
                <w:sz w:val="18"/>
              </w:rPr>
              <w:t>31,043,024.00</w:t>
            </w:r>
          </w:p>
        </w:tc>
        <w:tc>
          <w:tcPr>
            <w:tcW w:w="234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28" w:right="0"/>
              <w:jc w:val="center"/>
              <w:rPr>
                <w:rFonts w:ascii="宋体" w:hAnsi="宋体" w:cs="宋体" w:eastAsia="宋体" w:hint="default"/>
                <w:sz w:val="18"/>
                <w:szCs w:val="18"/>
              </w:rPr>
            </w:pPr>
            <w:r>
              <w:rPr>
                <w:rFonts w:ascii="宋体"/>
                <w:sz w:val="18"/>
              </w:rPr>
              <w:t>11.69</w:t>
            </w:r>
          </w:p>
        </w:tc>
      </w:tr>
      <w:tr>
        <w:trPr>
          <w:trHeight w:val="350" w:hRule="exact"/>
        </w:trPr>
        <w:tc>
          <w:tcPr>
            <w:tcW w:w="108" w:type="dxa"/>
            <w:vMerge/>
            <w:tcBorders>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left"/>
              <w:rPr>
                <w:rFonts w:ascii="宋体" w:hAnsi="宋体" w:cs="宋体" w:eastAsia="宋体" w:hint="default"/>
                <w:sz w:val="18"/>
                <w:szCs w:val="18"/>
              </w:rPr>
            </w:pPr>
            <w:r>
              <w:rPr>
                <w:rFonts w:ascii="宋体" w:hAnsi="宋体" w:cs="宋体" w:eastAsia="宋体" w:hint="default"/>
                <w:sz w:val="18"/>
                <w:szCs w:val="18"/>
              </w:rPr>
              <w:t>李结义</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6"/>
              <w:jc w:val="right"/>
              <w:rPr>
                <w:rFonts w:ascii="宋体" w:hAnsi="宋体" w:cs="宋体" w:eastAsia="宋体" w:hint="default"/>
                <w:sz w:val="18"/>
                <w:szCs w:val="18"/>
              </w:rPr>
            </w:pPr>
            <w:r>
              <w:rPr>
                <w:rFonts w:ascii="宋体"/>
                <w:sz w:val="18"/>
              </w:rPr>
              <w:t>29,822,954.00</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7"/>
              <w:jc w:val="right"/>
              <w:rPr>
                <w:rFonts w:ascii="宋体" w:hAnsi="宋体" w:cs="宋体" w:eastAsia="宋体" w:hint="default"/>
                <w:sz w:val="18"/>
                <w:szCs w:val="18"/>
              </w:rPr>
            </w:pPr>
            <w:r>
              <w:rPr>
                <w:rFonts w:ascii="宋体"/>
                <w:sz w:val="18"/>
              </w:rPr>
              <w:t>29,822,954.00</w:t>
            </w:r>
          </w:p>
        </w:tc>
        <w:tc>
          <w:tcPr>
            <w:tcW w:w="234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28" w:right="0"/>
              <w:jc w:val="center"/>
              <w:rPr>
                <w:rFonts w:ascii="宋体" w:hAnsi="宋体" w:cs="宋体" w:eastAsia="宋体" w:hint="default"/>
                <w:sz w:val="18"/>
                <w:szCs w:val="18"/>
              </w:rPr>
            </w:pPr>
            <w:r>
              <w:rPr>
                <w:rFonts w:ascii="宋体"/>
                <w:sz w:val="18"/>
              </w:rPr>
              <w:t>11.23</w:t>
            </w:r>
          </w:p>
        </w:tc>
      </w:tr>
      <w:tr>
        <w:trPr>
          <w:trHeight w:val="362" w:hRule="exact"/>
        </w:trPr>
        <w:tc>
          <w:tcPr>
            <w:tcW w:w="108" w:type="dxa"/>
            <w:tcBorders>
              <w:top w:val="nil" w:sz="6" w:space="0" w:color="auto"/>
              <w:left w:val="nil" w:sz="6" w:space="0" w:color="auto"/>
              <w:bottom w:val="single" w:sz="12" w:space="0" w:color="000000"/>
              <w:right w:val="nil" w:sz="6" w:space="0" w:color="auto"/>
            </w:tcBorders>
          </w:tcPr>
          <w:p>
            <w:pPr/>
          </w:p>
        </w:tc>
        <w:tc>
          <w:tcPr>
            <w:tcW w:w="2521" w:type="dxa"/>
            <w:tcBorders>
              <w:top w:val="nil" w:sz="6" w:space="0" w:color="auto"/>
              <w:left w:val="nil" w:sz="6" w:space="0" w:color="auto"/>
              <w:bottom w:val="single" w:sz="12" w:space="0" w:color="000000"/>
              <w:right w:val="nil" w:sz="6" w:space="0" w:color="auto"/>
            </w:tcBorders>
          </w:tcPr>
          <w:p>
            <w:pPr>
              <w:pStyle w:val="TableParagraph"/>
              <w:spacing w:line="240" w:lineRule="auto" w:before="29"/>
              <w:ind w:right="0"/>
              <w:jc w:val="left"/>
              <w:rPr>
                <w:rFonts w:ascii="宋体" w:hAnsi="宋体" w:cs="宋体" w:eastAsia="宋体" w:hint="default"/>
                <w:sz w:val="18"/>
                <w:szCs w:val="18"/>
              </w:rPr>
            </w:pPr>
            <w:r>
              <w:rPr>
                <w:rFonts w:ascii="宋体" w:hAnsi="宋体" w:cs="宋体" w:eastAsia="宋体" w:hint="default"/>
                <w:sz w:val="18"/>
                <w:szCs w:val="18"/>
              </w:rPr>
              <w:t>徐岷波</w:t>
            </w:r>
          </w:p>
        </w:tc>
        <w:tc>
          <w:tcPr>
            <w:tcW w:w="1820" w:type="dxa"/>
            <w:tcBorders>
              <w:top w:val="nil" w:sz="6" w:space="0" w:color="auto"/>
              <w:left w:val="nil" w:sz="6" w:space="0" w:color="auto"/>
              <w:bottom w:val="single" w:sz="12" w:space="0" w:color="000000"/>
              <w:right w:val="nil" w:sz="6" w:space="0" w:color="auto"/>
            </w:tcBorders>
          </w:tcPr>
          <w:p>
            <w:pPr>
              <w:pStyle w:val="TableParagraph"/>
              <w:spacing w:line="240" w:lineRule="auto" w:before="29"/>
              <w:ind w:right="286"/>
              <w:jc w:val="right"/>
              <w:rPr>
                <w:rFonts w:ascii="宋体" w:hAnsi="宋体" w:cs="宋体" w:eastAsia="宋体" w:hint="default"/>
                <w:sz w:val="18"/>
                <w:szCs w:val="18"/>
              </w:rPr>
            </w:pPr>
            <w:r>
              <w:rPr>
                <w:rFonts w:ascii="宋体"/>
                <w:sz w:val="18"/>
              </w:rPr>
              <w:t>28,010,175.00</w:t>
            </w:r>
          </w:p>
        </w:tc>
        <w:tc>
          <w:tcPr>
            <w:tcW w:w="2258" w:type="dxa"/>
            <w:tcBorders>
              <w:top w:val="nil" w:sz="6" w:space="0" w:color="auto"/>
              <w:left w:val="nil" w:sz="6" w:space="0" w:color="auto"/>
              <w:bottom w:val="single" w:sz="12" w:space="0" w:color="000000"/>
              <w:right w:val="nil" w:sz="6" w:space="0" w:color="auto"/>
            </w:tcBorders>
          </w:tcPr>
          <w:p>
            <w:pPr>
              <w:pStyle w:val="TableParagraph"/>
              <w:spacing w:line="240" w:lineRule="auto" w:before="29"/>
              <w:ind w:right="337"/>
              <w:jc w:val="right"/>
              <w:rPr>
                <w:rFonts w:ascii="宋体" w:hAnsi="宋体" w:cs="宋体" w:eastAsia="宋体" w:hint="default"/>
                <w:sz w:val="18"/>
                <w:szCs w:val="18"/>
              </w:rPr>
            </w:pPr>
            <w:r>
              <w:rPr>
                <w:rFonts w:ascii="宋体"/>
                <w:sz w:val="18"/>
              </w:rPr>
              <w:t>28,010,175.00</w:t>
            </w:r>
          </w:p>
        </w:tc>
        <w:tc>
          <w:tcPr>
            <w:tcW w:w="2342" w:type="dxa"/>
            <w:tcBorders>
              <w:top w:val="nil" w:sz="6" w:space="0" w:color="auto"/>
              <w:left w:val="nil" w:sz="6" w:space="0" w:color="auto"/>
              <w:bottom w:val="single" w:sz="12" w:space="0" w:color="000000"/>
              <w:right w:val="nil" w:sz="6" w:space="0" w:color="auto"/>
            </w:tcBorders>
          </w:tcPr>
          <w:p>
            <w:pPr>
              <w:pStyle w:val="TableParagraph"/>
              <w:spacing w:line="240" w:lineRule="auto" w:before="29"/>
              <w:ind w:left="228" w:right="0"/>
              <w:jc w:val="center"/>
              <w:rPr>
                <w:rFonts w:ascii="宋体" w:hAnsi="宋体" w:cs="宋体" w:eastAsia="宋体" w:hint="default"/>
                <w:sz w:val="18"/>
                <w:szCs w:val="18"/>
              </w:rPr>
            </w:pPr>
            <w:r>
              <w:rPr>
                <w:rFonts w:ascii="宋体"/>
                <w:sz w:val="18"/>
              </w:rPr>
              <w:t>10.54</w:t>
            </w:r>
          </w:p>
        </w:tc>
      </w:tr>
    </w:tbl>
    <w:p>
      <w:pPr>
        <w:spacing w:line="240" w:lineRule="auto" w:before="4"/>
        <w:rPr>
          <w:rFonts w:ascii="宋体" w:hAnsi="宋体" w:cs="宋体" w:eastAsia="宋体" w:hint="default"/>
          <w:sz w:val="14"/>
          <w:szCs w:val="14"/>
        </w:rPr>
      </w:pPr>
    </w:p>
    <w:p>
      <w:pPr>
        <w:pStyle w:val="BodyText"/>
        <w:spacing w:line="272" w:lineRule="exact" w:before="63"/>
        <w:ind w:left="237" w:right="3817"/>
        <w:jc w:val="left"/>
      </w:pPr>
      <w:r>
        <w:rPr/>
        <w:pict>
          <v:group style="position:absolute;margin-left:83.040001pt;margin-top:-99.579247pt;width:455.35pt;height:88pt;mso-position-horizontal-relative:page;mso-position-vertical-relative:paragraph;z-index:-1224280" coordorigin="1661,-1992" coordsize="9107,1760">
            <v:shape style="position:absolute;left:4189;top:-1992;width:4465;height:379" type="#_x0000_t75" stroked="false">
              <v:imagedata r:id="rId126" o:title=""/>
            </v:shape>
            <v:shape style="position:absolute;left:1661;top:-1654;width:9107;height:1422" type="#_x0000_t75" stroked="false">
              <v:imagedata r:id="rId127" o:title=""/>
            </v:shape>
            <w10:wrap type="none"/>
          </v:group>
        </w:pict>
      </w:r>
      <w:r>
        <w:rPr/>
        <w:t>本企业的子公司情况 本企业子公司的情况详见附注七（一）在子公司中的权益</w:t>
      </w:r>
    </w:p>
    <w:p>
      <w:pPr>
        <w:spacing w:line="240" w:lineRule="auto" w:before="12"/>
        <w:rPr>
          <w:rFonts w:ascii="宋体" w:hAnsi="宋体" w:cs="宋体" w:eastAsia="宋体" w:hint="default"/>
          <w:sz w:val="18"/>
          <w:szCs w:val="18"/>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a">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72" w:lineRule="exact" w:before="63"/>
        <w:ind w:left="237" w:right="1507"/>
        <w:jc w:val="left"/>
      </w:pPr>
      <w:r>
        <w:rPr/>
        <w:t>本企业合营和联营企业情况 本企业重要的合营或联营企业详见附注七（二）在合营安排或联营企业中的权益。</w:t>
      </w:r>
    </w:p>
    <w:p>
      <w:pPr>
        <w:spacing w:line="240" w:lineRule="auto" w:before="1"/>
        <w:rPr>
          <w:rFonts w:ascii="宋体" w:hAnsi="宋体" w:cs="宋体" w:eastAsia="宋体" w:hint="default"/>
          <w:sz w:val="19"/>
          <w:szCs w:val="19"/>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pStyle w:val="BodyText"/>
        <w:spacing w:line="272" w:lineRule="exact" w:before="3"/>
        <w:ind w:left="237" w:right="247"/>
        <w:jc w:val="left"/>
      </w:pPr>
      <w:r>
        <w:rPr/>
        <w:t>本期与本公司发生关联方交易，或前期与本公司发生关联方交易形成余额的其他合营或联营企业 情况如下</w:t>
      </w:r>
    </w:p>
    <w:tbl>
      <w:tblPr>
        <w:tblW w:w="0" w:type="auto"/>
        <w:jc w:val="left"/>
        <w:tblInd w:w="124" w:type="dxa"/>
        <w:tblLayout w:type="fixed"/>
        <w:tblCellMar>
          <w:top w:w="0" w:type="dxa"/>
          <w:left w:w="0" w:type="dxa"/>
          <w:bottom w:w="0" w:type="dxa"/>
          <w:right w:w="0" w:type="dxa"/>
        </w:tblCellMar>
        <w:tblLook w:val="01E0"/>
      </w:tblPr>
      <w:tblGrid>
        <w:gridCol w:w="3985"/>
        <w:gridCol w:w="5064"/>
      </w:tblGrid>
      <w:tr>
        <w:trPr>
          <w:trHeight w:val="294"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深圳市金慧盈通数据服务有限公司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中财金证科技开发（深圳）有限公司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r>
    </w:tbl>
    <w:p>
      <w:pPr>
        <w:pStyle w:val="BodyText"/>
        <w:spacing w:line="248" w:lineRule="exact"/>
        <w:ind w:left="237" w:right="240"/>
        <w:jc w:val="left"/>
      </w:pPr>
      <w:r>
        <w:rPr/>
        <w:t>其他说明</w:t>
      </w:r>
    </w:p>
    <w:p>
      <w:pPr>
        <w:spacing w:line="240" w:lineRule="auto" w:before="12"/>
        <w:rPr>
          <w:rFonts w:ascii="宋体" w:hAnsi="宋体" w:cs="宋体" w:eastAsia="宋体" w:hint="default"/>
          <w:sz w:val="20"/>
          <w:szCs w:val="20"/>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a">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left="237" w:right="240"/>
        <w:jc w:val="left"/>
      </w:pPr>
      <w:r>
        <w:rPr/>
        <w:t>其他关联方情况</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978"/>
        <w:gridCol w:w="5071"/>
      </w:tblGrid>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554"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深圳市凯健奥达科技有限公司</w:t>
            </w:r>
          </w:p>
        </w:tc>
        <w:tc>
          <w:tcPr>
            <w:tcW w:w="50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本公司主要投资者个人控制、共同控制或施加重大影</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响的其他企业</w:t>
            </w:r>
          </w:p>
        </w:tc>
      </w:tr>
      <w:tr>
        <w:trPr>
          <w:trHeight w:val="556"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深圳市永兴元科技有限公司</w:t>
            </w:r>
          </w:p>
        </w:tc>
        <w:tc>
          <w:tcPr>
            <w:tcW w:w="50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本公司主要投资者个人控制、共同控制或施加重大影</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响的其他企业</w:t>
            </w:r>
          </w:p>
        </w:tc>
      </w:tr>
      <w:tr>
        <w:trPr>
          <w:trHeight w:val="554"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成都金证同康信息技术有限公司</w:t>
            </w:r>
          </w:p>
        </w:tc>
        <w:tc>
          <w:tcPr>
            <w:tcW w:w="50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本公司主要投资者个人控制、共同控制或施加重大影</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响的其他企业</w:t>
            </w:r>
          </w:p>
        </w:tc>
      </w:tr>
      <w:tr>
        <w:trPr>
          <w:trHeight w:val="554"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深圳市图晟科技有限公司</w:t>
            </w:r>
          </w:p>
        </w:tc>
        <w:tc>
          <w:tcPr>
            <w:tcW w:w="50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本公司主要投资者个人控制、共同控制或施加重大影</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响的其他企业</w:t>
            </w:r>
          </w:p>
        </w:tc>
      </w:tr>
      <w:tr>
        <w:trPr>
          <w:trHeight w:val="554"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深圳市华力特电气股份有限公司</w:t>
            </w:r>
          </w:p>
        </w:tc>
        <w:tc>
          <w:tcPr>
            <w:tcW w:w="50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本公司主要投资者个人控制、共同控制或施加重大影</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响的其他企业</w:t>
            </w:r>
          </w:p>
        </w:tc>
      </w:tr>
      <w:tr>
        <w:trPr>
          <w:trHeight w:val="556"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深圳市金证创新电子有限公司</w:t>
            </w:r>
          </w:p>
        </w:tc>
        <w:tc>
          <w:tcPr>
            <w:tcW w:w="50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本公司主要投资者个人控制、共同控制或施加重大影</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响的其他企业</w:t>
            </w:r>
          </w:p>
        </w:tc>
      </w:tr>
    </w:tbl>
    <w:p>
      <w:pPr>
        <w:pStyle w:val="BodyText"/>
        <w:spacing w:line="240" w:lineRule="exact"/>
        <w:ind w:left="237" w:right="240"/>
        <w:jc w:val="left"/>
      </w:pPr>
      <w:r>
        <w:rPr/>
        <w:t>其他说明</w:t>
      </w:r>
    </w:p>
    <w:p>
      <w:pPr>
        <w:spacing w:line="240" w:lineRule="auto" w:before="12"/>
        <w:rPr>
          <w:rFonts w:ascii="宋体" w:hAnsi="宋体" w:cs="宋体" w:eastAsia="宋体" w:hint="default"/>
          <w:sz w:val="20"/>
          <w:szCs w:val="20"/>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a">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72" w:lineRule="exact" w:before="63"/>
        <w:ind w:left="237" w:right="5497"/>
        <w:jc w:val="left"/>
      </w:pPr>
      <w:r>
        <w:rPr/>
        <w:t>关联交易情况 购销商品、提供和接受劳务的关联交易 采购商品/接受劳务情况表</w:t>
      </w:r>
    </w:p>
    <w:p>
      <w:pPr>
        <w:pStyle w:val="BodyText"/>
        <w:tabs>
          <w:tab w:pos="1287" w:val="left" w:leader="none"/>
        </w:tabs>
        <w:spacing w:line="248" w:lineRule="exact"/>
        <w:ind w:left="237" w:right="240"/>
        <w:jc w:val="left"/>
      </w:pPr>
      <w:r>
        <w:rPr/>
        <w:t>单位：元</w:t>
        <w:tab/>
        <w:t>币种：人民币</w:t>
      </w:r>
    </w:p>
    <w:p>
      <w:pPr>
        <w:spacing w:line="240" w:lineRule="auto" w:before="7"/>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423"/>
        <w:gridCol w:w="2143"/>
        <w:gridCol w:w="2170"/>
        <w:gridCol w:w="2158"/>
      </w:tblGrid>
      <w:tr>
        <w:trPr>
          <w:trHeight w:val="305"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5"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5"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50" w:lineRule="exact"/>
        <w:jc w:val="left"/>
        <w:rPr>
          <w:rFonts w:ascii="宋体" w:hAnsi="宋体" w:cs="宋体" w:eastAsia="宋体" w:hint="default"/>
          <w:sz w:val="21"/>
          <w:szCs w:val="21"/>
        </w:rPr>
        <w:sectPr>
          <w:footerReference w:type="default" r:id="rId125"/>
          <w:pgSz w:w="11910" w:h="16840"/>
          <w:pgMar w:footer="1197" w:header="882" w:top="1120" w:bottom="1380" w:left="1560" w:right="1020"/>
          <w:pgNumType w:start="17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423"/>
        <w:gridCol w:w="2143"/>
        <w:gridCol w:w="2170"/>
        <w:gridCol w:w="2158"/>
      </w:tblGrid>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4"/>
                <w:sz w:val="21"/>
                <w:szCs w:val="21"/>
              </w:rPr>
              <w:t>深圳市凯健奥达科技有限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right"/>
              <w:rPr>
                <w:rFonts w:ascii="宋体" w:hAnsi="宋体" w:cs="宋体" w:eastAsia="宋体" w:hint="default"/>
                <w:sz w:val="21"/>
                <w:szCs w:val="21"/>
              </w:rPr>
            </w:pPr>
            <w:r>
              <w:rPr>
                <w:rFonts w:ascii="宋体"/>
                <w:spacing w:val="-1"/>
                <w:sz w:val="21"/>
              </w:rPr>
              <w:t>168,154.72</w:t>
            </w:r>
            <w:r>
              <w:rPr>
                <w:rFonts w:ascii="宋体"/>
                <w:sz w:val="21"/>
              </w:rPr>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right"/>
              <w:rPr>
                <w:rFonts w:ascii="宋体" w:hAnsi="宋体" w:cs="宋体" w:eastAsia="宋体" w:hint="default"/>
                <w:sz w:val="21"/>
                <w:szCs w:val="21"/>
              </w:rPr>
            </w:pPr>
            <w:r>
              <w:rPr>
                <w:rFonts w:ascii="宋体"/>
                <w:spacing w:val="-1"/>
                <w:sz w:val="21"/>
              </w:rPr>
              <w:t>1,975,040.83</w:t>
            </w:r>
            <w:r>
              <w:rPr>
                <w:rFonts w:ascii="宋体"/>
                <w:sz w:val="21"/>
              </w:rPr>
            </w:r>
          </w:p>
        </w:tc>
      </w:tr>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4"/>
                <w:sz w:val="21"/>
                <w:szCs w:val="21"/>
              </w:rPr>
              <w:t>深圳中科金证科技有限公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宋体" w:hAnsi="宋体" w:cs="宋体" w:eastAsia="宋体" w:hint="default"/>
                <w:sz w:val="21"/>
                <w:szCs w:val="21"/>
              </w:rPr>
            </w:pPr>
            <w:r>
              <w:rPr>
                <w:rFonts w:ascii="宋体"/>
                <w:sz w:val="21"/>
              </w:rPr>
              <w:t>162,393.16</w:t>
            </w:r>
          </w:p>
        </w:tc>
      </w:tr>
      <w:tr>
        <w:trPr>
          <w:trHeight w:val="556"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pacing w:val="4"/>
                <w:sz w:val="21"/>
                <w:szCs w:val="21"/>
              </w:rPr>
              <w:t>深圳中科金证科技有限公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宋体" w:hAnsi="宋体" w:cs="宋体" w:eastAsia="宋体" w:hint="default"/>
                <w:sz w:val="21"/>
                <w:szCs w:val="21"/>
              </w:rPr>
            </w:pPr>
            <w:r>
              <w:rPr>
                <w:rFonts w:ascii="宋体"/>
                <w:spacing w:val="-1"/>
                <w:sz w:val="21"/>
              </w:rPr>
              <w:t>6,231,731.67</w:t>
            </w:r>
            <w:r>
              <w:rPr>
                <w:rFonts w:ascii="宋体"/>
                <w:sz w:val="21"/>
              </w:rPr>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宋体" w:hAnsi="宋体" w:cs="宋体" w:eastAsia="宋体" w:hint="default"/>
                <w:sz w:val="21"/>
                <w:szCs w:val="21"/>
              </w:rPr>
            </w:pPr>
            <w:r>
              <w:rPr>
                <w:rFonts w:ascii="宋体"/>
                <w:spacing w:val="-1"/>
                <w:sz w:val="21"/>
              </w:rPr>
              <w:t>1,839,811.32</w:t>
            </w:r>
            <w:r>
              <w:rPr>
                <w:rFonts w:ascii="宋体"/>
                <w:sz w:val="21"/>
              </w:rPr>
            </w:r>
          </w:p>
        </w:tc>
      </w:tr>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4"/>
                <w:sz w:val="21"/>
                <w:szCs w:val="21"/>
              </w:rPr>
              <w:t>深圳市金慧盈通数据服务</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宋体" w:hAnsi="宋体" w:cs="宋体" w:eastAsia="宋体" w:hint="default"/>
                <w:sz w:val="21"/>
                <w:szCs w:val="21"/>
              </w:rPr>
            </w:pPr>
            <w:r>
              <w:rPr>
                <w:rFonts w:ascii="宋体"/>
                <w:sz w:val="21"/>
              </w:rPr>
              <w:t>747,989.90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43"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7,147,876.29</w:t>
            </w:r>
            <w:r>
              <w:rPr>
                <w:rFonts w:ascii="宋体"/>
                <w:sz w:val="21"/>
              </w:rPr>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3,977,245.31</w:t>
            </w:r>
            <w:r>
              <w:rPr>
                <w:rFonts w:ascii="宋体"/>
                <w:sz w:val="21"/>
              </w:rPr>
            </w:r>
          </w:p>
        </w:tc>
      </w:tr>
    </w:tbl>
    <w:p>
      <w:pPr>
        <w:spacing w:line="240" w:lineRule="auto" w:before="6"/>
        <w:rPr>
          <w:rFonts w:ascii="宋体" w:hAnsi="宋体" w:cs="宋体" w:eastAsia="宋体" w:hint="default"/>
          <w:sz w:val="15"/>
          <w:szCs w:val="15"/>
        </w:rPr>
      </w:pPr>
    </w:p>
    <w:p>
      <w:pPr>
        <w:pStyle w:val="BodyText"/>
        <w:tabs>
          <w:tab w:pos="1187" w:val="left" w:leader="none"/>
        </w:tabs>
        <w:spacing w:line="272" w:lineRule="exact" w:before="63"/>
        <w:ind w:left="137" w:right="6570"/>
        <w:jc w:val="left"/>
      </w:pPr>
      <w:r>
        <w:rPr/>
        <w:t>出售商品/提供劳务情况表 单位：元</w:t>
        <w:tab/>
        <w:t>币种：人民币</w:t>
      </w:r>
    </w:p>
    <w:tbl>
      <w:tblPr>
        <w:tblW w:w="0" w:type="auto"/>
        <w:jc w:val="left"/>
        <w:tblInd w:w="102" w:type="dxa"/>
        <w:tblLayout w:type="fixed"/>
        <w:tblCellMar>
          <w:top w:w="0" w:type="dxa"/>
          <w:left w:w="0" w:type="dxa"/>
          <w:bottom w:w="0" w:type="dxa"/>
          <w:right w:w="0" w:type="dxa"/>
        </w:tblCellMar>
        <w:tblLook w:val="01E0"/>
      </w:tblPr>
      <w:tblGrid>
        <w:gridCol w:w="2416"/>
        <w:gridCol w:w="2122"/>
        <w:gridCol w:w="2177"/>
        <w:gridCol w:w="2179"/>
      </w:tblGrid>
      <w:tr>
        <w:trPr>
          <w:trHeight w:val="283"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3"/>
                <w:sz w:val="21"/>
                <w:szCs w:val="21"/>
              </w:rPr>
              <w:t>深圳市永兴元科技有限公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right"/>
              <w:rPr>
                <w:rFonts w:ascii="宋体" w:hAnsi="宋体" w:cs="宋体" w:eastAsia="宋体" w:hint="default"/>
                <w:sz w:val="21"/>
                <w:szCs w:val="21"/>
              </w:rPr>
            </w:pPr>
            <w:r>
              <w:rPr>
                <w:rFonts w:ascii="宋体"/>
                <w:sz w:val="21"/>
              </w:rPr>
              <w:t>127,358.49</w:t>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pacing w:val="3"/>
                <w:sz w:val="21"/>
                <w:szCs w:val="21"/>
              </w:rPr>
              <w:t>深圳中科金证科技有限公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宋体" w:hAnsi="宋体" w:cs="宋体" w:eastAsia="宋体" w:hint="default"/>
                <w:sz w:val="21"/>
                <w:szCs w:val="21"/>
              </w:rPr>
            </w:pPr>
            <w:r>
              <w:rPr>
                <w:rFonts w:ascii="宋体"/>
                <w:spacing w:val="-1"/>
                <w:sz w:val="21"/>
              </w:rPr>
              <w:t>1,187,443.40</w:t>
            </w:r>
            <w:r>
              <w:rPr>
                <w:rFonts w:ascii="宋体"/>
                <w:sz w:val="21"/>
              </w:rPr>
            </w:r>
          </w:p>
        </w:tc>
      </w:tr>
      <w:tr>
        <w:trPr>
          <w:trHeight w:val="55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3"/>
                <w:sz w:val="21"/>
                <w:szCs w:val="21"/>
              </w:rPr>
              <w:t>深圳中科金证科技有限公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宋体" w:hAnsi="宋体" w:cs="宋体" w:eastAsia="宋体" w:hint="default"/>
                <w:sz w:val="21"/>
                <w:szCs w:val="21"/>
              </w:rPr>
            </w:pPr>
            <w:r>
              <w:rPr>
                <w:rFonts w:ascii="宋体"/>
                <w:sz w:val="21"/>
              </w:rPr>
              <w:t>24,659.91</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宋体" w:hAnsi="宋体" w:cs="宋体" w:eastAsia="宋体" w:hint="default"/>
                <w:sz w:val="21"/>
                <w:szCs w:val="21"/>
              </w:rPr>
            </w:pPr>
            <w:r>
              <w:rPr>
                <w:rFonts w:ascii="宋体"/>
                <w:sz w:val="21"/>
              </w:rPr>
              <w:t>9,300.30</w:t>
            </w:r>
          </w:p>
        </w:tc>
      </w:tr>
      <w:tr>
        <w:trPr>
          <w:trHeight w:val="55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3"/>
                <w:sz w:val="21"/>
                <w:szCs w:val="21"/>
              </w:rPr>
              <w:t>深圳市金慧盈通数据服务</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right"/>
              <w:rPr>
                <w:rFonts w:ascii="宋体" w:hAnsi="宋体" w:cs="宋体" w:eastAsia="宋体" w:hint="default"/>
                <w:sz w:val="21"/>
                <w:szCs w:val="21"/>
              </w:rPr>
            </w:pPr>
            <w:r>
              <w:rPr>
                <w:rFonts w:ascii="宋体"/>
                <w:spacing w:val="-1"/>
                <w:sz w:val="21"/>
              </w:rPr>
              <w:t>58,046.66</w:t>
            </w:r>
            <w:r>
              <w:rPr>
                <w:rFonts w:ascii="宋体"/>
                <w:sz w:val="21"/>
              </w:rPr>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宋体" w:hAnsi="宋体" w:cs="宋体" w:eastAsia="宋体" w:hint="default"/>
                <w:sz w:val="21"/>
                <w:szCs w:val="21"/>
              </w:rPr>
            </w:pPr>
            <w:r>
              <w:rPr>
                <w:rFonts w:ascii="宋体"/>
                <w:spacing w:val="-1"/>
                <w:sz w:val="21"/>
              </w:rPr>
              <w:t>45,451.86</w:t>
            </w:r>
            <w:r>
              <w:rPr>
                <w:rFonts w:ascii="宋体"/>
                <w:sz w:val="21"/>
              </w:rPr>
            </w:r>
          </w:p>
        </w:tc>
      </w:tr>
      <w:tr>
        <w:trPr>
          <w:trHeight w:val="283"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22"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1"/>
                <w:sz w:val="21"/>
              </w:rPr>
              <w:t>210,065.06</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1,242,195.56</w:t>
            </w:r>
            <w:r>
              <w:rPr>
                <w:rFonts w:ascii="宋体"/>
                <w:sz w:val="21"/>
              </w:rPr>
            </w:r>
          </w:p>
        </w:tc>
      </w:tr>
    </w:tbl>
    <w:p>
      <w:pPr>
        <w:spacing w:line="240" w:lineRule="auto" w:before="1"/>
        <w:rPr>
          <w:rFonts w:ascii="宋体" w:hAnsi="宋体" w:cs="宋体" w:eastAsia="宋体" w:hint="default"/>
          <w:sz w:val="16"/>
          <w:szCs w:val="16"/>
        </w:rPr>
      </w:pPr>
    </w:p>
    <w:p>
      <w:pPr>
        <w:pStyle w:val="BodyText"/>
        <w:spacing w:line="240" w:lineRule="auto" w:before="35"/>
        <w:ind w:left="137" w:right="4941"/>
        <w:jc w:val="left"/>
      </w:pPr>
      <w:r>
        <w:rPr/>
        <w:t>购销商品、提供和接受劳务的关联交易说明</w:t>
      </w:r>
    </w:p>
    <w:p>
      <w:pPr>
        <w:spacing w:line="240" w:lineRule="auto" w:before="12"/>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a">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6"/>
          <w:szCs w:val="16"/>
        </w:rPr>
      </w:pPr>
    </w:p>
    <w:p>
      <w:pPr>
        <w:pStyle w:val="BodyText"/>
        <w:spacing w:line="272" w:lineRule="exact" w:before="63"/>
        <w:ind w:left="137" w:right="5187"/>
        <w:jc w:val="left"/>
      </w:pPr>
      <w:r>
        <w:rPr/>
        <w:t>关联受托管理/承包及委托管理/出包情况 本公司受托管理/承包情况表：</w:t>
      </w:r>
    </w:p>
    <w:p>
      <w:pPr>
        <w:pStyle w:val="BodyText"/>
        <w:tabs>
          <w:tab w:pos="1187" w:val="left" w:leader="none"/>
        </w:tabs>
        <w:spacing w:line="248" w:lineRule="exact"/>
        <w:ind w:left="137" w:right="4941"/>
        <w:jc w:val="lef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33"/>
        <w:gridCol w:w="1289"/>
        <w:gridCol w:w="1241"/>
        <w:gridCol w:w="1092"/>
        <w:gridCol w:w="1153"/>
        <w:gridCol w:w="1373"/>
        <w:gridCol w:w="1412"/>
      </w:tblGrid>
      <w:tr>
        <w:trPr>
          <w:trHeight w:val="828" w:hRule="exact"/>
        </w:trPr>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5" w:right="140"/>
              <w:jc w:val="left"/>
              <w:rPr>
                <w:rFonts w:ascii="宋体" w:hAnsi="宋体" w:cs="宋体" w:eastAsia="宋体" w:hint="default"/>
                <w:sz w:val="21"/>
                <w:szCs w:val="21"/>
              </w:rPr>
            </w:pPr>
            <w:r>
              <w:rPr>
                <w:rFonts w:ascii="宋体" w:hAnsi="宋体" w:cs="宋体" w:eastAsia="宋体" w:hint="default"/>
                <w:sz w:val="21"/>
                <w:szCs w:val="21"/>
              </w:rPr>
              <w:t>委托方/出包 方名称</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4" w:right="97"/>
              <w:jc w:val="left"/>
              <w:rPr>
                <w:rFonts w:ascii="宋体" w:hAnsi="宋体" w:cs="宋体" w:eastAsia="宋体" w:hint="default"/>
                <w:sz w:val="21"/>
                <w:szCs w:val="21"/>
              </w:rPr>
            </w:pPr>
            <w:r>
              <w:rPr>
                <w:rFonts w:ascii="宋体" w:hAnsi="宋体" w:cs="宋体" w:eastAsia="宋体" w:hint="default"/>
                <w:sz w:val="21"/>
                <w:szCs w:val="21"/>
              </w:rPr>
              <w:t>受托方/承包 方名称</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5" w:right="48"/>
              <w:jc w:val="left"/>
              <w:rPr>
                <w:rFonts w:ascii="宋体" w:hAnsi="宋体" w:cs="宋体" w:eastAsia="宋体" w:hint="default"/>
                <w:sz w:val="21"/>
                <w:szCs w:val="21"/>
              </w:rPr>
            </w:pPr>
            <w:r>
              <w:rPr>
                <w:rFonts w:ascii="宋体" w:hAnsi="宋体" w:cs="宋体" w:eastAsia="宋体" w:hint="default"/>
                <w:sz w:val="21"/>
                <w:szCs w:val="21"/>
              </w:rPr>
              <w:t>受托/承包资 产类型</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5" w:right="109"/>
              <w:jc w:val="left"/>
              <w:rPr>
                <w:rFonts w:ascii="宋体" w:hAnsi="宋体" w:cs="宋体" w:eastAsia="宋体" w:hint="default"/>
                <w:sz w:val="21"/>
                <w:szCs w:val="21"/>
              </w:rPr>
            </w:pPr>
            <w:r>
              <w:rPr>
                <w:rFonts w:ascii="宋体" w:hAnsi="宋体" w:cs="宋体" w:eastAsia="宋体" w:hint="default"/>
                <w:sz w:val="21"/>
                <w:szCs w:val="21"/>
              </w:rPr>
              <w:t>受托/承包 起始日</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5" w:right="170"/>
              <w:jc w:val="left"/>
              <w:rPr>
                <w:rFonts w:ascii="宋体" w:hAnsi="宋体" w:cs="宋体" w:eastAsia="宋体" w:hint="default"/>
                <w:sz w:val="21"/>
                <w:szCs w:val="21"/>
              </w:rPr>
            </w:pPr>
            <w:r>
              <w:rPr>
                <w:rFonts w:ascii="宋体" w:hAnsi="宋体" w:cs="宋体" w:eastAsia="宋体" w:hint="default"/>
                <w:sz w:val="21"/>
                <w:szCs w:val="21"/>
              </w:rPr>
              <w:t>受托/承包 终止日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托管收益/承</w:t>
            </w:r>
          </w:p>
          <w:p>
            <w:pPr>
              <w:pStyle w:val="TableParagraph"/>
              <w:spacing w:line="272" w:lineRule="exact" w:before="26"/>
              <w:ind w:left="25" w:right="77"/>
              <w:jc w:val="left"/>
              <w:rPr>
                <w:rFonts w:ascii="宋体" w:hAnsi="宋体" w:cs="宋体" w:eastAsia="宋体" w:hint="default"/>
                <w:sz w:val="21"/>
                <w:szCs w:val="21"/>
              </w:rPr>
            </w:pPr>
            <w:r>
              <w:rPr>
                <w:rFonts w:ascii="宋体" w:hAnsi="宋体" w:cs="宋体" w:eastAsia="宋体" w:hint="default"/>
                <w:sz w:val="21"/>
                <w:szCs w:val="21"/>
              </w:rPr>
              <w:t>包收益定价依 据</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本期确认的托</w:t>
            </w:r>
          </w:p>
          <w:p>
            <w:pPr>
              <w:pStyle w:val="TableParagraph"/>
              <w:spacing w:line="272" w:lineRule="exact" w:before="26"/>
              <w:ind w:left="25" w:right="219"/>
              <w:jc w:val="left"/>
              <w:rPr>
                <w:rFonts w:ascii="宋体" w:hAnsi="宋体" w:cs="宋体" w:eastAsia="宋体" w:hint="default"/>
                <w:sz w:val="21"/>
                <w:szCs w:val="21"/>
              </w:rPr>
            </w:pPr>
            <w:r>
              <w:rPr>
                <w:rFonts w:ascii="宋体" w:hAnsi="宋体" w:cs="宋体" w:eastAsia="宋体" w:hint="default"/>
                <w:sz w:val="21"/>
                <w:szCs w:val="21"/>
              </w:rPr>
              <w:t>管收益/承包 收益</w:t>
            </w:r>
          </w:p>
        </w:tc>
      </w:tr>
      <w:tr>
        <w:trPr>
          <w:trHeight w:val="282" w:hRule="exact"/>
        </w:trPr>
        <w:tc>
          <w:tcPr>
            <w:tcW w:w="133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33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137" w:right="4941"/>
        <w:jc w:val="left"/>
      </w:pPr>
      <w:r>
        <w:rPr/>
        <w:t>关联托管/承包情况说明</w:t>
      </w:r>
    </w:p>
    <w:p>
      <w:pPr>
        <w:spacing w:line="240" w:lineRule="auto" w:before="12"/>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tabs>
          <w:tab w:pos="1187" w:val="left" w:leader="none"/>
        </w:tabs>
        <w:spacing w:line="272" w:lineRule="exact" w:before="63"/>
        <w:ind w:left="137" w:right="6150"/>
        <w:jc w:val="left"/>
      </w:pPr>
      <w:r>
        <w:rPr/>
        <w:t>本公司委托管理/出包情况表： 单位：元</w:t>
        <w:tab/>
        <w:t>币种：人民币</w:t>
      </w:r>
    </w:p>
    <w:tbl>
      <w:tblPr>
        <w:tblW w:w="0" w:type="auto"/>
        <w:jc w:val="left"/>
        <w:tblInd w:w="102" w:type="dxa"/>
        <w:tblLayout w:type="fixed"/>
        <w:tblCellMar>
          <w:top w:w="0" w:type="dxa"/>
          <w:left w:w="0" w:type="dxa"/>
          <w:bottom w:w="0" w:type="dxa"/>
          <w:right w:w="0" w:type="dxa"/>
        </w:tblCellMar>
        <w:tblLook w:val="01E0"/>
      </w:tblPr>
      <w:tblGrid>
        <w:gridCol w:w="1296"/>
        <w:gridCol w:w="1286"/>
        <w:gridCol w:w="1234"/>
        <w:gridCol w:w="1074"/>
        <w:gridCol w:w="1211"/>
        <w:gridCol w:w="1362"/>
        <w:gridCol w:w="1430"/>
      </w:tblGrid>
      <w:tr>
        <w:trPr>
          <w:trHeight w:val="574"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25" w:right="103"/>
              <w:jc w:val="left"/>
              <w:rPr>
                <w:rFonts w:ascii="宋体" w:hAnsi="宋体" w:cs="宋体" w:eastAsia="宋体" w:hint="default"/>
                <w:sz w:val="21"/>
                <w:szCs w:val="21"/>
              </w:rPr>
            </w:pPr>
            <w:r>
              <w:rPr>
                <w:rFonts w:ascii="宋体" w:hAnsi="宋体" w:cs="宋体" w:eastAsia="宋体" w:hint="default"/>
                <w:sz w:val="21"/>
                <w:szCs w:val="21"/>
              </w:rPr>
              <w:t>委托方/出包 方名称</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25" w:right="93"/>
              <w:jc w:val="left"/>
              <w:rPr>
                <w:rFonts w:ascii="宋体" w:hAnsi="宋体" w:cs="宋体" w:eastAsia="宋体" w:hint="default"/>
                <w:sz w:val="21"/>
                <w:szCs w:val="21"/>
              </w:rPr>
            </w:pPr>
            <w:r>
              <w:rPr>
                <w:rFonts w:ascii="宋体" w:hAnsi="宋体" w:cs="宋体" w:eastAsia="宋体" w:hint="default"/>
                <w:sz w:val="21"/>
                <w:szCs w:val="21"/>
              </w:rPr>
              <w:t>受托方/出包 方名称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23" w:right="42"/>
              <w:jc w:val="left"/>
              <w:rPr>
                <w:rFonts w:ascii="宋体" w:hAnsi="宋体" w:cs="宋体" w:eastAsia="宋体" w:hint="default"/>
                <w:sz w:val="21"/>
                <w:szCs w:val="21"/>
              </w:rPr>
            </w:pPr>
            <w:r>
              <w:rPr>
                <w:rFonts w:ascii="宋体" w:hAnsi="宋体" w:cs="宋体" w:eastAsia="宋体" w:hint="default"/>
                <w:sz w:val="21"/>
                <w:szCs w:val="21"/>
              </w:rPr>
              <w:t>委托/出包资 产类型</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25" w:right="91"/>
              <w:jc w:val="left"/>
              <w:rPr>
                <w:rFonts w:ascii="宋体" w:hAnsi="宋体" w:cs="宋体" w:eastAsia="宋体" w:hint="default"/>
                <w:sz w:val="21"/>
                <w:szCs w:val="21"/>
              </w:rPr>
            </w:pPr>
            <w:r>
              <w:rPr>
                <w:rFonts w:ascii="宋体" w:hAnsi="宋体" w:cs="宋体" w:eastAsia="宋体" w:hint="default"/>
                <w:sz w:val="21"/>
                <w:szCs w:val="21"/>
              </w:rPr>
              <w:t>委托/出包 起始日</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25" w:right="228"/>
              <w:jc w:val="left"/>
              <w:rPr>
                <w:rFonts w:ascii="宋体" w:hAnsi="宋体" w:cs="宋体" w:eastAsia="宋体" w:hint="default"/>
                <w:sz w:val="21"/>
                <w:szCs w:val="21"/>
              </w:rPr>
            </w:pPr>
            <w:r>
              <w:rPr>
                <w:rFonts w:ascii="宋体" w:hAnsi="宋体" w:cs="宋体" w:eastAsia="宋体" w:hint="default"/>
                <w:sz w:val="21"/>
                <w:szCs w:val="21"/>
              </w:rPr>
              <w:t>委托/出包 终止日</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25" w:right="169"/>
              <w:jc w:val="left"/>
              <w:rPr>
                <w:rFonts w:ascii="宋体" w:hAnsi="宋体" w:cs="宋体" w:eastAsia="宋体" w:hint="default"/>
                <w:sz w:val="21"/>
                <w:szCs w:val="21"/>
              </w:rPr>
            </w:pPr>
            <w:r>
              <w:rPr>
                <w:rFonts w:ascii="宋体" w:hAnsi="宋体" w:cs="宋体" w:eastAsia="宋体" w:hint="default"/>
                <w:sz w:val="21"/>
                <w:szCs w:val="21"/>
              </w:rPr>
              <w:t>托管费/出包 费定价依据</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25" w:right="133"/>
              <w:jc w:val="left"/>
              <w:rPr>
                <w:rFonts w:ascii="宋体" w:hAnsi="宋体" w:cs="宋体" w:eastAsia="宋体" w:hint="default"/>
                <w:sz w:val="21"/>
                <w:szCs w:val="21"/>
              </w:rPr>
            </w:pPr>
            <w:r>
              <w:rPr>
                <w:rFonts w:ascii="宋体" w:hAnsi="宋体" w:cs="宋体" w:eastAsia="宋体" w:hint="default"/>
                <w:sz w:val="21"/>
                <w:szCs w:val="21"/>
              </w:rPr>
              <w:t>本期确认的托 管费/出包费</w:t>
            </w:r>
          </w:p>
        </w:tc>
      </w:tr>
      <w:tr>
        <w:trPr>
          <w:trHeight w:val="282" w:hRule="exact"/>
        </w:trPr>
        <w:tc>
          <w:tcPr>
            <w:tcW w:w="12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8" w:lineRule="exact"/>
        <w:ind w:left="137" w:right="4941"/>
        <w:jc w:val="left"/>
      </w:pPr>
      <w:r>
        <w:rPr/>
        <w:t>关联管理/出包情况说明</w:t>
      </w:r>
    </w:p>
    <w:p>
      <w:pPr>
        <w:spacing w:line="240" w:lineRule="auto" w:before="12"/>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a">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6"/>
          <w:szCs w:val="16"/>
        </w:rPr>
      </w:pPr>
    </w:p>
    <w:p>
      <w:pPr>
        <w:pStyle w:val="BodyText"/>
        <w:tabs>
          <w:tab w:pos="1187" w:val="left" w:leader="none"/>
        </w:tabs>
        <w:spacing w:line="272" w:lineRule="exact" w:before="63"/>
        <w:ind w:left="137" w:right="6674"/>
        <w:jc w:val="left"/>
      </w:pPr>
      <w:r>
        <w:rPr/>
        <w:t>关联租赁情况 本公司作为出租方： 单位：元</w:t>
        <w:tab/>
        <w:t>币种：人民币</w:t>
      </w:r>
    </w:p>
    <w:p>
      <w:pPr>
        <w:spacing w:after="0" w:line="272" w:lineRule="exact"/>
        <w:jc w:val="left"/>
        <w:sectPr>
          <w:pgSz w:w="11910" w:h="16840"/>
          <w:pgMar w:header="882" w:footer="1197" w:top="112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775"/>
        <w:gridCol w:w="1984"/>
        <w:gridCol w:w="2461"/>
        <w:gridCol w:w="2674"/>
      </w:tblGrid>
      <w:tr>
        <w:trPr>
          <w:trHeight w:val="348"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689"/>
              <w:jc w:val="right"/>
              <w:rPr>
                <w:rFonts w:ascii="宋体" w:hAnsi="宋体" w:cs="宋体" w:eastAsia="宋体" w:hint="default"/>
                <w:sz w:val="21"/>
                <w:szCs w:val="21"/>
              </w:rPr>
            </w:pPr>
            <w:r>
              <w:rPr>
                <w:rFonts w:ascii="宋体" w:hAnsi="宋体" w:cs="宋体" w:eastAsia="宋体" w:hint="default"/>
                <w:sz w:val="21"/>
                <w:szCs w:val="21"/>
              </w:rPr>
              <w:t>承租方名称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5"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554"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4"/>
                <w:sz w:val="21"/>
                <w:szCs w:val="21"/>
              </w:rPr>
              <w:t>深圳中科金证科技</w:t>
            </w:r>
            <w:r>
              <w:rPr>
                <w:rFonts w:ascii="宋体" w:hAnsi="宋体" w:cs="宋体" w:eastAsia="宋体" w:hint="default"/>
                <w:sz w:val="21"/>
                <w:szCs w:val="21"/>
              </w:rPr>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1,207,714.97</w:t>
            </w:r>
            <w:r>
              <w:rPr>
                <w:rFonts w:ascii="宋体"/>
                <w:sz w:val="21"/>
              </w:rPr>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宋体" w:hAnsi="宋体" w:cs="宋体" w:eastAsia="宋体" w:hint="default"/>
                <w:sz w:val="21"/>
                <w:szCs w:val="21"/>
              </w:rPr>
            </w:pPr>
            <w:r>
              <w:rPr>
                <w:rFonts w:ascii="宋体"/>
                <w:spacing w:val="-1"/>
                <w:sz w:val="21"/>
              </w:rPr>
              <w:t>569,449.85</w:t>
            </w:r>
            <w:r>
              <w:rPr>
                <w:rFonts w:ascii="宋体"/>
                <w:sz w:val="21"/>
              </w:rPr>
            </w:r>
          </w:p>
        </w:tc>
      </w:tr>
      <w:tr>
        <w:trPr>
          <w:trHeight w:val="554"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4"/>
                <w:sz w:val="21"/>
                <w:szCs w:val="21"/>
              </w:rPr>
              <w:t>深圳市金慧盈通数</w:t>
            </w:r>
            <w:r>
              <w:rPr>
                <w:rFonts w:ascii="宋体" w:hAnsi="宋体" w:cs="宋体" w:eastAsia="宋体" w:hint="default"/>
                <w:sz w:val="21"/>
                <w:szCs w:val="21"/>
              </w:rPr>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据服务有限公司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933,119.48</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right"/>
              <w:rPr>
                <w:rFonts w:ascii="宋体" w:hAnsi="宋体" w:cs="宋体" w:eastAsia="宋体" w:hint="default"/>
                <w:sz w:val="21"/>
                <w:szCs w:val="21"/>
              </w:rPr>
            </w:pPr>
            <w:r>
              <w:rPr>
                <w:rFonts w:ascii="宋体"/>
                <w:spacing w:val="-1"/>
                <w:sz w:val="21"/>
              </w:rPr>
              <w:t>1,108,343.87</w:t>
            </w:r>
            <w:r>
              <w:rPr>
                <w:rFonts w:ascii="宋体"/>
                <w:sz w:val="21"/>
              </w:rPr>
            </w:r>
          </w:p>
        </w:tc>
      </w:tr>
      <w:tr>
        <w:trPr>
          <w:trHeight w:val="556"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pacing w:val="4"/>
                <w:sz w:val="21"/>
                <w:szCs w:val="21"/>
              </w:rPr>
              <w:t>深圳市华力特电气</w:t>
            </w:r>
            <w:r>
              <w:rPr>
                <w:rFonts w:ascii="宋体" w:hAnsi="宋体" w:cs="宋体" w:eastAsia="宋体" w:hint="default"/>
                <w:sz w:val="21"/>
                <w:szCs w:val="21"/>
              </w:rPr>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其他临时租赁</w:t>
            </w:r>
          </w:p>
        </w:tc>
        <w:tc>
          <w:tcPr>
            <w:tcW w:w="2461"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宋体" w:hAnsi="宋体" w:cs="宋体" w:eastAsia="宋体" w:hint="default"/>
                <w:sz w:val="21"/>
                <w:szCs w:val="21"/>
              </w:rPr>
            </w:pPr>
            <w:r>
              <w:rPr>
                <w:rFonts w:ascii="宋体"/>
                <w:sz w:val="21"/>
              </w:rPr>
              <w:t>600.00</w:t>
            </w:r>
          </w:p>
        </w:tc>
      </w:tr>
      <w:tr>
        <w:trPr>
          <w:trHeight w:val="282"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70"/>
              <w:jc w:val="right"/>
              <w:rPr>
                <w:rFonts w:ascii="宋体" w:hAnsi="宋体" w:cs="宋体" w:eastAsia="宋体" w:hint="default"/>
                <w:sz w:val="21"/>
                <w:szCs w:val="21"/>
              </w:rPr>
            </w:pPr>
            <w:r>
              <w:rPr>
                <w:rFonts w:ascii="宋体" w:hAnsi="宋体" w:cs="宋体" w:eastAsia="宋体" w:hint="default"/>
                <w:sz w:val="21"/>
                <w:szCs w:val="21"/>
              </w:rPr>
              <w:t>合计</w:t>
            </w:r>
          </w:p>
        </w:tc>
        <w:tc>
          <w:tcPr>
            <w:tcW w:w="1984"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2,140,834.45</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1,678,393.72</w:t>
            </w:r>
          </w:p>
        </w:tc>
      </w:tr>
    </w:tbl>
    <w:p>
      <w:pPr>
        <w:spacing w:line="240" w:lineRule="auto" w:before="6"/>
        <w:rPr>
          <w:rFonts w:ascii="宋体" w:hAnsi="宋体" w:cs="宋体" w:eastAsia="宋体" w:hint="default"/>
          <w:sz w:val="15"/>
          <w:szCs w:val="15"/>
        </w:rPr>
      </w:pPr>
    </w:p>
    <w:p>
      <w:pPr>
        <w:pStyle w:val="BodyText"/>
        <w:tabs>
          <w:tab w:pos="1267" w:val="left" w:leader="none"/>
        </w:tabs>
        <w:spacing w:line="272" w:lineRule="exact" w:before="63"/>
        <w:ind w:right="6754"/>
        <w:jc w:val="left"/>
      </w:pPr>
      <w:r>
        <w:rPr/>
        <w:t>本公司作为承租方： 单位：元</w:t>
        <w:tab/>
        <w:t>币种：人民币</w:t>
      </w:r>
    </w:p>
    <w:tbl>
      <w:tblPr>
        <w:tblW w:w="0" w:type="auto"/>
        <w:jc w:val="left"/>
        <w:tblInd w:w="182" w:type="dxa"/>
        <w:tblLayout w:type="fixed"/>
        <w:tblCellMar>
          <w:top w:w="0" w:type="dxa"/>
          <w:left w:w="0" w:type="dxa"/>
          <w:bottom w:w="0" w:type="dxa"/>
          <w:right w:w="0" w:type="dxa"/>
        </w:tblCellMar>
        <w:tblLook w:val="01E0"/>
      </w:tblPr>
      <w:tblGrid>
        <w:gridCol w:w="1765"/>
        <w:gridCol w:w="2003"/>
        <w:gridCol w:w="2462"/>
        <w:gridCol w:w="2663"/>
      </w:tblGrid>
      <w:tr>
        <w:trPr>
          <w:trHeight w:val="320"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5"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5"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282" w:hRule="exact"/>
        </w:trPr>
        <w:tc>
          <w:tcPr>
            <w:tcW w:w="1765" w:type="dxa"/>
            <w:tcBorders>
              <w:top w:val="single" w:sz="4" w:space="0" w:color="000000"/>
              <w:left w:val="single" w:sz="4" w:space="0" w:color="000000"/>
              <w:bottom w:val="single" w:sz="4" w:space="0" w:color="000000"/>
              <w:right w:val="single" w:sz="4" w:space="0" w:color="000000"/>
            </w:tcBorders>
          </w:tcPr>
          <w:p>
            <w:pPr/>
          </w:p>
        </w:tc>
        <w:tc>
          <w:tcPr>
            <w:tcW w:w="2003"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
        </w:tc>
        <w:tc>
          <w:tcPr>
            <w:tcW w:w="26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65" w:type="dxa"/>
            <w:tcBorders>
              <w:top w:val="single" w:sz="4" w:space="0" w:color="000000"/>
              <w:left w:val="single" w:sz="4" w:space="0" w:color="000000"/>
              <w:bottom w:val="single" w:sz="4" w:space="0" w:color="000000"/>
              <w:right w:val="single" w:sz="4" w:space="0" w:color="000000"/>
            </w:tcBorders>
          </w:tcPr>
          <w:p>
            <w:pPr/>
          </w:p>
        </w:tc>
        <w:tc>
          <w:tcPr>
            <w:tcW w:w="2003"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
        </w:tc>
        <w:tc>
          <w:tcPr>
            <w:tcW w:w="26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6"/>
          <w:szCs w:val="16"/>
        </w:rPr>
      </w:pPr>
    </w:p>
    <w:p>
      <w:pPr>
        <w:pStyle w:val="BodyText"/>
        <w:spacing w:line="240" w:lineRule="auto" w:before="35"/>
        <w:ind w:right="114"/>
        <w:jc w:val="left"/>
      </w:pPr>
      <w:r>
        <w:rPr/>
        <w:t>关联租赁情况说明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a">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6"/>
          <w:szCs w:val="16"/>
        </w:rPr>
      </w:pPr>
    </w:p>
    <w:p>
      <w:pPr>
        <w:pStyle w:val="BodyText"/>
        <w:tabs>
          <w:tab w:pos="1267" w:val="left" w:leader="none"/>
        </w:tabs>
        <w:spacing w:line="272" w:lineRule="exact" w:before="63"/>
        <w:ind w:right="6754"/>
        <w:jc w:val="left"/>
      </w:pPr>
      <w:r>
        <w:rPr/>
        <w:t>关联担保情况 本公司作为担保方 单位：元</w:t>
        <w:tab/>
        <w:t>币种：人民币</w:t>
      </w:r>
    </w:p>
    <w:tbl>
      <w:tblPr>
        <w:tblW w:w="0" w:type="auto"/>
        <w:jc w:val="left"/>
        <w:tblInd w:w="182" w:type="dxa"/>
        <w:tblLayout w:type="fixed"/>
        <w:tblCellMar>
          <w:top w:w="0" w:type="dxa"/>
          <w:left w:w="0" w:type="dxa"/>
          <w:bottom w:w="0" w:type="dxa"/>
          <w:right w:w="0" w:type="dxa"/>
        </w:tblCellMar>
        <w:tblLook w:val="01E0"/>
      </w:tblPr>
      <w:tblGrid>
        <w:gridCol w:w="1576"/>
        <w:gridCol w:w="1655"/>
        <w:gridCol w:w="1800"/>
        <w:gridCol w:w="1790"/>
        <w:gridCol w:w="2072"/>
      </w:tblGrid>
      <w:tr>
        <w:trPr>
          <w:trHeight w:val="556"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毕</w:t>
            </w:r>
          </w:p>
        </w:tc>
      </w:tr>
      <w:tr>
        <w:trPr>
          <w:trHeight w:val="282" w:hRule="exact"/>
        </w:trPr>
        <w:tc>
          <w:tcPr>
            <w:tcW w:w="1576"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576"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6"/>
          <w:szCs w:val="16"/>
        </w:rPr>
      </w:pPr>
    </w:p>
    <w:p>
      <w:pPr>
        <w:pStyle w:val="BodyText"/>
        <w:spacing w:line="240" w:lineRule="auto" w:before="35"/>
        <w:ind w:right="114"/>
        <w:jc w:val="left"/>
      </w:pPr>
      <w:r>
        <w:rPr/>
        <w:t>本公司作为被担保方</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71"/>
        <w:gridCol w:w="1652"/>
        <w:gridCol w:w="1805"/>
        <w:gridCol w:w="1792"/>
        <w:gridCol w:w="2074"/>
      </w:tblGrid>
      <w:tr>
        <w:trPr>
          <w:trHeight w:val="556"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毕</w:t>
            </w:r>
          </w:p>
        </w:tc>
      </w:tr>
      <w:tr>
        <w:trPr>
          <w:trHeight w:val="282" w:hRule="exact"/>
        </w:trPr>
        <w:tc>
          <w:tcPr>
            <w:tcW w:w="1571"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571"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114"/>
        <w:jc w:val="left"/>
      </w:pPr>
      <w:r>
        <w:rPr/>
        <w:t>关联担保情况说明</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74" w:lineRule="exact"/>
        <w:ind w:right="114"/>
        <w:jc w:val="left"/>
      </w:pPr>
      <w:r>
        <w:rPr/>
        <w:t>关联方资金拆借</w:t>
      </w:r>
    </w:p>
    <w:p>
      <w:pPr>
        <w:pStyle w:val="BodyText"/>
        <w:tabs>
          <w:tab w:pos="1267" w:val="left" w:leader="none"/>
        </w:tabs>
        <w:spacing w:line="274" w:lineRule="exact"/>
        <w:ind w:right="114"/>
        <w:jc w:val="left"/>
      </w:pPr>
      <w:r>
        <w:rPr/>
        <w:t>单位：元</w:t>
        <w:tab/>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944"/>
        <w:gridCol w:w="1944"/>
        <w:gridCol w:w="1734"/>
        <w:gridCol w:w="1748"/>
        <w:gridCol w:w="1679"/>
      </w:tblGrid>
      <w:tr>
        <w:trPr>
          <w:trHeight w:val="28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282" w:hRule="exact"/>
        </w:trPr>
        <w:tc>
          <w:tcPr>
            <w:tcW w:w="90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90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p>
        </w:tc>
      </w:tr>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tabs>
          <w:tab w:pos="1267" w:val="left" w:leader="none"/>
        </w:tabs>
        <w:spacing w:line="272" w:lineRule="exact" w:before="63"/>
        <w:ind w:right="6124"/>
        <w:jc w:val="left"/>
      </w:pPr>
      <w:r>
        <w:rPr/>
        <w:t>关联方资产转让、债务重组情况 单位：元</w:t>
        <w:tab/>
        <w:t>币种：人民币</w:t>
      </w:r>
    </w:p>
    <w:tbl>
      <w:tblPr>
        <w:tblW w:w="0" w:type="auto"/>
        <w:jc w:val="left"/>
        <w:tblInd w:w="104" w:type="dxa"/>
        <w:tblLayout w:type="fixed"/>
        <w:tblCellMar>
          <w:top w:w="0" w:type="dxa"/>
          <w:left w:w="0" w:type="dxa"/>
          <w:bottom w:w="0" w:type="dxa"/>
          <w:right w:w="0" w:type="dxa"/>
        </w:tblCellMar>
        <w:tblLook w:val="01E0"/>
      </w:tblPr>
      <w:tblGrid>
        <w:gridCol w:w="2225"/>
        <w:gridCol w:w="2261"/>
        <w:gridCol w:w="2284"/>
        <w:gridCol w:w="2280"/>
      </w:tblGrid>
      <w:tr>
        <w:trPr>
          <w:trHeight w:val="33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225"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c>
          <w:tcPr>
            <w:tcW w:w="2284"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7"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225"/>
        <w:gridCol w:w="2261"/>
        <w:gridCol w:w="2284"/>
        <w:gridCol w:w="2280"/>
      </w:tblGrid>
      <w:tr>
        <w:trPr>
          <w:trHeight w:val="282" w:hRule="exact"/>
        </w:trPr>
        <w:tc>
          <w:tcPr>
            <w:tcW w:w="2225"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c>
          <w:tcPr>
            <w:tcW w:w="2284"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tabs>
          <w:tab w:pos="1267" w:val="left" w:leader="none"/>
        </w:tabs>
        <w:spacing w:line="272" w:lineRule="exact" w:before="63"/>
        <w:ind w:right="6754"/>
        <w:jc w:val="left"/>
      </w:pPr>
      <w:r>
        <w:rPr/>
        <w:t>关键管理人员报酬 单位：元</w:t>
        <w:tab/>
        <w:t>币种：人民币</w:t>
      </w:r>
    </w:p>
    <w:tbl>
      <w:tblPr>
        <w:tblW w:w="0" w:type="auto"/>
        <w:jc w:val="left"/>
        <w:tblInd w:w="104" w:type="dxa"/>
        <w:tblLayout w:type="fixed"/>
        <w:tblCellMar>
          <w:top w:w="0" w:type="dxa"/>
          <w:left w:w="0" w:type="dxa"/>
          <w:bottom w:w="0" w:type="dxa"/>
          <w:right w:w="0" w:type="dxa"/>
        </w:tblCellMar>
        <w:tblLook w:val="01E0"/>
      </w:tblPr>
      <w:tblGrid>
        <w:gridCol w:w="3274"/>
        <w:gridCol w:w="3275"/>
        <w:gridCol w:w="250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3275"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6"/>
          <w:szCs w:val="16"/>
        </w:rPr>
      </w:pPr>
    </w:p>
    <w:p>
      <w:pPr>
        <w:pStyle w:val="BodyText"/>
        <w:spacing w:line="240" w:lineRule="auto" w:before="35"/>
        <w:ind w:right="114"/>
        <w:jc w:val="left"/>
      </w:pPr>
      <w:r>
        <w:rPr/>
        <w:t>其他关联交易</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72" w:lineRule="exact"/>
        <w:ind w:right="7157"/>
        <w:jc w:val="left"/>
      </w:pPr>
      <w:r>
        <w:rPr/>
        <w:t>关联方应收应付款项 应收项目</w:t>
      </w:r>
    </w:p>
    <w:p>
      <w:pPr>
        <w:pStyle w:val="BodyText"/>
        <w:tabs>
          <w:tab w:pos="1163" w:val="left" w:leader="none"/>
        </w:tabs>
        <w:spacing w:line="248" w:lineRule="exact"/>
        <w:ind w:right="114"/>
        <w:jc w:val="left"/>
      </w:pPr>
      <w:r>
        <w:rPr/>
        <w:t>单位:元</w:t>
        <w:tab/>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45"/>
        <w:gridCol w:w="1364"/>
        <w:gridCol w:w="1366"/>
        <w:gridCol w:w="1364"/>
        <w:gridCol w:w="1490"/>
        <w:gridCol w:w="1864"/>
      </w:tblGrid>
      <w:tr>
        <w:trPr>
          <w:trHeight w:val="282" w:hRule="exact"/>
        </w:trPr>
        <w:tc>
          <w:tcPr>
            <w:tcW w:w="1445" w:type="dxa"/>
            <w:vMerge w:val="restart"/>
            <w:tcBorders>
              <w:top w:val="single" w:sz="4" w:space="0" w:color="000000"/>
              <w:left w:val="single" w:sz="4" w:space="0" w:color="000000"/>
              <w:right w:val="single" w:sz="4" w:space="0" w:color="000000"/>
            </w:tcBorders>
          </w:tcPr>
          <w:p>
            <w:pPr>
              <w:pStyle w:val="TableParagraph"/>
              <w:spacing w:line="240" w:lineRule="auto" w:before="106"/>
              <w:ind w:left="2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06"/>
              <w:ind w:left="25"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1445"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深圳中科金证</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79" w:right="0"/>
              <w:jc w:val="left"/>
              <w:rPr>
                <w:rFonts w:ascii="宋体" w:hAnsi="宋体" w:cs="宋体" w:eastAsia="宋体" w:hint="default"/>
                <w:sz w:val="21"/>
                <w:szCs w:val="21"/>
              </w:rPr>
            </w:pPr>
            <w:r>
              <w:rPr>
                <w:rFonts w:ascii="宋体"/>
                <w:sz w:val="21"/>
              </w:rPr>
              <w:t>112,853.72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89" w:right="0"/>
              <w:jc w:val="left"/>
              <w:rPr>
                <w:rFonts w:ascii="宋体" w:hAnsi="宋体" w:cs="宋体" w:eastAsia="宋体" w:hint="default"/>
                <w:sz w:val="21"/>
                <w:szCs w:val="21"/>
              </w:rPr>
            </w:pPr>
            <w:r>
              <w:rPr>
                <w:rFonts w:ascii="宋体"/>
                <w:sz w:val="21"/>
              </w:rPr>
              <w:t>5,642.69</w:t>
            </w:r>
          </w:p>
        </w:tc>
        <w:tc>
          <w:tcPr>
            <w:tcW w:w="1490"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4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深圳市永兴元</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4" w:right="0"/>
              <w:jc w:val="left"/>
              <w:rPr>
                <w:rFonts w:ascii="宋体" w:hAnsi="宋体" w:cs="宋体" w:eastAsia="宋体" w:hint="default"/>
                <w:sz w:val="21"/>
                <w:szCs w:val="21"/>
              </w:rPr>
            </w:pPr>
            <w:r>
              <w:rPr>
                <w:rFonts w:ascii="宋体"/>
                <w:sz w:val="21"/>
              </w:rPr>
              <w:t>119,000.00</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87" w:right="0"/>
              <w:jc w:val="left"/>
              <w:rPr>
                <w:rFonts w:ascii="宋体" w:hAnsi="宋体" w:cs="宋体" w:eastAsia="宋体" w:hint="default"/>
                <w:sz w:val="21"/>
                <w:szCs w:val="21"/>
              </w:rPr>
            </w:pPr>
            <w:r>
              <w:rPr>
                <w:rFonts w:ascii="宋体"/>
                <w:sz w:val="21"/>
              </w:rPr>
              <w:t>5,950.00</w:t>
            </w:r>
          </w:p>
        </w:tc>
      </w:tr>
    </w:tbl>
    <w:p>
      <w:pPr>
        <w:spacing w:line="240" w:lineRule="auto" w:before="6"/>
        <w:rPr>
          <w:rFonts w:ascii="宋体" w:hAnsi="宋体" w:cs="宋体" w:eastAsia="宋体" w:hint="default"/>
          <w:sz w:val="15"/>
          <w:szCs w:val="15"/>
        </w:rPr>
      </w:pPr>
    </w:p>
    <w:p>
      <w:pPr>
        <w:pStyle w:val="BodyText"/>
        <w:spacing w:line="274" w:lineRule="exact" w:before="35"/>
        <w:ind w:right="114"/>
        <w:jc w:val="left"/>
      </w:pPr>
      <w:r>
        <w:rPr/>
        <w:t>应付项目</w:t>
      </w:r>
    </w:p>
    <w:p>
      <w:pPr>
        <w:pStyle w:val="BodyText"/>
        <w:tabs>
          <w:tab w:pos="1163" w:val="left" w:leader="none"/>
        </w:tabs>
        <w:spacing w:line="274" w:lineRule="exact"/>
        <w:ind w:right="114"/>
        <w:jc w:val="left"/>
      </w:pPr>
      <w:r>
        <w:rPr/>
        <w:t>单位:元</w:t>
        <w:tab/>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128"/>
        <w:gridCol w:w="2046"/>
        <w:gridCol w:w="2050"/>
        <w:gridCol w:w="2670"/>
      </w:tblGrid>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6"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深圳中科金证科技有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宋体" w:hAnsi="宋体" w:cs="宋体" w:eastAsia="宋体" w:hint="default"/>
                <w:sz w:val="21"/>
                <w:szCs w:val="21"/>
              </w:rPr>
            </w:pPr>
            <w:r>
              <w:rPr>
                <w:rFonts w:ascii="宋体"/>
                <w:spacing w:val="-1"/>
                <w:sz w:val="21"/>
              </w:rPr>
              <w:t>194,000.00</w:t>
            </w: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深圳市金慧盈通数据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服务有限公司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宋体" w:hAnsi="宋体" w:cs="宋体" w:eastAsia="宋体" w:hint="default"/>
                <w:sz w:val="21"/>
                <w:szCs w:val="21"/>
              </w:rPr>
            </w:pPr>
            <w:r>
              <w:rPr>
                <w:rFonts w:ascii="宋体"/>
                <w:spacing w:val="-1"/>
                <w:sz w:val="21"/>
              </w:rPr>
              <w:t>310,000.00</w:t>
            </w: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深圳市凯健奥达科技</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宋体" w:hAnsi="宋体" w:cs="宋体" w:eastAsia="宋体" w:hint="default"/>
                <w:sz w:val="21"/>
                <w:szCs w:val="21"/>
              </w:rPr>
            </w:pPr>
            <w:r>
              <w:rPr>
                <w:rFonts w:ascii="宋体"/>
                <w:spacing w:val="-1"/>
                <w:sz w:val="21"/>
              </w:rPr>
              <w:t>20.00</w:t>
            </w: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6"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深圳市永兴元科技有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宋体" w:hAnsi="宋体" w:cs="宋体" w:eastAsia="宋体" w:hint="default"/>
                <w:sz w:val="21"/>
                <w:szCs w:val="21"/>
              </w:rPr>
            </w:pPr>
            <w:r>
              <w:rPr>
                <w:rFonts w:ascii="宋体"/>
                <w:spacing w:val="-1"/>
                <w:sz w:val="21"/>
              </w:rPr>
              <w:t>21,600.00</w:t>
            </w: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深圳市凯健奥达科技</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宋体" w:hAnsi="宋体" w:cs="宋体" w:eastAsia="宋体" w:hint="default"/>
                <w:sz w:val="21"/>
                <w:szCs w:val="21"/>
              </w:rPr>
            </w:pPr>
            <w:r>
              <w:rPr>
                <w:rFonts w:ascii="宋体"/>
                <w:spacing w:val="-1"/>
                <w:sz w:val="21"/>
              </w:rPr>
              <w:t>30,000.00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宋体" w:hAnsi="宋体" w:cs="宋体" w:eastAsia="宋体" w:hint="default"/>
                <w:sz w:val="21"/>
                <w:szCs w:val="21"/>
              </w:rPr>
            </w:pPr>
            <w:r>
              <w:rPr>
                <w:rFonts w:ascii="宋体"/>
                <w:spacing w:val="-1"/>
                <w:sz w:val="21"/>
              </w:rPr>
              <w:t>30,000.00</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046"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中财金证科技开发</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宋体" w:hAnsi="宋体" w:cs="宋体" w:eastAsia="宋体" w:hint="default"/>
                <w:sz w:val="21"/>
                <w:szCs w:val="21"/>
              </w:rPr>
            </w:pPr>
            <w:r>
              <w:rPr>
                <w:rFonts w:ascii="宋体"/>
                <w:spacing w:val="-1"/>
                <w:sz w:val="21"/>
              </w:rPr>
              <w:t>2,680,000.00</w:t>
            </w:r>
          </w:p>
        </w:tc>
        <w:tc>
          <w:tcPr>
            <w:tcW w:w="26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679" w:lineRule="auto" w:before="35"/>
        <w:ind w:right="7997"/>
        <w:jc w:val="left"/>
      </w:pPr>
      <w:r>
        <w:rPr/>
        <w:t>关联方承诺 其他</w:t>
      </w:r>
    </w:p>
    <w:p>
      <w:pPr>
        <w:spacing w:after="0" w:line="679" w:lineRule="auto"/>
        <w:jc w:val="left"/>
        <w:sectPr>
          <w:pgSz w:w="11910" w:h="16840"/>
          <w:pgMar w:header="882" w:footer="1197" w:top="1120" w:bottom="1380" w:left="1580" w:right="10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7" w:top="1120" w:bottom="1380" w:left="1580" w:right="1040"/>
        </w:sectPr>
      </w:pPr>
    </w:p>
    <w:p>
      <w:pPr>
        <w:pStyle w:val="Heading3"/>
        <w:spacing w:line="240" w:lineRule="auto"/>
        <w:ind w:right="-16"/>
        <w:jc w:val="left"/>
        <w:rPr>
          <w:b w:val="0"/>
          <w:bCs w:val="0"/>
        </w:rPr>
      </w:pPr>
      <w:r>
        <w:rPr/>
        <w:t>十、股份支付</w:t>
      </w:r>
      <w:r>
        <w:rPr>
          <w:b w:val="0"/>
          <w:bCs w:val="0"/>
        </w:rPr>
      </w:r>
    </w:p>
    <w:p>
      <w:pPr>
        <w:pStyle w:val="Heading3"/>
        <w:spacing w:line="240" w:lineRule="auto" w:before="57"/>
        <w:ind w:right="-17"/>
        <w:jc w:val="left"/>
        <w:rPr>
          <w:b w:val="0"/>
          <w:bCs w:val="0"/>
        </w:rPr>
      </w:pPr>
      <w:r>
        <w:rPr/>
        <w:t>1、</w:t>
      </w:r>
      <w:r>
        <w:rPr>
          <w:spacing w:val="-5"/>
        </w:rPr>
        <w:t> </w:t>
      </w:r>
      <w:r>
        <w:rPr/>
        <w:t>股份支付总体情况</w:t>
      </w:r>
      <w:r>
        <w:rPr>
          <w:b w:val="0"/>
          <w:bCs w:val="0"/>
        </w:rPr>
      </w:r>
    </w:p>
    <w:p>
      <w:pPr>
        <w:pStyle w:val="BodyText"/>
        <w:spacing w:line="240" w:lineRule="auto" w:before="57"/>
        <w:ind w:right="-16"/>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7" w:val="left" w:leader="none"/>
        </w:tabs>
        <w:spacing w:line="240" w:lineRule="auto"/>
        <w:ind w:right="0"/>
        <w:jc w:val="left"/>
      </w:pPr>
      <w:r>
        <w:rPr/>
        <w:t>单位：股</w:t>
        <w:tab/>
        <w:t>币种：人民币</w:t>
      </w:r>
    </w:p>
    <w:p>
      <w:pPr>
        <w:spacing w:after="0" w:line="240" w:lineRule="auto"/>
        <w:jc w:val="left"/>
        <w:sectPr>
          <w:type w:val="continuous"/>
          <w:pgSz w:w="11910" w:h="16840"/>
          <w:pgMar w:top="1080" w:bottom="1380" w:left="1580" w:right="1040"/>
          <w:cols w:num="2" w:equalWidth="0">
            <w:col w:w="2325" w:space="4198"/>
            <w:col w:w="2767"/>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4644"/>
        <w:gridCol w:w="4405"/>
      </w:tblGrid>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3,030,500.00</w:t>
            </w:r>
            <w:r>
              <w:rPr>
                <w:rFonts w:ascii="宋体"/>
                <w:sz w:val="21"/>
              </w:rPr>
            </w:r>
          </w:p>
        </w:tc>
      </w:tr>
      <w:tr>
        <w:trPr>
          <w:trHeight w:val="283"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76,000.00</w:t>
            </w:r>
          </w:p>
        </w:tc>
      </w:tr>
      <w:tr>
        <w:trPr>
          <w:trHeight w:val="55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合同剩余期限</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7.35</w:t>
            </w:r>
            <w:r>
              <w:rPr>
                <w:rFonts w:ascii="宋体" w:hAnsi="宋体" w:cs="宋体" w:eastAsia="宋体" w:hint="default"/>
                <w:spacing w:val="-54"/>
                <w:sz w:val="21"/>
                <w:szCs w:val="21"/>
              </w:rPr>
              <w:t> </w:t>
            </w:r>
            <w:r>
              <w:rPr>
                <w:rFonts w:ascii="宋体" w:hAnsi="宋体" w:cs="宋体" w:eastAsia="宋体" w:hint="default"/>
                <w:sz w:val="21"/>
                <w:szCs w:val="21"/>
              </w:rPr>
              <w:t>元/股；至</w:t>
            </w:r>
            <w:r>
              <w:rPr>
                <w:rFonts w:ascii="宋体" w:hAnsi="宋体" w:cs="宋体" w:eastAsia="宋体" w:hint="default"/>
                <w:spacing w:val="-55"/>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围和合同剩余期限</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pStyle w:val="BodyText"/>
        <w:spacing w:line="240" w:lineRule="exact"/>
        <w:ind w:right="114"/>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80" w:bottom="1380" w:left="1580" w:right="1040"/>
        </w:sectPr>
      </w:pPr>
    </w:p>
    <w:p>
      <w:pPr>
        <w:pStyle w:val="Heading3"/>
        <w:spacing w:line="240" w:lineRule="auto" w:before="36"/>
        <w:ind w:right="-17"/>
        <w:jc w:val="left"/>
        <w:rPr>
          <w:b w:val="0"/>
          <w:bCs w:val="0"/>
        </w:rPr>
      </w:pPr>
      <w:r>
        <w:rPr/>
        <w:t>2、</w:t>
      </w:r>
      <w:r>
        <w:rPr>
          <w:spacing w:val="-7"/>
        </w:rPr>
        <w:t> </w:t>
      </w:r>
      <w:r>
        <w:rPr/>
        <w:t>以权益结算的股份支付情况</w:t>
      </w:r>
      <w:r>
        <w:rPr>
          <w:b w:val="0"/>
          <w:bCs w:val="0"/>
        </w:rPr>
      </w:r>
    </w:p>
    <w:p>
      <w:pPr>
        <w:pStyle w:val="BodyText"/>
        <w:spacing w:line="240" w:lineRule="auto" w:before="57"/>
        <w:ind w:right="-17"/>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right="0"/>
        <w:jc w:val="left"/>
      </w:pPr>
      <w:r>
        <w:rPr/>
        <w:t>单位：元</w:t>
        <w:tab/>
        <w:t>币种：人民币</w:t>
      </w:r>
    </w:p>
    <w:p>
      <w:pPr>
        <w:spacing w:after="0" w:line="240" w:lineRule="auto"/>
        <w:jc w:val="left"/>
        <w:sectPr>
          <w:type w:val="continuous"/>
          <w:pgSz w:w="11910" w:h="16840"/>
          <w:pgMar w:top="1080" w:bottom="1380" w:left="1580" w:right="1040"/>
          <w:cols w:num="2" w:equalWidth="0">
            <w:col w:w="3166" w:space="3357"/>
            <w:col w:w="2767"/>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4644"/>
        <w:gridCol w:w="4405"/>
      </w:tblGrid>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w:t>
            </w:r>
            <w:r>
              <w:rPr>
                <w:rFonts w:ascii="宋体" w:hAnsi="宋体" w:cs="宋体" w:eastAsia="宋体" w:hint="default"/>
                <w:spacing w:val="-55"/>
                <w:sz w:val="21"/>
                <w:szCs w:val="21"/>
              </w:rPr>
              <w:t> </w:t>
            </w:r>
            <w:r>
              <w:rPr>
                <w:rFonts w:ascii="宋体" w:hAnsi="宋体" w:cs="宋体" w:eastAsia="宋体" w:hint="default"/>
                <w:sz w:val="21"/>
                <w:szCs w:val="21"/>
              </w:rPr>
              <w:t>Black—Scholes</w:t>
            </w:r>
            <w:r>
              <w:rPr>
                <w:rFonts w:ascii="宋体" w:hAnsi="宋体" w:cs="宋体" w:eastAsia="宋体" w:hint="default"/>
                <w:spacing w:val="-54"/>
                <w:sz w:val="21"/>
                <w:szCs w:val="21"/>
              </w:rPr>
              <w:t> </w:t>
            </w:r>
            <w:r>
              <w:rPr>
                <w:rFonts w:ascii="宋体" w:hAnsi="宋体" w:cs="宋体" w:eastAsia="宋体" w:hint="default"/>
                <w:sz w:val="21"/>
                <w:szCs w:val="21"/>
              </w:rPr>
              <w:t>期权定价模型</w:t>
            </w:r>
          </w:p>
        </w:tc>
      </w:tr>
      <w:tr>
        <w:trPr>
          <w:trHeight w:val="283"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以各解锁期的业绩条件、离职率估计确定</w:t>
            </w:r>
          </w:p>
        </w:tc>
      </w:tr>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10,702,776.26</w:t>
            </w:r>
            <w:r>
              <w:rPr>
                <w:rFonts w:ascii="宋体" w:hAnsi="宋体" w:cs="宋体" w:eastAsia="宋体" w:hint="default"/>
                <w:spacing w:val="-52"/>
                <w:sz w:val="21"/>
                <w:szCs w:val="21"/>
              </w:rPr>
              <w:t> </w:t>
            </w:r>
            <w:r>
              <w:rPr>
                <w:rFonts w:ascii="宋体" w:hAnsi="宋体" w:cs="宋体" w:eastAsia="宋体" w:hint="default"/>
                <w:sz w:val="21"/>
                <w:szCs w:val="21"/>
              </w:rPr>
              <w:t>元</w:t>
            </w:r>
          </w:p>
        </w:tc>
      </w:tr>
      <w:tr>
        <w:trPr>
          <w:trHeight w:val="283"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1,907,303.48</w:t>
            </w:r>
            <w:r>
              <w:rPr>
                <w:rFonts w:ascii="宋体" w:hAnsi="宋体" w:cs="宋体" w:eastAsia="宋体" w:hint="default"/>
                <w:spacing w:val="-52"/>
                <w:sz w:val="21"/>
                <w:szCs w:val="21"/>
              </w:rPr>
              <w:t> </w:t>
            </w:r>
            <w:r>
              <w:rPr>
                <w:rFonts w:ascii="宋体" w:hAnsi="宋体" w:cs="宋体" w:eastAsia="宋体" w:hint="default"/>
                <w:sz w:val="21"/>
                <w:szCs w:val="21"/>
              </w:rPr>
              <w:t>元</w:t>
            </w:r>
          </w:p>
        </w:tc>
      </w:tr>
    </w:tbl>
    <w:p>
      <w:pPr>
        <w:pStyle w:val="BodyText"/>
        <w:spacing w:line="238" w:lineRule="exact"/>
        <w:ind w:right="114"/>
        <w:jc w:val="left"/>
      </w:pPr>
      <w:r>
        <w:rPr/>
        <w:t>其他说明</w:t>
      </w:r>
    </w:p>
    <w:p>
      <w:pPr>
        <w:pStyle w:val="BodyText"/>
        <w:spacing w:line="274" w:lineRule="exact"/>
        <w:ind w:right="114"/>
        <w:jc w:val="left"/>
      </w:pPr>
      <w:r>
        <w:rPr/>
        <w:t>本期估计与上期估计无重大差异。</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80" w:bottom="1380" w:left="1580" w:right="1040"/>
        </w:sectPr>
      </w:pPr>
    </w:p>
    <w:p>
      <w:pPr>
        <w:pStyle w:val="Heading3"/>
        <w:spacing w:line="240" w:lineRule="auto"/>
        <w:ind w:right="-17"/>
        <w:jc w:val="left"/>
        <w:rPr>
          <w:b w:val="0"/>
          <w:bCs w:val="0"/>
        </w:rPr>
      </w:pPr>
      <w:r>
        <w:rPr/>
        <w:t>3、</w:t>
      </w:r>
      <w:r>
        <w:rPr>
          <w:spacing w:val="-7"/>
        </w:rPr>
        <w:t> </w:t>
      </w:r>
      <w:r>
        <w:rPr/>
        <w:t>以现金结算的股份支付情况</w:t>
      </w:r>
      <w:r>
        <w:rPr>
          <w:b w:val="0"/>
          <w:bCs w:val="0"/>
        </w:rPr>
      </w:r>
    </w:p>
    <w:p>
      <w:pPr>
        <w:pStyle w:val="BodyText"/>
        <w:spacing w:line="240" w:lineRule="auto" w:before="57"/>
        <w:ind w:right="-17"/>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right="0"/>
        <w:jc w:val="left"/>
      </w:pPr>
      <w:r>
        <w:rPr/>
        <w:t>单位：元</w:t>
        <w:tab/>
        <w:t>币种：人民币</w:t>
      </w:r>
    </w:p>
    <w:p>
      <w:pPr>
        <w:spacing w:after="0" w:line="240" w:lineRule="auto"/>
        <w:jc w:val="left"/>
        <w:sectPr>
          <w:type w:val="continuous"/>
          <w:pgSz w:w="11910" w:h="16840"/>
          <w:pgMar w:top="1080" w:bottom="1380" w:left="1580" w:right="1040"/>
          <w:cols w:num="2" w:equalWidth="0">
            <w:col w:w="3166" w:space="3357"/>
            <w:col w:w="2767"/>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4644"/>
        <w:gridCol w:w="4405"/>
      </w:tblGrid>
      <w:tr>
        <w:trPr>
          <w:trHeight w:val="55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公司承担的、以股份或其他权益工具为基础计算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确定的负债的公允价值确定方法</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负债中以现金结算的股份支付产生的累计负债金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本期以现金结算的股份支付而确认的费用总额</w:t>
            </w:r>
          </w:p>
        </w:tc>
        <w:tc>
          <w:tcPr>
            <w:tcW w:w="440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right="114"/>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114"/>
        <w:jc w:val="left"/>
        <w:rPr>
          <w:b w:val="0"/>
          <w:bCs w:val="0"/>
        </w:rPr>
      </w:pPr>
      <w:r>
        <w:rPr/>
        <w:t>4、</w:t>
      </w:r>
      <w:r>
        <w:rPr>
          <w:spacing w:val="-7"/>
        </w:rPr>
        <w:t> </w:t>
      </w:r>
      <w:r>
        <w:rPr/>
        <w:t>股份支付的修改、终止情况</w:t>
      </w:r>
      <w:r>
        <w:rPr>
          <w:b w:val="0"/>
          <w:bCs w:val="0"/>
        </w:rPr>
      </w:r>
    </w:p>
    <w:p>
      <w:pPr>
        <w:spacing w:line="240" w:lineRule="auto" w:before="8"/>
        <w:rPr>
          <w:rFonts w:ascii="宋体" w:hAnsi="宋体" w:cs="宋体" w:eastAsia="宋体" w:hint="default"/>
          <w:b/>
          <w:bCs/>
          <w:sz w:val="24"/>
          <w:szCs w:val="24"/>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a">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0"/>
          <w:szCs w:val="20"/>
        </w:rPr>
      </w:pPr>
    </w:p>
    <w:p>
      <w:pPr>
        <w:pStyle w:val="Heading3"/>
        <w:spacing w:line="240" w:lineRule="auto"/>
        <w:ind w:right="114"/>
        <w:jc w:val="left"/>
        <w:rPr>
          <w:b w:val="0"/>
          <w:bCs w:val="0"/>
        </w:rPr>
      </w:pPr>
      <w:r>
        <w:rPr/>
        <w:t>5、</w:t>
      </w:r>
      <w:r>
        <w:rPr>
          <w:spacing w:val="-4"/>
        </w:rPr>
        <w:t> </w:t>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3"/>
        <w:tabs>
          <w:tab w:pos="1057" w:val="left" w:leader="none"/>
        </w:tabs>
        <w:spacing w:line="290" w:lineRule="auto"/>
        <w:ind w:right="6750"/>
        <w:jc w:val="left"/>
        <w:rPr>
          <w:b w:val="0"/>
          <w:bCs w:val="0"/>
        </w:rPr>
      </w:pPr>
      <w:r>
        <w:rPr>
          <w:w w:val="95"/>
        </w:rPr>
        <w:t>十一、</w:t>
        <w:tab/>
      </w:r>
      <w:r>
        <w:rPr/>
        <w:t>承诺及或有事项</w:t>
      </w:r>
      <w:r>
        <w:rPr>
          <w:w w:val="99"/>
        </w:rPr>
        <w:t> </w:t>
      </w:r>
      <w:r>
        <w:rPr/>
        <w:t>1、</w:t>
      </w:r>
      <w:r>
        <w:rPr>
          <w:spacing w:val="-6"/>
        </w:rPr>
        <w:t> </w:t>
      </w:r>
      <w:r>
        <w:rPr/>
        <w:t>重要承诺事项</w:t>
      </w:r>
      <w:r>
        <w:rPr>
          <w:b w:val="0"/>
          <w:bCs w:val="0"/>
        </w:rPr>
      </w:r>
    </w:p>
    <w:p>
      <w:pPr>
        <w:pStyle w:val="BodyText"/>
        <w:spacing w:line="240" w:lineRule="auto" w:before="13"/>
        <w:ind w:right="114"/>
        <w:jc w:val="left"/>
      </w:pPr>
      <w:r>
        <w:rPr/>
        <w:t>资产负债表日存在的对外重要承诺、性质、金额</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80" w:bottom="1380" w:left="1580" w:right="1040"/>
        </w:sectPr>
      </w:pPr>
    </w:p>
    <w:p>
      <w:pPr>
        <w:spacing w:line="240" w:lineRule="auto" w:before="3"/>
        <w:rPr>
          <w:rFonts w:ascii="宋体" w:hAnsi="宋体" w:cs="宋体" w:eastAsia="宋体" w:hint="default"/>
          <w:sz w:val="25"/>
          <w:szCs w:val="25"/>
        </w:rPr>
      </w:pPr>
    </w:p>
    <w:p>
      <w:pPr>
        <w:pStyle w:val="Heading3"/>
        <w:spacing w:line="240" w:lineRule="auto"/>
        <w:ind w:right="114"/>
        <w:jc w:val="left"/>
        <w:rPr>
          <w:b w:val="0"/>
          <w:bCs w:val="0"/>
        </w:rPr>
      </w:pPr>
      <w:r>
        <w:rPr/>
        <w:t>2、</w:t>
      </w:r>
      <w:r>
        <w:rPr>
          <w:spacing w:val="-3"/>
        </w:rPr>
        <w:t> </w:t>
      </w:r>
      <w:r>
        <w:rPr/>
        <w:t>或有事项</w:t>
      </w:r>
      <w:r>
        <w:rPr>
          <w:b w:val="0"/>
          <w:bCs w:val="0"/>
        </w:rPr>
      </w:r>
    </w:p>
    <w:p>
      <w:pPr>
        <w:pStyle w:val="Heading3"/>
        <w:spacing w:line="343" w:lineRule="auto" w:before="57"/>
        <w:ind w:left="637" w:right="5276" w:hanging="420"/>
        <w:jc w:val="left"/>
        <w:rPr>
          <w:b w:val="0"/>
          <w:bCs w:val="0"/>
        </w:rPr>
      </w:pPr>
      <w:r>
        <w:rPr/>
        <w:pict>
          <v:group style="position:absolute;margin-left:94.230003pt;margin-top:44.633545pt;width:433.05pt;height:376.05pt;mso-position-horizontal-relative:page;mso-position-vertical-relative:paragraph;z-index:-1223728" coordorigin="1885,893" coordsize="8661,7521">
            <v:group style="position:absolute;left:1914;top:908;width:8600;height:2" coordorigin="1914,908" coordsize="8600,2">
              <v:shape style="position:absolute;left:1914;top:908;width:8600;height:2" coordorigin="1914,908" coordsize="8600,0" path="m1914,908l10513,908e" filled="false" stroked="true" strokeweight="1.5pt" strokecolor="#000000">
                <v:path arrowok="t"/>
              </v:shape>
              <v:shape style="position:absolute;left:4300;top:901;width:4021;height:384" type="#_x0000_t75" stroked="false">
                <v:imagedata r:id="rId128" o:title=""/>
              </v:shape>
            </v:group>
            <v:group style="position:absolute;left:1900;top:8398;width:5399;height:2" coordorigin="1900,8398" coordsize="5399,2">
              <v:shape style="position:absolute;left:1900;top:8398;width:5399;height:2" coordorigin="1900,8398" coordsize="5399,0" path="m1900,8398l7298,8398e" filled="false" stroked="true" strokeweight="1.5pt" strokecolor="#000000">
                <v:path arrowok="t"/>
              </v:shape>
            </v:group>
            <v:group style="position:absolute;left:7298;top:8398;width:992;height:2" coordorigin="7298,8398" coordsize="992,2">
              <v:shape style="position:absolute;left:7298;top:8398;width:992;height:2" coordorigin="7298,8398" coordsize="992,0" path="m7298,8398l8290,8398e" filled="false" stroked="true" strokeweight="1.5pt" strokecolor="#000000">
                <v:path arrowok="t"/>
              </v:shape>
              <v:shape style="position:absolute;left:1885;top:1235;width:8660;height:7148" type="#_x0000_t75" stroked="false">
                <v:imagedata r:id="rId129" o:title=""/>
              </v:shape>
            </v:group>
            <v:group style="position:absolute;left:8290;top:8398;width:2224;height:2" coordorigin="8290,8398" coordsize="2224,2">
              <v:shape style="position:absolute;left:8290;top:8398;width:2224;height:2" coordorigin="8290,8398" coordsize="2224,0" path="m8290,8398l10513,8398e" filled="false" stroked="true" strokeweight="1.5pt" strokecolor="#000000">
                <v:path arrowok="t"/>
              </v:shape>
              <v:shape style="position:absolute;left:2021;top:1002;width:2002;height:700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被担保单位名称</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4"/>
                          <w:szCs w:val="24"/>
                        </w:rPr>
                      </w:pPr>
                    </w:p>
                    <w:p>
                      <w:pPr>
                        <w:spacing w:line="540" w:lineRule="auto" w:before="0"/>
                        <w:ind w:left="0" w:right="1398" w:firstLine="0"/>
                        <w:jc w:val="left"/>
                        <w:rPr>
                          <w:rFonts w:ascii="宋体" w:hAnsi="宋体" w:cs="宋体" w:eastAsia="宋体" w:hint="default"/>
                          <w:sz w:val="18"/>
                          <w:szCs w:val="18"/>
                        </w:rPr>
                      </w:pPr>
                      <w:r>
                        <w:rPr>
                          <w:rFonts w:ascii="宋体" w:hAnsi="宋体" w:cs="宋体" w:eastAsia="宋体" w:hint="default"/>
                          <w:sz w:val="18"/>
                          <w:szCs w:val="18"/>
                        </w:rPr>
                        <w:t>本公司 本公司</w:t>
                      </w:r>
                    </w:p>
                    <w:p>
                      <w:pPr>
                        <w:spacing w:line="242" w:lineRule="auto" w:before="131"/>
                        <w:ind w:left="0" w:right="0" w:firstLine="0"/>
                        <w:jc w:val="left"/>
                        <w:rPr>
                          <w:rFonts w:ascii="宋体" w:hAnsi="宋体" w:cs="宋体" w:eastAsia="宋体" w:hint="default"/>
                          <w:sz w:val="20"/>
                          <w:szCs w:val="20"/>
                        </w:rPr>
                      </w:pPr>
                      <w:r>
                        <w:rPr>
                          <w:rFonts w:ascii="宋体" w:hAnsi="宋体" w:cs="宋体" w:eastAsia="宋体" w:hint="default"/>
                          <w:sz w:val="20"/>
                          <w:szCs w:val="20"/>
                        </w:rPr>
                        <w:t>本公司</w:t>
                      </w:r>
                      <w:r>
                        <w:rPr>
                          <w:rFonts w:ascii="宋体" w:hAnsi="宋体" w:cs="宋体" w:eastAsia="宋体" w:hint="default"/>
                          <w:w w:val="100"/>
                          <w:sz w:val="20"/>
                          <w:szCs w:val="20"/>
                        </w:rPr>
                        <w:t> </w:t>
                      </w:r>
                      <w:r>
                        <w:rPr>
                          <w:rFonts w:ascii="宋体" w:hAnsi="宋体" w:cs="宋体" w:eastAsia="宋体" w:hint="default"/>
                          <w:spacing w:val="-1"/>
                          <w:sz w:val="20"/>
                          <w:szCs w:val="20"/>
                        </w:rPr>
                        <w:t>深圳市齐普生信息科技</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有限公司</w:t>
                      </w:r>
                      <w:r>
                        <w:rPr>
                          <w:rFonts w:ascii="宋体" w:hAnsi="宋体" w:cs="宋体" w:eastAsia="宋体" w:hint="default"/>
                          <w:w w:val="100"/>
                          <w:sz w:val="20"/>
                          <w:szCs w:val="20"/>
                        </w:rPr>
                        <w:t> </w:t>
                      </w:r>
                      <w:r>
                        <w:rPr>
                          <w:rFonts w:ascii="宋体" w:hAnsi="宋体" w:cs="宋体" w:eastAsia="宋体" w:hint="default"/>
                          <w:spacing w:val="-1"/>
                          <w:sz w:val="20"/>
                          <w:szCs w:val="20"/>
                        </w:rPr>
                        <w:t>深圳市齐普生信息科技</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有限公司</w:t>
                      </w:r>
                      <w:r>
                        <w:rPr>
                          <w:rFonts w:ascii="宋体" w:hAnsi="宋体" w:cs="宋体" w:eastAsia="宋体" w:hint="default"/>
                          <w:w w:val="100"/>
                          <w:sz w:val="20"/>
                          <w:szCs w:val="20"/>
                        </w:rPr>
                        <w:t> </w:t>
                      </w:r>
                      <w:r>
                        <w:rPr>
                          <w:rFonts w:ascii="宋体" w:hAnsi="宋体" w:cs="宋体" w:eastAsia="宋体" w:hint="default"/>
                          <w:spacing w:val="-1"/>
                          <w:sz w:val="20"/>
                          <w:szCs w:val="20"/>
                        </w:rPr>
                        <w:t>深圳市齐普生信息科技</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有限公司</w:t>
                      </w:r>
                      <w:r>
                        <w:rPr>
                          <w:rFonts w:ascii="宋体" w:hAnsi="宋体" w:cs="宋体" w:eastAsia="宋体" w:hint="default"/>
                          <w:w w:val="100"/>
                          <w:sz w:val="20"/>
                          <w:szCs w:val="20"/>
                        </w:rPr>
                        <w:t> </w:t>
                      </w:r>
                      <w:r>
                        <w:rPr>
                          <w:rFonts w:ascii="宋体" w:hAnsi="宋体" w:cs="宋体" w:eastAsia="宋体" w:hint="default"/>
                          <w:spacing w:val="-1"/>
                          <w:sz w:val="20"/>
                          <w:szCs w:val="20"/>
                        </w:rPr>
                        <w:t>深圳市齐普生信息科技</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有限公司</w:t>
                      </w:r>
                      <w:r>
                        <w:rPr>
                          <w:rFonts w:ascii="宋体" w:hAnsi="宋体" w:cs="宋体" w:eastAsia="宋体" w:hint="default"/>
                          <w:w w:val="100"/>
                          <w:sz w:val="20"/>
                          <w:szCs w:val="20"/>
                        </w:rPr>
                        <w:t> </w:t>
                      </w:r>
                      <w:r>
                        <w:rPr>
                          <w:rFonts w:ascii="宋体" w:hAnsi="宋体" w:cs="宋体" w:eastAsia="宋体" w:hint="default"/>
                          <w:spacing w:val="-1"/>
                          <w:sz w:val="20"/>
                          <w:szCs w:val="20"/>
                        </w:rPr>
                        <w:t>深圳市齐普生信息科技</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有限公司</w:t>
                      </w:r>
                      <w:r>
                        <w:rPr>
                          <w:rFonts w:ascii="宋体" w:hAnsi="宋体" w:cs="宋体" w:eastAsia="宋体" w:hint="default"/>
                          <w:w w:val="100"/>
                          <w:sz w:val="20"/>
                          <w:szCs w:val="20"/>
                        </w:rPr>
                        <w:t> </w:t>
                      </w:r>
                      <w:r>
                        <w:rPr>
                          <w:rFonts w:ascii="宋体" w:hAnsi="宋体" w:cs="宋体" w:eastAsia="宋体" w:hint="default"/>
                          <w:spacing w:val="-1"/>
                          <w:sz w:val="20"/>
                          <w:szCs w:val="20"/>
                        </w:rPr>
                        <w:t>深圳市齐普生信息科技</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有限公司</w:t>
                      </w:r>
                      <w:r>
                        <w:rPr>
                          <w:rFonts w:ascii="宋体" w:hAnsi="宋体" w:cs="宋体" w:eastAsia="宋体" w:hint="default"/>
                          <w:w w:val="100"/>
                          <w:sz w:val="20"/>
                          <w:szCs w:val="20"/>
                        </w:rPr>
                        <w:t> </w:t>
                      </w:r>
                      <w:r>
                        <w:rPr>
                          <w:rFonts w:ascii="宋体" w:hAnsi="宋体" w:cs="宋体" w:eastAsia="宋体" w:hint="default"/>
                          <w:spacing w:val="-1"/>
                          <w:sz w:val="20"/>
                          <w:szCs w:val="20"/>
                        </w:rPr>
                        <w:t>深圳市齐普生信息科技</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有限公司</w:t>
                      </w:r>
                    </w:p>
                  </w:txbxContent>
                </v:textbox>
                <w10:wrap type="none"/>
              </v:shape>
              <v:shape style="position:absolute;left:4436;top:948;width:1620;height:3356" type="#_x0000_t202" filled="false" stroked="false">
                <v:textbox inset="0,0,0,0">
                  <w:txbxContent>
                    <w:p>
                      <w:pPr>
                        <w:spacing w:line="180" w:lineRule="exact" w:before="0"/>
                        <w:ind w:left="-1" w:right="0" w:firstLine="0"/>
                        <w:jc w:val="center"/>
                        <w:rPr>
                          <w:rFonts w:ascii="宋体" w:hAnsi="宋体" w:cs="宋体" w:eastAsia="宋体" w:hint="default"/>
                          <w:sz w:val="18"/>
                          <w:szCs w:val="18"/>
                        </w:rPr>
                      </w:pPr>
                      <w:r>
                        <w:rPr>
                          <w:rFonts w:ascii="宋体" w:hAnsi="宋体" w:cs="宋体" w:eastAsia="宋体" w:hint="default"/>
                          <w:sz w:val="18"/>
                          <w:szCs w:val="18"/>
                        </w:rPr>
                        <w:t>提供担保单位名称</w:t>
                      </w:r>
                    </w:p>
                    <w:p>
                      <w:pPr>
                        <w:spacing w:line="242" w:lineRule="auto" w:before="115"/>
                        <w:ind w:left="0" w:right="0" w:firstLine="0"/>
                        <w:jc w:val="center"/>
                        <w:rPr>
                          <w:rFonts w:ascii="宋体" w:hAnsi="宋体" w:cs="宋体" w:eastAsia="宋体" w:hint="default"/>
                          <w:sz w:val="18"/>
                          <w:szCs w:val="18"/>
                        </w:rPr>
                      </w:pPr>
                      <w:r>
                        <w:rPr>
                          <w:rFonts w:ascii="宋体" w:hAnsi="宋体" w:cs="宋体" w:eastAsia="宋体" w:hint="default"/>
                          <w:sz w:val="18"/>
                          <w:szCs w:val="18"/>
                        </w:rPr>
                        <w:t>深圳市齐普生信息科 技有限公司 </w:t>
                      </w:r>
                      <w:r>
                        <w:rPr>
                          <w:rFonts w:ascii="宋体" w:hAnsi="宋体" w:cs="宋体" w:eastAsia="宋体" w:hint="default"/>
                          <w:sz w:val="20"/>
                          <w:szCs w:val="20"/>
                        </w:rPr>
                        <w:t>深圳市金证软银科</w:t>
                      </w:r>
                      <w:r>
                        <w:rPr>
                          <w:rFonts w:ascii="宋体" w:hAnsi="宋体" w:cs="宋体" w:eastAsia="宋体" w:hint="default"/>
                          <w:w w:val="100"/>
                          <w:sz w:val="20"/>
                          <w:szCs w:val="20"/>
                        </w:rPr>
                        <w:t> </w:t>
                      </w:r>
                      <w:r>
                        <w:rPr>
                          <w:rFonts w:ascii="宋体" w:hAnsi="宋体" w:cs="宋体" w:eastAsia="宋体" w:hint="default"/>
                          <w:sz w:val="20"/>
                          <w:szCs w:val="20"/>
                        </w:rPr>
                        <w:t>技有限公司</w:t>
                      </w:r>
                      <w:r>
                        <w:rPr>
                          <w:rFonts w:ascii="宋体" w:hAnsi="宋体" w:cs="宋体" w:eastAsia="宋体" w:hint="default"/>
                          <w:w w:val="100"/>
                          <w:sz w:val="20"/>
                          <w:szCs w:val="20"/>
                        </w:rPr>
                        <w:t> </w:t>
                      </w:r>
                      <w:r>
                        <w:rPr>
                          <w:rFonts w:ascii="宋体" w:hAnsi="宋体" w:cs="宋体" w:eastAsia="宋体" w:hint="default"/>
                          <w:sz w:val="20"/>
                          <w:szCs w:val="20"/>
                        </w:rPr>
                        <w:t>深圳市齐普生信息</w:t>
                      </w:r>
                      <w:r>
                        <w:rPr>
                          <w:rFonts w:ascii="宋体" w:hAnsi="宋体" w:cs="宋体" w:eastAsia="宋体" w:hint="default"/>
                          <w:w w:val="100"/>
                          <w:sz w:val="20"/>
                          <w:szCs w:val="20"/>
                        </w:rPr>
                        <w:t> </w:t>
                      </w:r>
                      <w:r>
                        <w:rPr>
                          <w:rFonts w:ascii="宋体" w:hAnsi="宋体" w:cs="宋体" w:eastAsia="宋体" w:hint="default"/>
                          <w:sz w:val="20"/>
                          <w:szCs w:val="20"/>
                        </w:rPr>
                        <w:t>科技有限公司</w:t>
                      </w:r>
                      <w:r>
                        <w:rPr>
                          <w:rFonts w:ascii="宋体" w:hAnsi="宋体" w:cs="宋体" w:eastAsia="宋体" w:hint="default"/>
                          <w:w w:val="100"/>
                          <w:sz w:val="20"/>
                          <w:szCs w:val="20"/>
                        </w:rPr>
                        <w:t> </w:t>
                      </w:r>
                      <w:r>
                        <w:rPr>
                          <w:rFonts w:ascii="宋体" w:hAnsi="宋体" w:cs="宋体" w:eastAsia="宋体" w:hint="default"/>
                          <w:sz w:val="20"/>
                          <w:szCs w:val="20"/>
                        </w:rPr>
                        <w:t>深圳市金证软银科</w:t>
                      </w:r>
                      <w:r>
                        <w:rPr>
                          <w:rFonts w:ascii="宋体" w:hAnsi="宋体" w:cs="宋体" w:eastAsia="宋体" w:hint="default"/>
                          <w:w w:val="100"/>
                          <w:sz w:val="20"/>
                          <w:szCs w:val="20"/>
                        </w:rPr>
                        <w:t> </w:t>
                      </w:r>
                      <w:r>
                        <w:rPr>
                          <w:rFonts w:ascii="宋体" w:hAnsi="宋体" w:cs="宋体" w:eastAsia="宋体" w:hint="default"/>
                          <w:sz w:val="20"/>
                          <w:szCs w:val="20"/>
                        </w:rPr>
                        <w:t>技有限公司</w:t>
                      </w:r>
                      <w:r>
                        <w:rPr>
                          <w:rFonts w:ascii="宋体" w:hAnsi="宋体" w:cs="宋体" w:eastAsia="宋体" w:hint="default"/>
                          <w:w w:val="100"/>
                          <w:sz w:val="20"/>
                          <w:szCs w:val="20"/>
                        </w:rPr>
                        <w:t> </w:t>
                      </w:r>
                      <w:r>
                        <w:rPr>
                          <w:rFonts w:ascii="宋体" w:hAnsi="宋体" w:cs="宋体" w:eastAsia="宋体" w:hint="default"/>
                          <w:sz w:val="20"/>
                          <w:szCs w:val="20"/>
                        </w:rPr>
                        <w:t>深圳市金证软银科</w:t>
                      </w:r>
                      <w:r>
                        <w:rPr>
                          <w:rFonts w:ascii="宋体" w:hAnsi="宋体" w:cs="宋体" w:eastAsia="宋体" w:hint="default"/>
                          <w:w w:val="100"/>
                          <w:sz w:val="20"/>
                          <w:szCs w:val="20"/>
                        </w:rPr>
                        <w:t> </w:t>
                      </w:r>
                      <w:r>
                        <w:rPr>
                          <w:rFonts w:ascii="宋体" w:hAnsi="宋体" w:cs="宋体" w:eastAsia="宋体" w:hint="default"/>
                          <w:sz w:val="20"/>
                          <w:szCs w:val="20"/>
                        </w:rPr>
                        <w:t>技有限公司</w:t>
                      </w:r>
                      <w:r>
                        <w:rPr>
                          <w:rFonts w:ascii="宋体" w:hAnsi="宋体" w:cs="宋体" w:eastAsia="宋体" w:hint="default"/>
                          <w:w w:val="100"/>
                          <w:sz w:val="20"/>
                          <w:szCs w:val="20"/>
                        </w:rPr>
                        <w:t> </w:t>
                      </w:r>
                      <w:r>
                        <w:rPr>
                          <w:rFonts w:ascii="宋体" w:hAnsi="宋体" w:cs="宋体" w:eastAsia="宋体" w:hint="default"/>
                          <w:sz w:val="18"/>
                          <w:szCs w:val="18"/>
                        </w:rPr>
                        <w:t>深圳市金证软银科技</w:t>
                      </w:r>
                      <w:r>
                        <w:rPr>
                          <w:rFonts w:ascii="宋体" w:hAnsi="宋体" w:cs="宋体" w:eastAsia="宋体" w:hint="default"/>
                          <w:sz w:val="18"/>
                          <w:szCs w:val="18"/>
                        </w:rPr>
                        <w:t> 有限公司</w:t>
                      </w:r>
                    </w:p>
                  </w:txbxContent>
                </v:textbox>
                <w10:wrap type="none"/>
              </v:shape>
              <v:shape style="position:absolute;left:6374;top:100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担保事项</w:t>
                      </w:r>
                    </w:p>
                  </w:txbxContent>
                </v:textbox>
                <w10:wrap type="none"/>
              </v:shape>
              <v:shape style="position:absolute;left:7528;top:100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  额</w:t>
                      </w:r>
                    </w:p>
                  </w:txbxContent>
                </v:textbox>
                <w10:wrap type="none"/>
              </v:shape>
              <v:shape style="position:absolute;left:9133;top:100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  限</w:t>
                      </w:r>
                    </w:p>
                  </w:txbxContent>
                </v:textbox>
                <w10:wrap type="none"/>
              </v:shape>
              <v:shape style="position:absolute;left:2021;top:1415;width:540;height:121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本公司</w:t>
                      </w:r>
                    </w:p>
                    <w:p>
                      <w:pPr>
                        <w:spacing w:line="530" w:lineRule="exact" w:before="53"/>
                        <w:ind w:left="0" w:right="0" w:firstLine="0"/>
                        <w:jc w:val="left"/>
                        <w:rPr>
                          <w:rFonts w:ascii="宋体" w:hAnsi="宋体" w:cs="宋体" w:eastAsia="宋体" w:hint="default"/>
                          <w:sz w:val="18"/>
                          <w:szCs w:val="18"/>
                        </w:rPr>
                      </w:pPr>
                      <w:r>
                        <w:rPr>
                          <w:rFonts w:ascii="宋体" w:hAnsi="宋体" w:cs="宋体" w:eastAsia="宋体" w:hint="default"/>
                          <w:sz w:val="18"/>
                          <w:szCs w:val="18"/>
                        </w:rPr>
                        <w:t>本公司 本公司</w:t>
                      </w:r>
                    </w:p>
                  </w:txbxContent>
                </v:textbox>
                <w10:wrap type="none"/>
              </v:shape>
              <v:shape style="position:absolute;left:4976;top:4510;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本公司</w:t>
                      </w:r>
                    </w:p>
                  </w:txbxContent>
                </v:textbox>
                <w10:wrap type="none"/>
              </v:shape>
              <v:shape style="position:absolute;left:6374;top:451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银行授信</w:t>
                      </w:r>
                    </w:p>
                  </w:txbxContent>
                </v:textbox>
                <w10:wrap type="none"/>
              </v:shape>
              <v:shape style="position:absolute;left:7637;top:4500;width:55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0.7</w:t>
                      </w:r>
                      <w:r>
                        <w:rPr>
                          <w:rFonts w:ascii="宋体" w:hAnsi="宋体" w:cs="宋体" w:eastAsia="宋体" w:hint="default"/>
                          <w:spacing w:val="-51"/>
                          <w:sz w:val="20"/>
                          <w:szCs w:val="20"/>
                        </w:rPr>
                        <w:t> </w:t>
                      </w:r>
                      <w:r>
                        <w:rPr>
                          <w:rFonts w:ascii="宋体" w:hAnsi="宋体" w:cs="宋体" w:eastAsia="宋体" w:hint="default"/>
                          <w:sz w:val="20"/>
                          <w:szCs w:val="20"/>
                        </w:rPr>
                        <w:t>亿</w:t>
                      </w:r>
                    </w:p>
                  </w:txbxContent>
                </v:textbox>
                <w10:wrap type="none"/>
              </v:shape>
              <v:shape style="position:absolute;left:8402;top:4371;width:1000;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spacing w:val="-1"/>
                          <w:sz w:val="20"/>
                        </w:rPr>
                        <w:t>2014.11.10</w:t>
                      </w:r>
                      <w:r>
                        <w:rPr>
                          <w:rFonts w:ascii="宋体"/>
                          <w:sz w:val="20"/>
                        </w:rPr>
                      </w:r>
                    </w:p>
                  </w:txbxContent>
                </v:textbox>
                <w10:wrap type="none"/>
              </v:shape>
              <v:shape style="position:absolute;left:10206;top:4371;width:2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w w:val="100"/>
                          <w:sz w:val="20"/>
                          <w:szCs w:val="20"/>
                        </w:rPr>
                        <w:t>—</w:t>
                      </w:r>
                    </w:p>
                  </w:txbxContent>
                </v:textbox>
                <w10:wrap type="none"/>
              </v:shape>
              <v:shape style="position:absolute;left:7637;top:7673;width:55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0.4</w:t>
                      </w:r>
                      <w:r>
                        <w:rPr>
                          <w:rFonts w:ascii="宋体" w:hAnsi="宋体" w:cs="宋体" w:eastAsia="宋体" w:hint="default"/>
                          <w:spacing w:val="-51"/>
                          <w:sz w:val="20"/>
                          <w:szCs w:val="20"/>
                        </w:rPr>
                        <w:t> </w:t>
                      </w:r>
                      <w:r>
                        <w:rPr>
                          <w:rFonts w:ascii="宋体" w:hAnsi="宋体" w:cs="宋体" w:eastAsia="宋体" w:hint="default"/>
                          <w:sz w:val="20"/>
                          <w:szCs w:val="20"/>
                        </w:rPr>
                        <w:t>亿</w:t>
                      </w:r>
                    </w:p>
                  </w:txbxContent>
                </v:textbox>
                <w10:wrap type="none"/>
              </v:shape>
            </v:group>
            <w10:wrap type="none"/>
          </v:group>
        </w:pict>
      </w:r>
      <w:r>
        <w:rPr/>
        <w:t>(1).</w:t>
      </w:r>
      <w:r>
        <w:rPr>
          <w:spacing w:val="80"/>
        </w:rPr>
        <w:t> </w:t>
      </w:r>
      <w:r>
        <w:rPr/>
        <w:t>资产负债表日存在的重要或有事项</w:t>
      </w:r>
      <w:r>
        <w:rPr>
          <w:w w:val="99"/>
        </w:rPr>
        <w:t> </w:t>
      </w:r>
      <w:r>
        <w:rPr/>
        <w:t>母子公司之间尚未到期的互相担保</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tbl>
      <w:tblPr>
        <w:tblW w:w="0" w:type="auto"/>
        <w:jc w:val="left"/>
        <w:tblInd w:w="4759" w:type="dxa"/>
        <w:tblLayout w:type="fixed"/>
        <w:tblCellMar>
          <w:top w:w="0" w:type="dxa"/>
          <w:left w:w="0" w:type="dxa"/>
          <w:bottom w:w="0" w:type="dxa"/>
          <w:right w:w="0" w:type="dxa"/>
        </w:tblCellMar>
        <w:tblLook w:val="01E0"/>
      </w:tblPr>
      <w:tblGrid>
        <w:gridCol w:w="976"/>
        <w:gridCol w:w="980"/>
        <w:gridCol w:w="2144"/>
      </w:tblGrid>
      <w:tr>
        <w:trPr>
          <w:trHeight w:val="968" w:hRule="exact"/>
        </w:trPr>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银行授信</w:t>
            </w:r>
          </w:p>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银行授信</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21" w:right="0"/>
              <w:jc w:val="left"/>
              <w:rPr>
                <w:rFonts w:ascii="宋体" w:hAnsi="宋体" w:cs="宋体" w:eastAsia="宋体" w:hint="default"/>
                <w:sz w:val="20"/>
                <w:szCs w:val="20"/>
              </w:rPr>
            </w:pPr>
            <w:r>
              <w:rPr>
                <w:rFonts w:ascii="宋体" w:hAnsi="宋体" w:cs="宋体" w:eastAsia="宋体" w:hint="default"/>
                <w:sz w:val="20"/>
                <w:szCs w:val="20"/>
              </w:rPr>
              <w:t>1.5</w:t>
            </w:r>
            <w:r>
              <w:rPr>
                <w:rFonts w:ascii="宋体" w:hAnsi="宋体" w:cs="宋体" w:eastAsia="宋体" w:hint="default"/>
                <w:spacing w:val="-51"/>
                <w:sz w:val="20"/>
                <w:szCs w:val="20"/>
              </w:rPr>
              <w:t> </w:t>
            </w:r>
            <w:r>
              <w:rPr>
                <w:rFonts w:ascii="宋体" w:hAnsi="宋体" w:cs="宋体" w:eastAsia="宋体" w:hint="default"/>
                <w:sz w:val="20"/>
                <w:szCs w:val="20"/>
              </w:rPr>
              <w:t>亿</w:t>
            </w: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20" w:right="0"/>
              <w:jc w:val="left"/>
              <w:rPr>
                <w:rFonts w:ascii="宋体" w:hAnsi="宋体" w:cs="宋体" w:eastAsia="宋体" w:hint="default"/>
                <w:sz w:val="20"/>
                <w:szCs w:val="20"/>
              </w:rPr>
            </w:pPr>
            <w:r>
              <w:rPr>
                <w:rFonts w:ascii="宋体" w:hAnsi="宋体" w:cs="宋体" w:eastAsia="宋体" w:hint="default"/>
                <w:sz w:val="20"/>
                <w:szCs w:val="20"/>
              </w:rPr>
              <w:t>1.25</w:t>
            </w:r>
            <w:r>
              <w:rPr>
                <w:rFonts w:ascii="宋体" w:hAnsi="宋体" w:cs="宋体" w:eastAsia="宋体" w:hint="default"/>
                <w:spacing w:val="-50"/>
                <w:sz w:val="20"/>
                <w:szCs w:val="20"/>
              </w:rPr>
              <w:t> </w:t>
            </w:r>
            <w:r>
              <w:rPr>
                <w:rFonts w:ascii="宋体" w:hAnsi="宋体" w:cs="宋体" w:eastAsia="宋体" w:hint="default"/>
                <w:sz w:val="20"/>
                <w:szCs w:val="20"/>
              </w:rPr>
              <w:t>亿</w:t>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7" w:right="0"/>
              <w:jc w:val="left"/>
              <w:rPr>
                <w:rFonts w:ascii="宋体" w:hAnsi="宋体" w:cs="宋体" w:eastAsia="宋体" w:hint="default"/>
                <w:sz w:val="20"/>
                <w:szCs w:val="20"/>
              </w:rPr>
            </w:pPr>
            <w:r>
              <w:rPr>
                <w:rFonts w:ascii="宋体" w:hAnsi="宋体" w:cs="宋体" w:eastAsia="宋体" w:hint="default"/>
                <w:sz w:val="20"/>
                <w:szCs w:val="20"/>
              </w:rPr>
              <w:t>2014.9.2—2015.9.2</w:t>
            </w: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107" w:right="0"/>
              <w:jc w:val="left"/>
              <w:rPr>
                <w:rFonts w:ascii="宋体" w:hAnsi="宋体" w:cs="宋体" w:eastAsia="宋体" w:hint="default"/>
                <w:sz w:val="20"/>
                <w:szCs w:val="20"/>
              </w:rPr>
            </w:pPr>
            <w:r>
              <w:rPr>
                <w:rFonts w:ascii="宋体" w:hAnsi="宋体" w:cs="宋体" w:eastAsia="宋体" w:hint="default"/>
                <w:sz w:val="20"/>
                <w:szCs w:val="20"/>
              </w:rPr>
              <w:t>2014.7.10—2015.7.7</w:t>
            </w:r>
          </w:p>
        </w:tc>
      </w:tr>
      <w:tr>
        <w:trPr>
          <w:trHeight w:val="529" w:hRule="exact"/>
        </w:trPr>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5" w:right="0"/>
              <w:jc w:val="left"/>
              <w:rPr>
                <w:rFonts w:ascii="宋体" w:hAnsi="宋体" w:cs="宋体" w:eastAsia="宋体" w:hint="default"/>
                <w:sz w:val="18"/>
                <w:szCs w:val="18"/>
              </w:rPr>
            </w:pPr>
            <w:r>
              <w:rPr>
                <w:rFonts w:ascii="宋体" w:hAnsi="宋体" w:cs="宋体" w:eastAsia="宋体" w:hint="default"/>
                <w:sz w:val="18"/>
                <w:szCs w:val="18"/>
              </w:rPr>
              <w:t>银行授信</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5"/>
              <w:jc w:val="righ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49"/>
                <w:sz w:val="20"/>
                <w:szCs w:val="20"/>
              </w:rPr>
              <w:t> </w:t>
            </w:r>
            <w:r>
              <w:rPr>
                <w:rFonts w:ascii="宋体" w:hAnsi="宋体" w:cs="宋体" w:eastAsia="宋体" w:hint="default"/>
                <w:sz w:val="20"/>
                <w:szCs w:val="20"/>
              </w:rPr>
              <w:t>亿</w:t>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7" w:right="0"/>
              <w:jc w:val="left"/>
              <w:rPr>
                <w:rFonts w:ascii="宋体" w:hAnsi="宋体" w:cs="宋体" w:eastAsia="宋体" w:hint="default"/>
                <w:sz w:val="20"/>
                <w:szCs w:val="20"/>
              </w:rPr>
            </w:pPr>
            <w:r>
              <w:rPr>
                <w:rFonts w:ascii="宋体" w:hAnsi="宋体" w:cs="宋体" w:eastAsia="宋体" w:hint="default"/>
                <w:sz w:val="20"/>
                <w:szCs w:val="20"/>
              </w:rPr>
              <w:t>2014.6.10—2015.6.10</w:t>
            </w:r>
          </w:p>
        </w:tc>
      </w:tr>
      <w:tr>
        <w:trPr>
          <w:trHeight w:val="529" w:hRule="exact"/>
        </w:trPr>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35" w:right="0"/>
              <w:jc w:val="left"/>
              <w:rPr>
                <w:rFonts w:ascii="宋体" w:hAnsi="宋体" w:cs="宋体" w:eastAsia="宋体" w:hint="default"/>
                <w:sz w:val="18"/>
                <w:szCs w:val="18"/>
              </w:rPr>
            </w:pPr>
            <w:r>
              <w:rPr>
                <w:rFonts w:ascii="宋体" w:hAnsi="宋体" w:cs="宋体" w:eastAsia="宋体" w:hint="default"/>
                <w:sz w:val="18"/>
                <w:szCs w:val="18"/>
              </w:rPr>
              <w:t>银行授信</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5"/>
              <w:jc w:val="right"/>
              <w:rPr>
                <w:rFonts w:ascii="宋体" w:hAnsi="宋体" w:cs="宋体" w:eastAsia="宋体" w:hint="default"/>
                <w:sz w:val="20"/>
                <w:szCs w:val="20"/>
              </w:rPr>
            </w:pPr>
            <w:r>
              <w:rPr>
                <w:rFonts w:ascii="宋体" w:hAnsi="宋体" w:cs="宋体" w:eastAsia="宋体" w:hint="default"/>
                <w:sz w:val="20"/>
                <w:szCs w:val="20"/>
              </w:rPr>
              <w:t>0.4</w:t>
            </w:r>
            <w:r>
              <w:rPr>
                <w:rFonts w:ascii="宋体" w:hAnsi="宋体" w:cs="宋体" w:eastAsia="宋体" w:hint="default"/>
                <w:spacing w:val="-51"/>
                <w:sz w:val="20"/>
                <w:szCs w:val="20"/>
              </w:rPr>
              <w:t> </w:t>
            </w:r>
            <w:r>
              <w:rPr>
                <w:rFonts w:ascii="宋体" w:hAnsi="宋体" w:cs="宋体" w:eastAsia="宋体" w:hint="default"/>
                <w:sz w:val="20"/>
                <w:szCs w:val="20"/>
              </w:rPr>
              <w:t>亿</w:t>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7" w:right="0"/>
              <w:jc w:val="left"/>
              <w:rPr>
                <w:rFonts w:ascii="宋体" w:hAnsi="宋体" w:cs="宋体" w:eastAsia="宋体" w:hint="default"/>
                <w:sz w:val="20"/>
                <w:szCs w:val="20"/>
              </w:rPr>
            </w:pPr>
            <w:r>
              <w:rPr>
                <w:rFonts w:ascii="宋体" w:hAnsi="宋体" w:cs="宋体" w:eastAsia="宋体" w:hint="default"/>
                <w:sz w:val="20"/>
                <w:szCs w:val="20"/>
              </w:rPr>
              <w:t>2014.3.10—2016.3.9</w:t>
            </w:r>
          </w:p>
        </w:tc>
      </w:tr>
      <w:tr>
        <w:trPr>
          <w:trHeight w:val="515" w:hRule="exact"/>
        </w:trPr>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35" w:right="0"/>
              <w:jc w:val="left"/>
              <w:rPr>
                <w:rFonts w:ascii="宋体" w:hAnsi="宋体" w:cs="宋体" w:eastAsia="宋体" w:hint="default"/>
                <w:sz w:val="18"/>
                <w:szCs w:val="18"/>
              </w:rPr>
            </w:pPr>
            <w:r>
              <w:rPr>
                <w:rFonts w:ascii="宋体" w:hAnsi="宋体" w:cs="宋体" w:eastAsia="宋体" w:hint="default"/>
                <w:sz w:val="18"/>
                <w:szCs w:val="18"/>
              </w:rPr>
              <w:t>银行授信</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5"/>
              <w:jc w:val="right"/>
              <w:rPr>
                <w:rFonts w:ascii="宋体" w:hAnsi="宋体" w:cs="宋体" w:eastAsia="宋体" w:hint="default"/>
                <w:sz w:val="20"/>
                <w:szCs w:val="20"/>
              </w:rPr>
            </w:pPr>
            <w:r>
              <w:rPr>
                <w:rFonts w:ascii="宋体" w:hAnsi="宋体" w:cs="宋体" w:eastAsia="宋体" w:hint="default"/>
                <w:sz w:val="20"/>
                <w:szCs w:val="20"/>
              </w:rPr>
              <w:t>0.6</w:t>
            </w:r>
            <w:r>
              <w:rPr>
                <w:rFonts w:ascii="宋体" w:hAnsi="宋体" w:cs="宋体" w:eastAsia="宋体" w:hint="default"/>
                <w:spacing w:val="-51"/>
                <w:sz w:val="20"/>
                <w:szCs w:val="20"/>
              </w:rPr>
              <w:t> </w:t>
            </w:r>
            <w:r>
              <w:rPr>
                <w:rFonts w:ascii="宋体" w:hAnsi="宋体" w:cs="宋体" w:eastAsia="宋体" w:hint="default"/>
                <w:sz w:val="20"/>
                <w:szCs w:val="20"/>
              </w:rPr>
              <w:t>亿</w:t>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07" w:right="0"/>
              <w:jc w:val="left"/>
              <w:rPr>
                <w:rFonts w:ascii="宋体" w:hAnsi="宋体" w:cs="宋体" w:eastAsia="宋体" w:hint="default"/>
                <w:sz w:val="20"/>
                <w:szCs w:val="20"/>
              </w:rPr>
            </w:pPr>
            <w:r>
              <w:rPr>
                <w:rFonts w:ascii="宋体" w:hAnsi="宋体" w:cs="宋体" w:eastAsia="宋体" w:hint="default"/>
                <w:sz w:val="20"/>
                <w:szCs w:val="20"/>
              </w:rPr>
              <w:t>2013.9.18—2015.9.17</w:t>
            </w:r>
          </w:p>
        </w:tc>
      </w:tr>
      <w:tr>
        <w:trPr>
          <w:trHeight w:val="352" w:hRule="exact"/>
        </w:trPr>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银行授信</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5"/>
              <w:jc w:val="right"/>
              <w:rPr>
                <w:rFonts w:ascii="宋体" w:hAnsi="宋体" w:cs="宋体" w:eastAsia="宋体" w:hint="default"/>
                <w:sz w:val="20"/>
                <w:szCs w:val="20"/>
              </w:rPr>
            </w:pPr>
            <w:r>
              <w:rPr>
                <w:rFonts w:ascii="宋体" w:hAnsi="宋体" w:cs="宋体" w:eastAsia="宋体" w:hint="default"/>
                <w:sz w:val="20"/>
                <w:szCs w:val="20"/>
              </w:rPr>
              <w:t>0.5</w:t>
            </w:r>
            <w:r>
              <w:rPr>
                <w:rFonts w:ascii="宋体" w:hAnsi="宋体" w:cs="宋体" w:eastAsia="宋体" w:hint="default"/>
                <w:spacing w:val="-51"/>
                <w:sz w:val="20"/>
                <w:szCs w:val="20"/>
              </w:rPr>
              <w:t> </w:t>
            </w:r>
            <w:r>
              <w:rPr>
                <w:rFonts w:ascii="宋体" w:hAnsi="宋体" w:cs="宋体" w:eastAsia="宋体" w:hint="default"/>
                <w:sz w:val="20"/>
                <w:szCs w:val="20"/>
              </w:rPr>
              <w:t>亿</w:t>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7" w:right="0"/>
              <w:jc w:val="left"/>
              <w:rPr>
                <w:rFonts w:ascii="宋体" w:hAnsi="宋体" w:cs="宋体" w:eastAsia="宋体" w:hint="default"/>
                <w:sz w:val="20"/>
                <w:szCs w:val="20"/>
              </w:rPr>
            </w:pPr>
            <w:r>
              <w:rPr>
                <w:rFonts w:ascii="宋体" w:hAnsi="宋体" w:cs="宋体" w:eastAsia="宋体" w:hint="default"/>
                <w:sz w:val="20"/>
                <w:szCs w:val="20"/>
              </w:rPr>
              <w:t>2014.8.5—2016.8.5</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3"/>
          <w:szCs w:val="13"/>
        </w:rPr>
      </w:pPr>
    </w:p>
    <w:tbl>
      <w:tblPr>
        <w:tblW w:w="0" w:type="auto"/>
        <w:jc w:val="left"/>
        <w:tblInd w:w="2767" w:type="dxa"/>
        <w:tblLayout w:type="fixed"/>
        <w:tblCellMar>
          <w:top w:w="0" w:type="dxa"/>
          <w:left w:w="0" w:type="dxa"/>
          <w:bottom w:w="0" w:type="dxa"/>
          <w:right w:w="0" w:type="dxa"/>
        </w:tblCellMar>
        <w:tblLook w:val="01E0"/>
      </w:tblPr>
      <w:tblGrid>
        <w:gridCol w:w="594"/>
        <w:gridCol w:w="1004"/>
        <w:gridCol w:w="1370"/>
        <w:gridCol w:w="907"/>
        <w:gridCol w:w="2216"/>
      </w:tblGrid>
      <w:tr>
        <w:trPr>
          <w:trHeight w:val="764" w:hRule="exact"/>
        </w:trPr>
        <w:tc>
          <w:tcPr>
            <w:tcW w:w="15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26"/>
                <w:szCs w:val="26"/>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26"/>
                <w:szCs w:val="26"/>
              </w:rPr>
            </w:pPr>
          </w:p>
          <w:p>
            <w:pPr>
              <w:pStyle w:val="TableParagraph"/>
              <w:spacing w:line="240" w:lineRule="auto"/>
              <w:ind w:right="218"/>
              <w:jc w:val="right"/>
              <w:rPr>
                <w:rFonts w:ascii="宋体" w:hAnsi="宋体" w:cs="宋体" w:eastAsia="宋体" w:hint="default"/>
                <w:sz w:val="18"/>
                <w:szCs w:val="18"/>
              </w:rPr>
            </w:pPr>
            <w:r>
              <w:rPr>
                <w:rFonts w:ascii="宋体" w:hAnsi="宋体" w:cs="宋体" w:eastAsia="宋体" w:hint="default"/>
                <w:sz w:val="18"/>
                <w:szCs w:val="18"/>
              </w:rPr>
              <w:t>银行授信</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32"/>
              <w:jc w:val="right"/>
              <w:rPr>
                <w:rFonts w:ascii="宋体" w:hAnsi="宋体" w:cs="宋体" w:eastAsia="宋体" w:hint="default"/>
                <w:sz w:val="20"/>
                <w:szCs w:val="20"/>
              </w:rPr>
            </w:pPr>
            <w:r>
              <w:rPr>
                <w:rFonts w:ascii="宋体" w:hAnsi="宋体" w:cs="宋体" w:eastAsia="宋体" w:hint="default"/>
                <w:sz w:val="20"/>
                <w:szCs w:val="20"/>
              </w:rPr>
              <w:t>0.25</w:t>
            </w:r>
            <w:r>
              <w:rPr>
                <w:rFonts w:ascii="宋体" w:hAnsi="宋体" w:cs="宋体" w:eastAsia="宋体" w:hint="default"/>
                <w:spacing w:val="-50"/>
                <w:sz w:val="20"/>
                <w:szCs w:val="20"/>
              </w:rPr>
              <w:t> </w:t>
            </w:r>
            <w:r>
              <w:rPr>
                <w:rFonts w:ascii="宋体" w:hAnsi="宋体" w:cs="宋体" w:eastAsia="宋体" w:hint="default"/>
                <w:sz w:val="20"/>
                <w:szCs w:val="20"/>
              </w:rPr>
              <w:t>亿</w:t>
            </w:r>
          </w:p>
        </w:tc>
        <w:tc>
          <w:tcPr>
            <w:tcW w:w="2216" w:type="dxa"/>
            <w:tcBorders>
              <w:top w:val="nil" w:sz="6" w:space="0" w:color="auto"/>
              <w:left w:val="nil" w:sz="6" w:space="0" w:color="auto"/>
              <w:bottom w:val="nil" w:sz="6" w:space="0" w:color="auto"/>
              <w:right w:val="nil" w:sz="6" w:space="0" w:color="auto"/>
            </w:tcBorders>
          </w:tcPr>
          <w:p>
            <w:pPr>
              <w:pStyle w:val="TableParagraph"/>
              <w:spacing w:line="200" w:lineRule="exact"/>
              <w:ind w:left="179" w:right="0"/>
              <w:jc w:val="left"/>
              <w:rPr>
                <w:rFonts w:ascii="宋体" w:hAnsi="宋体" w:cs="宋体" w:eastAsia="宋体" w:hint="default"/>
                <w:sz w:val="20"/>
                <w:szCs w:val="20"/>
              </w:rPr>
            </w:pPr>
            <w:r>
              <w:rPr>
                <w:rFonts w:ascii="宋体"/>
                <w:sz w:val="20"/>
              </w:rPr>
              <w:t>2015.9.10</w:t>
            </w:r>
          </w:p>
          <w:p>
            <w:pPr>
              <w:pStyle w:val="TableParagraph"/>
              <w:spacing w:line="240" w:lineRule="auto" w:before="138"/>
              <w:ind w:left="179" w:right="0"/>
              <w:jc w:val="left"/>
              <w:rPr>
                <w:rFonts w:ascii="宋体" w:hAnsi="宋体" w:cs="宋体" w:eastAsia="宋体" w:hint="default"/>
                <w:sz w:val="20"/>
                <w:szCs w:val="20"/>
              </w:rPr>
            </w:pPr>
            <w:r>
              <w:rPr>
                <w:rFonts w:ascii="宋体" w:hAnsi="宋体" w:cs="宋体" w:eastAsia="宋体" w:hint="default"/>
                <w:sz w:val="20"/>
                <w:szCs w:val="20"/>
              </w:rPr>
              <w:t>2014.7.9—2015.7.9</w:t>
            </w:r>
          </w:p>
        </w:tc>
      </w:tr>
      <w:tr>
        <w:trPr>
          <w:trHeight w:val="529" w:hRule="exact"/>
        </w:trPr>
        <w:tc>
          <w:tcPr>
            <w:tcW w:w="15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7"/>
              <w:ind w:left="628"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18"/>
              <w:jc w:val="right"/>
              <w:rPr>
                <w:rFonts w:ascii="宋体" w:hAnsi="宋体" w:cs="宋体" w:eastAsia="宋体" w:hint="default"/>
                <w:sz w:val="18"/>
                <w:szCs w:val="18"/>
              </w:rPr>
            </w:pPr>
            <w:r>
              <w:rPr>
                <w:rFonts w:ascii="宋体" w:hAnsi="宋体" w:cs="宋体" w:eastAsia="宋体" w:hint="default"/>
                <w:sz w:val="18"/>
                <w:szCs w:val="18"/>
              </w:rPr>
              <w:t>银行授信</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宋体" w:hAnsi="宋体" w:cs="宋体" w:eastAsia="宋体" w:hint="default"/>
                <w:sz w:val="20"/>
                <w:szCs w:val="20"/>
              </w:rPr>
            </w:pPr>
            <w:r>
              <w:rPr>
                <w:rFonts w:ascii="宋体" w:hAnsi="宋体" w:cs="宋体" w:eastAsia="宋体" w:hint="default"/>
                <w:sz w:val="20"/>
                <w:szCs w:val="20"/>
              </w:rPr>
              <w:t>0.3</w:t>
            </w:r>
            <w:r>
              <w:rPr>
                <w:rFonts w:ascii="宋体" w:hAnsi="宋体" w:cs="宋体" w:eastAsia="宋体" w:hint="default"/>
                <w:spacing w:val="-51"/>
                <w:sz w:val="20"/>
                <w:szCs w:val="20"/>
              </w:rPr>
              <w:t> </w:t>
            </w:r>
            <w:r>
              <w:rPr>
                <w:rFonts w:ascii="宋体" w:hAnsi="宋体" w:cs="宋体" w:eastAsia="宋体" w:hint="default"/>
                <w:sz w:val="20"/>
                <w:szCs w:val="20"/>
              </w:rPr>
              <w:t>亿</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宋体" w:hAnsi="宋体" w:cs="宋体" w:eastAsia="宋体" w:hint="default"/>
                <w:sz w:val="20"/>
                <w:szCs w:val="20"/>
              </w:rPr>
            </w:pPr>
            <w:r>
              <w:rPr>
                <w:rFonts w:ascii="宋体" w:hAnsi="宋体" w:cs="宋体" w:eastAsia="宋体" w:hint="default"/>
                <w:spacing w:val="-1"/>
                <w:sz w:val="20"/>
                <w:szCs w:val="20"/>
              </w:rPr>
              <w:t>2014.5.14—2015.5.13</w:t>
            </w:r>
          </w:p>
        </w:tc>
      </w:tr>
      <w:tr>
        <w:trPr>
          <w:trHeight w:val="529" w:hRule="exact"/>
        </w:trPr>
        <w:tc>
          <w:tcPr>
            <w:tcW w:w="15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8"/>
              <w:ind w:left="628"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18"/>
              <w:jc w:val="right"/>
              <w:rPr>
                <w:rFonts w:ascii="宋体" w:hAnsi="宋体" w:cs="宋体" w:eastAsia="宋体" w:hint="default"/>
                <w:sz w:val="18"/>
                <w:szCs w:val="18"/>
              </w:rPr>
            </w:pPr>
            <w:r>
              <w:rPr>
                <w:rFonts w:ascii="宋体" w:hAnsi="宋体" w:cs="宋体" w:eastAsia="宋体" w:hint="default"/>
                <w:sz w:val="18"/>
                <w:szCs w:val="18"/>
              </w:rPr>
              <w:t>银行授信</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
              <w:jc w:val="right"/>
              <w:rPr>
                <w:rFonts w:ascii="宋体" w:hAnsi="宋体" w:cs="宋体" w:eastAsia="宋体" w:hint="default"/>
                <w:sz w:val="20"/>
                <w:szCs w:val="20"/>
              </w:rPr>
            </w:pPr>
            <w:r>
              <w:rPr>
                <w:rFonts w:ascii="宋体" w:hAnsi="宋体" w:cs="宋体" w:eastAsia="宋体" w:hint="default"/>
                <w:sz w:val="20"/>
                <w:szCs w:val="20"/>
              </w:rPr>
              <w:t>0.4</w:t>
            </w:r>
            <w:r>
              <w:rPr>
                <w:rFonts w:ascii="宋体" w:hAnsi="宋体" w:cs="宋体" w:eastAsia="宋体" w:hint="default"/>
                <w:spacing w:val="-51"/>
                <w:sz w:val="20"/>
                <w:szCs w:val="20"/>
              </w:rPr>
              <w:t> </w:t>
            </w:r>
            <w:r>
              <w:rPr>
                <w:rFonts w:ascii="宋体" w:hAnsi="宋体" w:cs="宋体" w:eastAsia="宋体" w:hint="default"/>
                <w:sz w:val="20"/>
                <w:szCs w:val="20"/>
              </w:rPr>
              <w:t>亿</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
              <w:jc w:val="right"/>
              <w:rPr>
                <w:rFonts w:ascii="宋体" w:hAnsi="宋体" w:cs="宋体" w:eastAsia="宋体" w:hint="default"/>
                <w:sz w:val="20"/>
                <w:szCs w:val="20"/>
              </w:rPr>
            </w:pPr>
            <w:r>
              <w:rPr>
                <w:rFonts w:ascii="宋体" w:hAnsi="宋体" w:cs="宋体" w:eastAsia="宋体" w:hint="default"/>
                <w:spacing w:val="-1"/>
                <w:sz w:val="20"/>
                <w:szCs w:val="20"/>
              </w:rPr>
              <w:t>2014.5.16—2015.5.16</w:t>
            </w:r>
          </w:p>
        </w:tc>
      </w:tr>
      <w:tr>
        <w:trPr>
          <w:trHeight w:val="365" w:hRule="exact"/>
        </w:trPr>
        <w:tc>
          <w:tcPr>
            <w:tcW w:w="15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8"/>
              <w:ind w:left="628"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18"/>
              <w:jc w:val="right"/>
              <w:rPr>
                <w:rFonts w:ascii="宋体" w:hAnsi="宋体" w:cs="宋体" w:eastAsia="宋体" w:hint="default"/>
                <w:sz w:val="18"/>
                <w:szCs w:val="18"/>
              </w:rPr>
            </w:pPr>
            <w:r>
              <w:rPr>
                <w:rFonts w:ascii="宋体" w:hAnsi="宋体" w:cs="宋体" w:eastAsia="宋体" w:hint="default"/>
                <w:sz w:val="18"/>
                <w:szCs w:val="18"/>
              </w:rPr>
              <w:t>银行授信</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
              <w:jc w:val="right"/>
              <w:rPr>
                <w:rFonts w:ascii="宋体" w:hAnsi="宋体" w:cs="宋体" w:eastAsia="宋体" w:hint="default"/>
                <w:sz w:val="20"/>
                <w:szCs w:val="20"/>
              </w:rPr>
            </w:pPr>
            <w:r>
              <w:rPr>
                <w:rFonts w:ascii="宋体" w:hAnsi="宋体" w:cs="宋体" w:eastAsia="宋体" w:hint="default"/>
                <w:sz w:val="20"/>
                <w:szCs w:val="20"/>
              </w:rPr>
              <w:t>0.6</w:t>
            </w:r>
            <w:r>
              <w:rPr>
                <w:rFonts w:ascii="宋体" w:hAnsi="宋体" w:cs="宋体" w:eastAsia="宋体" w:hint="default"/>
                <w:spacing w:val="-51"/>
                <w:sz w:val="20"/>
                <w:szCs w:val="20"/>
              </w:rPr>
              <w:t> </w:t>
            </w:r>
            <w:r>
              <w:rPr>
                <w:rFonts w:ascii="宋体" w:hAnsi="宋体" w:cs="宋体" w:eastAsia="宋体" w:hint="default"/>
                <w:sz w:val="20"/>
                <w:szCs w:val="20"/>
              </w:rPr>
              <w:t>亿</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
              <w:jc w:val="right"/>
              <w:rPr>
                <w:rFonts w:ascii="宋体" w:hAnsi="宋体" w:cs="宋体" w:eastAsia="宋体" w:hint="default"/>
                <w:sz w:val="20"/>
                <w:szCs w:val="20"/>
              </w:rPr>
            </w:pPr>
            <w:r>
              <w:rPr>
                <w:rFonts w:ascii="宋体" w:hAnsi="宋体" w:cs="宋体" w:eastAsia="宋体" w:hint="default"/>
                <w:spacing w:val="-1"/>
                <w:sz w:val="20"/>
                <w:szCs w:val="20"/>
              </w:rPr>
              <w:t>2014.4.15—2015.4.15</w:t>
            </w:r>
          </w:p>
        </w:tc>
      </w:tr>
      <w:tr>
        <w:trPr>
          <w:trHeight w:val="363" w:hRule="exact"/>
        </w:trPr>
        <w:tc>
          <w:tcPr>
            <w:tcW w:w="1598" w:type="dxa"/>
            <w:gridSpan w:val="2"/>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
        </w:tc>
        <w:tc>
          <w:tcPr>
            <w:tcW w:w="907"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tabs>
                <w:tab w:pos="1803" w:val="left" w:leader="none"/>
              </w:tabs>
              <w:spacing w:line="240" w:lineRule="auto" w:before="136"/>
              <w:ind w:right="30"/>
              <w:jc w:val="right"/>
              <w:rPr>
                <w:rFonts w:ascii="宋体" w:hAnsi="宋体" w:cs="宋体" w:eastAsia="宋体" w:hint="default"/>
                <w:sz w:val="20"/>
                <w:szCs w:val="20"/>
              </w:rPr>
            </w:pPr>
            <w:r>
              <w:rPr>
                <w:rFonts w:ascii="宋体" w:hAnsi="宋体" w:cs="宋体" w:eastAsia="宋体" w:hint="default"/>
                <w:spacing w:val="-1"/>
                <w:sz w:val="20"/>
                <w:szCs w:val="20"/>
              </w:rPr>
              <w:t>2013.10.22</w:t>
              <w:tab/>
            </w:r>
            <w:r>
              <w:rPr>
                <w:rFonts w:ascii="宋体" w:hAnsi="宋体" w:cs="宋体" w:eastAsia="宋体" w:hint="default"/>
                <w:sz w:val="20"/>
                <w:szCs w:val="20"/>
              </w:rPr>
              <w:t>—</w:t>
            </w:r>
          </w:p>
        </w:tc>
      </w:tr>
      <w:tr>
        <w:trPr>
          <w:trHeight w:val="329" w:hRule="exact"/>
        </w:trPr>
        <w:tc>
          <w:tcPr>
            <w:tcW w:w="594" w:type="dxa"/>
            <w:tcBorders>
              <w:top w:val="nil" w:sz="6" w:space="0" w:color="auto"/>
              <w:left w:val="nil" w:sz="6" w:space="0" w:color="auto"/>
              <w:bottom w:val="nil" w:sz="6" w:space="0" w:color="auto"/>
              <w:right w:val="nil" w:sz="6" w:space="0" w:color="auto"/>
            </w:tcBorders>
          </w:tcPr>
          <w:p>
            <w:pPr/>
          </w:p>
        </w:tc>
        <w:tc>
          <w:tcPr>
            <w:tcW w:w="1004" w:type="dxa"/>
            <w:tcBorders>
              <w:top w:val="nil" w:sz="6" w:space="0" w:color="auto"/>
              <w:left w:val="nil" w:sz="6" w:space="0" w:color="auto"/>
              <w:bottom w:val="nil" w:sz="6" w:space="0" w:color="auto"/>
              <w:right w:val="nil" w:sz="6" w:space="0" w:color="auto"/>
            </w:tcBorders>
          </w:tcPr>
          <w:p>
            <w:pPr>
              <w:pStyle w:val="TableParagraph"/>
              <w:spacing w:line="154" w:lineRule="exact"/>
              <w:ind w:left="3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70" w:type="dxa"/>
            <w:tcBorders>
              <w:top w:val="nil" w:sz="6" w:space="0" w:color="auto"/>
              <w:left w:val="nil" w:sz="6" w:space="0" w:color="auto"/>
              <w:bottom w:val="nil" w:sz="6" w:space="0" w:color="auto"/>
              <w:right w:val="nil" w:sz="6" w:space="0" w:color="auto"/>
            </w:tcBorders>
          </w:tcPr>
          <w:p>
            <w:pPr>
              <w:pStyle w:val="TableParagraph"/>
              <w:spacing w:line="154" w:lineRule="exact"/>
              <w:ind w:right="218"/>
              <w:jc w:val="right"/>
              <w:rPr>
                <w:rFonts w:ascii="宋体" w:hAnsi="宋体" w:cs="宋体" w:eastAsia="宋体" w:hint="default"/>
                <w:sz w:val="18"/>
                <w:szCs w:val="18"/>
              </w:rPr>
            </w:pPr>
            <w:r>
              <w:rPr>
                <w:rFonts w:ascii="宋体" w:hAnsi="宋体" w:cs="宋体" w:eastAsia="宋体" w:hint="default"/>
                <w:sz w:val="18"/>
                <w:szCs w:val="18"/>
              </w:rPr>
              <w:t>银行授信</w:t>
            </w:r>
          </w:p>
        </w:tc>
        <w:tc>
          <w:tcPr>
            <w:tcW w:w="3123" w:type="dxa"/>
            <w:gridSpan w:val="2"/>
            <w:tcBorders>
              <w:top w:val="nil" w:sz="6" w:space="0" w:color="auto"/>
              <w:left w:val="nil" w:sz="6" w:space="0" w:color="auto"/>
              <w:bottom w:val="nil" w:sz="6" w:space="0" w:color="auto"/>
              <w:right w:val="nil" w:sz="6" w:space="0" w:color="auto"/>
            </w:tcBorders>
          </w:tcPr>
          <w:p>
            <w:pPr>
              <w:pStyle w:val="TableParagraph"/>
              <w:tabs>
                <w:tab w:pos="1087" w:val="left" w:leader="none"/>
              </w:tabs>
              <w:spacing w:line="295" w:lineRule="exact"/>
              <w:ind w:left="321" w:right="0"/>
              <w:jc w:val="left"/>
              <w:rPr>
                <w:rFonts w:ascii="宋体" w:hAnsi="宋体" w:cs="宋体" w:eastAsia="宋体" w:hint="default"/>
                <w:sz w:val="20"/>
                <w:szCs w:val="20"/>
              </w:rPr>
            </w:pPr>
            <w:r>
              <w:rPr>
                <w:rFonts w:ascii="宋体" w:hAnsi="宋体" w:cs="宋体" w:eastAsia="宋体" w:hint="default"/>
                <w:position w:val="13"/>
                <w:sz w:val="20"/>
                <w:szCs w:val="20"/>
              </w:rPr>
              <w:t>0.3</w:t>
            </w:r>
            <w:r>
              <w:rPr>
                <w:rFonts w:ascii="宋体" w:hAnsi="宋体" w:cs="宋体" w:eastAsia="宋体" w:hint="default"/>
                <w:spacing w:val="-51"/>
                <w:position w:val="13"/>
                <w:sz w:val="20"/>
                <w:szCs w:val="20"/>
              </w:rPr>
              <w:t> </w:t>
            </w:r>
            <w:r>
              <w:rPr>
                <w:rFonts w:ascii="宋体" w:hAnsi="宋体" w:cs="宋体" w:eastAsia="宋体" w:hint="default"/>
                <w:position w:val="13"/>
                <w:sz w:val="20"/>
                <w:szCs w:val="20"/>
              </w:rPr>
              <w:t>亿</w:t>
              <w:tab/>
            </w:r>
            <w:r>
              <w:rPr>
                <w:rFonts w:ascii="宋体" w:hAnsi="宋体" w:cs="宋体" w:eastAsia="宋体" w:hint="default"/>
                <w:sz w:val="20"/>
                <w:szCs w:val="20"/>
              </w:rPr>
              <w:t>2014.10.22</w:t>
            </w:r>
          </w:p>
        </w:tc>
      </w:tr>
      <w:tr>
        <w:trPr>
          <w:trHeight w:val="489" w:hRule="exact"/>
        </w:trPr>
        <w:tc>
          <w:tcPr>
            <w:tcW w:w="594" w:type="dxa"/>
            <w:tcBorders>
              <w:top w:val="nil" w:sz="6" w:space="0" w:color="auto"/>
              <w:left w:val="nil" w:sz="6" w:space="0" w:color="auto"/>
              <w:bottom w:val="nil" w:sz="6" w:space="0" w:color="auto"/>
              <w:right w:val="nil" w:sz="6" w:space="0" w:color="auto"/>
            </w:tcBorders>
          </w:tcPr>
          <w:p>
            <w:pP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18"/>
              <w:jc w:val="right"/>
              <w:rPr>
                <w:rFonts w:ascii="宋体" w:hAnsi="宋体" w:cs="宋体" w:eastAsia="宋体" w:hint="default"/>
                <w:sz w:val="18"/>
                <w:szCs w:val="18"/>
              </w:rPr>
            </w:pPr>
            <w:r>
              <w:rPr>
                <w:rFonts w:ascii="宋体" w:hAnsi="宋体" w:cs="宋体" w:eastAsia="宋体" w:hint="default"/>
                <w:sz w:val="18"/>
                <w:szCs w:val="18"/>
              </w:rPr>
              <w:t>银行授信</w:t>
            </w:r>
          </w:p>
        </w:tc>
        <w:tc>
          <w:tcPr>
            <w:tcW w:w="3123" w:type="dxa"/>
            <w:gridSpan w:val="2"/>
            <w:tcBorders>
              <w:top w:val="nil" w:sz="6" w:space="0" w:color="auto"/>
              <w:left w:val="nil" w:sz="6" w:space="0" w:color="auto"/>
              <w:bottom w:val="nil" w:sz="6" w:space="0" w:color="auto"/>
              <w:right w:val="nil" w:sz="6" w:space="0" w:color="auto"/>
            </w:tcBorders>
          </w:tcPr>
          <w:p>
            <w:pPr>
              <w:pStyle w:val="TableParagraph"/>
              <w:tabs>
                <w:tab w:pos="2890" w:val="left" w:leader="none"/>
              </w:tabs>
              <w:spacing w:line="234" w:lineRule="exact"/>
              <w:ind w:left="1087" w:right="0"/>
              <w:jc w:val="left"/>
              <w:rPr>
                <w:rFonts w:ascii="宋体" w:hAnsi="宋体" w:cs="宋体" w:eastAsia="宋体" w:hint="default"/>
                <w:sz w:val="20"/>
                <w:szCs w:val="20"/>
              </w:rPr>
            </w:pPr>
            <w:r>
              <w:rPr>
                <w:rFonts w:ascii="宋体" w:hAnsi="宋体" w:cs="宋体" w:eastAsia="宋体" w:hint="default"/>
                <w:spacing w:val="-1"/>
                <w:sz w:val="20"/>
                <w:szCs w:val="20"/>
              </w:rPr>
              <w:t>2013.10.25</w:t>
              <w:tab/>
            </w:r>
            <w:r>
              <w:rPr>
                <w:rFonts w:ascii="宋体" w:hAnsi="宋体" w:cs="宋体" w:eastAsia="宋体" w:hint="default"/>
                <w:sz w:val="20"/>
                <w:szCs w:val="20"/>
              </w:rPr>
              <w:t>—</w:t>
            </w:r>
          </w:p>
          <w:p>
            <w:pPr>
              <w:pStyle w:val="TableParagraph"/>
              <w:spacing w:line="260" w:lineRule="exact"/>
              <w:ind w:left="1087" w:right="0"/>
              <w:jc w:val="left"/>
              <w:rPr>
                <w:rFonts w:ascii="宋体" w:hAnsi="宋体" w:cs="宋体" w:eastAsia="宋体" w:hint="default"/>
                <w:sz w:val="20"/>
                <w:szCs w:val="20"/>
              </w:rPr>
            </w:pPr>
            <w:r>
              <w:rPr>
                <w:rFonts w:ascii="宋体"/>
                <w:sz w:val="20"/>
              </w:rPr>
              <w:t>2014.10.25</w:t>
            </w:r>
          </w:p>
        </w:tc>
      </w:tr>
      <w:tr>
        <w:trPr>
          <w:trHeight w:val="400" w:hRule="exact"/>
        </w:trPr>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004"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
        </w:tc>
        <w:tc>
          <w:tcPr>
            <w:tcW w:w="31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8"/>
              <w:ind w:left="376" w:right="0"/>
              <w:jc w:val="left"/>
              <w:rPr>
                <w:rFonts w:ascii="宋体" w:hAnsi="宋体" w:cs="宋体" w:eastAsia="宋体" w:hint="default"/>
                <w:sz w:val="18"/>
                <w:szCs w:val="18"/>
              </w:rPr>
            </w:pPr>
            <w:r>
              <w:rPr>
                <w:rFonts w:ascii="宋体" w:hAnsi="宋体" w:cs="宋体" w:eastAsia="宋体" w:hint="default"/>
                <w:sz w:val="18"/>
                <w:szCs w:val="18"/>
              </w:rPr>
              <w:t>9.2</w:t>
            </w:r>
            <w:r>
              <w:rPr>
                <w:rFonts w:ascii="宋体" w:hAnsi="宋体" w:cs="宋体" w:eastAsia="宋体" w:hint="default"/>
                <w:spacing w:val="-46"/>
                <w:sz w:val="18"/>
                <w:szCs w:val="18"/>
              </w:rPr>
              <w:t> </w:t>
            </w:r>
            <w:r>
              <w:rPr>
                <w:rFonts w:ascii="宋体" w:hAnsi="宋体" w:cs="宋体" w:eastAsia="宋体" w:hint="default"/>
                <w:sz w:val="18"/>
                <w:szCs w:val="18"/>
              </w:rPr>
              <w:t>亿</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1"/>
          <w:szCs w:val="21"/>
        </w:rPr>
      </w:pPr>
    </w:p>
    <w:p>
      <w:pPr>
        <w:pStyle w:val="Heading3"/>
        <w:spacing w:line="240" w:lineRule="auto"/>
        <w:ind w:right="114"/>
        <w:jc w:val="left"/>
        <w:rPr>
          <w:b w:val="0"/>
          <w:bCs w:val="0"/>
        </w:rPr>
      </w:pPr>
      <w:r>
        <w:rPr/>
        <w:t>(2).</w:t>
      </w:r>
      <w:r>
        <w:rPr>
          <w:spacing w:val="79"/>
        </w:rPr>
        <w:t> </w:t>
      </w:r>
      <w:r>
        <w:rPr/>
        <w:t>公司没有需要披露的重要或有事项，也应予以说明：</w:t>
      </w:r>
      <w:r>
        <w:rPr>
          <w:b w:val="0"/>
          <w:bCs w:val="0"/>
        </w:rPr>
      </w:r>
    </w:p>
    <w:p>
      <w:pPr>
        <w:pStyle w:val="BodyText"/>
        <w:spacing w:line="240" w:lineRule="auto" w:before="57"/>
        <w:ind w:right="114"/>
        <w:jc w:val="left"/>
      </w:pPr>
      <w:r>
        <w:rPr/>
        <w:t>除存在上述或有事项外，截止</w:t>
      </w:r>
      <w:r>
        <w:rPr>
          <w:spacing w:val="-60"/>
        </w:rPr>
        <w:t> </w:t>
      </w:r>
      <w:r>
        <w:rPr/>
        <w:t>2014</w:t>
      </w:r>
      <w:r>
        <w:rPr>
          <w:spacing w:val="-60"/>
        </w:rPr>
        <w:t> </w:t>
      </w:r>
      <w:r>
        <w:rPr/>
        <w:t>年</w:t>
      </w:r>
      <w:r>
        <w:rPr>
          <w:spacing w:val="-60"/>
        </w:rPr>
        <w:t> </w:t>
      </w:r>
      <w:r>
        <w:rPr/>
        <w:t>12</w:t>
      </w:r>
      <w:r>
        <w:rPr>
          <w:spacing w:val="-59"/>
        </w:rPr>
        <w:t> </w:t>
      </w:r>
      <w:r>
        <w:rPr/>
        <w:t>月</w:t>
      </w:r>
      <w:r>
        <w:rPr>
          <w:spacing w:val="-60"/>
        </w:rPr>
        <w:t> </w:t>
      </w:r>
      <w:r>
        <w:rPr/>
        <w:t>31</w:t>
      </w:r>
      <w:r>
        <w:rPr>
          <w:spacing w:val="-60"/>
        </w:rPr>
        <w:t> </w:t>
      </w:r>
      <w:r>
        <w:rPr/>
        <w:t>日，本公司无其他应披露未披露的重大或有事项。</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Heading3"/>
        <w:spacing w:line="240" w:lineRule="auto" w:before="0"/>
        <w:ind w:right="114"/>
        <w:jc w:val="left"/>
        <w:rPr>
          <w:b w:val="0"/>
          <w:bCs w:val="0"/>
        </w:rPr>
      </w:pPr>
      <w:r>
        <w:rPr/>
        <w:t>3、</w:t>
      </w:r>
      <w:r>
        <w:rPr>
          <w:spacing w:val="-4"/>
        </w:rPr>
        <w:t> </w:t>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7" w:top="1120" w:bottom="1380" w:left="1580" w:right="1040"/>
        </w:sectPr>
      </w:pPr>
    </w:p>
    <w:p>
      <w:pPr>
        <w:pStyle w:val="Heading3"/>
        <w:tabs>
          <w:tab w:pos="1057" w:val="left" w:leader="none"/>
        </w:tabs>
        <w:spacing w:line="240" w:lineRule="auto" w:before="36"/>
        <w:ind w:right="-19"/>
        <w:jc w:val="left"/>
        <w:rPr>
          <w:b w:val="0"/>
          <w:bCs w:val="0"/>
        </w:rPr>
      </w:pPr>
      <w:r>
        <w:rPr>
          <w:w w:val="95"/>
        </w:rPr>
        <w:t>十二、</w:t>
        <w:tab/>
      </w:r>
      <w:r>
        <w:rPr/>
        <w:t>资产负债表日后事项</w:t>
      </w:r>
      <w:r>
        <w:rPr>
          <w:b w:val="0"/>
          <w:bCs w:val="0"/>
        </w:rPr>
      </w:r>
    </w:p>
    <w:p>
      <w:pPr>
        <w:pStyle w:val="Heading3"/>
        <w:spacing w:line="240" w:lineRule="auto" w:before="57"/>
        <w:ind w:right="-19"/>
        <w:jc w:val="left"/>
        <w:rPr>
          <w:b w:val="0"/>
          <w:bCs w:val="0"/>
        </w:rPr>
      </w:pPr>
      <w:r>
        <w:rPr>
          <w:rFonts w:ascii="Calibri" w:hAnsi="Calibri" w:cs="Calibri" w:eastAsia="Calibri" w:hint="default"/>
        </w:rPr>
        <w:t>1</w:t>
      </w:r>
      <w:r>
        <w:rPr/>
        <w:t>、</w:t>
      </w:r>
      <w:r>
        <w:rPr>
          <w:spacing w:val="-5"/>
        </w:rPr>
        <w:t> </w:t>
      </w:r>
      <w:r>
        <w:rPr/>
        <w:t>重要的非调整事项</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right="0"/>
        <w:jc w:val="left"/>
      </w:pPr>
      <w:r>
        <w:rPr/>
        <w:t>单位：元</w:t>
        <w:tab/>
        <w:t>币种：人民币</w:t>
      </w:r>
    </w:p>
    <w:p>
      <w:pPr>
        <w:spacing w:after="0" w:line="240" w:lineRule="auto"/>
        <w:jc w:val="left"/>
        <w:sectPr>
          <w:type w:val="continuous"/>
          <w:pgSz w:w="11910" w:h="16840"/>
          <w:pgMar w:top="1080" w:bottom="1380" w:left="1580" w:right="1040"/>
          <w:cols w:num="2" w:equalWidth="0">
            <w:col w:w="2956" w:space="3567"/>
            <w:col w:w="2767"/>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429"/>
        <w:gridCol w:w="2165"/>
        <w:gridCol w:w="2262"/>
        <w:gridCol w:w="2194"/>
      </w:tblGrid>
      <w:tr>
        <w:trPr>
          <w:trHeight w:val="554"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对财务状况和经营成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果的影响数</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无法估计影响数的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283"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股票和债券的发行</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重要的对外投资</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重要的债务重组</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自然灾害</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429"/>
        <w:gridCol w:w="2165"/>
        <w:gridCol w:w="2262"/>
        <w:gridCol w:w="2194"/>
      </w:tblGrid>
      <w:tr>
        <w:trPr>
          <w:trHeight w:val="282"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外汇汇率重要变动</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2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7" w:top="1120" w:bottom="1380" w:left="1580" w:right="1040"/>
        </w:sectPr>
      </w:pPr>
    </w:p>
    <w:p>
      <w:pPr>
        <w:pStyle w:val="Heading3"/>
        <w:spacing w:line="240" w:lineRule="auto"/>
        <w:ind w:right="-18"/>
        <w:jc w:val="left"/>
        <w:rPr>
          <w:b w:val="0"/>
          <w:bCs w:val="0"/>
        </w:rPr>
      </w:pPr>
      <w:r>
        <w:rPr>
          <w:rFonts w:ascii="Calibri" w:hAnsi="Calibri" w:cs="Calibri" w:eastAsia="Calibri" w:hint="default"/>
        </w:rPr>
        <w:t>2</w:t>
      </w:r>
      <w:r>
        <w:rPr/>
        <w:t>、</w:t>
      </w:r>
      <w:r>
        <w:rPr>
          <w:spacing w:val="-6"/>
        </w:rPr>
        <w:t> </w:t>
      </w:r>
      <w:r>
        <w:rPr/>
        <w:t>利润分配情况</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tabs>
          <w:tab w:pos="1267" w:val="left" w:leader="none"/>
        </w:tabs>
        <w:spacing w:line="240" w:lineRule="auto"/>
        <w:ind w:right="0"/>
        <w:jc w:val="left"/>
      </w:pPr>
      <w:r>
        <w:rPr/>
        <w:t>单位：元</w:t>
        <w:tab/>
        <w:t>币种：人民币</w:t>
      </w:r>
    </w:p>
    <w:p>
      <w:pPr>
        <w:spacing w:after="0" w:line="240" w:lineRule="auto"/>
        <w:jc w:val="left"/>
        <w:sectPr>
          <w:type w:val="continuous"/>
          <w:pgSz w:w="11910" w:h="16840"/>
          <w:pgMar w:top="1080" w:bottom="1380" w:left="1580" w:right="1040"/>
          <w:cols w:num="2" w:equalWidth="0">
            <w:col w:w="1902" w:space="4622"/>
            <w:col w:w="2766"/>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724"/>
        <w:gridCol w:w="5326"/>
      </w:tblGrid>
      <w:tr>
        <w:trPr>
          <w:trHeight w:val="827"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以当前总股本</w:t>
            </w:r>
            <w:r>
              <w:rPr>
                <w:rFonts w:ascii="宋体" w:hAnsi="宋体" w:cs="宋体" w:eastAsia="宋体" w:hint="default"/>
                <w:spacing w:val="-71"/>
                <w:sz w:val="21"/>
                <w:szCs w:val="21"/>
              </w:rPr>
              <w:t> </w:t>
            </w:r>
            <w:r>
              <w:rPr>
                <w:rFonts w:ascii="宋体" w:hAnsi="宋体" w:cs="宋体" w:eastAsia="宋体" w:hint="default"/>
                <w:sz w:val="21"/>
                <w:szCs w:val="21"/>
              </w:rPr>
              <w:t>265,635,500</w:t>
            </w:r>
            <w:r>
              <w:rPr>
                <w:rFonts w:ascii="宋体" w:hAnsi="宋体" w:cs="宋体" w:eastAsia="宋体" w:hint="default"/>
                <w:spacing w:val="-70"/>
                <w:sz w:val="21"/>
                <w:szCs w:val="21"/>
              </w:rPr>
              <w:t> </w:t>
            </w:r>
            <w:r>
              <w:rPr>
                <w:rFonts w:ascii="宋体" w:hAnsi="宋体" w:cs="宋体" w:eastAsia="宋体" w:hint="default"/>
                <w:sz w:val="21"/>
                <w:szCs w:val="21"/>
              </w:rPr>
              <w:t>股为基数,拟向全体股东按每</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10 </w:t>
            </w:r>
            <w:r>
              <w:rPr>
                <w:rFonts w:ascii="宋体" w:hAnsi="宋体" w:cs="宋体" w:eastAsia="宋体" w:hint="default"/>
                <w:spacing w:val="2"/>
                <w:sz w:val="21"/>
                <w:szCs w:val="21"/>
              </w:rPr>
              <w:t>股派发现金红利 </w:t>
            </w:r>
            <w:r>
              <w:rPr>
                <w:rFonts w:ascii="宋体" w:hAnsi="宋体" w:cs="宋体" w:eastAsia="宋体" w:hint="default"/>
                <w:sz w:val="21"/>
                <w:szCs w:val="21"/>
              </w:rPr>
              <w:t>1.16</w:t>
            </w:r>
            <w:r>
              <w:rPr>
                <w:rFonts w:ascii="宋体" w:hAnsi="宋体" w:cs="宋体" w:eastAsia="宋体" w:hint="default"/>
                <w:spacing w:val="14"/>
                <w:sz w:val="21"/>
                <w:szCs w:val="21"/>
              </w:rPr>
              <w:t> </w:t>
            </w:r>
            <w:r>
              <w:rPr>
                <w:rFonts w:ascii="宋体" w:hAnsi="宋体" w:cs="宋体" w:eastAsia="宋体" w:hint="default"/>
                <w:spacing w:val="2"/>
                <w:sz w:val="21"/>
                <w:szCs w:val="21"/>
              </w:rPr>
              <w:t>元(含税),共计派发现金股利</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3,081.37</w:t>
            </w:r>
            <w:r>
              <w:rPr>
                <w:rFonts w:ascii="宋体" w:hAnsi="宋体" w:cs="宋体" w:eastAsia="宋体" w:hint="default"/>
                <w:spacing w:val="-57"/>
                <w:sz w:val="21"/>
                <w:szCs w:val="21"/>
              </w:rPr>
              <w:t> </w:t>
            </w:r>
            <w:r>
              <w:rPr>
                <w:rFonts w:ascii="宋体" w:hAnsi="宋体" w:cs="宋体" w:eastAsia="宋体" w:hint="default"/>
                <w:sz w:val="21"/>
                <w:szCs w:val="21"/>
              </w:rPr>
              <w:t>万元。</w:t>
            </w:r>
          </w:p>
        </w:tc>
      </w:tr>
      <w:tr>
        <w:trPr>
          <w:trHeight w:val="283"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ind w:right="114"/>
        <w:jc w:val="left"/>
        <w:rPr>
          <w:b w:val="0"/>
          <w:bCs w:val="0"/>
        </w:rPr>
      </w:pPr>
      <w:r>
        <w:rPr>
          <w:rFonts w:ascii="Calibri" w:hAnsi="Calibri" w:cs="Calibri" w:eastAsia="Calibri" w:hint="default"/>
        </w:rPr>
        <w:t>3</w:t>
      </w:r>
      <w:r>
        <w:rPr/>
        <w:t>、</w:t>
      </w:r>
      <w:r>
        <w:rPr>
          <w:spacing w:val="-4"/>
        </w:rPr>
        <w:t> </w:t>
      </w:r>
      <w:r>
        <w:rPr/>
        <w:t>销售退回</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26"/>
          <w:szCs w:val="26"/>
        </w:rPr>
      </w:pPr>
    </w:p>
    <w:p>
      <w:pPr>
        <w:pStyle w:val="Heading3"/>
        <w:spacing w:line="240" w:lineRule="auto" w:before="0"/>
        <w:ind w:right="114"/>
        <w:jc w:val="left"/>
        <w:rPr>
          <w:b w:val="0"/>
          <w:bCs w:val="0"/>
        </w:rPr>
      </w:pPr>
      <w:r>
        <w:rPr>
          <w:rFonts w:ascii="Calibri" w:hAnsi="Calibri" w:cs="Calibri" w:eastAsia="Calibri" w:hint="default"/>
        </w:rPr>
        <w:t>4</w:t>
      </w:r>
      <w:r>
        <w:rPr/>
        <w:t>、</w:t>
      </w:r>
      <w:r>
        <w:rPr>
          <w:spacing w:val="-6"/>
        </w:rPr>
        <w:t> </w:t>
      </w:r>
      <w:r>
        <w:rPr/>
        <w:t>其他资产负债表日后事项说明</w:t>
      </w:r>
      <w:r>
        <w:rPr>
          <w:b w:val="0"/>
          <w:bCs w:val="0"/>
        </w:rPr>
      </w:r>
    </w:p>
    <w:p>
      <w:pPr>
        <w:pStyle w:val="BodyText"/>
        <w:spacing w:line="357" w:lineRule="auto" w:before="90"/>
        <w:ind w:right="114" w:firstLine="420"/>
        <w:jc w:val="left"/>
      </w:pPr>
      <w:r>
        <w:rPr/>
        <w:t>经本公司第五届董事会</w:t>
      </w:r>
      <w:r>
        <w:rPr>
          <w:spacing w:val="-62"/>
        </w:rPr>
        <w:t> </w:t>
      </w:r>
      <w:r>
        <w:rPr/>
        <w:t>2015</w:t>
      </w:r>
      <w:r>
        <w:rPr>
          <w:spacing w:val="-61"/>
        </w:rPr>
        <w:t> </w:t>
      </w:r>
      <w:r>
        <w:rPr/>
        <w:t>年第二次会议决议：本公司近期拟与深圳市金微联投资企业(有</w:t>
      </w:r>
      <w:r>
        <w:rPr>
          <w:spacing w:val="-1"/>
        </w:rPr>
        <w:t> </w:t>
      </w:r>
      <w:r>
        <w:rPr>
          <w:spacing w:val="-3"/>
        </w:rPr>
        <w:t>限合伙)、深圳市金瀚联投资企业（有限合伙）共同投资设立互联网业务创新公司—深圳市金微蓝</w:t>
      </w:r>
      <w:r>
        <w:rPr>
          <w:spacing w:val="-72"/>
        </w:rPr>
        <w:t> </w:t>
      </w:r>
      <w:r>
        <w:rPr>
          <w:spacing w:val="-72"/>
        </w:rPr>
      </w:r>
      <w:r>
        <w:rPr/>
        <w:t>技术有限公司，本公司出资</w:t>
      </w:r>
      <w:r>
        <w:rPr>
          <w:spacing w:val="-54"/>
        </w:rPr>
        <w:t> </w:t>
      </w:r>
      <w:r>
        <w:rPr/>
        <w:t>1800</w:t>
      </w:r>
      <w:r>
        <w:rPr>
          <w:spacing w:val="-53"/>
        </w:rPr>
        <w:t> </w:t>
      </w:r>
      <w:r>
        <w:rPr/>
        <w:t>万，占比</w:t>
      </w:r>
      <w:r>
        <w:rPr>
          <w:spacing w:val="-54"/>
        </w:rPr>
        <w:t> </w:t>
      </w:r>
      <w:r>
        <w:rPr/>
        <w:t>60%，金微联出资</w:t>
      </w:r>
      <w:r>
        <w:rPr>
          <w:spacing w:val="-54"/>
        </w:rPr>
        <w:t> </w:t>
      </w:r>
      <w:r>
        <w:rPr/>
        <w:t>600</w:t>
      </w:r>
      <w:r>
        <w:rPr>
          <w:spacing w:val="-53"/>
        </w:rPr>
        <w:t> </w:t>
      </w:r>
      <w:r>
        <w:rPr/>
        <w:t>万，占比</w:t>
      </w:r>
      <w:r>
        <w:rPr>
          <w:spacing w:val="-55"/>
        </w:rPr>
        <w:t> </w:t>
      </w:r>
      <w:r>
        <w:rPr/>
        <w:t>20%，金瀚联出资</w:t>
      </w:r>
      <w:r>
        <w:rPr>
          <w:spacing w:val="-54"/>
        </w:rPr>
        <w:t> </w:t>
      </w:r>
      <w:r>
        <w:rPr/>
        <w:t>600</w:t>
      </w:r>
      <w:r>
        <w:rPr/>
        <w:t> 万，占比</w:t>
      </w:r>
      <w:r>
        <w:rPr>
          <w:spacing w:val="-62"/>
        </w:rPr>
        <w:t> </w:t>
      </w:r>
      <w:r>
        <w:rPr/>
        <w:t>20%；为加快实现证券行业互联互通，并优化公司股权结构以适应未来发展的需要，证</w:t>
      </w:r>
      <w:r>
        <w:rPr>
          <w:spacing w:val="-1"/>
        </w:rPr>
        <w:t> </w:t>
      </w:r>
      <w:r>
        <w:rPr/>
        <w:t>通股份有限公司（简称证通股份）将进行增资扩股工作，本公司投资</w:t>
      </w:r>
      <w:r>
        <w:rPr>
          <w:spacing w:val="-68"/>
        </w:rPr>
        <w:t> </w:t>
      </w:r>
      <w:r>
        <w:rPr/>
        <w:t>2500</w:t>
      </w:r>
      <w:r>
        <w:rPr>
          <w:spacing w:val="-67"/>
        </w:rPr>
        <w:t> </w:t>
      </w:r>
      <w:r>
        <w:rPr/>
        <w:t>万元参与其增资扩股，</w:t>
      </w:r>
      <w:r>
        <w:rPr>
          <w:spacing w:val="-1"/>
        </w:rPr>
        <w:t> </w:t>
      </w:r>
      <w:r>
        <w:rPr/>
        <w:t>约占证通股份本次增资扩股后总股本的</w:t>
      </w:r>
      <w:r>
        <w:rPr>
          <w:spacing w:val="-54"/>
        </w:rPr>
        <w:t> </w:t>
      </w:r>
      <w:r>
        <w:rPr/>
        <w:t>1.25%（具体以最终实际工商变更登记为准）；本公司控</w:t>
      </w:r>
      <w:r>
        <w:rPr/>
        <w:t> 股子公司深圳市齐普生信息科技有限公司因经营需要拟向银行申请授信壹亿玖千伍佰万元，本公 司拟为齐普生公司的贷款提供连带责任担保。</w:t>
      </w:r>
    </w:p>
    <w:p>
      <w:pPr>
        <w:pStyle w:val="BodyText"/>
        <w:spacing w:line="272" w:lineRule="exact" w:before="58"/>
        <w:ind w:right="227" w:firstLine="420"/>
        <w:jc w:val="left"/>
      </w:pPr>
      <w:r>
        <w:rPr/>
        <w:t>除存在上述资产负债表日后事项外，截止财务报告日，本公司无其他应披露未披露的重要资 产负债表日后事项的。</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1580" w:right="1040"/>
        </w:sectPr>
      </w:pPr>
    </w:p>
    <w:p>
      <w:pPr>
        <w:pStyle w:val="Heading3"/>
        <w:spacing w:line="290" w:lineRule="auto"/>
        <w:ind w:right="0"/>
        <w:jc w:val="both"/>
        <w:rPr>
          <w:b w:val="0"/>
          <w:bCs w:val="0"/>
        </w:rPr>
      </w:pPr>
      <w:r>
        <w:rPr/>
        <w:t>十三、</w:t>
      </w:r>
      <w:r>
        <w:rPr>
          <w:spacing w:val="98"/>
        </w:rPr>
        <w:t> </w:t>
      </w:r>
      <w:r>
        <w:rPr/>
        <w:t>其他重要事项</w:t>
      </w:r>
      <w:r>
        <w:rPr>
          <w:w w:val="99"/>
        </w:rPr>
        <w:t> </w:t>
      </w:r>
      <w:r>
        <w:rPr/>
        <w:t>1、</w:t>
      </w:r>
      <w:r>
        <w:rPr>
          <w:spacing w:val="-5"/>
        </w:rPr>
        <w:t> </w:t>
      </w:r>
      <w:r>
        <w:rPr/>
        <w:t>前期会计差错更正</w:t>
      </w:r>
      <w:r>
        <w:rPr>
          <w:spacing w:val="1"/>
          <w:w w:val="99"/>
        </w:rPr>
        <w:t> </w:t>
      </w:r>
      <w:r>
        <w:rPr/>
        <w:t>(1).</w:t>
      </w:r>
      <w:r>
        <w:rPr>
          <w:spacing w:val="69"/>
        </w:rPr>
        <w:t> </w:t>
      </w:r>
      <w:r>
        <w:rPr/>
        <w:t>追溯重述法</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163" w:val="left" w:leader="none"/>
        </w:tabs>
        <w:spacing w:line="240" w:lineRule="auto"/>
        <w:ind w:right="0"/>
        <w:jc w:val="left"/>
      </w:pPr>
      <w:r>
        <w:rPr/>
        <w:t>单位:元</w:t>
        <w:tab/>
        <w:t>币种：人民币</w:t>
      </w:r>
    </w:p>
    <w:p>
      <w:pPr>
        <w:spacing w:after="0" w:line="240" w:lineRule="auto"/>
        <w:jc w:val="left"/>
        <w:sectPr>
          <w:type w:val="continuous"/>
          <w:pgSz w:w="11910" w:h="16840"/>
          <w:pgMar w:top="1080" w:bottom="1380" w:left="1580" w:right="1040"/>
          <w:cols w:num="2" w:equalWidth="0">
            <w:col w:w="2325" w:space="4304"/>
            <w:col w:w="2661"/>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263"/>
        <w:gridCol w:w="2262"/>
        <w:gridCol w:w="2262"/>
        <w:gridCol w:w="2262"/>
      </w:tblGrid>
      <w:tr>
        <w:trPr>
          <w:trHeight w:val="554"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1" w:right="0"/>
              <w:jc w:val="left"/>
              <w:rPr>
                <w:rFonts w:ascii="宋体" w:hAnsi="宋体" w:cs="宋体" w:eastAsia="宋体" w:hint="default"/>
                <w:sz w:val="21"/>
                <w:szCs w:val="21"/>
              </w:rPr>
            </w:pPr>
            <w:r>
              <w:rPr>
                <w:rFonts w:ascii="宋体" w:hAnsi="宋体" w:cs="宋体" w:eastAsia="宋体" w:hint="default"/>
                <w:sz w:val="21"/>
                <w:szCs w:val="21"/>
              </w:rPr>
              <w:t>会计差错更正的内容</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04" w:right="0"/>
              <w:jc w:val="left"/>
              <w:rPr>
                <w:rFonts w:ascii="宋体" w:hAnsi="宋体" w:cs="宋体" w:eastAsia="宋体" w:hint="default"/>
                <w:sz w:val="21"/>
                <w:szCs w:val="21"/>
              </w:rPr>
            </w:pPr>
            <w:r>
              <w:rPr>
                <w:rFonts w:ascii="宋体" w:hAnsi="宋体" w:cs="宋体" w:eastAsia="宋体" w:hint="default"/>
                <w:sz w:val="21"/>
                <w:szCs w:val="21"/>
              </w:rPr>
              <w:t>处理程序</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受影响的各个比较期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间报表项目名称</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99" w:right="0"/>
              <w:jc w:val="left"/>
              <w:rPr>
                <w:rFonts w:ascii="宋体" w:hAnsi="宋体" w:cs="宋体" w:eastAsia="宋体" w:hint="default"/>
                <w:sz w:val="21"/>
                <w:szCs w:val="21"/>
              </w:rPr>
            </w:pPr>
            <w:r>
              <w:rPr>
                <w:rFonts w:ascii="宋体" w:hAnsi="宋体" w:cs="宋体" w:eastAsia="宋体" w:hint="default"/>
                <w:sz w:val="21"/>
                <w:szCs w:val="21"/>
              </w:rPr>
              <w:t>累积影响数</w:t>
            </w:r>
          </w:p>
        </w:tc>
      </w:tr>
      <w:tr>
        <w:trPr>
          <w:trHeight w:val="282" w:hRule="exact"/>
        </w:trPr>
        <w:tc>
          <w:tcPr>
            <w:tcW w:w="2263"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3"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ind w:right="114"/>
        <w:jc w:val="left"/>
        <w:rPr>
          <w:b w:val="0"/>
          <w:bCs w:val="0"/>
        </w:rPr>
      </w:pPr>
      <w:r>
        <w:rPr/>
        <w:t>(2).</w:t>
      </w:r>
      <w:r>
        <w:rPr>
          <w:spacing w:val="69"/>
        </w:rPr>
        <w:t> </w:t>
      </w:r>
      <w:r>
        <w:rPr/>
        <w:t>未来适用法</w:t>
      </w:r>
      <w:r>
        <w:rPr>
          <w:b w:val="0"/>
          <w:bCs w:val="0"/>
        </w:rPr>
      </w:r>
    </w:p>
    <w:p>
      <w:pPr>
        <w:spacing w:line="240" w:lineRule="auto" w:before="1"/>
        <w:rPr>
          <w:rFonts w:ascii="宋体" w:hAnsi="宋体" w:cs="宋体" w:eastAsia="宋体" w:hint="default"/>
          <w:b/>
          <w:bCs/>
          <w:sz w:val="7"/>
          <w:szCs w:val="7"/>
        </w:rPr>
      </w:pPr>
    </w:p>
    <w:tbl>
      <w:tblPr>
        <w:tblW w:w="0" w:type="auto"/>
        <w:jc w:val="left"/>
        <w:tblInd w:w="104" w:type="dxa"/>
        <w:tblLayout w:type="fixed"/>
        <w:tblCellMar>
          <w:top w:w="0" w:type="dxa"/>
          <w:left w:w="0" w:type="dxa"/>
          <w:bottom w:w="0" w:type="dxa"/>
          <w:right w:w="0" w:type="dxa"/>
        </w:tblCellMar>
        <w:tblLook w:val="01E0"/>
      </w:tblPr>
      <w:tblGrid>
        <w:gridCol w:w="3017"/>
        <w:gridCol w:w="3017"/>
        <w:gridCol w:w="3016"/>
      </w:tblGrid>
      <w:tr>
        <w:trPr>
          <w:trHeight w:val="28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7" w:right="0"/>
              <w:jc w:val="left"/>
              <w:rPr>
                <w:rFonts w:ascii="宋体" w:hAnsi="宋体" w:cs="宋体" w:eastAsia="宋体" w:hint="default"/>
                <w:sz w:val="21"/>
                <w:szCs w:val="21"/>
              </w:rPr>
            </w:pPr>
            <w:r>
              <w:rPr>
                <w:rFonts w:ascii="宋体" w:hAnsi="宋体" w:cs="宋体" w:eastAsia="宋体" w:hint="default"/>
                <w:sz w:val="21"/>
                <w:szCs w:val="21"/>
              </w:rPr>
              <w:t>会计差错更正的内容</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批准程序</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sz w:val="21"/>
                <w:szCs w:val="21"/>
              </w:rPr>
              <w:t>采用未来适用法的原因</w:t>
            </w:r>
          </w:p>
        </w:tc>
      </w:tr>
      <w:tr>
        <w:trPr>
          <w:trHeight w:val="282"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c>
          <w:tcPr>
            <w:tcW w:w="30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c>
          <w:tcPr>
            <w:tcW w:w="30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pStyle w:val="Heading3"/>
        <w:spacing w:line="240" w:lineRule="auto"/>
        <w:ind w:right="114"/>
        <w:jc w:val="left"/>
        <w:rPr>
          <w:b w:val="0"/>
          <w:bCs w:val="0"/>
        </w:rPr>
      </w:pPr>
      <w:r>
        <w:rPr/>
        <w:t>2、</w:t>
      </w:r>
      <w:r>
        <w:rPr>
          <w:spacing w:val="-3"/>
        </w:rPr>
        <w:t> </w:t>
      </w:r>
      <w:r>
        <w:rPr/>
        <w:t>债务重组</w:t>
      </w:r>
      <w:r>
        <w:rPr>
          <w:b w:val="0"/>
          <w:bCs w:val="0"/>
        </w:rPr>
      </w:r>
    </w:p>
    <w:p>
      <w:pPr>
        <w:spacing w:after="0" w:line="240" w:lineRule="auto"/>
        <w:jc w:val="left"/>
        <w:sectPr>
          <w:type w:val="continuous"/>
          <w:pgSz w:w="11910" w:h="16840"/>
          <w:pgMar w:top="1080" w:bottom="138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40" w:lineRule="auto" w:before="174"/>
        <w:ind w:right="114"/>
        <w:jc w:val="left"/>
        <w:rPr>
          <w:b w:val="0"/>
          <w:bCs w:val="0"/>
        </w:rPr>
      </w:pPr>
      <w:r>
        <w:rPr/>
        <w:t>3、</w:t>
      </w:r>
      <w:r>
        <w:rPr>
          <w:spacing w:val="-3"/>
        </w:rPr>
        <w:t> </w:t>
      </w:r>
      <w:r>
        <w:rPr/>
        <w:t>资产置换</w:t>
      </w:r>
      <w:r>
        <w:rPr>
          <w:b w:val="0"/>
          <w:bCs w:val="0"/>
        </w:rPr>
      </w:r>
    </w:p>
    <w:p>
      <w:pPr>
        <w:pStyle w:val="Heading3"/>
        <w:tabs>
          <w:tab w:pos="861" w:val="left" w:leader="none"/>
        </w:tabs>
        <w:spacing w:line="240" w:lineRule="auto" w:before="57"/>
        <w:ind w:right="114"/>
        <w:jc w:val="left"/>
        <w:rPr>
          <w:b w:val="0"/>
          <w:bCs w:val="0"/>
        </w:rPr>
      </w:pPr>
      <w:r>
        <w:rPr>
          <w:w w:val="95"/>
        </w:rPr>
        <w:t>(1).</w:t>
        <w:tab/>
      </w:r>
      <w:r>
        <w:rPr/>
        <w:t>非货币性资产交换</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Heading3"/>
        <w:tabs>
          <w:tab w:pos="861" w:val="left" w:leader="none"/>
        </w:tabs>
        <w:spacing w:line="240" w:lineRule="auto" w:before="0"/>
        <w:ind w:right="114"/>
        <w:jc w:val="left"/>
        <w:rPr>
          <w:b w:val="0"/>
          <w:bCs w:val="0"/>
        </w:rPr>
      </w:pPr>
      <w:r>
        <w:rPr>
          <w:w w:val="95"/>
        </w:rPr>
        <w:t>(2).</w:t>
        <w:tab/>
      </w:r>
      <w:r>
        <w:rPr/>
        <w:t>其他资产置换</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40" w:lineRule="auto" w:before="139"/>
        <w:ind w:right="114"/>
        <w:jc w:val="left"/>
        <w:rPr>
          <w:b w:val="0"/>
          <w:bCs w:val="0"/>
        </w:rPr>
      </w:pPr>
      <w:r>
        <w:rPr/>
        <w:t>4、</w:t>
      </w:r>
      <w:r>
        <w:rPr>
          <w:spacing w:val="-3"/>
        </w:rPr>
        <w:t> </w:t>
      </w:r>
      <w:r>
        <w:rPr/>
        <w:t>年金计划</w:t>
      </w:r>
      <w:r>
        <w:rPr>
          <w:b w:val="0"/>
          <w:bCs w:val="0"/>
        </w:rPr>
      </w:r>
    </w:p>
    <w:p>
      <w:pPr>
        <w:spacing w:line="240" w:lineRule="auto" w:before="8"/>
        <w:rPr>
          <w:rFonts w:ascii="宋体" w:hAnsi="宋体" w:cs="宋体" w:eastAsia="宋体" w:hint="default"/>
          <w:b/>
          <w:bCs/>
          <w:sz w:val="24"/>
          <w:szCs w:val="24"/>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a">
                <v:path arrowok="t"/>
              </v:shape>
            </v:group>
          </v:group>
        </w:pict>
      </w:r>
      <w:r>
        <w:rPr>
          <w:rFonts w:ascii="宋体" w:hAnsi="宋体" w:cs="宋体" w:eastAsia="宋体" w:hint="default"/>
          <w:sz w:val="2"/>
          <w:szCs w:val="2"/>
        </w:rPr>
      </w:r>
    </w:p>
    <w:p>
      <w:pPr>
        <w:pStyle w:val="Heading3"/>
        <w:spacing w:line="240" w:lineRule="auto" w:before="31"/>
        <w:ind w:right="114"/>
        <w:jc w:val="left"/>
        <w:rPr>
          <w:b w:val="0"/>
          <w:bCs w:val="0"/>
        </w:rPr>
      </w:pPr>
      <w:r>
        <w:rPr/>
        <w:t>5、</w:t>
      </w:r>
      <w:r>
        <w:rPr>
          <w:spacing w:val="-3"/>
        </w:rPr>
        <w:t> </w:t>
      </w:r>
      <w:r>
        <w:rPr/>
        <w:t>终止经营</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237"/>
        <w:gridCol w:w="1193"/>
        <w:gridCol w:w="1181"/>
        <w:gridCol w:w="1181"/>
        <w:gridCol w:w="1180"/>
        <w:gridCol w:w="1181"/>
        <w:gridCol w:w="1741"/>
      </w:tblGrid>
      <w:tr>
        <w:trPr>
          <w:trHeight w:val="554" w:hRule="exact"/>
        </w:trPr>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0"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5"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65"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归属于母公司所有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者的终止经营利润</w:t>
            </w:r>
          </w:p>
        </w:tc>
      </w:tr>
      <w:tr>
        <w:trPr>
          <w:trHeight w:val="283" w:hRule="exact"/>
        </w:trPr>
        <w:tc>
          <w:tcPr>
            <w:tcW w:w="123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3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4"/>
        <w:ind w:right="114"/>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114"/>
        <w:jc w:val="left"/>
        <w:rPr>
          <w:b w:val="0"/>
          <w:bCs w:val="0"/>
        </w:rPr>
      </w:pPr>
      <w:r>
        <w:rPr/>
        <w:t>6、</w:t>
      </w:r>
      <w:r>
        <w:rPr>
          <w:spacing w:val="-3"/>
        </w:rPr>
        <w:t> </w:t>
      </w:r>
      <w:r>
        <w:rPr/>
        <w:t>分部信息</w:t>
      </w:r>
      <w:r>
        <w:rPr>
          <w:b w:val="0"/>
          <w:bCs w:val="0"/>
        </w:rPr>
      </w:r>
    </w:p>
    <w:p>
      <w:pPr>
        <w:pStyle w:val="Heading3"/>
        <w:tabs>
          <w:tab w:pos="861" w:val="left" w:leader="none"/>
        </w:tabs>
        <w:spacing w:line="240" w:lineRule="auto" w:before="57"/>
        <w:ind w:right="114"/>
        <w:jc w:val="left"/>
        <w:rPr>
          <w:b w:val="0"/>
          <w:bCs w:val="0"/>
        </w:rPr>
      </w:pPr>
      <w:r>
        <w:rPr>
          <w:w w:val="95"/>
        </w:rPr>
        <w:t>(1).</w:t>
        <w:tab/>
      </w:r>
      <w:r>
        <w:rPr/>
        <w:t>报告分部的确定依据与会计政策：</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a">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3"/>
        <w:tabs>
          <w:tab w:pos="861" w:val="left" w:leader="none"/>
        </w:tabs>
        <w:spacing w:line="240" w:lineRule="auto"/>
        <w:ind w:right="114"/>
        <w:jc w:val="left"/>
        <w:rPr>
          <w:b w:val="0"/>
          <w:bCs w:val="0"/>
        </w:rPr>
      </w:pPr>
      <w:r>
        <w:rPr>
          <w:w w:val="95"/>
        </w:rPr>
        <w:t>(2).</w:t>
        <w:tab/>
      </w:r>
      <w:r>
        <w:rPr/>
        <w:t>报告分部的财务信息</w:t>
      </w:r>
      <w:r>
        <w:rPr>
          <w:b w:val="0"/>
          <w:bCs w:val="0"/>
        </w:rPr>
      </w:r>
    </w:p>
    <w:p>
      <w:pPr>
        <w:pStyle w:val="BodyText"/>
        <w:tabs>
          <w:tab w:pos="1049" w:val="left" w:leader="none"/>
        </w:tabs>
        <w:spacing w:line="240" w:lineRule="auto" w:before="57"/>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663"/>
        <w:gridCol w:w="2134"/>
        <w:gridCol w:w="2119"/>
        <w:gridCol w:w="2134"/>
      </w:tblGrid>
      <w:tr>
        <w:trPr>
          <w:trHeight w:val="282"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分部</w:t>
            </w:r>
            <w:r>
              <w:rPr>
                <w:rFonts w:ascii="宋体" w:hAnsi="宋体" w:cs="宋体" w:eastAsia="宋体" w:hint="default"/>
                <w:spacing w:val="-54"/>
                <w:sz w:val="21"/>
                <w:szCs w:val="21"/>
              </w:rPr>
              <w:t> </w:t>
            </w:r>
            <w:r>
              <w:rPr>
                <w:rFonts w:ascii="宋体" w:hAnsi="宋体" w:cs="宋体" w:eastAsia="宋体" w:hint="default"/>
                <w:sz w:val="21"/>
                <w:szCs w:val="21"/>
              </w:rPr>
              <w:t>1</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2" w:hRule="exact"/>
        </w:trPr>
        <w:tc>
          <w:tcPr>
            <w:tcW w:w="2663"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3"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tabs>
          <w:tab w:pos="861" w:val="left" w:leader="none"/>
        </w:tabs>
        <w:spacing w:line="240" w:lineRule="auto"/>
        <w:ind w:right="114"/>
        <w:jc w:val="left"/>
        <w:rPr>
          <w:b w:val="0"/>
          <w:bCs w:val="0"/>
        </w:rPr>
      </w:pPr>
      <w:r>
        <w:rPr>
          <w:w w:val="95"/>
        </w:rPr>
        <w:t>(3).</w:t>
        <w:tab/>
      </w:r>
      <w:r>
        <w:rPr/>
        <w:t>公司无报告分部的，或者不能披露各报告分部的资产总额和负债总额的，应说明原因</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tabs>
          <w:tab w:pos="861" w:val="left" w:leader="none"/>
        </w:tabs>
        <w:spacing w:line="240" w:lineRule="auto" w:before="139"/>
        <w:ind w:right="114"/>
        <w:jc w:val="left"/>
        <w:rPr>
          <w:b w:val="0"/>
          <w:bCs w:val="0"/>
        </w:rPr>
      </w:pPr>
      <w:r>
        <w:rPr>
          <w:w w:val="95"/>
        </w:rPr>
        <w:t>(4).</w:t>
        <w:tab/>
      </w:r>
      <w:r>
        <w:rPr/>
        <w:t>其他说明：</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40" w:lineRule="auto" w:before="139"/>
        <w:ind w:right="114"/>
        <w:jc w:val="left"/>
        <w:rPr>
          <w:b w:val="0"/>
          <w:bCs w:val="0"/>
        </w:rPr>
      </w:pPr>
      <w:r>
        <w:rPr/>
        <w:t>7、</w:t>
      </w:r>
      <w:r>
        <w:rPr>
          <w:spacing w:val="-7"/>
        </w:rPr>
        <w:t> </w:t>
      </w:r>
      <w:r>
        <w:rPr/>
        <w:t>其他对投资者决策有影响的重要交易和事项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Heading3"/>
        <w:spacing w:line="240" w:lineRule="auto" w:before="0"/>
        <w:ind w:right="114"/>
        <w:jc w:val="left"/>
        <w:rPr>
          <w:b w:val="0"/>
          <w:bCs w:val="0"/>
        </w:rPr>
      </w:pPr>
      <w:r>
        <w:rPr/>
        <w:t>8、</w:t>
      </w:r>
      <w:r>
        <w:rPr>
          <w:spacing w:val="-4"/>
        </w:rPr>
        <w:t> </w:t>
      </w:r>
      <w:r>
        <w:rPr/>
        <w:t>其他</w:t>
      </w:r>
      <w:r>
        <w:rPr>
          <w:b w:val="0"/>
          <w:bCs w:val="0"/>
        </w:rPr>
      </w:r>
    </w:p>
    <w:p>
      <w:pPr>
        <w:pStyle w:val="BodyText"/>
        <w:spacing w:line="350" w:lineRule="auto" w:before="167"/>
        <w:ind w:right="227"/>
        <w:jc w:val="left"/>
      </w:pPr>
      <w:r>
        <w:rPr/>
        <w:t>（一）关于子公司—深圳市齐普生信息科技有限公司与洪雅发展投资控股有限责任公司之间的基 础设施建设项目（BT）的情况 本公司之子公司—深圳市齐普生信息科技有限公司（本节中简称“乙方”或“齐普生”）与洪雅</w:t>
      </w:r>
    </w:p>
    <w:p>
      <w:pPr>
        <w:spacing w:after="0" w:line="350" w:lineRule="auto"/>
        <w:jc w:val="left"/>
        <w:sectPr>
          <w:footerReference w:type="default" r:id="rId130"/>
          <w:pgSz w:w="11910" w:h="16840"/>
          <w:pgMar w:footer="1747" w:header="882" w:top="1120" w:bottom="1940" w:left="1580" w:right="1040"/>
          <w:pgNumType w:start="178"/>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348" w:lineRule="auto"/>
        <w:ind w:left="137" w:right="207"/>
        <w:jc w:val="left"/>
      </w:pPr>
      <w:r>
        <w:rPr/>
        <w:t>订《洪雅县机械化工产业园区、建材产业园区、生态食品加工产业园区基础设施建设项目(BT)协 </w:t>
      </w:r>
      <w:r>
        <w:rPr>
          <w:spacing w:val="-8"/>
        </w:rPr>
        <w:t>议书》，上述</w:t>
      </w:r>
      <w:r>
        <w:rPr>
          <w:spacing w:val="-54"/>
        </w:rPr>
        <w:t> </w:t>
      </w:r>
      <w:r>
        <w:rPr/>
        <w:t>BT</w:t>
      </w:r>
      <w:r>
        <w:rPr>
          <w:spacing w:val="-53"/>
        </w:rPr>
        <w:t> </w:t>
      </w:r>
      <w:r>
        <w:rPr/>
        <w:t>项目齐普生分别于</w:t>
      </w:r>
      <w:r>
        <w:rPr>
          <w:spacing w:val="-54"/>
        </w:rPr>
        <w:t> </w:t>
      </w:r>
      <w:r>
        <w:rPr/>
        <w:t>2012</w:t>
      </w:r>
      <w:r>
        <w:rPr>
          <w:spacing w:val="-53"/>
        </w:rPr>
        <w:t> </w:t>
      </w:r>
      <w:r>
        <w:rPr/>
        <w:t>年</w:t>
      </w:r>
      <w:r>
        <w:rPr>
          <w:spacing w:val="-55"/>
        </w:rPr>
        <w:t> </w:t>
      </w:r>
      <w:r>
        <w:rPr/>
        <w:t>1</w:t>
      </w:r>
      <w:r>
        <w:rPr>
          <w:spacing w:val="-53"/>
        </w:rPr>
        <w:t> </w:t>
      </w:r>
      <w:r>
        <w:rPr/>
        <w:t>月</w:t>
      </w:r>
      <w:r>
        <w:rPr>
          <w:spacing w:val="-55"/>
        </w:rPr>
        <w:t> </w:t>
      </w:r>
      <w:r>
        <w:rPr/>
        <w:t>13</w:t>
      </w:r>
      <w:r>
        <w:rPr>
          <w:spacing w:val="-53"/>
        </w:rPr>
        <w:t> </w:t>
      </w:r>
      <w:r>
        <w:rPr>
          <w:spacing w:val="-5"/>
        </w:rPr>
        <w:t>日、2012</w:t>
      </w:r>
      <w:r>
        <w:rPr>
          <w:spacing w:val="-54"/>
        </w:rPr>
        <w:t> </w:t>
      </w:r>
      <w:r>
        <w:rPr/>
        <w:t>年</w:t>
      </w:r>
      <w:r>
        <w:rPr>
          <w:spacing w:val="-54"/>
        </w:rPr>
        <w:t> </w:t>
      </w:r>
      <w:r>
        <w:rPr/>
        <w:t>3</w:t>
      </w:r>
      <w:r>
        <w:rPr>
          <w:spacing w:val="-53"/>
        </w:rPr>
        <w:t> </w:t>
      </w:r>
      <w:r>
        <w:rPr/>
        <w:t>月</w:t>
      </w:r>
      <w:r>
        <w:rPr>
          <w:spacing w:val="-55"/>
        </w:rPr>
        <w:t> </w:t>
      </w:r>
      <w:r>
        <w:rPr/>
        <w:t>22</w:t>
      </w:r>
      <w:r>
        <w:rPr>
          <w:spacing w:val="-53"/>
        </w:rPr>
        <w:t> </w:t>
      </w:r>
      <w:r>
        <w:rPr>
          <w:spacing w:val="-5"/>
        </w:rPr>
        <w:t>日、2012</w:t>
      </w:r>
      <w:r>
        <w:rPr>
          <w:spacing w:val="-54"/>
        </w:rPr>
        <w:t> </w:t>
      </w:r>
      <w:r>
        <w:rPr/>
        <w:t>年</w:t>
      </w:r>
      <w:r>
        <w:rPr>
          <w:spacing w:val="-54"/>
        </w:rPr>
        <w:t> </w:t>
      </w:r>
      <w:r>
        <w:rPr/>
        <w:t>4</w:t>
      </w:r>
      <w:r>
        <w:rPr>
          <w:spacing w:val="-54"/>
        </w:rPr>
        <w:t> </w:t>
      </w:r>
      <w:r>
        <w:rPr/>
        <w:t>月</w:t>
      </w:r>
      <w:r>
        <w:rPr>
          <w:spacing w:val="-54"/>
        </w:rPr>
        <w:t> </w:t>
      </w:r>
      <w:r>
        <w:rPr/>
        <w:t>1</w:t>
      </w:r>
      <w:r>
        <w:rPr>
          <w:spacing w:val="-53"/>
        </w:rPr>
        <w:t> </w:t>
      </w:r>
      <w:r>
        <w:rPr/>
        <w:t>日交付</w:t>
      </w:r>
    </w:p>
    <w:p>
      <w:pPr>
        <w:pStyle w:val="BodyText"/>
        <w:spacing w:line="240" w:lineRule="auto" w:before="31"/>
        <w:ind w:left="137" w:right="98"/>
        <w:jc w:val="left"/>
      </w:pPr>
      <w:r>
        <w:rPr/>
        <w:t>验收，依据</w:t>
      </w:r>
      <w:r>
        <w:rPr>
          <w:spacing w:val="-58"/>
        </w:rPr>
        <w:t> </w:t>
      </w:r>
      <w:r>
        <w:rPr/>
        <w:t>2013</w:t>
      </w:r>
      <w:r>
        <w:rPr>
          <w:spacing w:val="-57"/>
        </w:rPr>
        <w:t> </w:t>
      </w:r>
      <w:r>
        <w:rPr/>
        <w:t>年</w:t>
      </w:r>
      <w:r>
        <w:rPr>
          <w:spacing w:val="-59"/>
        </w:rPr>
        <w:t> </w:t>
      </w:r>
      <w:r>
        <w:rPr/>
        <w:t>8</w:t>
      </w:r>
      <w:r>
        <w:rPr>
          <w:spacing w:val="-57"/>
        </w:rPr>
        <w:t> </w:t>
      </w:r>
      <w:r>
        <w:rPr/>
        <w:t>月</w:t>
      </w:r>
      <w:r>
        <w:rPr>
          <w:spacing w:val="-59"/>
        </w:rPr>
        <w:t> </w:t>
      </w:r>
      <w:r>
        <w:rPr/>
        <w:t>6</w:t>
      </w:r>
      <w:r>
        <w:rPr>
          <w:spacing w:val="-58"/>
        </w:rPr>
        <w:t> </w:t>
      </w:r>
      <w:r>
        <w:rPr/>
        <w:t>日各方确认的建设工程结算审计确认书，该</w:t>
      </w:r>
      <w:r>
        <w:rPr>
          <w:spacing w:val="-58"/>
        </w:rPr>
        <w:t> </w:t>
      </w:r>
      <w:r>
        <w:rPr/>
        <w:t>BT</w:t>
      </w:r>
      <w:r>
        <w:rPr>
          <w:spacing w:val="-58"/>
        </w:rPr>
        <w:t> </w:t>
      </w:r>
      <w:r>
        <w:rPr/>
        <w:t>项目最终审计的工程总</w:t>
      </w:r>
    </w:p>
    <w:p>
      <w:pPr>
        <w:pStyle w:val="BodyText"/>
        <w:spacing w:line="240" w:lineRule="auto" w:before="125"/>
        <w:ind w:left="137" w:right="98"/>
        <w:jc w:val="left"/>
      </w:pPr>
      <w:r>
        <w:rPr/>
        <w:t>造价为</w:t>
      </w:r>
      <w:r>
        <w:rPr>
          <w:spacing w:val="-58"/>
        </w:rPr>
        <w:t> </w:t>
      </w:r>
      <w:r>
        <w:rPr/>
        <w:t>82,351,883.70</w:t>
      </w:r>
      <w:r>
        <w:rPr>
          <w:spacing w:val="-57"/>
        </w:rPr>
        <w:t> </w:t>
      </w:r>
      <w:r>
        <w:rPr/>
        <w:t>元。</w:t>
      </w:r>
    </w:p>
    <w:p>
      <w:pPr>
        <w:pStyle w:val="BodyText"/>
        <w:spacing w:line="350" w:lineRule="auto" w:before="125"/>
        <w:ind w:left="137" w:right="227"/>
        <w:jc w:val="left"/>
      </w:pPr>
      <w:r>
        <w:rPr/>
        <w:t>本公司已按上述最终审计的工程总造价向施工单位全额支付了工程建设款。2014</w:t>
      </w:r>
      <w:r>
        <w:rPr>
          <w:spacing w:val="-87"/>
        </w:rPr>
        <w:t> </w:t>
      </w:r>
      <w:r>
        <w:rPr/>
        <w:t>年度本公司共收</w:t>
      </w:r>
      <w:r>
        <w:rPr/>
        <w:t> 到洪雅发展投资控股有限责任公司支付的回购款合计</w:t>
      </w:r>
      <w:r>
        <w:rPr>
          <w:spacing w:val="-58"/>
        </w:rPr>
        <w:t> </w:t>
      </w:r>
      <w:r>
        <w:rPr/>
        <w:t>2300</w:t>
      </w:r>
      <w:r>
        <w:rPr>
          <w:spacing w:val="-58"/>
        </w:rPr>
        <w:t> </w:t>
      </w:r>
      <w:r>
        <w:rPr/>
        <w:t>万元，截止</w:t>
      </w:r>
      <w:r>
        <w:rPr>
          <w:spacing w:val="-58"/>
        </w:rPr>
        <w:t> </w:t>
      </w:r>
      <w:r>
        <w:rPr/>
        <w:t>2014</w:t>
      </w:r>
      <w:r>
        <w:rPr>
          <w:spacing w:val="-57"/>
        </w:rPr>
        <w:t> </w:t>
      </w:r>
      <w:r>
        <w:rPr/>
        <w:t>年</w:t>
      </w:r>
      <w:r>
        <w:rPr>
          <w:spacing w:val="-59"/>
        </w:rPr>
        <w:t> </w:t>
      </w:r>
      <w:r>
        <w:rPr/>
        <w:t>12</w:t>
      </w:r>
      <w:r>
        <w:rPr>
          <w:spacing w:val="-58"/>
        </w:rPr>
        <w:t> </w:t>
      </w:r>
      <w:r>
        <w:rPr/>
        <w:t>月</w:t>
      </w:r>
      <w:r>
        <w:rPr>
          <w:spacing w:val="-59"/>
        </w:rPr>
        <w:t> </w:t>
      </w:r>
      <w:r>
        <w:rPr/>
        <w:t>31</w:t>
      </w:r>
      <w:r>
        <w:rPr>
          <w:spacing w:val="-57"/>
        </w:rPr>
        <w:t> </w:t>
      </w:r>
      <w:r>
        <w:rPr/>
        <w:t>日本公司</w:t>
      </w:r>
    </w:p>
    <w:p>
      <w:pPr>
        <w:pStyle w:val="BodyText"/>
        <w:spacing w:line="240" w:lineRule="auto" w:before="28"/>
        <w:ind w:left="137" w:right="98"/>
        <w:jc w:val="left"/>
      </w:pPr>
      <w:r>
        <w:rPr/>
        <w:t>按原合同约定应收该项目工程款及投资回报余额为</w:t>
      </w:r>
      <w:r>
        <w:rPr>
          <w:spacing w:val="-54"/>
        </w:rPr>
        <w:t> </w:t>
      </w:r>
      <w:r>
        <w:rPr/>
        <w:t>43,909,871.47</w:t>
      </w:r>
      <w:r>
        <w:rPr>
          <w:spacing w:val="-53"/>
        </w:rPr>
        <w:t> </w:t>
      </w:r>
      <w:r>
        <w:rPr/>
        <w:t>元，资产负债表日后于</w:t>
      </w:r>
      <w:r>
        <w:rPr>
          <w:spacing w:val="-54"/>
        </w:rPr>
        <w:t> </w:t>
      </w:r>
      <w:r>
        <w:rPr/>
        <w:t>2015</w:t>
      </w:r>
    </w:p>
    <w:p>
      <w:pPr>
        <w:pStyle w:val="BodyText"/>
        <w:spacing w:line="350" w:lineRule="auto" w:before="125"/>
        <w:ind w:left="137" w:right="98"/>
        <w:jc w:val="left"/>
      </w:pPr>
      <w:r>
        <w:rPr/>
        <w:t>年</w:t>
      </w:r>
      <w:r>
        <w:rPr>
          <w:spacing w:val="-51"/>
        </w:rPr>
        <w:t> </w:t>
      </w:r>
      <w:r>
        <w:rPr/>
        <w:t>1</w:t>
      </w:r>
      <w:r>
        <w:rPr>
          <w:spacing w:val="-50"/>
        </w:rPr>
        <w:t> </w:t>
      </w:r>
      <w:r>
        <w:rPr>
          <w:spacing w:val="-1"/>
        </w:rPr>
        <w:t>月收到洪雅发展投资控股有限责任公司支付的回购款合计</w:t>
      </w:r>
      <w:r>
        <w:rPr>
          <w:spacing w:val="-51"/>
        </w:rPr>
        <w:t> </w:t>
      </w:r>
      <w:r>
        <w:rPr>
          <w:spacing w:val="-1"/>
        </w:rPr>
        <w:t>2283</w:t>
      </w:r>
      <w:r>
        <w:rPr>
          <w:spacing w:val="-50"/>
        </w:rPr>
        <w:t> </w:t>
      </w:r>
      <w:r>
        <w:rPr>
          <w:spacing w:val="-8"/>
        </w:rPr>
        <w:t>万元。按原合同该项目回购已</w:t>
      </w:r>
      <w:r>
        <w:rPr/>
        <w:t> 逾期，逾期期间的投资回报需双方另行协商。</w:t>
      </w:r>
    </w:p>
    <w:p>
      <w:pPr>
        <w:pStyle w:val="BodyText"/>
        <w:spacing w:line="350" w:lineRule="auto" w:before="28"/>
        <w:ind w:left="137" w:right="102"/>
        <w:jc w:val="left"/>
      </w:pPr>
      <w:r>
        <w:rPr/>
        <w:t>（二）关于本公司与眉山市城市发展投资有限责任公司之间的基础设施建设项目（BT）的情况 本公司（以下简称“乙方”）与眉山市城市发展投资有限责任公司（以下简称“甲方”）分别于 2012</w:t>
      </w:r>
      <w:r>
        <w:rPr>
          <w:spacing w:val="-56"/>
        </w:rPr>
        <w:t> </w:t>
      </w:r>
      <w:r>
        <w:rPr/>
        <w:t>年</w:t>
      </w:r>
      <w:r>
        <w:rPr>
          <w:spacing w:val="-56"/>
        </w:rPr>
        <w:t> </w:t>
      </w:r>
      <w:r>
        <w:rPr/>
        <w:t>10</w:t>
      </w:r>
      <w:r>
        <w:rPr>
          <w:spacing w:val="-56"/>
        </w:rPr>
        <w:t> </w:t>
      </w:r>
      <w:r>
        <w:rPr/>
        <w:t>月</w:t>
      </w:r>
      <w:r>
        <w:rPr>
          <w:spacing w:val="-56"/>
        </w:rPr>
        <w:t> </w:t>
      </w:r>
      <w:r>
        <w:rPr/>
        <w:t>29</w:t>
      </w:r>
      <w:r>
        <w:rPr>
          <w:spacing w:val="-55"/>
        </w:rPr>
        <w:t> </w:t>
      </w:r>
      <w:r>
        <w:rPr/>
        <w:t>日、2012</w:t>
      </w:r>
      <w:r>
        <w:rPr>
          <w:spacing w:val="-56"/>
        </w:rPr>
        <w:t> </w:t>
      </w:r>
      <w:r>
        <w:rPr/>
        <w:t>年</w:t>
      </w:r>
      <w:r>
        <w:rPr>
          <w:spacing w:val="-56"/>
        </w:rPr>
        <w:t> </w:t>
      </w:r>
      <w:r>
        <w:rPr/>
        <w:t>11</w:t>
      </w:r>
      <w:r>
        <w:rPr>
          <w:spacing w:val="-55"/>
        </w:rPr>
        <w:t> </w:t>
      </w:r>
      <w:r>
        <w:rPr/>
        <w:t>月</w:t>
      </w:r>
      <w:r>
        <w:rPr>
          <w:spacing w:val="-57"/>
        </w:rPr>
        <w:t> </w:t>
      </w:r>
      <w:r>
        <w:rPr/>
        <w:t>29</w:t>
      </w:r>
      <w:r>
        <w:rPr>
          <w:spacing w:val="-55"/>
        </w:rPr>
        <w:t> </w:t>
      </w:r>
      <w:r>
        <w:rPr/>
        <w:t>日签订《眉山市“两宋荣光”眉州大道改造工程项目</w:t>
      </w:r>
      <w:r>
        <w:rPr>
          <w:spacing w:val="-56"/>
        </w:rPr>
        <w:t> </w:t>
      </w:r>
      <w:r>
        <w:rPr/>
        <w:t>BT</w:t>
      </w:r>
      <w:r>
        <w:rPr>
          <w:spacing w:val="-55"/>
        </w:rPr>
        <w:t> </w:t>
      </w:r>
      <w:r>
        <w:rPr/>
        <w:t>融</w:t>
      </w:r>
      <w:r>
        <w:rPr/>
        <w:t> </w:t>
      </w:r>
      <w:r>
        <w:rPr>
          <w:spacing w:val="-11"/>
        </w:rPr>
        <w:t>资招商合同书》及《眉山市“两宋荣光”眉州大道改造工程“两桥一站”项目</w:t>
      </w:r>
      <w:r>
        <w:rPr>
          <w:spacing w:val="-42"/>
        </w:rPr>
        <w:t> </w:t>
      </w:r>
      <w:r>
        <w:rPr/>
        <w:t>BT</w:t>
      </w:r>
      <w:r>
        <w:rPr>
          <w:spacing w:val="-41"/>
        </w:rPr>
        <w:t> </w:t>
      </w:r>
      <w:r>
        <w:rPr>
          <w:spacing w:val="-8"/>
        </w:rPr>
        <w:t>融资招商合同书》，</w:t>
      </w:r>
      <w:r>
        <w:rPr>
          <w:spacing w:val="-101"/>
        </w:rPr>
        <w:t> </w:t>
      </w:r>
      <w:r>
        <w:rPr>
          <w:spacing w:val="-101"/>
        </w:rPr>
      </w:r>
      <w:r>
        <w:rPr/>
        <w:t>合同部分约定事项如下： 1．由乙方参与的项目：“两宋荣光”眉州大道西段、核心段改造工程以及眉州大道“两桥一站”</w:t>
      </w:r>
      <w:r>
        <w:rPr/>
        <w:t> 改造工程。</w:t>
      </w:r>
    </w:p>
    <w:p>
      <w:pPr>
        <w:pStyle w:val="BodyText"/>
        <w:spacing w:line="240" w:lineRule="auto" w:before="28"/>
        <w:ind w:left="137" w:right="98"/>
        <w:jc w:val="left"/>
      </w:pPr>
      <w:r>
        <w:rPr/>
        <w:t>2．项目概算总投资约为人民币</w:t>
      </w:r>
      <w:r>
        <w:rPr>
          <w:spacing w:val="-74"/>
        </w:rPr>
        <w:t> </w:t>
      </w:r>
      <w:r>
        <w:rPr/>
        <w:t>5.98</w:t>
      </w:r>
      <w:r>
        <w:rPr>
          <w:spacing w:val="-74"/>
        </w:rPr>
        <w:t> </w:t>
      </w:r>
      <w:r>
        <w:rPr/>
        <w:t>亿元，由乙方负责筹集工程建设项目所需的全部资金。</w:t>
      </w:r>
    </w:p>
    <w:p>
      <w:pPr>
        <w:pStyle w:val="BodyText"/>
        <w:spacing w:line="350" w:lineRule="auto" w:before="126"/>
        <w:ind w:left="137" w:right="105"/>
        <w:jc w:val="left"/>
      </w:pPr>
      <w:r>
        <w:rPr>
          <w:spacing w:val="-3"/>
        </w:rPr>
        <w:t>3．乙方的投资回报：乙方参与的项目验收合格后由甲方负责回购。回购价款=投资结算价款+投资</w:t>
      </w:r>
      <w:r>
        <w:rPr>
          <w:spacing w:val="-71"/>
        </w:rPr>
        <w:t> </w:t>
      </w:r>
      <w:r>
        <w:rPr>
          <w:spacing w:val="-71"/>
        </w:rPr>
      </w:r>
      <w:r>
        <w:rPr/>
        <w:t>回报金额+资金占用费，本项目资金占用费以投资结算价款按年利率</w:t>
      </w:r>
      <w:r>
        <w:rPr>
          <w:spacing w:val="-66"/>
        </w:rPr>
        <w:t> </w:t>
      </w:r>
      <w:r>
        <w:rPr/>
        <w:t>10%计取，投资回报以投资结</w:t>
      </w:r>
      <w:r>
        <w:rPr/>
        <w:t> 算价款按</w:t>
      </w:r>
      <w:r>
        <w:rPr>
          <w:spacing w:val="-51"/>
        </w:rPr>
        <w:t> </w:t>
      </w:r>
      <w:r>
        <w:rPr>
          <w:spacing w:val="-4"/>
        </w:rPr>
        <w:t>15%/年计取。回购价款甲方按</w:t>
      </w:r>
      <w:r>
        <w:rPr>
          <w:spacing w:val="-51"/>
        </w:rPr>
        <w:t> </w:t>
      </w:r>
      <w:r>
        <w:rPr/>
        <w:t>3</w:t>
      </w:r>
      <w:r>
        <w:rPr>
          <w:spacing w:val="-50"/>
        </w:rPr>
        <w:t> </w:t>
      </w:r>
      <w:r>
        <w:rPr/>
        <w:t>年</w:t>
      </w:r>
      <w:r>
        <w:rPr>
          <w:spacing w:val="-52"/>
        </w:rPr>
        <w:t> </w:t>
      </w:r>
      <w:r>
        <w:rPr/>
        <w:t>3</w:t>
      </w:r>
      <w:r>
        <w:rPr>
          <w:spacing w:val="-50"/>
        </w:rPr>
        <w:t> </w:t>
      </w:r>
      <w:r>
        <w:rPr>
          <w:spacing w:val="-6"/>
        </w:rPr>
        <w:t>次进行支付，第一次</w:t>
      </w:r>
      <w:r>
        <w:rPr>
          <w:spacing w:val="-51"/>
        </w:rPr>
        <w:t> </w:t>
      </w:r>
      <w:r>
        <w:rPr>
          <w:spacing w:val="-8"/>
        </w:rPr>
        <w:t>40%，第二次</w:t>
      </w:r>
      <w:r>
        <w:rPr>
          <w:spacing w:val="-51"/>
        </w:rPr>
        <w:t> </w:t>
      </w:r>
      <w:r>
        <w:rPr>
          <w:spacing w:val="-8"/>
        </w:rPr>
        <w:t>30%，第三次</w:t>
      </w:r>
      <w:r>
        <w:rPr>
          <w:spacing w:val="-51"/>
        </w:rPr>
        <w:t> </w:t>
      </w:r>
      <w:r>
        <w:rPr/>
        <w:t>30%。</w:t>
      </w:r>
      <w:r>
        <w:rPr/>
        <w:t> 第一次回购时间为工程验收合格后三个月时支付投资结算价款的</w:t>
      </w:r>
      <w:r>
        <w:rPr>
          <w:spacing w:val="-54"/>
        </w:rPr>
        <w:t> </w:t>
      </w:r>
      <w:r>
        <w:rPr/>
        <w:t>40%及投资回报和资金占用费；</w:t>
      </w:r>
      <w:r>
        <w:rPr/>
        <w:t> 第二期回购款时间为竣工验收之日起</w:t>
      </w:r>
      <w:r>
        <w:rPr>
          <w:spacing w:val="-58"/>
        </w:rPr>
        <w:t> </w:t>
      </w:r>
      <w:r>
        <w:rPr/>
        <w:t>15</w:t>
      </w:r>
      <w:r>
        <w:rPr>
          <w:spacing w:val="-57"/>
        </w:rPr>
        <w:t> </w:t>
      </w:r>
      <w:r>
        <w:rPr/>
        <w:t>个月内支付投资结算价款的</w:t>
      </w:r>
      <w:r>
        <w:rPr>
          <w:spacing w:val="-58"/>
        </w:rPr>
        <w:t> </w:t>
      </w:r>
      <w:r>
        <w:rPr/>
        <w:t>30%及投资回报和资金占用</w:t>
      </w:r>
      <w:r>
        <w:rPr>
          <w:spacing w:val="-1"/>
        </w:rPr>
        <w:t> </w:t>
      </w:r>
      <w:r>
        <w:rPr>
          <w:spacing w:val="-4"/>
        </w:rPr>
        <w:t>费；第三期回购款时间为竣工验收之日起</w:t>
      </w:r>
      <w:r>
        <w:rPr>
          <w:spacing w:val="-55"/>
        </w:rPr>
        <w:t> </w:t>
      </w:r>
      <w:r>
        <w:rPr/>
        <w:t>27</w:t>
      </w:r>
      <w:r>
        <w:rPr>
          <w:spacing w:val="-54"/>
        </w:rPr>
        <w:t> </w:t>
      </w:r>
      <w:r>
        <w:rPr/>
        <w:t>个月内支付投资结算价款的</w:t>
      </w:r>
      <w:r>
        <w:rPr>
          <w:spacing w:val="-55"/>
        </w:rPr>
        <w:t> </w:t>
      </w:r>
      <w:r>
        <w:rPr/>
        <w:t>30%及投资回报和资金占</w:t>
      </w:r>
      <w:r>
        <w:rPr>
          <w:spacing w:val="-1"/>
        </w:rPr>
        <w:t> </w:t>
      </w:r>
      <w:r>
        <w:rPr/>
        <w:t>用费。计算公式如下：</w:t>
      </w:r>
    </w:p>
    <w:p>
      <w:pPr>
        <w:pStyle w:val="BodyText"/>
        <w:spacing w:line="350" w:lineRule="auto" w:before="28"/>
        <w:ind w:left="137" w:right="1782"/>
        <w:jc w:val="left"/>
      </w:pPr>
      <w:r>
        <w:rPr/>
        <w:t>第一期回购款=A×40%+A×10%×（B/12）+A×40%×15%×(C/12) 第二期回购款=A×30%+A×60%×10%×[(12+c)/12]+A×60%×15%×[(12+C)/12] 第三期回购款=A×30%+A×30%×10%×[(24+c)/12]+A×30%×15%×[(24+C)/12]</w:t>
      </w:r>
    </w:p>
    <w:p>
      <w:pPr>
        <w:pStyle w:val="BodyText"/>
        <w:spacing w:line="348" w:lineRule="auto" w:before="28"/>
        <w:ind w:left="137" w:right="3046"/>
        <w:jc w:val="left"/>
      </w:pPr>
      <w:r>
        <w:rPr/>
        <w:t>A=投资结算价款（最终以眉山市政府审计的结算价款为准） B=建设期，暂定</w:t>
      </w:r>
      <w:r>
        <w:rPr>
          <w:spacing w:val="-55"/>
        </w:rPr>
        <w:t> </w:t>
      </w:r>
      <w:r>
        <w:rPr/>
        <w:t>18</w:t>
      </w:r>
      <w:r>
        <w:rPr>
          <w:spacing w:val="-54"/>
        </w:rPr>
        <w:t> </w:t>
      </w:r>
      <w:r>
        <w:rPr/>
        <w:t>个月（非乙方原因造成的延误，建设期顺延）</w:t>
      </w:r>
    </w:p>
    <w:p>
      <w:pPr>
        <w:pStyle w:val="BodyText"/>
        <w:spacing w:line="348" w:lineRule="auto" w:before="31"/>
        <w:ind w:left="137" w:right="211"/>
        <w:jc w:val="left"/>
      </w:pPr>
      <w:r>
        <w:rPr/>
        <w:t>C=自竣工验收合格之日起至第一期回购日止（为</w:t>
      </w:r>
      <w:r>
        <w:rPr>
          <w:spacing w:val="-55"/>
        </w:rPr>
        <w:t> </w:t>
      </w:r>
      <w:r>
        <w:rPr/>
        <w:t>3</w:t>
      </w:r>
      <w:r>
        <w:rPr>
          <w:spacing w:val="-54"/>
        </w:rPr>
        <w:t> </w:t>
      </w:r>
      <w:r>
        <w:rPr/>
        <w:t>个月，若因甲方原因延时支付。则按延时的实</w:t>
      </w:r>
      <w:r>
        <w:rPr/>
        <w:t> 际时间计算资金占用费及投资回报）</w:t>
      </w:r>
    </w:p>
    <w:p>
      <w:pPr>
        <w:pStyle w:val="BodyText"/>
        <w:spacing w:line="240" w:lineRule="auto" w:before="30"/>
        <w:ind w:left="137" w:right="98"/>
        <w:jc w:val="left"/>
      </w:pPr>
      <w:r>
        <w:rPr/>
        <w:t>4．截止审计报告批准报出日该</w:t>
      </w:r>
      <w:r>
        <w:rPr>
          <w:spacing w:val="-65"/>
        </w:rPr>
        <w:t> </w:t>
      </w:r>
      <w:r>
        <w:rPr/>
        <w:t>BT</w:t>
      </w:r>
      <w:r>
        <w:rPr>
          <w:spacing w:val="-64"/>
        </w:rPr>
        <w:t> </w:t>
      </w:r>
      <w:r>
        <w:rPr/>
        <w:t>项目的进展情况</w:t>
      </w:r>
    </w:p>
    <w:p>
      <w:pPr>
        <w:pStyle w:val="BodyText"/>
        <w:spacing w:line="348" w:lineRule="auto" w:before="126"/>
        <w:ind w:left="137" w:right="98" w:firstLine="524"/>
        <w:jc w:val="left"/>
      </w:pPr>
      <w:r>
        <w:rPr/>
        <w:t>2014</w:t>
      </w:r>
      <w:r>
        <w:rPr>
          <w:spacing w:val="-51"/>
        </w:rPr>
        <w:t> </w:t>
      </w:r>
      <w:r>
        <w:rPr/>
        <w:t>年度本公司就该</w:t>
      </w:r>
      <w:r>
        <w:rPr>
          <w:spacing w:val="-52"/>
        </w:rPr>
        <w:t> </w:t>
      </w:r>
      <w:r>
        <w:rPr/>
        <w:t>BT</w:t>
      </w:r>
      <w:r>
        <w:rPr>
          <w:spacing w:val="-51"/>
        </w:rPr>
        <w:t> </w:t>
      </w:r>
      <w:r>
        <w:rPr>
          <w:spacing w:val="-3"/>
        </w:rPr>
        <w:t>项目已分期全部完工交付眉山市城市发展投资有限责任公司，截止</w:t>
      </w:r>
      <w:r>
        <w:rPr>
          <w:spacing w:val="-1"/>
        </w:rPr>
        <w:t> </w:t>
      </w:r>
      <w:r>
        <w:rPr/>
        <w:t>审计报告批准报出日该</w:t>
      </w:r>
      <w:r>
        <w:rPr>
          <w:spacing w:val="-66"/>
        </w:rPr>
        <w:t> </w:t>
      </w:r>
      <w:r>
        <w:rPr/>
        <w:t>BT</w:t>
      </w:r>
      <w:r>
        <w:rPr>
          <w:spacing w:val="-66"/>
        </w:rPr>
        <w:t> </w:t>
      </w:r>
      <w:r>
        <w:rPr/>
        <w:t>项目眉山市政府尚在审计结算中。</w:t>
      </w:r>
    </w:p>
    <w:p>
      <w:pPr>
        <w:spacing w:after="0" w:line="348" w:lineRule="auto"/>
        <w:jc w:val="left"/>
        <w:sectPr>
          <w:footerReference w:type="default" r:id="rId131"/>
          <w:pgSz w:w="11910" w:h="16840"/>
          <w:pgMar w:footer="1197" w:header="882" w:top="1120" w:bottom="1380" w:left="1660" w:right="1060"/>
          <w:pgNumType w:start="17"/>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ind w:left="3" w:right="744"/>
        <w:jc w:val="center"/>
      </w:pPr>
      <w:r>
        <w:rPr/>
        <w:t>5．截止</w:t>
      </w:r>
      <w:r>
        <w:rPr>
          <w:spacing w:val="-54"/>
        </w:rPr>
        <w:t> </w:t>
      </w:r>
      <w:r>
        <w:rPr/>
        <w:t>2014</w:t>
      </w:r>
      <w:r>
        <w:rPr>
          <w:spacing w:val="-53"/>
        </w:rPr>
        <w:t> </w:t>
      </w:r>
      <w:r>
        <w:rPr/>
        <w:t>年</w:t>
      </w:r>
      <w:r>
        <w:rPr>
          <w:spacing w:val="-54"/>
        </w:rPr>
        <w:t> </w:t>
      </w:r>
      <w:r>
        <w:rPr/>
        <w:t>12</w:t>
      </w:r>
      <w:r>
        <w:rPr>
          <w:spacing w:val="-53"/>
        </w:rPr>
        <w:t> </w:t>
      </w:r>
      <w:r>
        <w:rPr/>
        <w:t>月</w:t>
      </w:r>
      <w:r>
        <w:rPr>
          <w:spacing w:val="-55"/>
        </w:rPr>
        <w:t> </w:t>
      </w:r>
      <w:r>
        <w:rPr/>
        <w:t>31</w:t>
      </w:r>
      <w:r>
        <w:rPr>
          <w:spacing w:val="-53"/>
        </w:rPr>
        <w:t> </w:t>
      </w:r>
      <w:r>
        <w:rPr/>
        <w:t>日该</w:t>
      </w:r>
      <w:r>
        <w:rPr>
          <w:spacing w:val="-55"/>
        </w:rPr>
        <w:t> </w:t>
      </w:r>
      <w:r>
        <w:rPr/>
        <w:t>BT</w:t>
      </w:r>
      <w:r>
        <w:rPr>
          <w:spacing w:val="-53"/>
        </w:rPr>
        <w:t> </w:t>
      </w:r>
      <w:r>
        <w:rPr/>
        <w:t>项目工程支出、回购及确认的投资回报情况</w:t>
      </w:r>
    </w:p>
    <w:p>
      <w:pPr>
        <w:pStyle w:val="BodyText"/>
        <w:spacing w:line="350" w:lineRule="auto" w:before="125"/>
        <w:ind w:left="137" w:right="129" w:firstLine="630"/>
        <w:jc w:val="left"/>
      </w:pPr>
      <w:r>
        <w:rPr/>
        <w:t>截止</w:t>
      </w:r>
      <w:r>
        <w:rPr>
          <w:spacing w:val="-55"/>
        </w:rPr>
        <w:t> </w:t>
      </w:r>
      <w:r>
        <w:rPr/>
        <w:t>2014</w:t>
      </w:r>
      <w:r>
        <w:rPr>
          <w:spacing w:val="-53"/>
        </w:rPr>
        <w:t> </w:t>
      </w:r>
      <w:r>
        <w:rPr/>
        <w:t>年</w:t>
      </w:r>
      <w:r>
        <w:rPr>
          <w:spacing w:val="-55"/>
        </w:rPr>
        <w:t> </w:t>
      </w:r>
      <w:r>
        <w:rPr/>
        <w:t>12</w:t>
      </w:r>
      <w:r>
        <w:rPr>
          <w:spacing w:val="-54"/>
        </w:rPr>
        <w:t> </w:t>
      </w:r>
      <w:r>
        <w:rPr/>
        <w:t>月</w:t>
      </w:r>
      <w:r>
        <w:rPr>
          <w:spacing w:val="-55"/>
        </w:rPr>
        <w:t> </w:t>
      </w:r>
      <w:r>
        <w:rPr/>
        <w:t>31</w:t>
      </w:r>
      <w:r>
        <w:rPr>
          <w:spacing w:val="-53"/>
        </w:rPr>
        <w:t> </w:t>
      </w:r>
      <w:r>
        <w:rPr/>
        <w:t>日本公司按工程进度共支付该</w:t>
      </w:r>
      <w:r>
        <w:rPr>
          <w:spacing w:val="-54"/>
        </w:rPr>
        <w:t> </w:t>
      </w:r>
      <w:r>
        <w:rPr/>
        <w:t>BT</w:t>
      </w:r>
      <w:r>
        <w:rPr>
          <w:spacing w:val="-54"/>
        </w:rPr>
        <w:t> </w:t>
      </w:r>
      <w:r>
        <w:rPr/>
        <w:t>项目工程款合计</w:t>
      </w:r>
      <w:r>
        <w:rPr>
          <w:spacing w:val="-54"/>
        </w:rPr>
        <w:t> </w:t>
      </w:r>
      <w:r>
        <w:rPr/>
        <w:t>588,591,729.87</w:t>
      </w:r>
      <w:r>
        <w:rPr/>
        <w:t> 元；按原合同约定的概算总投资</w:t>
      </w:r>
      <w:r>
        <w:rPr>
          <w:spacing w:val="-62"/>
        </w:rPr>
        <w:t> </w:t>
      </w:r>
      <w:r>
        <w:rPr/>
        <w:t>5.98</w:t>
      </w:r>
      <w:r>
        <w:rPr>
          <w:spacing w:val="-61"/>
        </w:rPr>
        <w:t> </w:t>
      </w:r>
      <w:r>
        <w:rPr/>
        <w:t>亿元及交付的各</w:t>
      </w:r>
      <w:r>
        <w:rPr>
          <w:spacing w:val="-62"/>
        </w:rPr>
        <w:t> </w:t>
      </w:r>
      <w:r>
        <w:rPr/>
        <w:t>BT</w:t>
      </w:r>
      <w:r>
        <w:rPr>
          <w:spacing w:val="-61"/>
        </w:rPr>
        <w:t> </w:t>
      </w:r>
      <w:r>
        <w:rPr/>
        <w:t>子项目开工及完工时间计算的建设期资</w:t>
      </w:r>
      <w:r>
        <w:rPr>
          <w:spacing w:val="-1"/>
        </w:rPr>
        <w:t> </w:t>
      </w:r>
      <w:r>
        <w:rPr/>
        <w:t>金占用费合计</w:t>
      </w:r>
      <w:r>
        <w:rPr>
          <w:spacing w:val="-54"/>
        </w:rPr>
        <w:t> </w:t>
      </w:r>
      <w:r>
        <w:rPr/>
        <w:t>70,112,625.81</w:t>
      </w:r>
      <w:r>
        <w:rPr>
          <w:spacing w:val="-53"/>
        </w:rPr>
        <w:t> </w:t>
      </w:r>
      <w:r>
        <w:rPr/>
        <w:t>元；因完工进入回购期时点该项目的最终结算价款尚在审计中，暂</w:t>
      </w:r>
    </w:p>
    <w:p>
      <w:pPr>
        <w:pStyle w:val="BodyText"/>
        <w:spacing w:line="240" w:lineRule="auto" w:before="28"/>
        <w:ind w:left="137" w:right="127"/>
        <w:jc w:val="left"/>
      </w:pPr>
      <w:r>
        <w:rPr/>
        <w:t>以合同原约定的概算总投资</w:t>
      </w:r>
      <w:r>
        <w:rPr>
          <w:spacing w:val="-74"/>
        </w:rPr>
        <w:t> </w:t>
      </w:r>
      <w:r>
        <w:rPr/>
        <w:t>5.98</w:t>
      </w:r>
      <w:r>
        <w:rPr>
          <w:spacing w:val="-74"/>
        </w:rPr>
        <w:t> </w:t>
      </w:r>
      <w:r>
        <w:rPr/>
        <w:t>亿作为长期应收款—回购期基数（待结算价款审计确认后再调</w:t>
      </w:r>
    </w:p>
    <w:p>
      <w:pPr>
        <w:pStyle w:val="BodyText"/>
        <w:spacing w:line="240" w:lineRule="auto" w:before="126"/>
        <w:ind w:left="137" w:right="127"/>
        <w:jc w:val="left"/>
      </w:pPr>
      <w:r>
        <w:rPr/>
        <w:t>整），按合同约定的回购进度及实际利率法确认截止</w:t>
      </w:r>
      <w:r>
        <w:rPr>
          <w:spacing w:val="-60"/>
        </w:rPr>
        <w:t> </w:t>
      </w:r>
      <w:r>
        <w:rPr/>
        <w:t>2014</w:t>
      </w:r>
      <w:r>
        <w:rPr>
          <w:spacing w:val="-60"/>
        </w:rPr>
        <w:t> </w:t>
      </w:r>
      <w:r>
        <w:rPr/>
        <w:t>年</w:t>
      </w:r>
      <w:r>
        <w:rPr>
          <w:spacing w:val="-60"/>
        </w:rPr>
        <w:t> </w:t>
      </w:r>
      <w:r>
        <w:rPr/>
        <w:t>12</w:t>
      </w:r>
      <w:r>
        <w:rPr>
          <w:spacing w:val="-59"/>
        </w:rPr>
        <w:t> </w:t>
      </w:r>
      <w:r>
        <w:rPr/>
        <w:t>月</w:t>
      </w:r>
      <w:r>
        <w:rPr>
          <w:spacing w:val="-60"/>
        </w:rPr>
        <w:t> </w:t>
      </w:r>
      <w:r>
        <w:rPr/>
        <w:t>31</w:t>
      </w:r>
      <w:r>
        <w:rPr>
          <w:spacing w:val="-60"/>
        </w:rPr>
        <w:t> </w:t>
      </w:r>
      <w:r>
        <w:rPr/>
        <w:t>日回购期投资回报合计</w:t>
      </w:r>
    </w:p>
    <w:p>
      <w:pPr>
        <w:pStyle w:val="BodyText"/>
        <w:spacing w:line="240" w:lineRule="auto" w:before="125"/>
        <w:ind w:left="137" w:right="127"/>
        <w:jc w:val="left"/>
      </w:pPr>
      <w:r>
        <w:rPr/>
        <w:t>121,944,394.20</w:t>
      </w:r>
      <w:r>
        <w:rPr>
          <w:spacing w:val="-59"/>
        </w:rPr>
        <w:t> </w:t>
      </w:r>
      <w:r>
        <w:rPr/>
        <w:t>元。</w:t>
      </w:r>
    </w:p>
    <w:p>
      <w:pPr>
        <w:pStyle w:val="BodyText"/>
        <w:spacing w:line="350" w:lineRule="auto" w:before="125"/>
        <w:ind w:left="137" w:right="1597" w:firstLine="630"/>
        <w:jc w:val="left"/>
      </w:pPr>
      <w:r>
        <w:rPr/>
        <w:t>因完工进入回购期时点该项目的最终结算价款尚在审计中，2014</w:t>
      </w:r>
      <w:r>
        <w:rPr>
          <w:spacing w:val="-88"/>
        </w:rPr>
        <w:t> </w:t>
      </w:r>
      <w:r>
        <w:rPr/>
        <w:t>年度眉山市政府暂以合同</w:t>
      </w:r>
      <w:r>
        <w:rPr/>
        <w:t> </w:t>
      </w:r>
      <w:r>
        <w:rPr>
          <w:spacing w:val="-1"/>
        </w:rPr>
        <w:t>原约定的概算总投资</w:t>
      </w:r>
      <w:r>
        <w:rPr>
          <w:spacing w:val="-52"/>
        </w:rPr>
        <w:t> </w:t>
      </w:r>
      <w:r>
        <w:rPr>
          <w:spacing w:val="-1"/>
        </w:rPr>
        <w:t>5.98</w:t>
      </w:r>
      <w:r>
        <w:rPr>
          <w:spacing w:val="-51"/>
        </w:rPr>
        <w:t> </w:t>
      </w:r>
      <w:r>
        <w:rPr>
          <w:spacing w:val="-3"/>
        </w:rPr>
        <w:t>亿，按照合同确认的回购价款计算及支付方式向本公司支付第一期回购</w:t>
      </w:r>
    </w:p>
    <w:p>
      <w:pPr>
        <w:pStyle w:val="BodyText"/>
        <w:spacing w:line="240" w:lineRule="auto" w:before="28"/>
        <w:ind w:left="137" w:right="127"/>
        <w:jc w:val="left"/>
      </w:pPr>
      <w:r>
        <w:rPr/>
        <w:t>款合计</w:t>
      </w:r>
      <w:r>
        <w:rPr>
          <w:spacing w:val="-66"/>
        </w:rPr>
        <w:t> </w:t>
      </w:r>
      <w:r>
        <w:rPr/>
        <w:t>318,212,156.75</w:t>
      </w:r>
      <w:r>
        <w:rPr>
          <w:spacing w:val="-65"/>
        </w:rPr>
        <w:t> </w:t>
      </w:r>
      <w:r>
        <w:rPr/>
        <w:t>元，其中：工程支出本金</w:t>
      </w:r>
      <w:r>
        <w:rPr>
          <w:spacing w:val="-65"/>
        </w:rPr>
        <w:t> </w:t>
      </w:r>
      <w:r>
        <w:rPr/>
        <w:t>239,204,496.80</w:t>
      </w:r>
      <w:r>
        <w:rPr>
          <w:spacing w:val="-65"/>
        </w:rPr>
        <w:t> </w:t>
      </w:r>
      <w:r>
        <w:rPr/>
        <w:t>元、建设期资金占用费</w:t>
      </w:r>
    </w:p>
    <w:p>
      <w:pPr>
        <w:pStyle w:val="BodyText"/>
        <w:spacing w:line="240" w:lineRule="auto" w:before="125"/>
        <w:ind w:left="137" w:right="127"/>
        <w:jc w:val="left"/>
      </w:pPr>
      <w:r>
        <w:rPr/>
        <w:t>70,112,625.81</w:t>
      </w:r>
      <w:r>
        <w:rPr>
          <w:spacing w:val="-59"/>
        </w:rPr>
        <w:t> </w:t>
      </w:r>
      <w:r>
        <w:rPr/>
        <w:t>元、回购期投资回报</w:t>
      </w:r>
      <w:r>
        <w:rPr>
          <w:spacing w:val="-60"/>
        </w:rPr>
        <w:t> </w:t>
      </w:r>
      <w:r>
        <w:rPr/>
        <w:t>8,895,034.14</w:t>
      </w:r>
      <w:r>
        <w:rPr>
          <w:spacing w:val="-60"/>
        </w:rPr>
        <w:t> </w:t>
      </w:r>
      <w:r>
        <w:rPr/>
        <w:t>元。</w:t>
      </w:r>
    </w:p>
    <w:p>
      <w:pPr>
        <w:pStyle w:val="BodyText"/>
        <w:spacing w:line="348" w:lineRule="auto" w:before="126"/>
        <w:ind w:left="137" w:right="127"/>
        <w:jc w:val="left"/>
      </w:pPr>
      <w:r>
        <w:rPr/>
        <w:t>（三）本公司与深圳市码银科技有限公司之间签订的关于转让原控股子公司—深圳市金慧盈通数 据服务有限公司股权的《补充协议》进展情况</w:t>
      </w:r>
    </w:p>
    <w:p>
      <w:pPr>
        <w:pStyle w:val="BodyText"/>
        <w:spacing w:line="240" w:lineRule="auto" w:before="30"/>
        <w:ind w:left="977" w:right="127"/>
        <w:jc w:val="left"/>
      </w:pPr>
      <w:r>
        <w:rPr/>
        <w:t>2011</w:t>
      </w:r>
      <w:r>
        <w:rPr>
          <w:spacing w:val="-68"/>
        </w:rPr>
        <w:t> </w:t>
      </w:r>
      <w:r>
        <w:rPr/>
        <w:t>年</w:t>
      </w:r>
      <w:r>
        <w:rPr>
          <w:spacing w:val="-68"/>
        </w:rPr>
        <w:t> </w:t>
      </w:r>
      <w:r>
        <w:rPr/>
        <w:t>12</w:t>
      </w:r>
      <w:r>
        <w:rPr>
          <w:spacing w:val="-68"/>
        </w:rPr>
        <w:t> </w:t>
      </w:r>
      <w:r>
        <w:rPr/>
        <w:t>月</w:t>
      </w:r>
      <w:r>
        <w:rPr>
          <w:spacing w:val="-68"/>
        </w:rPr>
        <w:t> </w:t>
      </w:r>
      <w:r>
        <w:rPr/>
        <w:t>16</w:t>
      </w:r>
      <w:r>
        <w:rPr>
          <w:spacing w:val="-69"/>
        </w:rPr>
        <w:t> </w:t>
      </w:r>
      <w:r>
        <w:rPr/>
        <w:t>日本公司与本公司原控股子公司—深圳市金慧盈通数据服务有限公司之</w:t>
      </w:r>
    </w:p>
    <w:p>
      <w:pPr>
        <w:pStyle w:val="BodyText"/>
        <w:spacing w:line="350" w:lineRule="auto" w:before="126"/>
        <w:ind w:left="137" w:right="133"/>
        <w:jc w:val="both"/>
      </w:pPr>
      <w:r>
        <w:rPr/>
        <w:t>股东深圳市码银科技有限公司签订股权转让协议约定：本公司以</w:t>
      </w:r>
      <w:r>
        <w:rPr>
          <w:spacing w:val="-53"/>
        </w:rPr>
        <w:t> </w:t>
      </w:r>
      <w:r>
        <w:rPr/>
        <w:t>370</w:t>
      </w:r>
      <w:r>
        <w:rPr>
          <w:spacing w:val="-53"/>
        </w:rPr>
        <w:t> </w:t>
      </w:r>
      <w:r>
        <w:rPr/>
        <w:t>万元将持有的深圳市金慧盈</w:t>
      </w:r>
      <w:r>
        <w:rPr/>
        <w:t> 通数据服务有限公司</w:t>
      </w:r>
      <w:r>
        <w:rPr>
          <w:spacing w:val="-56"/>
        </w:rPr>
        <w:t> </w:t>
      </w:r>
      <w:r>
        <w:rPr/>
        <w:t>21.7647%（合计</w:t>
      </w:r>
      <w:r>
        <w:rPr>
          <w:spacing w:val="-57"/>
        </w:rPr>
        <w:t> </w:t>
      </w:r>
      <w:r>
        <w:rPr/>
        <w:t>370</w:t>
      </w:r>
      <w:r>
        <w:rPr>
          <w:spacing w:val="-55"/>
        </w:rPr>
        <w:t> </w:t>
      </w:r>
      <w:r>
        <w:rPr>
          <w:spacing w:val="-3"/>
        </w:rPr>
        <w:t>万股）的股权转让给深圳市码银科技有限公司（转让价</w:t>
      </w:r>
      <w:r>
        <w:rPr>
          <w:spacing w:val="-1"/>
        </w:rPr>
        <w:t> </w:t>
      </w:r>
      <w:r>
        <w:rPr/>
        <w:t>格以</w:t>
      </w:r>
      <w:r>
        <w:rPr>
          <w:spacing w:val="-56"/>
        </w:rPr>
        <w:t> </w:t>
      </w:r>
      <w:r>
        <w:rPr/>
        <w:t>2011</w:t>
      </w:r>
      <w:r>
        <w:rPr>
          <w:spacing w:val="-55"/>
        </w:rPr>
        <w:t> </w:t>
      </w:r>
      <w:r>
        <w:rPr/>
        <w:t>年</w:t>
      </w:r>
      <w:r>
        <w:rPr>
          <w:spacing w:val="-57"/>
        </w:rPr>
        <w:t> </w:t>
      </w:r>
      <w:r>
        <w:rPr/>
        <w:t>10</w:t>
      </w:r>
      <w:r>
        <w:rPr>
          <w:spacing w:val="-56"/>
        </w:rPr>
        <w:t> </w:t>
      </w:r>
      <w:r>
        <w:rPr/>
        <w:t>月</w:t>
      </w:r>
      <w:r>
        <w:rPr>
          <w:spacing w:val="-56"/>
        </w:rPr>
        <w:t> </w:t>
      </w:r>
      <w:r>
        <w:rPr/>
        <w:t>31</w:t>
      </w:r>
      <w:r>
        <w:rPr>
          <w:spacing w:val="-55"/>
        </w:rPr>
        <w:t> </w:t>
      </w:r>
      <w:r>
        <w:rPr/>
        <w:t>日为基准日的评估值为基础），本次股权转让已于</w:t>
      </w:r>
      <w:r>
        <w:rPr>
          <w:spacing w:val="-56"/>
        </w:rPr>
        <w:t> </w:t>
      </w:r>
      <w:r>
        <w:rPr/>
        <w:t>2011</w:t>
      </w:r>
      <w:r>
        <w:rPr>
          <w:spacing w:val="-55"/>
        </w:rPr>
        <w:t> </w:t>
      </w:r>
      <w:r>
        <w:rPr/>
        <w:t>年</w:t>
      </w:r>
      <w:r>
        <w:rPr>
          <w:spacing w:val="-57"/>
        </w:rPr>
        <w:t> </w:t>
      </w:r>
      <w:r>
        <w:rPr/>
        <w:t>12</w:t>
      </w:r>
      <w:r>
        <w:rPr>
          <w:spacing w:val="-56"/>
        </w:rPr>
        <w:t> </w:t>
      </w:r>
      <w:r>
        <w:rPr/>
        <w:t>月</w:t>
      </w:r>
      <w:r>
        <w:rPr>
          <w:spacing w:val="-57"/>
        </w:rPr>
        <w:t> </w:t>
      </w:r>
      <w:r>
        <w:rPr/>
        <w:t>28</w:t>
      </w:r>
      <w:r>
        <w:rPr>
          <w:spacing w:val="-55"/>
        </w:rPr>
        <w:t> </w:t>
      </w:r>
      <w:r>
        <w:rPr/>
        <w:t>日办理</w:t>
      </w:r>
      <w:r>
        <w:rPr>
          <w:spacing w:val="-1"/>
        </w:rPr>
        <w:t> </w:t>
      </w:r>
      <w:r>
        <w:rPr/>
        <w:t>完工商变更登记，经此次股权转让后本公司对深圳市金慧盈通数据服务有限公司持股比例下降至</w:t>
      </w:r>
      <w:r>
        <w:rPr/>
        <w:t> 37.0589%。</w:t>
      </w:r>
    </w:p>
    <w:p>
      <w:pPr>
        <w:pStyle w:val="BodyText"/>
        <w:spacing w:line="350" w:lineRule="auto" w:before="28"/>
        <w:ind w:left="137" w:right="123" w:firstLine="629"/>
        <w:jc w:val="left"/>
      </w:pPr>
      <w:r>
        <w:rPr/>
        <w:t>但上述股权转让款</w:t>
      </w:r>
      <w:r>
        <w:rPr>
          <w:spacing w:val="-57"/>
        </w:rPr>
        <w:t> </w:t>
      </w:r>
      <w:r>
        <w:rPr/>
        <w:t>370</w:t>
      </w:r>
      <w:r>
        <w:rPr>
          <w:spacing w:val="-57"/>
        </w:rPr>
        <w:t> </w:t>
      </w:r>
      <w:r>
        <w:rPr/>
        <w:t>万深圳市码银科技有限公司一直未支付给本公司，2014</w:t>
      </w:r>
      <w:r>
        <w:rPr>
          <w:spacing w:val="-57"/>
        </w:rPr>
        <w:t> </w:t>
      </w:r>
      <w:r>
        <w:rPr/>
        <w:t>年</w:t>
      </w:r>
      <w:r>
        <w:rPr>
          <w:spacing w:val="-58"/>
        </w:rPr>
        <w:t> </w:t>
      </w:r>
      <w:r>
        <w:rPr/>
        <w:t>1</w:t>
      </w:r>
      <w:r>
        <w:rPr>
          <w:spacing w:val="-57"/>
        </w:rPr>
        <w:t> </w:t>
      </w:r>
      <w:r>
        <w:rPr/>
        <w:t>月</w:t>
      </w:r>
      <w:r>
        <w:rPr>
          <w:spacing w:val="-58"/>
        </w:rPr>
        <w:t> </w:t>
      </w:r>
      <w:r>
        <w:rPr/>
        <w:t>28</w:t>
      </w:r>
      <w:r>
        <w:rPr>
          <w:spacing w:val="-1"/>
        </w:rPr>
        <w:t> </w:t>
      </w:r>
      <w:r>
        <w:rPr/>
        <w:t>日深圳市码银科技有限公司签订《股权转让协议书》将其占深圳市金慧盈通数据服务有限公司</w:t>
      </w:r>
      <w:r>
        <w:rPr/>
        <w:t> 10.8108%及</w:t>
      </w:r>
      <w:r>
        <w:rPr>
          <w:spacing w:val="-51"/>
        </w:rPr>
        <w:t> </w:t>
      </w:r>
      <w:r>
        <w:rPr/>
        <w:t>9.1892%的股权分别以</w:t>
      </w:r>
      <w:r>
        <w:rPr>
          <w:spacing w:val="-50"/>
        </w:rPr>
        <w:t> </w:t>
      </w:r>
      <w:r>
        <w:rPr/>
        <w:t>200</w:t>
      </w:r>
      <w:r>
        <w:rPr>
          <w:spacing w:val="-49"/>
        </w:rPr>
        <w:t> </w:t>
      </w:r>
      <w:r>
        <w:rPr>
          <w:spacing w:val="-8"/>
        </w:rPr>
        <w:t>万元、170</w:t>
      </w:r>
      <w:r>
        <w:rPr>
          <w:spacing w:val="-50"/>
        </w:rPr>
        <w:t> </w:t>
      </w:r>
      <w:r>
        <w:rPr>
          <w:spacing w:val="-3"/>
        </w:rPr>
        <w:t>万元转让给东证锦信投资管理有限公司、深圳市</w:t>
      </w:r>
      <w:r>
        <w:rPr/>
        <w:t> 金慧达投资合伙企业（有限合伙），同时约定鉴于深圳市码银科技有限公司债务原因，同意东证 锦信投资管理有限公司、深圳市金慧达投资合伙企业（有限合伙）将受让股权的转让款共计人民 币</w:t>
      </w:r>
      <w:r>
        <w:rPr>
          <w:spacing w:val="-59"/>
        </w:rPr>
        <w:t> </w:t>
      </w:r>
      <w:r>
        <w:rPr/>
        <w:t>370</w:t>
      </w:r>
      <w:r>
        <w:rPr>
          <w:spacing w:val="-58"/>
        </w:rPr>
        <w:t> </w:t>
      </w:r>
      <w:r>
        <w:rPr/>
        <w:t>万元支付给本公司。</w:t>
      </w:r>
    </w:p>
    <w:p>
      <w:pPr>
        <w:pStyle w:val="BodyText"/>
        <w:spacing w:line="240" w:lineRule="auto" w:before="28"/>
        <w:ind w:left="872" w:right="127"/>
        <w:jc w:val="left"/>
      </w:pPr>
      <w:r>
        <w:rPr/>
        <w:t>截止</w:t>
      </w:r>
      <w:r>
        <w:rPr>
          <w:spacing w:val="-58"/>
        </w:rPr>
        <w:t> </w:t>
      </w:r>
      <w:r>
        <w:rPr/>
        <w:t>2014</w:t>
      </w:r>
      <w:r>
        <w:rPr>
          <w:spacing w:val="-57"/>
        </w:rPr>
        <w:t> </w:t>
      </w:r>
      <w:r>
        <w:rPr/>
        <w:t>年</w:t>
      </w:r>
      <w:r>
        <w:rPr>
          <w:spacing w:val="-57"/>
        </w:rPr>
        <w:t> </w:t>
      </w:r>
      <w:r>
        <w:rPr/>
        <w:t>12</w:t>
      </w:r>
      <w:r>
        <w:rPr>
          <w:spacing w:val="-57"/>
        </w:rPr>
        <w:t> </w:t>
      </w:r>
      <w:r>
        <w:rPr/>
        <w:t>月</w:t>
      </w:r>
      <w:r>
        <w:rPr>
          <w:spacing w:val="-57"/>
        </w:rPr>
        <w:t> </w:t>
      </w:r>
      <w:r>
        <w:rPr/>
        <w:t>31</w:t>
      </w:r>
      <w:r>
        <w:rPr>
          <w:spacing w:val="-56"/>
        </w:rPr>
        <w:t> </w:t>
      </w:r>
      <w:r>
        <w:rPr/>
        <w:t>日上述股权转让上</w:t>
      </w:r>
      <w:r>
        <w:rPr>
          <w:spacing w:val="-57"/>
        </w:rPr>
        <w:t> </w:t>
      </w:r>
      <w:r>
        <w:rPr/>
        <w:t>370</w:t>
      </w:r>
      <w:r>
        <w:rPr>
          <w:spacing w:val="-56"/>
        </w:rPr>
        <w:t> </w:t>
      </w:r>
      <w:r>
        <w:rPr/>
        <w:t>万元本公司仍未收到。</w:t>
      </w:r>
    </w:p>
    <w:p>
      <w:pPr>
        <w:pStyle w:val="BodyText"/>
        <w:spacing w:line="348" w:lineRule="auto" w:before="126"/>
        <w:ind w:left="137" w:right="144" w:firstLine="420"/>
        <w:jc w:val="both"/>
      </w:pPr>
      <w:r>
        <w:rPr/>
        <w:t>（四）关于本公司控股子公司—成都金证信息技术有限公司（本节以下简称“甲方”）与自 然人甘露（本节以下简称“乙方”）签订关于转让其子公司—成都金证同洲有限公司股权转意向 协议进展情况</w:t>
      </w:r>
    </w:p>
    <w:p>
      <w:pPr>
        <w:pStyle w:val="BodyText"/>
        <w:spacing w:line="350" w:lineRule="auto" w:before="31"/>
        <w:ind w:left="137" w:right="127"/>
        <w:jc w:val="left"/>
      </w:pPr>
      <w:r>
        <w:rPr/>
        <w:t>2012</w:t>
      </w:r>
      <w:r>
        <w:rPr>
          <w:spacing w:val="-53"/>
        </w:rPr>
        <w:t> </w:t>
      </w:r>
      <w:r>
        <w:rPr/>
        <w:t>年本公司控股子公司—成都金证信息技术有限公司与自然人甘露签订关于转让本公司之孙</w:t>
      </w:r>
      <w:r>
        <w:rPr/>
        <w:t> 子公司—成都金证同洲有限公司股权意向协议，意向协议约定：甲方将持有的成都金证同洲科技 有限公司</w:t>
      </w:r>
      <w:r>
        <w:rPr>
          <w:spacing w:val="-59"/>
        </w:rPr>
        <w:t> </w:t>
      </w:r>
      <w:r>
        <w:rPr/>
        <w:t>46%的股权转让给乙方，转让价款以公司拥有的</w:t>
      </w:r>
      <w:r>
        <w:rPr>
          <w:spacing w:val="-59"/>
        </w:rPr>
        <w:t> </w:t>
      </w:r>
      <w:r>
        <w:rPr/>
        <w:t>6.7</w:t>
      </w:r>
      <w:r>
        <w:rPr>
          <w:spacing w:val="-58"/>
        </w:rPr>
        <w:t> </w:t>
      </w:r>
      <w:r>
        <w:rPr/>
        <w:t>亩（约）土地使用权按</w:t>
      </w:r>
      <w:r>
        <w:rPr>
          <w:spacing w:val="-59"/>
        </w:rPr>
        <w:t> </w:t>
      </w:r>
      <w:r>
        <w:rPr/>
        <w:t>180</w:t>
      </w:r>
      <w:r>
        <w:rPr>
          <w:spacing w:val="-58"/>
        </w:rPr>
        <w:t> </w:t>
      </w:r>
      <w:r>
        <w:rPr/>
        <w:t>万每亩</w:t>
      </w:r>
      <w:r>
        <w:rPr>
          <w:spacing w:val="-1"/>
        </w:rPr>
        <w:t> </w:t>
      </w:r>
      <w:r>
        <w:rPr/>
        <w:t>计无形资产及公司股东实际投入计算，支付方式等具体事项在正式签订的转让合同中约定。另双</w:t>
      </w:r>
      <w:r>
        <w:rPr/>
        <w:t> 方约定：在协议签订后</w:t>
      </w:r>
      <w:r>
        <w:rPr>
          <w:spacing w:val="-54"/>
        </w:rPr>
        <w:t> </w:t>
      </w:r>
      <w:r>
        <w:rPr/>
        <w:t>5</w:t>
      </w:r>
      <w:r>
        <w:rPr>
          <w:spacing w:val="-53"/>
        </w:rPr>
        <w:t> </w:t>
      </w:r>
      <w:r>
        <w:rPr/>
        <w:t>日内支付人民币叁佰万元，作为股权转让合同的定金；在意向协议履行</w:t>
      </w:r>
    </w:p>
    <w:p>
      <w:pPr>
        <w:spacing w:after="0" w:line="350" w:lineRule="auto"/>
        <w:jc w:val="left"/>
        <w:sectPr>
          <w:pgSz w:w="11910" w:h="16840"/>
          <w:pgMar w:header="882" w:footer="1197" w:top="1120" w:bottom="1380" w:left="166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350" w:lineRule="auto"/>
        <w:ind w:left="137" w:right="164"/>
        <w:jc w:val="both"/>
      </w:pPr>
      <w:r>
        <w:rPr/>
        <w:t>后</w:t>
      </w:r>
      <w:r>
        <w:rPr>
          <w:spacing w:val="-54"/>
        </w:rPr>
        <w:t> </w:t>
      </w:r>
      <w:r>
        <w:rPr/>
        <w:t>2</w:t>
      </w:r>
      <w:r>
        <w:rPr>
          <w:spacing w:val="-53"/>
        </w:rPr>
        <w:t> </w:t>
      </w:r>
      <w:r>
        <w:rPr/>
        <w:t>月内，各方签订正式股权转让合同，乙方已经支付的定金直接转为转让款，其余转让款按合</w:t>
      </w:r>
      <w:r>
        <w:rPr/>
        <w:t> 同约定支付；股权转让结束后，各方按照所持有的成都金证同洲科技有限公司股份份额投资，进 行金证同洲大楼的项目建设，按照所持股份份额承担投资风险和分享投资收益，截止</w:t>
      </w:r>
      <w:r>
        <w:rPr>
          <w:spacing w:val="-66"/>
        </w:rPr>
        <w:t> </w:t>
      </w:r>
      <w:r>
        <w:rPr/>
        <w:t>2014</w:t>
      </w:r>
      <w:r>
        <w:rPr>
          <w:spacing w:val="-66"/>
        </w:rPr>
        <w:t> </w:t>
      </w:r>
      <w:r>
        <w:rPr/>
        <w:t>年</w:t>
      </w:r>
      <w:r>
        <w:rPr>
          <w:spacing w:val="-67"/>
        </w:rPr>
        <w:t> </w:t>
      </w:r>
      <w:r>
        <w:rPr/>
        <w:t>12</w:t>
      </w:r>
    </w:p>
    <w:p>
      <w:pPr>
        <w:pStyle w:val="BodyText"/>
        <w:spacing w:line="240" w:lineRule="auto" w:before="28"/>
        <w:ind w:left="137" w:right="0"/>
        <w:jc w:val="both"/>
      </w:pPr>
      <w:r>
        <w:rPr/>
        <w:t>月</w:t>
      </w:r>
      <w:r>
        <w:rPr>
          <w:spacing w:val="-55"/>
        </w:rPr>
        <w:t> </w:t>
      </w:r>
      <w:r>
        <w:rPr/>
        <w:t>31</w:t>
      </w:r>
      <w:r>
        <w:rPr>
          <w:spacing w:val="-54"/>
        </w:rPr>
        <w:t> </w:t>
      </w:r>
      <w:r>
        <w:rPr/>
        <w:t>日正式股权转让合同尚未签署。</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132"/>
          <w:pgSz w:w="11910" w:h="16840"/>
          <w:pgMar w:footer="1197" w:header="882" w:top="1120" w:bottom="1380" w:left="1660" w:right="1120"/>
          <w:pgNumType w:start="181"/>
        </w:sectPr>
      </w:pPr>
    </w:p>
    <w:p>
      <w:pPr>
        <w:spacing w:line="304" w:lineRule="auto" w:before="35"/>
        <w:ind w:left="137" w:right="-12" w:firstLine="0"/>
        <w:jc w:val="left"/>
        <w:rPr>
          <w:rFonts w:ascii="宋体" w:hAnsi="宋体" w:cs="宋体" w:eastAsia="宋体" w:hint="default"/>
          <w:sz w:val="21"/>
          <w:szCs w:val="21"/>
        </w:rPr>
      </w:pPr>
      <w:r>
        <w:rPr>
          <w:rFonts w:ascii="宋体" w:hAnsi="宋体" w:cs="宋体" w:eastAsia="宋体" w:hint="default"/>
          <w:sz w:val="21"/>
          <w:szCs w:val="21"/>
        </w:rPr>
        <w:t>母公司财务报表主要项目注释 </w:t>
      </w:r>
      <w:r>
        <w:rPr>
          <w:rFonts w:ascii="宋体" w:hAnsi="宋体" w:cs="宋体" w:eastAsia="宋体" w:hint="default"/>
          <w:b/>
          <w:bCs/>
          <w:sz w:val="21"/>
          <w:szCs w:val="21"/>
        </w:rPr>
        <w:t>1、</w:t>
      </w:r>
      <w:r>
        <w:rPr>
          <w:rFonts w:ascii="宋体" w:hAnsi="宋体" w:cs="宋体" w:eastAsia="宋体" w:hint="default"/>
          <w:b/>
          <w:bCs/>
          <w:spacing w:val="-3"/>
          <w:sz w:val="21"/>
          <w:szCs w:val="21"/>
        </w:rPr>
        <w:t> </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tabs>
          <w:tab w:pos="977" w:val="left" w:leader="none"/>
        </w:tabs>
        <w:spacing w:line="240" w:lineRule="auto" w:before="1"/>
        <w:ind w:left="279" w:right="-19"/>
        <w:jc w:val="left"/>
        <w:rPr>
          <w:b w:val="0"/>
          <w:bCs w:val="0"/>
        </w:rPr>
      </w:pPr>
      <w:r>
        <w:rPr>
          <w:w w:val="95"/>
        </w:rPr>
        <w:t>(1).</w:t>
        <w:tab/>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pStyle w:val="BodyText"/>
        <w:tabs>
          <w:tab w:pos="1187" w:val="left" w:leader="none"/>
        </w:tabs>
        <w:spacing w:line="240" w:lineRule="auto"/>
        <w:ind w:left="137" w:right="0"/>
        <w:jc w:val="left"/>
      </w:pPr>
      <w:r>
        <w:rPr/>
        <w:t>单位：元</w:t>
        <w:tab/>
        <w:t>币种：人民币</w:t>
      </w:r>
    </w:p>
    <w:p>
      <w:pPr>
        <w:spacing w:after="0" w:line="240" w:lineRule="auto"/>
        <w:jc w:val="left"/>
        <w:sectPr>
          <w:type w:val="continuous"/>
          <w:pgSz w:w="11910" w:h="16840"/>
          <w:pgMar w:top="1080" w:bottom="1380" w:left="1660" w:right="1120"/>
          <w:cols w:num="2" w:equalWidth="0">
            <w:col w:w="2876" w:space="3647"/>
            <w:col w:w="2607"/>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21"/>
        <w:gridCol w:w="1178"/>
        <w:gridCol w:w="461"/>
        <w:gridCol w:w="1099"/>
        <w:gridCol w:w="540"/>
        <w:gridCol w:w="1178"/>
        <w:gridCol w:w="1177"/>
        <w:gridCol w:w="462"/>
        <w:gridCol w:w="1098"/>
        <w:gridCol w:w="382"/>
        <w:gridCol w:w="1099"/>
      </w:tblGrid>
      <w:tr>
        <w:trPr>
          <w:trHeight w:val="282" w:hRule="exact"/>
        </w:trPr>
        <w:tc>
          <w:tcPr>
            <w:tcW w:w="2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0"/>
              <w:ind w:left="26" w:right="-26"/>
              <w:jc w:val="left"/>
              <w:rPr>
                <w:rFonts w:ascii="宋体" w:hAnsi="宋体" w:cs="宋体" w:eastAsia="宋体" w:hint="default"/>
                <w:sz w:val="21"/>
                <w:szCs w:val="21"/>
              </w:rPr>
            </w:pPr>
            <w:r>
              <w:rPr>
                <w:rFonts w:ascii="宋体" w:hAnsi="宋体" w:cs="宋体" w:eastAsia="宋体" w:hint="default"/>
                <w:sz w:val="21"/>
                <w:szCs w:val="21"/>
              </w:rPr>
              <w:t>种 类</w:t>
            </w:r>
          </w:p>
        </w:tc>
        <w:tc>
          <w:tcPr>
            <w:tcW w:w="445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21" w:type="dxa"/>
            <w:vMerge/>
            <w:tcBorders>
              <w:left w:val="single" w:sz="4" w:space="0" w:color="000000"/>
              <w:right w:val="single" w:sz="4" w:space="0" w:color="000000"/>
            </w:tcBorders>
          </w:tcPr>
          <w:p>
            <w:pPr/>
          </w:p>
        </w:tc>
        <w:tc>
          <w:tcPr>
            <w:tcW w:w="16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72" w:lineRule="exact"/>
              <w:ind w:left="373" w:right="373"/>
              <w:jc w:val="left"/>
              <w:rPr>
                <w:rFonts w:ascii="宋体" w:hAnsi="宋体" w:cs="宋体" w:eastAsia="宋体" w:hint="default"/>
                <w:sz w:val="21"/>
                <w:szCs w:val="21"/>
              </w:rPr>
            </w:pPr>
            <w:r>
              <w:rPr>
                <w:rFonts w:ascii="宋体" w:hAnsi="宋体" w:cs="宋体" w:eastAsia="宋体" w:hint="default"/>
                <w:sz w:val="21"/>
                <w:szCs w:val="21"/>
              </w:rPr>
              <w:t>账面 价值</w:t>
            </w:r>
          </w:p>
        </w:tc>
        <w:tc>
          <w:tcPr>
            <w:tcW w:w="16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72" w:lineRule="exact"/>
              <w:ind w:left="333" w:right="335"/>
              <w:jc w:val="left"/>
              <w:rPr>
                <w:rFonts w:ascii="宋体" w:hAnsi="宋体" w:cs="宋体" w:eastAsia="宋体" w:hint="default"/>
                <w:sz w:val="21"/>
                <w:szCs w:val="21"/>
              </w:rPr>
            </w:pPr>
            <w:r>
              <w:rPr>
                <w:rFonts w:ascii="宋体" w:hAnsi="宋体" w:cs="宋体" w:eastAsia="宋体" w:hint="default"/>
                <w:sz w:val="21"/>
                <w:szCs w:val="21"/>
              </w:rPr>
              <w:t>账面 价值</w:t>
            </w:r>
          </w:p>
        </w:tc>
      </w:tr>
      <w:tr>
        <w:trPr>
          <w:trHeight w:val="1372" w:hRule="exact"/>
        </w:trPr>
        <w:tc>
          <w:tcPr>
            <w:tcW w:w="221" w:type="dxa"/>
            <w:vMerge/>
            <w:tcBorders>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67" w:right="68" w:firstLine="51"/>
              <w:jc w:val="both"/>
              <w:rPr>
                <w:rFonts w:ascii="宋体" w:hAnsi="宋体" w:cs="宋体" w:eastAsia="宋体" w:hint="default"/>
                <w:sz w:val="21"/>
                <w:szCs w:val="21"/>
              </w:rPr>
            </w:pPr>
            <w:r>
              <w:rPr>
                <w:rFonts w:ascii="宋体" w:hAnsi="宋体" w:cs="宋体" w:eastAsia="宋体" w:hint="default"/>
                <w:sz w:val="21"/>
                <w:szCs w:val="21"/>
              </w:rPr>
              <w:t>比 例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4" w:right="54"/>
              <w:jc w:val="both"/>
              <w:rPr>
                <w:rFonts w:ascii="宋体" w:hAnsi="宋体" w:cs="宋体" w:eastAsia="宋体" w:hint="default"/>
                <w:sz w:val="21"/>
                <w:szCs w:val="21"/>
              </w:rPr>
            </w:pPr>
            <w:r>
              <w:rPr>
                <w:rFonts w:ascii="宋体" w:hAnsi="宋体" w:cs="宋体" w:eastAsia="宋体" w:hint="default"/>
                <w:sz w:val="21"/>
                <w:szCs w:val="21"/>
              </w:rPr>
              <w:t>计提 比例 (%)</w:t>
            </w:r>
          </w:p>
        </w:tc>
        <w:tc>
          <w:tcPr>
            <w:tcW w:w="1178" w:type="dxa"/>
            <w:vMerge/>
            <w:tcBorders>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68" w:right="67" w:firstLine="51"/>
              <w:jc w:val="both"/>
              <w:rPr>
                <w:rFonts w:ascii="宋体" w:hAnsi="宋体" w:cs="宋体" w:eastAsia="宋体" w:hint="default"/>
                <w:sz w:val="21"/>
                <w:szCs w:val="21"/>
              </w:rPr>
            </w:pPr>
            <w:r>
              <w:rPr>
                <w:rFonts w:ascii="宋体" w:hAnsi="宋体" w:cs="宋体" w:eastAsia="宋体" w:hint="default"/>
                <w:sz w:val="21"/>
                <w:szCs w:val="21"/>
              </w:rPr>
              <w:t>比 例 (%)</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0" w:right="0"/>
              <w:jc w:val="both"/>
              <w:rPr>
                <w:rFonts w:ascii="宋体" w:hAnsi="宋体" w:cs="宋体" w:eastAsia="宋体" w:hint="default"/>
                <w:sz w:val="21"/>
                <w:szCs w:val="21"/>
              </w:rPr>
            </w:pPr>
            <w:r>
              <w:rPr>
                <w:rFonts w:ascii="宋体" w:hAnsi="宋体" w:cs="宋体" w:eastAsia="宋体" w:hint="default"/>
                <w:sz w:val="21"/>
                <w:szCs w:val="21"/>
              </w:rPr>
              <w:t>计</w:t>
            </w:r>
          </w:p>
          <w:p>
            <w:pPr>
              <w:pStyle w:val="TableParagraph"/>
              <w:spacing w:line="272" w:lineRule="exact" w:before="26"/>
              <w:ind w:left="28" w:right="26" w:firstLine="51"/>
              <w:jc w:val="both"/>
              <w:rPr>
                <w:rFonts w:ascii="宋体" w:hAnsi="宋体" w:cs="宋体" w:eastAsia="宋体" w:hint="default"/>
                <w:sz w:val="21"/>
                <w:szCs w:val="21"/>
              </w:rPr>
            </w:pPr>
            <w:r>
              <w:rPr>
                <w:rFonts w:ascii="宋体" w:hAnsi="宋体" w:cs="宋体" w:eastAsia="宋体" w:hint="default"/>
                <w:sz w:val="21"/>
                <w:szCs w:val="21"/>
              </w:rPr>
              <w:t>提 比 例 (%)</w:t>
            </w:r>
          </w:p>
        </w:tc>
        <w:tc>
          <w:tcPr>
            <w:tcW w:w="1099" w:type="dxa"/>
            <w:vMerge/>
            <w:tcBorders>
              <w:left w:val="single" w:sz="4" w:space="0" w:color="000000"/>
              <w:bottom w:val="single" w:sz="4" w:space="0" w:color="000000"/>
              <w:right w:val="single" w:sz="4" w:space="0" w:color="000000"/>
            </w:tcBorders>
          </w:tcPr>
          <w:p>
            <w:pPr/>
          </w:p>
        </w:tc>
      </w:tr>
      <w:tr>
        <w:trPr>
          <w:trHeight w:val="5456" w:hRule="exact"/>
        </w:trPr>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37" w:lineRule="auto" w:before="1"/>
              <w:ind w:left="26" w:right="-26"/>
              <w:jc w:val="both"/>
              <w:rPr>
                <w:rFonts w:ascii="宋体" w:hAnsi="宋体" w:cs="宋体" w:eastAsia="宋体" w:hint="default"/>
                <w:sz w:val="21"/>
                <w:szCs w:val="21"/>
              </w:rPr>
            </w:pPr>
            <w:r>
              <w:rPr>
                <w:rFonts w:ascii="宋体" w:hAnsi="宋体" w:cs="宋体" w:eastAsia="宋体" w:hint="default"/>
                <w:sz w:val="21"/>
                <w:szCs w:val="21"/>
              </w:rPr>
              <w:t>项 金 额 重 大 并 单 独 计 提 坏 账 准 备 的 应 收 账 款</w:t>
            </w:r>
          </w:p>
        </w:tc>
        <w:tc>
          <w:tcPr>
            <w:tcW w:w="1178"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8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1" w:type="dxa"/>
        <w:tblLayout w:type="fixed"/>
        <w:tblCellMar>
          <w:top w:w="0" w:type="dxa"/>
          <w:left w:w="0" w:type="dxa"/>
          <w:bottom w:w="0" w:type="dxa"/>
          <w:right w:w="0" w:type="dxa"/>
        </w:tblCellMar>
        <w:tblLook w:val="01E0"/>
      </w:tblPr>
      <w:tblGrid>
        <w:gridCol w:w="221"/>
        <w:gridCol w:w="1178"/>
        <w:gridCol w:w="461"/>
        <w:gridCol w:w="1099"/>
        <w:gridCol w:w="540"/>
        <w:gridCol w:w="1178"/>
        <w:gridCol w:w="1177"/>
        <w:gridCol w:w="462"/>
        <w:gridCol w:w="1098"/>
        <w:gridCol w:w="382"/>
        <w:gridCol w:w="1099"/>
      </w:tblGrid>
      <w:tr>
        <w:trPr>
          <w:trHeight w:val="5456" w:hRule="exact"/>
        </w:trPr>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按</w:t>
            </w:r>
          </w:p>
          <w:p>
            <w:pPr>
              <w:pStyle w:val="TableParagraph"/>
              <w:spacing w:line="237" w:lineRule="auto" w:before="1"/>
              <w:ind w:left="26" w:right="-26"/>
              <w:jc w:val="both"/>
              <w:rPr>
                <w:rFonts w:ascii="宋体" w:hAnsi="宋体" w:cs="宋体" w:eastAsia="宋体" w:hint="default"/>
                <w:sz w:val="21"/>
                <w:szCs w:val="21"/>
              </w:rPr>
            </w:pPr>
            <w:r>
              <w:rPr>
                <w:rFonts w:ascii="宋体" w:hAnsi="宋体" w:cs="宋体" w:eastAsia="宋体" w:hint="default"/>
                <w:sz w:val="21"/>
                <w:szCs w:val="21"/>
              </w:rPr>
              <w:t>信 用 风 险 特 征 组 合 计 提 坏 账 准 备 的 应 收 账 款</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74" w:lineRule="exact"/>
              <w:ind w:left="92" w:right="0"/>
              <w:jc w:val="left"/>
              <w:rPr>
                <w:rFonts w:ascii="宋体" w:hAnsi="宋体" w:cs="宋体" w:eastAsia="宋体" w:hint="default"/>
                <w:sz w:val="21"/>
                <w:szCs w:val="21"/>
              </w:rPr>
            </w:pPr>
            <w:r>
              <w:rPr>
                <w:rFonts w:ascii="宋体"/>
                <w:sz w:val="21"/>
              </w:rPr>
              <w:t>124,548,44</w:t>
            </w:r>
          </w:p>
          <w:p>
            <w:pPr>
              <w:pStyle w:val="TableParagraph"/>
              <w:spacing w:line="274" w:lineRule="exact"/>
              <w:ind w:left="722" w:right="0"/>
              <w:jc w:val="left"/>
              <w:rPr>
                <w:rFonts w:ascii="宋体" w:hAnsi="宋体" w:cs="宋体" w:eastAsia="宋体" w:hint="default"/>
                <w:sz w:val="21"/>
                <w:szCs w:val="21"/>
              </w:rPr>
            </w:pPr>
            <w:r>
              <w:rPr>
                <w:rFonts w:ascii="宋体"/>
                <w:sz w:val="21"/>
              </w:rPr>
              <w:t>0.88</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74" w:lineRule="exact"/>
              <w:ind w:left="82" w:right="0"/>
              <w:jc w:val="center"/>
              <w:rPr>
                <w:rFonts w:ascii="宋体" w:hAnsi="宋体" w:cs="宋体" w:eastAsia="宋体" w:hint="default"/>
                <w:sz w:val="21"/>
                <w:szCs w:val="21"/>
              </w:rPr>
            </w:pPr>
            <w:r>
              <w:rPr>
                <w:rFonts w:ascii="宋体"/>
                <w:sz w:val="21"/>
              </w:rPr>
              <w:t>97.</w:t>
            </w:r>
          </w:p>
          <w:p>
            <w:pPr>
              <w:pStyle w:val="TableParagraph"/>
              <w:spacing w:line="274" w:lineRule="exact"/>
              <w:ind w:left="187" w:right="0"/>
              <w:jc w:val="center"/>
              <w:rPr>
                <w:rFonts w:ascii="宋体" w:hAnsi="宋体" w:cs="宋体" w:eastAsia="宋体" w:hint="default"/>
                <w:sz w:val="21"/>
                <w:szCs w:val="21"/>
              </w:rPr>
            </w:pPr>
            <w:r>
              <w:rPr>
                <w:rFonts w:ascii="宋体"/>
                <w:sz w:val="21"/>
              </w:rPr>
              <w:t>11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74" w:lineRule="exact"/>
              <w:ind w:right="23"/>
              <w:jc w:val="right"/>
              <w:rPr>
                <w:rFonts w:ascii="宋体" w:hAnsi="宋体" w:cs="宋体" w:eastAsia="宋体" w:hint="default"/>
                <w:sz w:val="21"/>
                <w:szCs w:val="21"/>
              </w:rPr>
            </w:pPr>
            <w:r>
              <w:rPr>
                <w:rFonts w:ascii="宋体"/>
                <w:spacing w:val="-1"/>
                <w:sz w:val="21"/>
              </w:rPr>
              <w:t>8,535,174</w:t>
            </w:r>
          </w:p>
          <w:p>
            <w:pPr>
              <w:pStyle w:val="TableParagraph"/>
              <w:spacing w:line="274" w:lineRule="exact"/>
              <w:ind w:right="24"/>
              <w:jc w:val="right"/>
              <w:rPr>
                <w:rFonts w:ascii="宋体" w:hAnsi="宋体" w:cs="宋体" w:eastAsia="宋体" w:hint="default"/>
                <w:sz w:val="21"/>
                <w:szCs w:val="21"/>
              </w:rPr>
            </w:pPr>
            <w:r>
              <w:rPr>
                <w:rFonts w:ascii="宋体"/>
                <w:spacing w:val="-1"/>
                <w:sz w:val="21"/>
              </w:rPr>
              <w:t>.57</w:t>
            </w:r>
            <w:r>
              <w:rPr>
                <w:rFonts w:ascii="宋体"/>
                <w:sz w:val="21"/>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6.85</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74" w:lineRule="exact"/>
              <w:ind w:left="91" w:right="0"/>
              <w:jc w:val="left"/>
              <w:rPr>
                <w:rFonts w:ascii="宋体" w:hAnsi="宋体" w:cs="宋体" w:eastAsia="宋体" w:hint="default"/>
                <w:sz w:val="21"/>
                <w:szCs w:val="21"/>
              </w:rPr>
            </w:pPr>
            <w:r>
              <w:rPr>
                <w:rFonts w:ascii="宋体"/>
                <w:sz w:val="21"/>
              </w:rPr>
              <w:t>116,013,26</w:t>
            </w:r>
          </w:p>
          <w:p>
            <w:pPr>
              <w:pStyle w:val="TableParagraph"/>
              <w:spacing w:line="274" w:lineRule="exact"/>
              <w:ind w:left="721" w:right="0"/>
              <w:jc w:val="left"/>
              <w:rPr>
                <w:rFonts w:ascii="宋体" w:hAnsi="宋体" w:cs="宋体" w:eastAsia="宋体" w:hint="default"/>
                <w:sz w:val="21"/>
                <w:szCs w:val="21"/>
              </w:rPr>
            </w:pPr>
            <w:r>
              <w:rPr>
                <w:rFonts w:ascii="宋体"/>
                <w:sz w:val="21"/>
              </w:rPr>
              <w:t>6.31</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74" w:lineRule="exact"/>
              <w:ind w:left="91" w:right="0"/>
              <w:jc w:val="left"/>
              <w:rPr>
                <w:rFonts w:ascii="宋体" w:hAnsi="宋体" w:cs="宋体" w:eastAsia="宋体" w:hint="default"/>
                <w:sz w:val="21"/>
                <w:szCs w:val="21"/>
              </w:rPr>
            </w:pPr>
            <w:r>
              <w:rPr>
                <w:rFonts w:ascii="宋体"/>
                <w:sz w:val="21"/>
              </w:rPr>
              <w:t>154,734,89</w:t>
            </w:r>
          </w:p>
          <w:p>
            <w:pPr>
              <w:pStyle w:val="TableParagraph"/>
              <w:spacing w:line="274" w:lineRule="exact"/>
              <w:ind w:left="721" w:right="0"/>
              <w:jc w:val="left"/>
              <w:rPr>
                <w:rFonts w:ascii="宋体" w:hAnsi="宋体" w:cs="宋体" w:eastAsia="宋体" w:hint="default"/>
                <w:sz w:val="21"/>
                <w:szCs w:val="21"/>
              </w:rPr>
            </w:pPr>
            <w:r>
              <w:rPr>
                <w:rFonts w:ascii="宋体"/>
                <w:sz w:val="21"/>
              </w:rPr>
              <w:t>8.66</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74" w:lineRule="exact"/>
              <w:ind w:left="83" w:right="0"/>
              <w:jc w:val="center"/>
              <w:rPr>
                <w:rFonts w:ascii="宋体" w:hAnsi="宋体" w:cs="宋体" w:eastAsia="宋体" w:hint="default"/>
                <w:sz w:val="21"/>
                <w:szCs w:val="21"/>
              </w:rPr>
            </w:pPr>
            <w:r>
              <w:rPr>
                <w:rFonts w:ascii="宋体"/>
                <w:sz w:val="21"/>
              </w:rPr>
              <w:t>98.</w:t>
            </w:r>
          </w:p>
          <w:p>
            <w:pPr>
              <w:pStyle w:val="TableParagraph"/>
              <w:spacing w:line="274" w:lineRule="exact"/>
              <w:ind w:left="188" w:right="0"/>
              <w:jc w:val="center"/>
              <w:rPr>
                <w:rFonts w:ascii="宋体" w:hAnsi="宋体" w:cs="宋体" w:eastAsia="宋体" w:hint="default"/>
                <w:sz w:val="21"/>
                <w:szCs w:val="21"/>
              </w:rPr>
            </w:pPr>
            <w:r>
              <w:rPr>
                <w:rFonts w:ascii="宋体"/>
                <w:sz w:val="21"/>
              </w:rPr>
              <w:t>56</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74" w:lineRule="exact"/>
              <w:ind w:left="117" w:right="0"/>
              <w:jc w:val="left"/>
              <w:rPr>
                <w:rFonts w:ascii="宋体" w:hAnsi="宋体" w:cs="宋体" w:eastAsia="宋体" w:hint="default"/>
                <w:sz w:val="21"/>
                <w:szCs w:val="21"/>
              </w:rPr>
            </w:pPr>
            <w:r>
              <w:rPr>
                <w:rFonts w:ascii="宋体"/>
                <w:sz w:val="21"/>
              </w:rPr>
              <w:t>10,865,21</w:t>
            </w:r>
          </w:p>
          <w:p>
            <w:pPr>
              <w:pStyle w:val="TableParagraph"/>
              <w:spacing w:line="274" w:lineRule="exact"/>
              <w:ind w:left="641" w:right="0"/>
              <w:jc w:val="left"/>
              <w:rPr>
                <w:rFonts w:ascii="宋体" w:hAnsi="宋体" w:cs="宋体" w:eastAsia="宋体" w:hint="default"/>
                <w:sz w:val="21"/>
                <w:szCs w:val="21"/>
              </w:rPr>
            </w:pPr>
            <w:r>
              <w:rPr>
                <w:rFonts w:ascii="宋体"/>
                <w:sz w:val="21"/>
              </w:rPr>
              <w:t>5.26</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74" w:lineRule="exact"/>
              <w:ind w:left="31" w:right="0"/>
              <w:jc w:val="left"/>
              <w:rPr>
                <w:rFonts w:ascii="宋体" w:hAnsi="宋体" w:cs="宋体" w:eastAsia="宋体" w:hint="default"/>
                <w:sz w:val="21"/>
                <w:szCs w:val="21"/>
              </w:rPr>
            </w:pPr>
            <w:r>
              <w:rPr>
                <w:rFonts w:ascii="宋体"/>
                <w:sz w:val="21"/>
              </w:rPr>
              <w:t>7.0</w:t>
            </w:r>
          </w:p>
          <w:p>
            <w:pPr>
              <w:pStyle w:val="TableParagraph"/>
              <w:spacing w:line="274" w:lineRule="exact"/>
              <w:ind w:left="241" w:right="0"/>
              <w:jc w:val="left"/>
              <w:rPr>
                <w:rFonts w:ascii="宋体" w:hAnsi="宋体" w:cs="宋体" w:eastAsia="宋体" w:hint="default"/>
                <w:sz w:val="21"/>
                <w:szCs w:val="21"/>
              </w:rPr>
            </w:pPr>
            <w:r>
              <w:rPr>
                <w:rFonts w:ascii="宋体"/>
                <w:sz w:val="21"/>
              </w:rPr>
              <w:t>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74" w:lineRule="exact"/>
              <w:ind w:left="117" w:right="0"/>
              <w:jc w:val="left"/>
              <w:rPr>
                <w:rFonts w:ascii="宋体" w:hAnsi="宋体" w:cs="宋体" w:eastAsia="宋体" w:hint="default"/>
                <w:sz w:val="21"/>
                <w:szCs w:val="21"/>
              </w:rPr>
            </w:pPr>
            <w:r>
              <w:rPr>
                <w:rFonts w:ascii="宋体"/>
                <w:sz w:val="21"/>
              </w:rPr>
              <w:t>143,869,6</w:t>
            </w:r>
          </w:p>
          <w:p>
            <w:pPr>
              <w:pStyle w:val="TableParagraph"/>
              <w:spacing w:line="274" w:lineRule="exact"/>
              <w:ind w:left="641" w:right="0"/>
              <w:jc w:val="left"/>
              <w:rPr>
                <w:rFonts w:ascii="宋体" w:hAnsi="宋体" w:cs="宋体" w:eastAsia="宋体" w:hint="default"/>
                <w:sz w:val="21"/>
                <w:szCs w:val="21"/>
              </w:rPr>
            </w:pPr>
            <w:r>
              <w:rPr>
                <w:rFonts w:ascii="宋体"/>
                <w:sz w:val="21"/>
              </w:rPr>
              <w:t>83.4</w:t>
            </w:r>
          </w:p>
        </w:tc>
      </w:tr>
      <w:tr>
        <w:trPr>
          <w:trHeight w:val="5730" w:hRule="exact"/>
        </w:trPr>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37" w:lineRule="auto" w:before="1"/>
              <w:ind w:left="26" w:right="-26"/>
              <w:jc w:val="both"/>
              <w:rPr>
                <w:rFonts w:ascii="宋体" w:hAnsi="宋体" w:cs="宋体" w:eastAsia="宋体" w:hint="default"/>
                <w:sz w:val="21"/>
                <w:szCs w:val="21"/>
              </w:rPr>
            </w:pPr>
            <w:r>
              <w:rPr>
                <w:rFonts w:ascii="宋体" w:hAnsi="宋体" w:cs="宋体" w:eastAsia="宋体" w:hint="default"/>
                <w:sz w:val="21"/>
                <w:szCs w:val="21"/>
              </w:rPr>
              <w:t>项 金 额 不 重 大 但 单 独 计 提 坏 账 准 备 的 应 收 账 款</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74" w:lineRule="exact"/>
              <w:ind w:right="23"/>
              <w:jc w:val="right"/>
              <w:rPr>
                <w:rFonts w:ascii="宋体" w:hAnsi="宋体" w:cs="宋体" w:eastAsia="宋体" w:hint="default"/>
                <w:sz w:val="21"/>
                <w:szCs w:val="21"/>
              </w:rPr>
            </w:pPr>
            <w:r>
              <w:rPr>
                <w:rFonts w:ascii="宋体"/>
                <w:spacing w:val="-1"/>
                <w:sz w:val="21"/>
              </w:rPr>
              <w:t>3,705,154.</w:t>
            </w:r>
          </w:p>
          <w:p>
            <w:pPr>
              <w:pStyle w:val="TableParagraph"/>
              <w:spacing w:line="274" w:lineRule="exact"/>
              <w:ind w:right="23"/>
              <w:jc w:val="right"/>
              <w:rPr>
                <w:rFonts w:ascii="宋体" w:hAnsi="宋体" w:cs="宋体" w:eastAsia="宋体" w:hint="default"/>
                <w:sz w:val="21"/>
                <w:szCs w:val="21"/>
              </w:rPr>
            </w:pPr>
            <w:r>
              <w:rPr>
                <w:rFonts w:ascii="宋体"/>
                <w:sz w:val="21"/>
              </w:rPr>
              <w:t>98</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74" w:lineRule="exact"/>
              <w:ind w:right="25"/>
              <w:jc w:val="right"/>
              <w:rPr>
                <w:rFonts w:ascii="宋体" w:hAnsi="宋体" w:cs="宋体" w:eastAsia="宋体" w:hint="default"/>
                <w:sz w:val="21"/>
                <w:szCs w:val="21"/>
              </w:rPr>
            </w:pPr>
            <w:r>
              <w:rPr>
                <w:rFonts w:ascii="宋体"/>
                <w:spacing w:val="-1"/>
                <w:sz w:val="21"/>
              </w:rPr>
              <w:t>2.8</w:t>
            </w:r>
          </w:p>
          <w:p>
            <w:pPr>
              <w:pStyle w:val="TableParagraph"/>
              <w:spacing w:line="274" w:lineRule="exact"/>
              <w:ind w:right="25"/>
              <w:jc w:val="right"/>
              <w:rPr>
                <w:rFonts w:ascii="宋体" w:hAnsi="宋体" w:cs="宋体" w:eastAsia="宋体" w:hint="default"/>
                <w:sz w:val="21"/>
                <w:szCs w:val="21"/>
              </w:rPr>
            </w:pPr>
            <w:r>
              <w:rPr>
                <w:rFonts w:ascii="宋体"/>
                <w:sz w:val="21"/>
              </w:rPr>
              <w:t>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74" w:lineRule="exact"/>
              <w:ind w:right="23"/>
              <w:jc w:val="right"/>
              <w:rPr>
                <w:rFonts w:ascii="宋体" w:hAnsi="宋体" w:cs="宋体" w:eastAsia="宋体" w:hint="default"/>
                <w:sz w:val="21"/>
                <w:szCs w:val="21"/>
              </w:rPr>
            </w:pPr>
            <w:r>
              <w:rPr>
                <w:rFonts w:ascii="宋体"/>
                <w:spacing w:val="-1"/>
                <w:sz w:val="21"/>
              </w:rPr>
              <w:t>3,705,154</w:t>
            </w:r>
          </w:p>
          <w:p>
            <w:pPr>
              <w:pStyle w:val="TableParagraph"/>
              <w:spacing w:line="274" w:lineRule="exact"/>
              <w:ind w:right="24"/>
              <w:jc w:val="right"/>
              <w:rPr>
                <w:rFonts w:ascii="宋体" w:hAnsi="宋体" w:cs="宋体" w:eastAsia="宋体" w:hint="default"/>
                <w:sz w:val="21"/>
                <w:szCs w:val="21"/>
              </w:rPr>
            </w:pPr>
            <w:r>
              <w:rPr>
                <w:rFonts w:ascii="宋体"/>
                <w:spacing w:val="-1"/>
                <w:sz w:val="21"/>
              </w:rPr>
              <w:t>.98</w:t>
            </w:r>
            <w:r>
              <w:rPr>
                <w:rFonts w:ascii="宋体"/>
                <w:sz w:val="21"/>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74" w:lineRule="exact"/>
              <w:ind w:left="82" w:right="0"/>
              <w:jc w:val="left"/>
              <w:rPr>
                <w:rFonts w:ascii="宋体" w:hAnsi="宋体" w:cs="宋体" w:eastAsia="宋体" w:hint="default"/>
                <w:sz w:val="21"/>
                <w:szCs w:val="21"/>
              </w:rPr>
            </w:pPr>
            <w:r>
              <w:rPr>
                <w:rFonts w:ascii="宋体"/>
                <w:sz w:val="21"/>
              </w:rPr>
              <w:t>100.</w:t>
            </w:r>
          </w:p>
          <w:p>
            <w:pPr>
              <w:pStyle w:val="TableParagraph"/>
              <w:spacing w:line="274" w:lineRule="exact"/>
              <w:ind w:left="292" w:right="0"/>
              <w:jc w:val="left"/>
              <w:rPr>
                <w:rFonts w:ascii="宋体" w:hAnsi="宋体" w:cs="宋体" w:eastAsia="宋体" w:hint="default"/>
                <w:sz w:val="21"/>
                <w:szCs w:val="21"/>
              </w:rPr>
            </w:pPr>
            <w:r>
              <w:rPr>
                <w:rFonts w:ascii="宋体"/>
                <w:sz w:val="21"/>
              </w:rPr>
              <w:t>00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74" w:lineRule="exact"/>
              <w:ind w:right="23"/>
              <w:jc w:val="right"/>
              <w:rPr>
                <w:rFonts w:ascii="宋体" w:hAnsi="宋体" w:cs="宋体" w:eastAsia="宋体" w:hint="default"/>
                <w:sz w:val="21"/>
                <w:szCs w:val="21"/>
              </w:rPr>
            </w:pPr>
            <w:r>
              <w:rPr>
                <w:rFonts w:ascii="宋体"/>
                <w:spacing w:val="-1"/>
                <w:sz w:val="21"/>
              </w:rPr>
              <w:t>2,258,276.</w:t>
            </w:r>
          </w:p>
          <w:p>
            <w:pPr>
              <w:pStyle w:val="TableParagraph"/>
              <w:spacing w:line="274" w:lineRule="exact"/>
              <w:ind w:right="23"/>
              <w:jc w:val="right"/>
              <w:rPr>
                <w:rFonts w:ascii="宋体" w:hAnsi="宋体" w:cs="宋体" w:eastAsia="宋体" w:hint="default"/>
                <w:sz w:val="21"/>
                <w:szCs w:val="21"/>
              </w:rPr>
            </w:pPr>
            <w:r>
              <w:rPr>
                <w:rFonts w:ascii="宋体"/>
                <w:sz w:val="21"/>
              </w:rPr>
              <w:t>24</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74" w:lineRule="exact"/>
              <w:ind w:right="26"/>
              <w:jc w:val="right"/>
              <w:rPr>
                <w:rFonts w:ascii="宋体" w:hAnsi="宋体" w:cs="宋体" w:eastAsia="宋体" w:hint="default"/>
                <w:sz w:val="21"/>
                <w:szCs w:val="21"/>
              </w:rPr>
            </w:pPr>
            <w:r>
              <w:rPr>
                <w:rFonts w:ascii="宋体"/>
                <w:spacing w:val="-1"/>
                <w:sz w:val="21"/>
              </w:rPr>
              <w:t>1.4</w:t>
            </w:r>
          </w:p>
          <w:p>
            <w:pPr>
              <w:pStyle w:val="TableParagraph"/>
              <w:spacing w:line="274" w:lineRule="exact"/>
              <w:ind w:right="26"/>
              <w:jc w:val="right"/>
              <w:rPr>
                <w:rFonts w:ascii="宋体" w:hAnsi="宋体" w:cs="宋体" w:eastAsia="宋体" w:hint="default"/>
                <w:sz w:val="21"/>
                <w:szCs w:val="21"/>
              </w:rPr>
            </w:pPr>
            <w:r>
              <w:rPr>
                <w:rFonts w:ascii="宋体"/>
                <w:sz w:val="21"/>
              </w:rPr>
              <w:t>4</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74" w:lineRule="exact"/>
              <w:ind w:right="23"/>
              <w:jc w:val="right"/>
              <w:rPr>
                <w:rFonts w:ascii="宋体" w:hAnsi="宋体" w:cs="宋体" w:eastAsia="宋体" w:hint="default"/>
                <w:sz w:val="21"/>
                <w:szCs w:val="21"/>
              </w:rPr>
            </w:pPr>
            <w:r>
              <w:rPr>
                <w:rFonts w:ascii="宋体"/>
                <w:spacing w:val="-1"/>
                <w:sz w:val="21"/>
              </w:rPr>
              <w:t>2,258,276</w:t>
            </w:r>
          </w:p>
          <w:p>
            <w:pPr>
              <w:pStyle w:val="TableParagraph"/>
              <w:spacing w:line="274" w:lineRule="exact"/>
              <w:ind w:right="24"/>
              <w:jc w:val="right"/>
              <w:rPr>
                <w:rFonts w:ascii="宋体" w:hAnsi="宋体" w:cs="宋体" w:eastAsia="宋体" w:hint="default"/>
                <w:sz w:val="21"/>
                <w:szCs w:val="21"/>
              </w:rPr>
            </w:pPr>
            <w:r>
              <w:rPr>
                <w:rFonts w:ascii="宋体"/>
                <w:spacing w:val="-1"/>
                <w:sz w:val="21"/>
              </w:rPr>
              <w:t>.24</w:t>
            </w:r>
            <w:r>
              <w:rPr>
                <w:rFonts w:ascii="宋体"/>
                <w:sz w:val="21"/>
              </w:rPr>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100</w:t>
            </w:r>
            <w:r>
              <w:rPr>
                <w:rFonts w:ascii="宋体"/>
                <w:sz w:val="21"/>
              </w:rPr>
            </w: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26"/>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26" w:right="-26"/>
              <w:jc w:val="left"/>
              <w:rPr>
                <w:rFonts w:ascii="宋体" w:hAnsi="宋体" w:cs="宋体" w:eastAsia="宋体" w:hint="default"/>
                <w:sz w:val="21"/>
                <w:szCs w:val="21"/>
              </w:rPr>
            </w:pPr>
            <w:r>
              <w:rPr>
                <w:rFonts w:ascii="宋体" w:hAnsi="宋体" w:cs="宋体" w:eastAsia="宋体" w:hint="default"/>
                <w:sz w:val="21"/>
                <w:szCs w:val="21"/>
              </w:rPr>
              <w:t>计</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2" w:right="0"/>
              <w:jc w:val="left"/>
              <w:rPr>
                <w:rFonts w:ascii="宋体" w:hAnsi="宋体" w:cs="宋体" w:eastAsia="宋体" w:hint="default"/>
                <w:sz w:val="21"/>
                <w:szCs w:val="21"/>
              </w:rPr>
            </w:pPr>
            <w:r>
              <w:rPr>
                <w:rFonts w:ascii="宋体"/>
                <w:sz w:val="21"/>
              </w:rPr>
              <w:t>128,253,59</w:t>
            </w:r>
          </w:p>
          <w:p>
            <w:pPr>
              <w:pStyle w:val="TableParagraph"/>
              <w:spacing w:line="274" w:lineRule="exact"/>
              <w:ind w:left="722" w:right="0"/>
              <w:jc w:val="left"/>
              <w:rPr>
                <w:rFonts w:ascii="宋体" w:hAnsi="宋体" w:cs="宋体" w:eastAsia="宋体" w:hint="default"/>
                <w:sz w:val="21"/>
                <w:szCs w:val="21"/>
              </w:rPr>
            </w:pPr>
            <w:r>
              <w:rPr>
                <w:rFonts w:ascii="宋体"/>
                <w:sz w:val="21"/>
              </w:rPr>
              <w:t>5.86</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5"/>
              <w:jc w:val="right"/>
              <w:rPr>
                <w:rFonts w:ascii="宋体" w:hAnsi="宋体" w:cs="宋体" w:eastAsia="宋体" w:hint="default"/>
                <w:sz w:val="21"/>
                <w:szCs w:val="21"/>
              </w:rPr>
            </w:pPr>
            <w:r>
              <w:rPr>
                <w:rFonts w:ascii="宋体"/>
                <w:sz w:val="21"/>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8" w:right="0"/>
              <w:jc w:val="left"/>
              <w:rPr>
                <w:rFonts w:ascii="宋体" w:hAnsi="宋体" w:cs="宋体" w:eastAsia="宋体" w:hint="default"/>
                <w:sz w:val="21"/>
                <w:szCs w:val="21"/>
              </w:rPr>
            </w:pPr>
            <w:r>
              <w:rPr>
                <w:rFonts w:ascii="宋体"/>
                <w:sz w:val="21"/>
              </w:rPr>
              <w:t>12,240,32</w:t>
            </w:r>
          </w:p>
          <w:p>
            <w:pPr>
              <w:pStyle w:val="TableParagraph"/>
              <w:spacing w:line="274" w:lineRule="exact"/>
              <w:ind w:left="643" w:right="0"/>
              <w:jc w:val="left"/>
              <w:rPr>
                <w:rFonts w:ascii="宋体" w:hAnsi="宋体" w:cs="宋体" w:eastAsia="宋体" w:hint="default"/>
                <w:sz w:val="21"/>
                <w:szCs w:val="21"/>
              </w:rPr>
            </w:pPr>
            <w:r>
              <w:rPr>
                <w:rFonts w:ascii="宋体"/>
                <w:sz w:val="21"/>
              </w:rPr>
              <w:t>9.55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5"/>
              <w:jc w:val="right"/>
              <w:rPr>
                <w:rFonts w:ascii="宋体" w:hAnsi="宋体" w:cs="宋体" w:eastAsia="宋体" w:hint="default"/>
                <w:sz w:val="21"/>
                <w:szCs w:val="21"/>
              </w:rPr>
            </w:pPr>
            <w:r>
              <w:rPr>
                <w:rFonts w:ascii="宋体"/>
                <w:sz w:val="21"/>
              </w:rPr>
              <w:t>/</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1" w:right="0"/>
              <w:jc w:val="left"/>
              <w:rPr>
                <w:rFonts w:ascii="宋体" w:hAnsi="宋体" w:cs="宋体" w:eastAsia="宋体" w:hint="default"/>
                <w:sz w:val="21"/>
                <w:szCs w:val="21"/>
              </w:rPr>
            </w:pPr>
            <w:r>
              <w:rPr>
                <w:rFonts w:ascii="宋体"/>
                <w:sz w:val="21"/>
              </w:rPr>
              <w:t>116,013,26</w:t>
            </w:r>
          </w:p>
          <w:p>
            <w:pPr>
              <w:pStyle w:val="TableParagraph"/>
              <w:spacing w:line="274" w:lineRule="exact"/>
              <w:ind w:left="721" w:right="0"/>
              <w:jc w:val="left"/>
              <w:rPr>
                <w:rFonts w:ascii="宋体" w:hAnsi="宋体" w:cs="宋体" w:eastAsia="宋体" w:hint="default"/>
                <w:sz w:val="21"/>
                <w:szCs w:val="21"/>
              </w:rPr>
            </w:pPr>
            <w:r>
              <w:rPr>
                <w:rFonts w:ascii="宋体"/>
                <w:sz w:val="21"/>
              </w:rPr>
              <w:t>6.31</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1" w:right="0"/>
              <w:jc w:val="left"/>
              <w:rPr>
                <w:rFonts w:ascii="宋体" w:hAnsi="宋体" w:cs="宋体" w:eastAsia="宋体" w:hint="default"/>
                <w:sz w:val="21"/>
                <w:szCs w:val="21"/>
              </w:rPr>
            </w:pPr>
            <w:r>
              <w:rPr>
                <w:rFonts w:ascii="宋体"/>
                <w:sz w:val="21"/>
              </w:rPr>
              <w:t>156,993,17</w:t>
            </w:r>
          </w:p>
          <w:p>
            <w:pPr>
              <w:pStyle w:val="TableParagraph"/>
              <w:spacing w:line="274" w:lineRule="exact"/>
              <w:ind w:left="721" w:right="0"/>
              <w:jc w:val="left"/>
              <w:rPr>
                <w:rFonts w:ascii="宋体" w:hAnsi="宋体" w:cs="宋体" w:eastAsia="宋体" w:hint="default"/>
                <w:sz w:val="21"/>
                <w:szCs w:val="21"/>
              </w:rPr>
            </w:pPr>
            <w:r>
              <w:rPr>
                <w:rFonts w:ascii="宋体"/>
                <w:sz w:val="21"/>
              </w:rPr>
              <w:t>4.90</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5"/>
              <w:jc w:val="right"/>
              <w:rPr>
                <w:rFonts w:ascii="宋体" w:hAnsi="宋体" w:cs="宋体" w:eastAsia="宋体" w:hint="default"/>
                <w:sz w:val="21"/>
                <w:szCs w:val="21"/>
              </w:rPr>
            </w:pPr>
            <w:r>
              <w:rPr>
                <w:rFonts w:ascii="宋体"/>
                <w:sz w:val="21"/>
              </w:rPr>
              <w:t>/</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7" w:right="0"/>
              <w:jc w:val="left"/>
              <w:rPr>
                <w:rFonts w:ascii="宋体" w:hAnsi="宋体" w:cs="宋体" w:eastAsia="宋体" w:hint="default"/>
                <w:sz w:val="21"/>
                <w:szCs w:val="21"/>
              </w:rPr>
            </w:pPr>
            <w:r>
              <w:rPr>
                <w:rFonts w:ascii="宋体"/>
                <w:sz w:val="21"/>
              </w:rPr>
              <w:t>13,123,49</w:t>
            </w:r>
          </w:p>
          <w:p>
            <w:pPr>
              <w:pStyle w:val="TableParagraph"/>
              <w:spacing w:line="274" w:lineRule="exact"/>
              <w:ind w:left="641" w:right="0"/>
              <w:jc w:val="left"/>
              <w:rPr>
                <w:rFonts w:ascii="宋体" w:hAnsi="宋体" w:cs="宋体" w:eastAsia="宋体" w:hint="default"/>
                <w:sz w:val="21"/>
                <w:szCs w:val="21"/>
              </w:rPr>
            </w:pPr>
            <w:r>
              <w:rPr>
                <w:rFonts w:ascii="宋体"/>
                <w:sz w:val="21"/>
              </w:rPr>
              <w:t>1.50</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宋体" w:hAnsi="宋体" w:cs="宋体" w:eastAsia="宋体" w:hint="default"/>
                <w:sz w:val="21"/>
                <w:szCs w:val="21"/>
              </w:rPr>
            </w:pPr>
            <w:r>
              <w:rPr>
                <w:rFonts w:ascii="宋体"/>
                <w:sz w:val="21"/>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7" w:right="0"/>
              <w:jc w:val="left"/>
              <w:rPr>
                <w:rFonts w:ascii="宋体" w:hAnsi="宋体" w:cs="宋体" w:eastAsia="宋体" w:hint="default"/>
                <w:sz w:val="21"/>
                <w:szCs w:val="21"/>
              </w:rPr>
            </w:pPr>
            <w:r>
              <w:rPr>
                <w:rFonts w:ascii="宋体"/>
                <w:sz w:val="21"/>
              </w:rPr>
              <w:t>143,869,6</w:t>
            </w:r>
          </w:p>
          <w:p>
            <w:pPr>
              <w:pStyle w:val="TableParagraph"/>
              <w:spacing w:line="274" w:lineRule="exact"/>
              <w:ind w:left="641" w:right="0"/>
              <w:jc w:val="left"/>
              <w:rPr>
                <w:rFonts w:ascii="宋体" w:hAnsi="宋体" w:cs="宋体" w:eastAsia="宋体" w:hint="default"/>
                <w:sz w:val="21"/>
                <w:szCs w:val="21"/>
              </w:rPr>
            </w:pPr>
            <w:r>
              <w:rPr>
                <w:rFonts w:ascii="宋体"/>
                <w:sz w:val="21"/>
              </w:rPr>
              <w:t>83.4</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7" w:top="1120" w:bottom="1380" w:left="1580" w:right="1040"/>
        </w:sectPr>
      </w:pPr>
    </w:p>
    <w:p>
      <w:pPr>
        <w:pStyle w:val="BodyText"/>
        <w:spacing w:line="240" w:lineRule="auto" w:before="35"/>
        <w:ind w:right="-20"/>
        <w:jc w:val="left"/>
      </w:pPr>
      <w:r>
        <w:rPr/>
        <w:t>期末单项金额重大并单项计提坏账准备的应收账款：</w:t>
      </w:r>
    </w:p>
    <w:p>
      <w:pPr>
        <w:pStyle w:val="BodyText"/>
        <w:spacing w:line="240" w:lineRule="auto" w:before="57"/>
        <w:ind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right="0"/>
        <w:jc w:val="left"/>
      </w:pPr>
      <w:r>
        <w:rPr/>
        <w:t>单位：元</w:t>
        <w:tab/>
        <w:t>币种：人民币</w:t>
      </w:r>
    </w:p>
    <w:p>
      <w:pPr>
        <w:spacing w:after="0" w:line="240" w:lineRule="auto"/>
        <w:jc w:val="left"/>
        <w:sectPr>
          <w:type w:val="continuous"/>
          <w:pgSz w:w="11910" w:h="16840"/>
          <w:pgMar w:top="1080" w:bottom="1380" w:left="1580" w:right="1040"/>
          <w:cols w:num="2" w:equalWidth="0">
            <w:col w:w="5048" w:space="1475"/>
            <w:col w:w="2767"/>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689"/>
        <w:gridCol w:w="1514"/>
        <w:gridCol w:w="1666"/>
        <w:gridCol w:w="1664"/>
        <w:gridCol w:w="1516"/>
      </w:tblGrid>
      <w:tr>
        <w:trPr>
          <w:trHeight w:val="282" w:hRule="exact"/>
        </w:trPr>
        <w:tc>
          <w:tcPr>
            <w:tcW w:w="2689" w:type="dxa"/>
            <w:vMerge w:val="restart"/>
            <w:tcBorders>
              <w:top w:val="single" w:sz="4" w:space="0" w:color="000000"/>
              <w:left w:val="single" w:sz="4" w:space="0" w:color="000000"/>
              <w:right w:val="single" w:sz="4" w:space="0" w:color="000000"/>
            </w:tcBorders>
          </w:tcPr>
          <w:p>
            <w:pPr>
              <w:pStyle w:val="TableParagraph"/>
              <w:spacing w:line="240" w:lineRule="auto" w:before="106"/>
              <w:ind w:left="394" w:right="0"/>
              <w:jc w:val="left"/>
              <w:rPr>
                <w:rFonts w:ascii="宋体" w:hAnsi="宋体" w:cs="宋体" w:eastAsia="宋体" w:hint="default"/>
                <w:sz w:val="21"/>
                <w:szCs w:val="21"/>
              </w:rPr>
            </w:pPr>
            <w:r>
              <w:rPr>
                <w:rFonts w:ascii="宋体" w:hAnsi="宋体" w:cs="宋体" w:eastAsia="宋体" w:hint="default"/>
                <w:sz w:val="21"/>
                <w:szCs w:val="21"/>
              </w:rPr>
              <w:t>应收账款（按单位）</w:t>
            </w:r>
          </w:p>
        </w:tc>
        <w:tc>
          <w:tcPr>
            <w:tcW w:w="63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89" w:type="dxa"/>
            <w:vMerge/>
            <w:tcBorders>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2" w:hRule="exact"/>
        </w:trPr>
        <w:tc>
          <w:tcPr>
            <w:tcW w:w="2689"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689"/>
        <w:gridCol w:w="1514"/>
        <w:gridCol w:w="1666"/>
        <w:gridCol w:w="1664"/>
        <w:gridCol w:w="1516"/>
      </w:tblGrid>
      <w:tr>
        <w:trPr>
          <w:trHeight w:val="282" w:hRule="exact"/>
        </w:trPr>
        <w:tc>
          <w:tcPr>
            <w:tcW w:w="2689"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14"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7" w:top="1120" w:bottom="1380" w:left="1580" w:right="1040"/>
        </w:sectPr>
      </w:pPr>
    </w:p>
    <w:p>
      <w:pPr>
        <w:pStyle w:val="BodyText"/>
        <w:spacing w:line="240" w:lineRule="auto" w:before="35"/>
        <w:ind w:right="-20"/>
        <w:jc w:val="left"/>
      </w:pPr>
      <w:r>
        <w:rPr/>
        <w:t>组合中，按账龄分析法计提坏账准备的应收账款：</w:t>
      </w:r>
    </w:p>
    <w:p>
      <w:pPr>
        <w:pStyle w:val="BodyText"/>
        <w:spacing w:line="240" w:lineRule="auto" w:before="57"/>
        <w:ind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right="0"/>
        <w:jc w:val="left"/>
      </w:pPr>
      <w:r>
        <w:rPr/>
        <w:t>单位：元</w:t>
        <w:tab/>
        <w:t>币种：人民币</w:t>
      </w:r>
    </w:p>
    <w:p>
      <w:pPr>
        <w:spacing w:after="0" w:line="240" w:lineRule="auto"/>
        <w:jc w:val="left"/>
        <w:sectPr>
          <w:type w:val="continuous"/>
          <w:pgSz w:w="11910" w:h="16840"/>
          <w:pgMar w:top="1080" w:bottom="1380" w:left="1580" w:right="1040"/>
          <w:cols w:num="2" w:equalWidth="0">
            <w:col w:w="4838" w:space="1685"/>
            <w:col w:w="2767"/>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674"/>
        <w:gridCol w:w="2166"/>
        <w:gridCol w:w="2113"/>
        <w:gridCol w:w="2096"/>
      </w:tblGrid>
      <w:tr>
        <w:trPr>
          <w:trHeight w:val="307"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74" w:type="dxa"/>
            <w:vMerge/>
            <w:tcBorders>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年以内小计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107,442,187.41</w:t>
            </w:r>
            <w:r>
              <w:rPr>
                <w:rFonts w:ascii="宋体"/>
                <w:sz w:val="21"/>
              </w:rPr>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5,372,109.37</w:t>
            </w:r>
            <w:r>
              <w:rPr>
                <w:rFonts w:ascii="宋体"/>
                <w:sz w:val="21"/>
              </w:rPr>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w w:val="95"/>
                <w:sz w:val="21"/>
              </w:rPr>
              <w:t>5.00</w:t>
            </w:r>
            <w:r>
              <w:rPr>
                <w:rFonts w:ascii="宋体"/>
                <w:w w:val="95"/>
                <w:sz w:val="21"/>
              </w:rPr>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10,127,780.01</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810,222.40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8.00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3,787,979.76</w:t>
            </w:r>
            <w:r>
              <w:rPr>
                <w:rFonts w:ascii="宋体"/>
                <w:sz w:val="21"/>
              </w:rPr>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757,595.95</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20.00</w:t>
            </w:r>
            <w:r>
              <w:rPr>
                <w:rFonts w:ascii="宋体"/>
                <w:sz w:val="21"/>
              </w:rPr>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3,190,493.70</w:t>
            </w:r>
            <w:r>
              <w:rPr>
                <w:rFonts w:ascii="宋体"/>
                <w:sz w:val="21"/>
              </w:rPr>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1,595,246.85</w:t>
            </w:r>
            <w:r>
              <w:rPr>
                <w:rFonts w:ascii="宋体"/>
                <w:sz w:val="21"/>
              </w:rPr>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50.00</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6"/>
                <w:sz w:val="21"/>
                <w:szCs w:val="21"/>
              </w:rPr>
              <w:t>3至</w:t>
            </w:r>
            <w:r>
              <w:rPr>
                <w:rFonts w:ascii="宋体" w:hAnsi="宋体" w:cs="宋体" w:eastAsia="宋体" w:hint="default"/>
                <w:spacing w:val="-52"/>
                <w:sz w:val="21"/>
                <w:szCs w:val="21"/>
              </w:rPr>
              <w:t> </w:t>
            </w:r>
            <w:r>
              <w:rPr>
                <w:rFonts w:ascii="宋体" w:hAnsi="宋体" w:cs="宋体" w:eastAsia="宋体" w:hint="default"/>
                <w:spacing w:val="26"/>
                <w:sz w:val="21"/>
                <w:szCs w:val="21"/>
              </w:rPr>
              <w:t>4年</w:t>
            </w:r>
            <w:r>
              <w:rPr>
                <w:rFonts w:ascii="宋体" w:hAnsi="宋体" w:cs="宋体" w:eastAsia="宋体" w:hint="default"/>
                <w:spacing w:val="-52"/>
                <w:sz w:val="21"/>
                <w:szCs w:val="21"/>
              </w:rPr>
              <w:t> </w:t>
            </w:r>
            <w:r>
              <w:rPr>
                <w:rFonts w:ascii="宋体" w:hAnsi="宋体" w:cs="宋体" w:eastAsia="宋体" w:hint="default"/>
                <w:sz w:val="21"/>
                <w:szCs w:val="21"/>
              </w:rPr>
            </w:r>
          </w:p>
        </w:tc>
        <w:tc>
          <w:tcPr>
            <w:tcW w:w="2166"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6"/>
                <w:sz w:val="21"/>
                <w:szCs w:val="21"/>
              </w:rPr>
              <w:t>4至</w:t>
            </w:r>
            <w:r>
              <w:rPr>
                <w:rFonts w:ascii="宋体" w:hAnsi="宋体" w:cs="宋体" w:eastAsia="宋体" w:hint="default"/>
                <w:spacing w:val="-52"/>
                <w:sz w:val="21"/>
                <w:szCs w:val="21"/>
              </w:rPr>
              <w:t> </w:t>
            </w:r>
            <w:r>
              <w:rPr>
                <w:rFonts w:ascii="宋体" w:hAnsi="宋体" w:cs="宋体" w:eastAsia="宋体" w:hint="default"/>
                <w:spacing w:val="26"/>
                <w:sz w:val="21"/>
                <w:szCs w:val="21"/>
              </w:rPr>
              <w:t>5年</w:t>
            </w:r>
            <w:r>
              <w:rPr>
                <w:rFonts w:ascii="宋体" w:hAnsi="宋体" w:cs="宋体" w:eastAsia="宋体" w:hint="default"/>
                <w:spacing w:val="-52"/>
                <w:sz w:val="21"/>
                <w:szCs w:val="21"/>
              </w:rPr>
              <w:t> </w:t>
            </w:r>
            <w:r>
              <w:rPr>
                <w:rFonts w:ascii="宋体" w:hAnsi="宋体" w:cs="宋体" w:eastAsia="宋体" w:hint="default"/>
                <w:sz w:val="21"/>
                <w:szCs w:val="21"/>
              </w:rPr>
            </w:r>
          </w:p>
        </w:tc>
        <w:tc>
          <w:tcPr>
            <w:tcW w:w="2166"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124,548,440.88</w:t>
            </w:r>
            <w:r>
              <w:rPr>
                <w:rFonts w:ascii="宋体"/>
                <w:sz w:val="21"/>
              </w:rPr>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8,535,174.57</w:t>
            </w:r>
            <w:r>
              <w:rPr>
                <w:rFonts w:ascii="宋体"/>
                <w:sz w:val="21"/>
              </w:rPr>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6.85</w:t>
            </w:r>
          </w:p>
        </w:tc>
      </w:tr>
    </w:tbl>
    <w:p>
      <w:pPr>
        <w:pStyle w:val="BodyText"/>
        <w:spacing w:line="240" w:lineRule="auto" w:before="24"/>
        <w:ind w:right="114"/>
        <w:jc w:val="left"/>
      </w:pPr>
      <w:r>
        <w:rPr/>
        <w:t>确定该组合依据的说明：</w:t>
      </w:r>
    </w:p>
    <w:p>
      <w:pPr>
        <w:pStyle w:val="BodyText"/>
        <w:spacing w:line="272" w:lineRule="exact" w:before="85"/>
        <w:ind w:right="227"/>
        <w:jc w:val="left"/>
      </w:pPr>
      <w:r>
        <w:rPr/>
        <w:t>已单独计提减值准备的应收账款除外，公司根据以前年度与之具有类似信用风险特征的应收账款 组合的实际损失率为基础，结合现时情况确定坏账准备计提比例。</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1580" w:right="1040"/>
        </w:sectPr>
      </w:pPr>
    </w:p>
    <w:p>
      <w:pPr>
        <w:pStyle w:val="BodyText"/>
        <w:spacing w:line="240" w:lineRule="auto" w:before="35"/>
        <w:ind w:right="-20"/>
        <w:jc w:val="left"/>
      </w:pPr>
      <w:r>
        <w:rPr/>
        <w:t>组合中，采用余额百分比法计提坏账准备的应收账款：</w:t>
      </w:r>
    </w:p>
    <w:p>
      <w:pPr>
        <w:pStyle w:val="BodyText"/>
        <w:spacing w:line="240" w:lineRule="auto" w:before="57"/>
        <w:ind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right="0"/>
        <w:jc w:val="left"/>
      </w:pPr>
      <w:r>
        <w:rPr/>
        <w:t>单位：元</w:t>
        <w:tab/>
        <w:t>币种：人民币</w:t>
      </w:r>
    </w:p>
    <w:p>
      <w:pPr>
        <w:spacing w:after="0" w:line="240" w:lineRule="auto"/>
        <w:jc w:val="left"/>
        <w:sectPr>
          <w:type w:val="continuous"/>
          <w:pgSz w:w="11910" w:h="16840"/>
          <w:pgMar w:top="1080" w:bottom="1380" w:left="1580" w:right="1040"/>
          <w:cols w:num="2" w:equalWidth="0">
            <w:col w:w="5258" w:space="1265"/>
            <w:col w:w="2767"/>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710"/>
        <w:gridCol w:w="2257"/>
        <w:gridCol w:w="2108"/>
        <w:gridCol w:w="1974"/>
      </w:tblGrid>
      <w:tr>
        <w:trPr>
          <w:trHeight w:val="282" w:hRule="exact"/>
        </w:trPr>
        <w:tc>
          <w:tcPr>
            <w:tcW w:w="2710" w:type="dxa"/>
            <w:vMerge w:val="restart"/>
            <w:tcBorders>
              <w:top w:val="single" w:sz="4" w:space="0" w:color="000000"/>
              <w:left w:val="single" w:sz="4" w:space="0" w:color="000000"/>
              <w:right w:val="single" w:sz="4" w:space="0" w:color="000000"/>
            </w:tcBorders>
          </w:tcPr>
          <w:p>
            <w:pPr>
              <w:pStyle w:val="TableParagraph"/>
              <w:spacing w:line="240" w:lineRule="auto" w:before="106"/>
              <w:ind w:left="824" w:right="0"/>
              <w:jc w:val="left"/>
              <w:rPr>
                <w:rFonts w:ascii="宋体" w:hAnsi="宋体" w:cs="宋体" w:eastAsia="宋体" w:hint="default"/>
                <w:sz w:val="21"/>
                <w:szCs w:val="21"/>
              </w:rPr>
            </w:pPr>
            <w:r>
              <w:rPr>
                <w:rFonts w:ascii="宋体" w:hAnsi="宋体" w:cs="宋体" w:eastAsia="宋体" w:hint="default"/>
                <w:sz w:val="21"/>
                <w:szCs w:val="21"/>
              </w:rPr>
              <w:t>余额百分比</w:t>
            </w:r>
          </w:p>
        </w:tc>
        <w:tc>
          <w:tcPr>
            <w:tcW w:w="63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710" w:type="dxa"/>
            <w:vMerge/>
            <w:tcBorders>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2710"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0"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57" w:type="dxa"/>
            <w:tcBorders>
              <w:top w:val="single" w:sz="4" w:space="0" w:color="000000"/>
              <w:left w:val="single" w:sz="4" w:space="0" w:color="000000"/>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4"/>
        <w:ind w:right="114"/>
        <w:jc w:val="left"/>
      </w:pPr>
      <w:r>
        <w:rPr/>
        <w:t>确定该组合依据的说明：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BodyText"/>
        <w:spacing w:line="240" w:lineRule="auto" w:before="35"/>
        <w:ind w:right="114"/>
        <w:jc w:val="left"/>
      </w:pPr>
      <w:r>
        <w:rPr/>
        <w:t>组合中，采用其他方法计提坏账准备的应收账款：</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0000ff">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pStyle w:val="Heading3"/>
        <w:tabs>
          <w:tab w:pos="1057" w:val="left" w:leader="none"/>
        </w:tabs>
        <w:spacing w:line="240" w:lineRule="auto"/>
        <w:ind w:left="359" w:right="114"/>
        <w:jc w:val="left"/>
        <w:rPr>
          <w:b w:val="0"/>
          <w:bCs w:val="0"/>
        </w:rPr>
      </w:pPr>
      <w:r>
        <w:rPr>
          <w:w w:val="95"/>
        </w:rPr>
        <w:t>(2).</w:t>
        <w:tab/>
      </w:r>
      <w:r>
        <w:rPr/>
        <w:t>本期计提、收回或转回的坏账准备情况：</w:t>
      </w:r>
      <w:r>
        <w:rPr>
          <w:b w:val="0"/>
          <w:bCs w:val="0"/>
        </w:rPr>
      </w:r>
    </w:p>
    <w:p>
      <w:pPr>
        <w:tabs>
          <w:tab w:pos="6930" w:val="left" w:leader="none"/>
        </w:tabs>
        <w:spacing w:before="57"/>
        <w:ind w:left="217" w:right="114" w:firstLine="0"/>
        <w:jc w:val="left"/>
        <w:rPr>
          <w:rFonts w:ascii="宋体" w:hAnsi="宋体" w:cs="宋体" w:eastAsia="宋体" w:hint="default"/>
          <w:sz w:val="21"/>
          <w:szCs w:val="21"/>
        </w:rPr>
      </w:pPr>
      <w:r>
        <w:rPr>
          <w:rFonts w:ascii="宋体" w:hAnsi="宋体" w:cs="宋体" w:eastAsia="宋体" w:hint="default"/>
          <w:w w:val="95"/>
          <w:sz w:val="21"/>
          <w:szCs w:val="21"/>
        </w:rPr>
        <w:t>本期计提坏账准备金额</w:t>
      </w:r>
      <w:r>
        <w:rPr>
          <w:rFonts w:ascii="Arial" w:hAnsi="Arial" w:cs="Arial" w:eastAsia="Arial" w:hint="default"/>
          <w:b/>
          <w:bCs/>
          <w:w w:val="95"/>
          <w:sz w:val="18"/>
          <w:szCs w:val="18"/>
        </w:rPr>
        <w:t>-883,161.95  </w:t>
      </w:r>
      <w:r>
        <w:rPr>
          <w:rFonts w:ascii="Arial" w:hAnsi="Arial" w:cs="Arial" w:eastAsia="Arial" w:hint="default"/>
          <w:b/>
          <w:bCs/>
          <w:spacing w:val="33"/>
          <w:w w:val="95"/>
          <w:sz w:val="18"/>
          <w:szCs w:val="18"/>
        </w:rPr>
        <w:t> </w:t>
      </w:r>
      <w:r>
        <w:rPr>
          <w:rFonts w:ascii="宋体" w:hAnsi="宋体" w:cs="宋体" w:eastAsia="宋体" w:hint="default"/>
          <w:w w:val="95"/>
          <w:sz w:val="21"/>
          <w:szCs w:val="21"/>
        </w:rPr>
        <w:t>元；本期收回或转回坏账准备金额</w:t>
      </w:r>
      <w:r>
        <w:rPr>
          <w:rFonts w:ascii="Times New Roman" w:hAnsi="Times New Roman" w:cs="Times New Roman" w:eastAsia="Times New Roman" w:hint="default"/>
          <w:w w:val="95"/>
          <w:sz w:val="21"/>
          <w:szCs w:val="21"/>
        </w:rPr>
      </w:r>
      <w:r>
        <w:rPr>
          <w:rFonts w:ascii="Times New Roman" w:hAnsi="Times New Roman" w:cs="Times New Roman" w:eastAsia="Times New Roman" w:hint="default"/>
          <w:w w:val="95"/>
          <w:sz w:val="21"/>
          <w:szCs w:val="21"/>
          <w:u w:val="single" w:color="33339A"/>
        </w:rPr>
        <w:t> </w:t>
        <w:tab/>
      </w:r>
      <w:r>
        <w:rPr>
          <w:rFonts w:ascii="Times New Roman" w:hAnsi="Times New Roman" w:cs="Times New Roman" w:eastAsia="Times New Roman" w:hint="default"/>
          <w:w w:val="95"/>
          <w:sz w:val="21"/>
          <w:szCs w:val="21"/>
        </w:rPr>
      </w:r>
      <w:r>
        <w:rPr>
          <w:rFonts w:ascii="宋体" w:hAnsi="宋体" w:cs="宋体" w:eastAsia="宋体" w:hint="default"/>
          <w:sz w:val="21"/>
          <w:szCs w:val="21"/>
        </w:rPr>
        <w:t>元。</w:t>
      </w:r>
    </w:p>
    <w:p>
      <w:pPr>
        <w:spacing w:line="240" w:lineRule="auto" w:before="4"/>
        <w:rPr>
          <w:rFonts w:ascii="宋体" w:hAnsi="宋体" w:cs="宋体" w:eastAsia="宋体" w:hint="default"/>
          <w:sz w:val="17"/>
          <w:szCs w:val="17"/>
        </w:rPr>
      </w:pPr>
    </w:p>
    <w:p>
      <w:pPr>
        <w:pStyle w:val="BodyText"/>
        <w:spacing w:line="274" w:lineRule="exact" w:before="35"/>
        <w:ind w:right="114"/>
        <w:jc w:val="left"/>
      </w:pPr>
      <w:r>
        <w:rPr/>
        <w:t>其中本期坏账准备收回或转回金额重要的：</w:t>
      </w:r>
    </w:p>
    <w:p>
      <w:pPr>
        <w:pStyle w:val="BodyText"/>
        <w:tabs>
          <w:tab w:pos="1049" w:val="left" w:leader="none"/>
        </w:tabs>
        <w:spacing w:line="274" w:lineRule="exact"/>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189"/>
        <w:gridCol w:w="3431"/>
        <w:gridCol w:w="3430"/>
      </w:tblGrid>
      <w:tr>
        <w:trPr>
          <w:trHeight w:val="282"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收回或转回金额</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283" w:hRule="exact"/>
        </w:trPr>
        <w:tc>
          <w:tcPr>
            <w:tcW w:w="2189" w:type="dxa"/>
            <w:tcBorders>
              <w:top w:val="single" w:sz="4" w:space="0" w:color="000000"/>
              <w:left w:val="single" w:sz="4" w:space="0" w:color="000000"/>
              <w:bottom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89" w:type="dxa"/>
            <w:tcBorders>
              <w:top w:val="single" w:sz="4" w:space="0" w:color="000000"/>
              <w:left w:val="single" w:sz="4" w:space="0" w:color="000000"/>
              <w:bottom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431"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sz w:val="21"/>
              </w:rPr>
              <w:t>/</w:t>
            </w:r>
          </w:p>
        </w:tc>
      </w:tr>
    </w:tbl>
    <w:p>
      <w:pPr>
        <w:spacing w:after="0" w:line="240" w:lineRule="exact"/>
        <w:jc w:val="center"/>
        <w:rPr>
          <w:rFonts w:ascii="宋体" w:hAnsi="宋体" w:cs="宋体" w:eastAsia="宋体" w:hint="default"/>
          <w:sz w:val="21"/>
          <w:szCs w:val="21"/>
        </w:rPr>
        <w:sectPr>
          <w:type w:val="continuous"/>
          <w:pgSz w:w="11910" w:h="16840"/>
          <w:pgMar w:top="1080" w:bottom="1380" w:left="1580" w:right="1040"/>
        </w:sectPr>
      </w:pPr>
    </w:p>
    <w:p>
      <w:pPr>
        <w:spacing w:line="240" w:lineRule="auto" w:before="3"/>
        <w:rPr>
          <w:rFonts w:ascii="宋体" w:hAnsi="宋体" w:cs="宋体" w:eastAsia="宋体" w:hint="default"/>
          <w:sz w:val="25"/>
          <w:szCs w:val="25"/>
        </w:rPr>
      </w:pPr>
      <w:r>
        <w:rPr/>
        <w:pict>
          <v:shape style="position:absolute;margin-left:88.080002pt;margin-top:690.600037pt;width:445.5pt;height:70.650pt;mso-position-horizontal-relative:page;mso-position-vertical-relative:page;z-index:7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
                    <w:gridCol w:w="1129"/>
                    <w:gridCol w:w="472"/>
                    <w:gridCol w:w="1048"/>
                    <w:gridCol w:w="556"/>
                    <w:gridCol w:w="1129"/>
                    <w:gridCol w:w="1130"/>
                    <w:gridCol w:w="473"/>
                    <w:gridCol w:w="1049"/>
                    <w:gridCol w:w="554"/>
                    <w:gridCol w:w="1130"/>
                  </w:tblGrid>
                  <w:tr>
                    <w:trPr>
                      <w:trHeight w:val="293" w:hRule="exact"/>
                    </w:trPr>
                    <w:tc>
                      <w:tcPr>
                        <w:tcW w:w="2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26" w:right="-21"/>
                          <w:jc w:val="left"/>
                          <w:rPr>
                            <w:rFonts w:ascii="宋体" w:hAnsi="宋体" w:cs="宋体" w:eastAsia="宋体" w:hint="default"/>
                            <w:sz w:val="21"/>
                            <w:szCs w:val="21"/>
                          </w:rPr>
                        </w:pPr>
                        <w:r>
                          <w:rPr>
                            <w:rFonts w:ascii="宋体" w:hAnsi="宋体" w:cs="宋体" w:eastAsia="宋体" w:hint="default"/>
                            <w:sz w:val="21"/>
                            <w:szCs w:val="21"/>
                          </w:rPr>
                          <w:t>类 别</w:t>
                        </w:r>
                      </w:p>
                    </w:tc>
                    <w:tc>
                      <w:tcPr>
                        <w:tcW w:w="43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26" w:type="dxa"/>
                        <w:vMerge/>
                        <w:tcBorders>
                          <w:left w:val="single" w:sz="4" w:space="0" w:color="000000"/>
                          <w:right w:val="single" w:sz="4" w:space="0" w:color="000000"/>
                        </w:tcBorders>
                      </w:tcPr>
                      <w:p>
                        <w:pP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2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72" w:lineRule="exact"/>
                          <w:ind w:left="349" w:right="348"/>
                          <w:jc w:val="left"/>
                          <w:rPr>
                            <w:rFonts w:ascii="宋体" w:hAnsi="宋体" w:cs="宋体" w:eastAsia="宋体" w:hint="default"/>
                            <w:sz w:val="21"/>
                            <w:szCs w:val="21"/>
                          </w:rPr>
                        </w:pPr>
                        <w:r>
                          <w:rPr>
                            <w:rFonts w:ascii="宋体" w:hAnsi="宋体" w:cs="宋体" w:eastAsia="宋体" w:hint="default"/>
                            <w:sz w:val="21"/>
                            <w:szCs w:val="21"/>
                          </w:rPr>
                          <w:t>账面 价值</w:t>
                        </w:r>
                      </w:p>
                    </w:tc>
                    <w:tc>
                      <w:tcPr>
                        <w:tcW w:w="16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72" w:lineRule="exact"/>
                          <w:ind w:left="349" w:right="349"/>
                          <w:jc w:val="left"/>
                          <w:rPr>
                            <w:rFonts w:ascii="宋体" w:hAnsi="宋体" w:cs="宋体" w:eastAsia="宋体" w:hint="default"/>
                            <w:sz w:val="21"/>
                            <w:szCs w:val="21"/>
                          </w:rPr>
                        </w:pPr>
                        <w:r>
                          <w:rPr>
                            <w:rFonts w:ascii="宋体" w:hAnsi="宋体" w:cs="宋体" w:eastAsia="宋体" w:hint="default"/>
                            <w:sz w:val="21"/>
                            <w:szCs w:val="21"/>
                          </w:rPr>
                          <w:t>账面 价值</w:t>
                        </w:r>
                      </w:p>
                    </w:tc>
                  </w:tr>
                  <w:tr>
                    <w:trPr>
                      <w:trHeight w:val="828" w:hRule="exact"/>
                    </w:trPr>
                    <w:tc>
                      <w:tcPr>
                        <w:tcW w:w="226" w:type="dxa"/>
                        <w:vMerge/>
                        <w:tcBorders>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4"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2" w:lineRule="exact" w:before="26"/>
                          <w:ind w:left="73" w:right="71" w:firstLine="51"/>
                          <w:jc w:val="left"/>
                          <w:rPr>
                            <w:rFonts w:ascii="宋体" w:hAnsi="宋体" w:cs="宋体" w:eastAsia="宋体" w:hint="default"/>
                            <w:sz w:val="21"/>
                            <w:szCs w:val="21"/>
                          </w:rPr>
                        </w:pPr>
                        <w:r>
                          <w:rPr>
                            <w:rFonts w:ascii="宋体" w:hAnsi="宋体" w:cs="宋体" w:eastAsia="宋体" w:hint="default"/>
                            <w:sz w:val="21"/>
                            <w:szCs w:val="21"/>
                          </w:rPr>
                          <w:t>例 (%)</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3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2"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6"/>
                          <w:ind w:left="115" w:right="61" w:hanging="53"/>
                          <w:jc w:val="left"/>
                          <w:rPr>
                            <w:rFonts w:ascii="宋体" w:hAnsi="宋体" w:cs="宋体" w:eastAsia="宋体" w:hint="default"/>
                            <w:sz w:val="21"/>
                            <w:szCs w:val="21"/>
                          </w:rPr>
                        </w:pPr>
                        <w:r>
                          <w:rPr>
                            <w:rFonts w:ascii="宋体" w:hAnsi="宋体" w:cs="宋体" w:eastAsia="宋体" w:hint="default"/>
                            <w:sz w:val="21"/>
                            <w:szCs w:val="21"/>
                          </w:rPr>
                          <w:t>比例 (%)</w:t>
                        </w:r>
                      </w:p>
                    </w:tc>
                    <w:tc>
                      <w:tcPr>
                        <w:tcW w:w="1129" w:type="dxa"/>
                        <w:vMerge/>
                        <w:tcBorders>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5"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2" w:lineRule="exact" w:before="26"/>
                          <w:ind w:left="73" w:right="74" w:firstLine="52"/>
                          <w:jc w:val="left"/>
                          <w:rPr>
                            <w:rFonts w:ascii="宋体" w:hAnsi="宋体" w:cs="宋体" w:eastAsia="宋体" w:hint="default"/>
                            <w:sz w:val="21"/>
                            <w:szCs w:val="21"/>
                          </w:rPr>
                        </w:pPr>
                        <w:r>
                          <w:rPr>
                            <w:rFonts w:ascii="宋体" w:hAnsi="宋体" w:cs="宋体" w:eastAsia="宋体" w:hint="default"/>
                            <w:sz w:val="21"/>
                            <w:szCs w:val="21"/>
                          </w:rPr>
                          <w:t>例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1"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6"/>
                          <w:ind w:left="113" w:right="61" w:hanging="53"/>
                          <w:jc w:val="left"/>
                          <w:rPr>
                            <w:rFonts w:ascii="宋体" w:hAnsi="宋体" w:cs="宋体" w:eastAsia="宋体" w:hint="default"/>
                            <w:sz w:val="21"/>
                            <w:szCs w:val="21"/>
                          </w:rPr>
                        </w:pPr>
                        <w:r>
                          <w:rPr>
                            <w:rFonts w:ascii="宋体" w:hAnsi="宋体" w:cs="宋体" w:eastAsia="宋体" w:hint="default"/>
                            <w:sz w:val="21"/>
                            <w:szCs w:val="21"/>
                          </w:rPr>
                          <w:t>比例 (%)</w:t>
                        </w:r>
                      </w:p>
                    </w:tc>
                    <w:tc>
                      <w:tcPr>
                        <w:tcW w:w="1130" w:type="dxa"/>
                        <w:vMerge/>
                        <w:tcBorders>
                          <w:left w:val="single" w:sz="4" w:space="0" w:color="000000"/>
                          <w:bottom w:val="single" w:sz="4" w:space="0" w:color="000000"/>
                          <w:right w:val="single" w:sz="4" w:space="0" w:color="000000"/>
                        </w:tcBorders>
                      </w:tcPr>
                      <w:p>
                        <w:pPr/>
                      </w:p>
                    </w:tc>
                  </w:tr>
                </w:tbl>
                <w:p>
                  <w:pPr/>
                </w:p>
              </w:txbxContent>
            </v:textbox>
            <w10:wrap type="none"/>
          </v:shape>
        </w:pict>
      </w:r>
    </w:p>
    <w:p>
      <w:pPr>
        <w:pStyle w:val="BodyText"/>
        <w:spacing w:line="240" w:lineRule="auto" w:before="35"/>
        <w:ind w:left="237" w:right="113"/>
        <w:jc w:val="left"/>
      </w:pPr>
      <w:r>
        <w:rPr/>
        <w:t>其他说明</w:t>
      </w:r>
    </w:p>
    <w:p>
      <w:pPr>
        <w:spacing w:line="240" w:lineRule="auto" w:before="12"/>
        <w:rPr>
          <w:rFonts w:ascii="宋体" w:hAnsi="宋体" w:cs="宋体" w:eastAsia="宋体" w:hint="default"/>
          <w:sz w:val="20"/>
          <w:szCs w:val="20"/>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a">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tabs>
          <w:tab w:pos="1077" w:val="left" w:leader="none"/>
        </w:tabs>
        <w:spacing w:line="240" w:lineRule="auto"/>
        <w:ind w:left="379" w:right="113"/>
        <w:jc w:val="left"/>
        <w:rPr>
          <w:b w:val="0"/>
          <w:bCs w:val="0"/>
        </w:rPr>
      </w:pPr>
      <w:r>
        <w:rPr>
          <w:w w:val="95"/>
        </w:rPr>
        <w:t>(3).</w:t>
        <w:tab/>
      </w:r>
      <w:r>
        <w:rPr/>
        <w:t>本期实际核销的应收账款情况</w:t>
      </w:r>
      <w:r>
        <w:rPr>
          <w:b w:val="0"/>
          <w:bCs w:val="0"/>
        </w:rPr>
      </w:r>
    </w:p>
    <w:p>
      <w:pPr>
        <w:pStyle w:val="BodyText"/>
        <w:tabs>
          <w:tab w:pos="1049" w:val="left" w:leader="none"/>
        </w:tabs>
        <w:spacing w:line="240" w:lineRule="auto" w:before="57"/>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273"/>
        <w:gridCol w:w="4776"/>
      </w:tblGrid>
      <w:tr>
        <w:trPr>
          <w:trHeight w:val="282"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5"/>
          <w:szCs w:val="15"/>
        </w:rPr>
      </w:pPr>
    </w:p>
    <w:p>
      <w:pPr>
        <w:pStyle w:val="BodyText"/>
        <w:spacing w:line="274" w:lineRule="exact" w:before="35"/>
        <w:ind w:left="237" w:right="113"/>
        <w:jc w:val="left"/>
      </w:pPr>
      <w:r>
        <w:rPr/>
        <w:t>其中重要的应收账款核销情况</w:t>
      </w:r>
    </w:p>
    <w:p>
      <w:pPr>
        <w:pStyle w:val="BodyText"/>
        <w:tabs>
          <w:tab w:pos="1049" w:val="left" w:leader="none"/>
        </w:tabs>
        <w:spacing w:line="274" w:lineRule="exact"/>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1361"/>
        <w:gridCol w:w="1361"/>
        <w:gridCol w:w="1358"/>
        <w:gridCol w:w="1361"/>
        <w:gridCol w:w="1728"/>
        <w:gridCol w:w="1727"/>
      </w:tblGrid>
      <w:tr>
        <w:trPr>
          <w:trHeight w:val="560"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2"/>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73"/>
              <w:jc w:val="center"/>
              <w:rPr>
                <w:rFonts w:ascii="宋体" w:hAnsi="宋体" w:cs="宋体" w:eastAsia="宋体" w:hint="default"/>
                <w:sz w:val="21"/>
                <w:szCs w:val="21"/>
              </w:rPr>
            </w:pPr>
            <w:r>
              <w:rPr>
                <w:rFonts w:ascii="宋体" w:hAnsi="宋体" w:cs="宋体" w:eastAsia="宋体" w:hint="default"/>
                <w:sz w:val="21"/>
                <w:szCs w:val="21"/>
              </w:rPr>
              <w:t>应收账款性</w:t>
            </w:r>
          </w:p>
          <w:p>
            <w:pPr>
              <w:pStyle w:val="TableParagraph"/>
              <w:spacing w:line="274" w:lineRule="exact"/>
              <w:ind w:right="73"/>
              <w:jc w:val="center"/>
              <w:rPr>
                <w:rFonts w:ascii="宋体" w:hAnsi="宋体" w:cs="宋体" w:eastAsia="宋体" w:hint="default"/>
                <w:sz w:val="21"/>
                <w:szCs w:val="21"/>
              </w:rPr>
            </w:pPr>
            <w:r>
              <w:rPr>
                <w:rFonts w:ascii="宋体" w:hAnsi="宋体" w:cs="宋体" w:eastAsia="宋体" w:hint="default"/>
                <w:sz w:val="21"/>
                <w:szCs w:val="21"/>
              </w:rPr>
              <w:t>质</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4"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履行的核销程序</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287" w:hRule="exact"/>
        </w:trPr>
        <w:tc>
          <w:tcPr>
            <w:tcW w:w="1361"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61"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3"/>
              <w:jc w:val="center"/>
              <w:rPr>
                <w:rFonts w:ascii="宋体" w:hAnsi="宋体" w:cs="宋体" w:eastAsia="宋体" w:hint="default"/>
                <w:sz w:val="21"/>
                <w:szCs w:val="21"/>
              </w:rPr>
            </w:pPr>
            <w:r>
              <w:rPr>
                <w:rFonts w:ascii="宋体" w:hAnsi="宋体" w:cs="宋体" w:eastAsia="宋体" w:hint="default"/>
                <w:sz w:val="21"/>
                <w:szCs w:val="21"/>
              </w:rPr>
              <w:t>合计</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1" w:right="0"/>
              <w:jc w:val="left"/>
              <w:rPr>
                <w:rFonts w:ascii="宋体" w:hAnsi="宋体" w:cs="宋体" w:eastAsia="宋体" w:hint="default"/>
                <w:sz w:val="21"/>
                <w:szCs w:val="21"/>
              </w:rPr>
            </w:pPr>
            <w:r>
              <w:rPr>
                <w:rFonts w:ascii="宋体"/>
                <w:sz w:val="21"/>
              </w:rPr>
              <w:t>/</w:t>
            </w:r>
          </w:p>
        </w:tc>
        <w:tc>
          <w:tcPr>
            <w:tcW w:w="1358"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7"/>
        <w:rPr>
          <w:rFonts w:ascii="宋体" w:hAnsi="宋体" w:cs="宋体" w:eastAsia="宋体" w:hint="default"/>
          <w:sz w:val="15"/>
          <w:szCs w:val="15"/>
        </w:rPr>
      </w:pPr>
    </w:p>
    <w:p>
      <w:pPr>
        <w:pStyle w:val="BodyText"/>
        <w:spacing w:line="240" w:lineRule="auto" w:before="35"/>
        <w:ind w:left="237" w:right="113"/>
        <w:jc w:val="left"/>
      </w:pPr>
      <w:r>
        <w:rPr/>
        <w:t>应收账款核销说明：</w:t>
      </w:r>
    </w:p>
    <w:p>
      <w:pPr>
        <w:spacing w:line="240" w:lineRule="auto" w:before="12"/>
        <w:rPr>
          <w:rFonts w:ascii="宋体" w:hAnsi="宋体" w:cs="宋体" w:eastAsia="宋体" w:hint="default"/>
          <w:sz w:val="20"/>
          <w:szCs w:val="20"/>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pStyle w:val="Heading3"/>
        <w:tabs>
          <w:tab w:pos="1077" w:val="left" w:leader="none"/>
        </w:tabs>
        <w:spacing w:line="240" w:lineRule="auto"/>
        <w:ind w:left="379" w:right="113"/>
        <w:jc w:val="left"/>
        <w:rPr>
          <w:b w:val="0"/>
          <w:bCs w:val="0"/>
        </w:rPr>
      </w:pPr>
      <w:r>
        <w:rPr/>
        <w:pict>
          <v:group style="position:absolute;margin-left:83.040001pt;margin-top:33.753811pt;width:452.05pt;height:129.85pt;mso-position-horizontal-relative:page;mso-position-vertical-relative:paragraph;z-index:-1223440" coordorigin="1661,675" coordsize="9041,2597">
            <v:group style="position:absolute;left:1690;top:690;width:8990;height:2" coordorigin="1690,690" coordsize="8990,2">
              <v:shape style="position:absolute;left:1690;top:690;width:8990;height:2" coordorigin="1690,690" coordsize="8990,0" path="m1690,690l10679,690e" filled="false" stroked="true" strokeweight="1.5pt" strokecolor="#000000">
                <v:path arrowok="t"/>
              </v:shape>
              <v:shape style="position:absolute;left:4780;top:676;width:3827;height:524" type="#_x0000_t75" stroked="false">
                <v:imagedata r:id="rId102" o:title=""/>
              </v:shape>
              <v:shape style="position:absolute;left:1661;top:1150;width:9041;height:2122" type="#_x0000_t75" stroked="false">
                <v:imagedata r:id="rId133" o:title=""/>
              </v:shape>
              <v:shape style="position:absolute;left:2891;top:84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单位名称</w:t>
                      </w:r>
                    </w:p>
                  </w:txbxContent>
                </v:textbox>
                <w10:wrap type="none"/>
              </v:shape>
              <v:shape style="position:absolute;left:5504;top:84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7115;top:730;width:1260;height:423" type="#_x0000_t202" filled="false" stroked="false">
                <v:textbox inset="0,0,0,0">
                  <w:txbxContent>
                    <w:p>
                      <w:pPr>
                        <w:spacing w:line="179" w:lineRule="exact" w:before="0"/>
                        <w:ind w:left="64" w:right="0" w:hanging="65"/>
                        <w:jc w:val="left"/>
                        <w:rPr>
                          <w:rFonts w:ascii="宋体" w:hAnsi="宋体" w:cs="宋体" w:eastAsia="宋体" w:hint="default"/>
                          <w:sz w:val="18"/>
                          <w:szCs w:val="18"/>
                        </w:rPr>
                      </w:pPr>
                      <w:r>
                        <w:rPr>
                          <w:rFonts w:ascii="宋体" w:hAnsi="宋体" w:cs="宋体" w:eastAsia="宋体" w:hint="default"/>
                          <w:sz w:val="18"/>
                          <w:szCs w:val="18"/>
                        </w:rPr>
                        <w:t>占应收账款期末</w:t>
                      </w:r>
                    </w:p>
                    <w:p>
                      <w:pPr>
                        <w:spacing w:line="244" w:lineRule="exact" w:before="0"/>
                        <w:ind w:left="64" w:right="0" w:firstLine="0"/>
                        <w:jc w:val="left"/>
                        <w:rPr>
                          <w:rFonts w:ascii="Arial" w:hAnsi="Arial" w:cs="Arial" w:eastAsia="Arial" w:hint="default"/>
                          <w:sz w:val="18"/>
                          <w:szCs w:val="18"/>
                        </w:rPr>
                      </w:pPr>
                      <w:r>
                        <w:rPr>
                          <w:rFonts w:ascii="宋体" w:hAnsi="宋体" w:cs="宋体" w:eastAsia="宋体" w:hint="default"/>
                          <w:w w:val="95"/>
                          <w:sz w:val="18"/>
                          <w:szCs w:val="18"/>
                        </w:rPr>
                        <w:t>余额的比例</w:t>
                      </w:r>
                      <w:r>
                        <w:rPr>
                          <w:rFonts w:ascii="Arial" w:hAnsi="Arial" w:cs="Arial" w:eastAsia="Arial" w:hint="default"/>
                          <w:w w:val="95"/>
                          <w:sz w:val="18"/>
                          <w:szCs w:val="18"/>
                        </w:rPr>
                        <w:t>(%)</w:t>
                      </w:r>
                      <w:r>
                        <w:rPr>
                          <w:rFonts w:ascii="Arial" w:hAnsi="Arial" w:cs="Arial" w:eastAsia="Arial" w:hint="default"/>
                          <w:sz w:val="18"/>
                          <w:szCs w:val="18"/>
                        </w:rPr>
                      </w:r>
                    </w:p>
                  </w:txbxContent>
                </v:textbox>
                <w10:wrap type="none"/>
              </v:shape>
              <v:shape style="position:absolute;left:8994;top:848;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已计提坏账准备</w:t>
                      </w:r>
                    </w:p>
                  </w:txbxContent>
                </v:textbox>
                <w10:wrap type="none"/>
              </v:shape>
            </v:group>
            <w10:wrap type="none"/>
          </v:group>
        </w:pict>
      </w:r>
      <w:r>
        <w:rPr>
          <w:w w:val="95"/>
        </w:rPr>
        <w:t>(4).</w:t>
        <w:tab/>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7"/>
          <w:szCs w:val="27"/>
        </w:rPr>
      </w:pPr>
    </w:p>
    <w:tbl>
      <w:tblPr>
        <w:tblW w:w="0" w:type="auto"/>
        <w:jc w:val="left"/>
        <w:tblInd w:w="206" w:type="dxa"/>
        <w:tblLayout w:type="fixed"/>
        <w:tblCellMar>
          <w:top w:w="0" w:type="dxa"/>
          <w:left w:w="0" w:type="dxa"/>
          <w:bottom w:w="0" w:type="dxa"/>
          <w:right w:w="0" w:type="dxa"/>
        </w:tblCellMar>
        <w:tblLook w:val="01E0"/>
      </w:tblPr>
      <w:tblGrid>
        <w:gridCol w:w="5689"/>
        <w:gridCol w:w="473"/>
        <w:gridCol w:w="1337"/>
        <w:gridCol w:w="1396"/>
      </w:tblGrid>
      <w:tr>
        <w:trPr>
          <w:trHeight w:val="333" w:hRule="exact"/>
        </w:trPr>
        <w:tc>
          <w:tcPr>
            <w:tcW w:w="5689" w:type="dxa"/>
            <w:tcBorders>
              <w:top w:val="nil" w:sz="6" w:space="0" w:color="auto"/>
              <w:left w:val="nil" w:sz="6" w:space="0" w:color="auto"/>
              <w:bottom w:val="nil" w:sz="6" w:space="0" w:color="auto"/>
              <w:right w:val="nil" w:sz="6" w:space="0" w:color="auto"/>
            </w:tcBorders>
          </w:tcPr>
          <w:p>
            <w:pPr>
              <w:pStyle w:val="TableParagraph"/>
              <w:tabs>
                <w:tab w:pos="3873" w:val="left" w:leader="none"/>
              </w:tabs>
              <w:spacing w:line="240" w:lineRule="auto" w:before="12"/>
              <w:ind w:left="31" w:right="0"/>
              <w:jc w:val="left"/>
              <w:rPr>
                <w:rFonts w:ascii="宋体" w:hAnsi="宋体" w:cs="宋体" w:eastAsia="宋体" w:hint="default"/>
                <w:sz w:val="18"/>
                <w:szCs w:val="18"/>
              </w:rPr>
            </w:pPr>
            <w:r>
              <w:rPr>
                <w:rFonts w:ascii="宋体" w:hAnsi="宋体" w:cs="宋体" w:eastAsia="宋体" w:hint="default"/>
                <w:sz w:val="18"/>
                <w:szCs w:val="18"/>
              </w:rPr>
              <w:t>深圳市建筑工务署</w:t>
              <w:tab/>
              <w:t>11,907,351.08</w:t>
            </w:r>
          </w:p>
        </w:tc>
        <w:tc>
          <w:tcPr>
            <w:tcW w:w="473"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75" w:right="0"/>
              <w:jc w:val="left"/>
              <w:rPr>
                <w:rFonts w:ascii="宋体" w:hAnsi="宋体" w:cs="宋体" w:eastAsia="宋体" w:hint="default"/>
                <w:sz w:val="18"/>
                <w:szCs w:val="18"/>
              </w:rPr>
            </w:pPr>
            <w:r>
              <w:rPr>
                <w:rFonts w:ascii="宋体"/>
                <w:sz w:val="18"/>
              </w:rPr>
              <w:t>9.28</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0"/>
              <w:jc w:val="right"/>
              <w:rPr>
                <w:rFonts w:ascii="宋体" w:hAnsi="宋体" w:cs="宋体" w:eastAsia="宋体" w:hint="default"/>
                <w:sz w:val="18"/>
                <w:szCs w:val="18"/>
              </w:rPr>
            </w:pPr>
            <w:r>
              <w:rPr>
                <w:rFonts w:ascii="宋体"/>
                <w:sz w:val="18"/>
              </w:rPr>
              <w:t>595,367.55</w:t>
            </w:r>
          </w:p>
        </w:tc>
      </w:tr>
      <w:tr>
        <w:trPr>
          <w:trHeight w:val="350" w:hRule="exact"/>
        </w:trPr>
        <w:tc>
          <w:tcPr>
            <w:tcW w:w="5689" w:type="dxa"/>
            <w:tcBorders>
              <w:top w:val="nil" w:sz="6" w:space="0" w:color="auto"/>
              <w:left w:val="nil" w:sz="6" w:space="0" w:color="auto"/>
              <w:bottom w:val="nil" w:sz="6" w:space="0" w:color="auto"/>
              <w:right w:val="nil" w:sz="6" w:space="0" w:color="auto"/>
            </w:tcBorders>
          </w:tcPr>
          <w:p>
            <w:pPr>
              <w:pStyle w:val="TableParagraph"/>
              <w:tabs>
                <w:tab w:pos="3963" w:val="left" w:leader="none"/>
              </w:tabs>
              <w:spacing w:line="240" w:lineRule="auto" w:before="29"/>
              <w:ind w:left="31" w:right="0"/>
              <w:jc w:val="left"/>
              <w:rPr>
                <w:rFonts w:ascii="宋体" w:hAnsi="宋体" w:cs="宋体" w:eastAsia="宋体" w:hint="default"/>
                <w:sz w:val="18"/>
                <w:szCs w:val="18"/>
              </w:rPr>
            </w:pPr>
            <w:r>
              <w:rPr>
                <w:rFonts w:ascii="宋体" w:hAnsi="宋体" w:cs="宋体" w:eastAsia="宋体" w:hint="default"/>
                <w:sz w:val="18"/>
                <w:szCs w:val="18"/>
              </w:rPr>
              <w:t>深圳市机场股份有限公司</w:t>
              <w:tab/>
              <w:t>7,487,151.13</w:t>
            </w:r>
          </w:p>
        </w:tc>
        <w:tc>
          <w:tcPr>
            <w:tcW w:w="473"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5" w:right="0"/>
              <w:jc w:val="left"/>
              <w:rPr>
                <w:rFonts w:ascii="宋体" w:hAnsi="宋体" w:cs="宋体" w:eastAsia="宋体" w:hint="default"/>
                <w:sz w:val="18"/>
                <w:szCs w:val="18"/>
              </w:rPr>
            </w:pPr>
            <w:r>
              <w:rPr>
                <w:rFonts w:ascii="宋体"/>
                <w:sz w:val="18"/>
              </w:rPr>
              <w:t>5.84</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0"/>
              <w:jc w:val="right"/>
              <w:rPr>
                <w:rFonts w:ascii="宋体" w:hAnsi="宋体" w:cs="宋体" w:eastAsia="宋体" w:hint="default"/>
                <w:sz w:val="18"/>
                <w:szCs w:val="18"/>
              </w:rPr>
            </w:pPr>
            <w:r>
              <w:rPr>
                <w:rFonts w:ascii="宋体"/>
                <w:sz w:val="18"/>
              </w:rPr>
              <w:t>374,357.56</w:t>
            </w:r>
          </w:p>
        </w:tc>
      </w:tr>
      <w:tr>
        <w:trPr>
          <w:trHeight w:val="350" w:hRule="exact"/>
        </w:trPr>
        <w:tc>
          <w:tcPr>
            <w:tcW w:w="5689" w:type="dxa"/>
            <w:tcBorders>
              <w:top w:val="nil" w:sz="6" w:space="0" w:color="auto"/>
              <w:left w:val="nil" w:sz="6" w:space="0" w:color="auto"/>
              <w:bottom w:val="nil" w:sz="6" w:space="0" w:color="auto"/>
              <w:right w:val="nil" w:sz="6" w:space="0" w:color="auto"/>
            </w:tcBorders>
          </w:tcPr>
          <w:p>
            <w:pPr>
              <w:pStyle w:val="TableParagraph"/>
              <w:tabs>
                <w:tab w:pos="3963" w:val="left" w:leader="none"/>
              </w:tabs>
              <w:spacing w:line="240" w:lineRule="auto" w:before="29"/>
              <w:ind w:left="31" w:right="0"/>
              <w:jc w:val="left"/>
              <w:rPr>
                <w:rFonts w:ascii="宋体" w:hAnsi="宋体" w:cs="宋体" w:eastAsia="宋体" w:hint="default"/>
                <w:sz w:val="18"/>
                <w:szCs w:val="18"/>
              </w:rPr>
            </w:pPr>
            <w:r>
              <w:rPr>
                <w:rFonts w:ascii="宋体" w:hAnsi="宋体" w:cs="宋体" w:eastAsia="宋体" w:hint="default"/>
                <w:sz w:val="18"/>
                <w:szCs w:val="18"/>
              </w:rPr>
              <w:t>深圳市龙岗区卫生局</w:t>
              <w:tab/>
              <w:t>5,463,750.00</w:t>
            </w:r>
          </w:p>
        </w:tc>
        <w:tc>
          <w:tcPr>
            <w:tcW w:w="473"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5" w:right="0"/>
              <w:jc w:val="left"/>
              <w:rPr>
                <w:rFonts w:ascii="宋体" w:hAnsi="宋体" w:cs="宋体" w:eastAsia="宋体" w:hint="default"/>
                <w:sz w:val="18"/>
                <w:szCs w:val="18"/>
              </w:rPr>
            </w:pPr>
            <w:r>
              <w:rPr>
                <w:rFonts w:ascii="宋体"/>
                <w:sz w:val="18"/>
              </w:rPr>
              <w:t>4.26</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0"/>
              <w:jc w:val="right"/>
              <w:rPr>
                <w:rFonts w:ascii="宋体" w:hAnsi="宋体" w:cs="宋体" w:eastAsia="宋体" w:hint="default"/>
                <w:sz w:val="18"/>
                <w:szCs w:val="18"/>
              </w:rPr>
            </w:pPr>
            <w:r>
              <w:rPr>
                <w:rFonts w:ascii="宋体"/>
                <w:sz w:val="18"/>
              </w:rPr>
              <w:t>273,187.50</w:t>
            </w:r>
          </w:p>
        </w:tc>
      </w:tr>
      <w:tr>
        <w:trPr>
          <w:trHeight w:val="350" w:hRule="exact"/>
        </w:trPr>
        <w:tc>
          <w:tcPr>
            <w:tcW w:w="5689" w:type="dxa"/>
            <w:tcBorders>
              <w:top w:val="nil" w:sz="6" w:space="0" w:color="auto"/>
              <w:left w:val="nil" w:sz="6" w:space="0" w:color="auto"/>
              <w:bottom w:val="nil" w:sz="6" w:space="0" w:color="auto"/>
              <w:right w:val="nil" w:sz="6" w:space="0" w:color="auto"/>
            </w:tcBorders>
          </w:tcPr>
          <w:p>
            <w:pPr>
              <w:pStyle w:val="TableParagraph"/>
              <w:tabs>
                <w:tab w:pos="3963" w:val="left" w:leader="none"/>
              </w:tabs>
              <w:spacing w:line="240" w:lineRule="auto" w:before="29"/>
              <w:ind w:left="31" w:right="0"/>
              <w:jc w:val="left"/>
              <w:rPr>
                <w:rFonts w:ascii="宋体" w:hAnsi="宋体" w:cs="宋体" w:eastAsia="宋体" w:hint="default"/>
                <w:sz w:val="18"/>
                <w:szCs w:val="18"/>
              </w:rPr>
            </w:pPr>
            <w:r>
              <w:rPr>
                <w:rFonts w:ascii="宋体" w:hAnsi="宋体" w:cs="宋体" w:eastAsia="宋体" w:hint="default"/>
                <w:sz w:val="18"/>
                <w:szCs w:val="18"/>
              </w:rPr>
              <w:t>深圳市南山区教育科学研究中心</w:t>
              <w:tab/>
              <w:t>4,585,654.80</w:t>
            </w:r>
          </w:p>
        </w:tc>
        <w:tc>
          <w:tcPr>
            <w:tcW w:w="473"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5" w:right="0"/>
              <w:jc w:val="left"/>
              <w:rPr>
                <w:rFonts w:ascii="宋体" w:hAnsi="宋体" w:cs="宋体" w:eastAsia="宋体" w:hint="default"/>
                <w:sz w:val="18"/>
                <w:szCs w:val="18"/>
              </w:rPr>
            </w:pPr>
            <w:r>
              <w:rPr>
                <w:rFonts w:ascii="宋体"/>
                <w:sz w:val="18"/>
              </w:rPr>
              <w:t>3.58</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0"/>
              <w:jc w:val="right"/>
              <w:rPr>
                <w:rFonts w:ascii="宋体" w:hAnsi="宋体" w:cs="宋体" w:eastAsia="宋体" w:hint="default"/>
                <w:sz w:val="18"/>
                <w:szCs w:val="18"/>
              </w:rPr>
            </w:pPr>
            <w:r>
              <w:rPr>
                <w:rFonts w:ascii="宋体"/>
                <w:sz w:val="18"/>
              </w:rPr>
              <w:t>229,282.74</w:t>
            </w:r>
          </w:p>
        </w:tc>
      </w:tr>
      <w:tr>
        <w:trPr>
          <w:trHeight w:val="350" w:hRule="exact"/>
        </w:trPr>
        <w:tc>
          <w:tcPr>
            <w:tcW w:w="5689" w:type="dxa"/>
            <w:tcBorders>
              <w:top w:val="nil" w:sz="6" w:space="0" w:color="auto"/>
              <w:left w:val="nil" w:sz="6" w:space="0" w:color="auto"/>
              <w:bottom w:val="nil" w:sz="6" w:space="0" w:color="auto"/>
              <w:right w:val="nil" w:sz="6" w:space="0" w:color="auto"/>
            </w:tcBorders>
          </w:tcPr>
          <w:p>
            <w:pPr>
              <w:pStyle w:val="TableParagraph"/>
              <w:tabs>
                <w:tab w:pos="3963" w:val="left" w:leader="none"/>
              </w:tabs>
              <w:spacing w:line="240" w:lineRule="auto" w:before="29"/>
              <w:ind w:left="31" w:right="0"/>
              <w:jc w:val="left"/>
              <w:rPr>
                <w:rFonts w:ascii="宋体" w:hAnsi="宋体" w:cs="宋体" w:eastAsia="宋体" w:hint="default"/>
                <w:sz w:val="18"/>
                <w:szCs w:val="18"/>
              </w:rPr>
            </w:pPr>
            <w:r>
              <w:rPr>
                <w:rFonts w:ascii="宋体" w:hAnsi="宋体" w:cs="宋体" w:eastAsia="宋体" w:hint="default"/>
                <w:sz w:val="18"/>
                <w:szCs w:val="18"/>
              </w:rPr>
              <w:t>北信瑞丰基金管理有限公司</w:t>
              <w:tab/>
              <w:t>4,220,000.00</w:t>
            </w:r>
          </w:p>
        </w:tc>
        <w:tc>
          <w:tcPr>
            <w:tcW w:w="473"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5" w:right="0"/>
              <w:jc w:val="left"/>
              <w:rPr>
                <w:rFonts w:ascii="宋体" w:hAnsi="宋体" w:cs="宋体" w:eastAsia="宋体" w:hint="default"/>
                <w:sz w:val="18"/>
                <w:szCs w:val="18"/>
              </w:rPr>
            </w:pPr>
            <w:r>
              <w:rPr>
                <w:rFonts w:ascii="宋体"/>
                <w:sz w:val="18"/>
              </w:rPr>
              <w:t>3.29</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0"/>
              <w:jc w:val="right"/>
              <w:rPr>
                <w:rFonts w:ascii="宋体" w:hAnsi="宋体" w:cs="宋体" w:eastAsia="宋体" w:hint="default"/>
                <w:sz w:val="18"/>
                <w:szCs w:val="18"/>
              </w:rPr>
            </w:pPr>
            <w:r>
              <w:rPr>
                <w:rFonts w:ascii="宋体"/>
                <w:sz w:val="18"/>
              </w:rPr>
              <w:t>211,000.00</w:t>
            </w:r>
          </w:p>
        </w:tc>
      </w:tr>
      <w:tr>
        <w:trPr>
          <w:trHeight w:val="361" w:hRule="exact"/>
        </w:trPr>
        <w:tc>
          <w:tcPr>
            <w:tcW w:w="5689" w:type="dxa"/>
            <w:tcBorders>
              <w:top w:val="nil" w:sz="6" w:space="0" w:color="auto"/>
              <w:left w:val="nil" w:sz="6" w:space="0" w:color="auto"/>
              <w:bottom w:val="single" w:sz="12" w:space="0" w:color="000000"/>
              <w:right w:val="nil" w:sz="6" w:space="0" w:color="auto"/>
            </w:tcBorders>
          </w:tcPr>
          <w:p>
            <w:pPr>
              <w:pStyle w:val="TableParagraph"/>
              <w:tabs>
                <w:tab w:pos="3873" w:val="left" w:leader="none"/>
              </w:tabs>
              <w:spacing w:line="240" w:lineRule="auto" w:before="29"/>
              <w:ind w:left="1304" w:right="0"/>
              <w:jc w:val="left"/>
              <w:rPr>
                <w:rFonts w:ascii="宋体" w:hAnsi="宋体" w:cs="宋体" w:eastAsia="宋体" w:hint="default"/>
                <w:sz w:val="18"/>
                <w:szCs w:val="18"/>
              </w:rPr>
            </w:pPr>
            <w:r>
              <w:rPr>
                <w:rFonts w:ascii="宋体" w:hAnsi="宋体" w:cs="宋体" w:eastAsia="宋体" w:hint="default"/>
                <w:sz w:val="18"/>
                <w:szCs w:val="18"/>
              </w:rPr>
              <w:t>合计</w:t>
              <w:tab/>
              <w:t>33,663,907.01</w:t>
            </w:r>
          </w:p>
        </w:tc>
        <w:tc>
          <w:tcPr>
            <w:tcW w:w="473" w:type="dxa"/>
            <w:tcBorders>
              <w:top w:val="nil" w:sz="6" w:space="0" w:color="auto"/>
              <w:left w:val="nil" w:sz="6" w:space="0" w:color="auto"/>
              <w:bottom w:val="single" w:sz="12" w:space="0" w:color="000000"/>
              <w:right w:val="nil" w:sz="6" w:space="0" w:color="auto"/>
            </w:tcBorders>
          </w:tcPr>
          <w:p>
            <w:pPr/>
          </w:p>
        </w:tc>
        <w:tc>
          <w:tcPr>
            <w:tcW w:w="1337" w:type="dxa"/>
            <w:tcBorders>
              <w:top w:val="nil" w:sz="6" w:space="0" w:color="auto"/>
              <w:left w:val="nil" w:sz="6" w:space="0" w:color="auto"/>
              <w:bottom w:val="single" w:sz="12" w:space="0" w:color="000000"/>
              <w:right w:val="nil" w:sz="6" w:space="0" w:color="auto"/>
            </w:tcBorders>
          </w:tcPr>
          <w:p>
            <w:pPr>
              <w:pStyle w:val="TableParagraph"/>
              <w:spacing w:line="240" w:lineRule="auto" w:before="29"/>
              <w:ind w:left="85" w:right="0"/>
              <w:jc w:val="left"/>
              <w:rPr>
                <w:rFonts w:ascii="宋体" w:hAnsi="宋体" w:cs="宋体" w:eastAsia="宋体" w:hint="default"/>
                <w:sz w:val="18"/>
                <w:szCs w:val="18"/>
              </w:rPr>
            </w:pPr>
            <w:r>
              <w:rPr>
                <w:rFonts w:ascii="宋体"/>
                <w:sz w:val="18"/>
              </w:rPr>
              <w:t>26.25</w:t>
            </w:r>
          </w:p>
        </w:tc>
        <w:tc>
          <w:tcPr>
            <w:tcW w:w="1396" w:type="dxa"/>
            <w:tcBorders>
              <w:top w:val="nil" w:sz="6" w:space="0" w:color="auto"/>
              <w:left w:val="nil" w:sz="6" w:space="0" w:color="auto"/>
              <w:bottom w:val="single" w:sz="12" w:space="0" w:color="000000"/>
              <w:right w:val="nil" w:sz="6" w:space="0" w:color="auto"/>
            </w:tcBorders>
          </w:tcPr>
          <w:p>
            <w:pPr>
              <w:pStyle w:val="TableParagraph"/>
              <w:spacing w:line="240" w:lineRule="auto" w:before="29"/>
              <w:ind w:right="90"/>
              <w:jc w:val="right"/>
              <w:rPr>
                <w:rFonts w:ascii="宋体" w:hAnsi="宋体" w:cs="宋体" w:eastAsia="宋体" w:hint="default"/>
                <w:sz w:val="18"/>
                <w:szCs w:val="18"/>
              </w:rPr>
            </w:pPr>
            <w:r>
              <w:rPr>
                <w:rFonts w:ascii="宋体"/>
                <w:sz w:val="18"/>
              </w:rPr>
              <w:t>1,683,195.35</w:t>
            </w:r>
          </w:p>
        </w:tc>
      </w:tr>
      <w:tr>
        <w:trPr>
          <w:trHeight w:val="926" w:hRule="exact"/>
        </w:trPr>
        <w:tc>
          <w:tcPr>
            <w:tcW w:w="5689" w:type="dxa"/>
            <w:tcBorders>
              <w:top w:val="single" w:sz="12" w:space="0" w:color="000000"/>
              <w:left w:val="nil" w:sz="6" w:space="0" w:color="auto"/>
              <w:bottom w:val="single" w:sz="4" w:space="0" w:color="33339A"/>
              <w:right w:val="nil" w:sz="6" w:space="0" w:color="auto"/>
            </w:tcBorders>
          </w:tcPr>
          <w:p>
            <w:pPr>
              <w:pStyle w:val="TableParagraph"/>
              <w:spacing w:line="240" w:lineRule="auto" w:before="9"/>
              <w:ind w:right="0"/>
              <w:jc w:val="left"/>
              <w:rPr>
                <w:rFonts w:ascii="宋体" w:hAnsi="宋体" w:cs="宋体" w:eastAsia="宋体" w:hint="default"/>
                <w:b/>
                <w:bCs/>
                <w:sz w:val="22"/>
                <w:szCs w:val="22"/>
              </w:rPr>
            </w:pPr>
          </w:p>
          <w:p>
            <w:pPr>
              <w:pStyle w:val="TableParagraph"/>
              <w:tabs>
                <w:tab w:pos="871" w:val="left" w:leader="none"/>
              </w:tabs>
              <w:spacing w:line="240" w:lineRule="auto"/>
              <w:ind w:left="172" w:right="0"/>
              <w:jc w:val="left"/>
              <w:rPr>
                <w:rFonts w:ascii="宋体" w:hAnsi="宋体" w:cs="宋体" w:eastAsia="宋体" w:hint="default"/>
                <w:sz w:val="21"/>
                <w:szCs w:val="21"/>
              </w:rPr>
            </w:pPr>
            <w:r>
              <w:rPr>
                <w:rFonts w:ascii="宋体" w:hAnsi="宋体" w:cs="宋体" w:eastAsia="宋体" w:hint="default"/>
                <w:b/>
                <w:bCs/>
                <w:w w:val="95"/>
                <w:sz w:val="21"/>
                <w:szCs w:val="21"/>
              </w:rPr>
              <w:t>(5).</w:t>
              <w:tab/>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tc>
        <w:tc>
          <w:tcPr>
            <w:tcW w:w="473" w:type="dxa"/>
            <w:tcBorders>
              <w:top w:val="single" w:sz="12" w:space="0" w:color="000000"/>
              <w:left w:val="nil" w:sz="6" w:space="0" w:color="auto"/>
              <w:bottom w:val="nil" w:sz="6" w:space="0" w:color="auto"/>
              <w:right w:val="nil" w:sz="6" w:space="0" w:color="auto"/>
            </w:tcBorders>
          </w:tcPr>
          <w:p>
            <w:pPr/>
          </w:p>
        </w:tc>
        <w:tc>
          <w:tcPr>
            <w:tcW w:w="1337" w:type="dxa"/>
            <w:tcBorders>
              <w:top w:val="single" w:sz="12" w:space="0" w:color="000000"/>
              <w:left w:val="nil" w:sz="6" w:space="0" w:color="auto"/>
              <w:bottom w:val="nil" w:sz="6" w:space="0" w:color="auto"/>
              <w:right w:val="nil" w:sz="6" w:space="0" w:color="auto"/>
            </w:tcBorders>
          </w:tcPr>
          <w:p>
            <w:pPr/>
          </w:p>
        </w:tc>
        <w:tc>
          <w:tcPr>
            <w:tcW w:w="1396" w:type="dxa"/>
            <w:tcBorders>
              <w:top w:val="single" w:sz="12" w:space="0" w:color="000000"/>
              <w:left w:val="nil" w:sz="6" w:space="0" w:color="auto"/>
              <w:bottom w:val="nil" w:sz="6" w:space="0" w:color="auto"/>
              <w:right w:val="nil" w:sz="6" w:space="0" w:color="auto"/>
            </w:tcBorders>
          </w:tcPr>
          <w:p>
            <w:pPr/>
          </w:p>
        </w:tc>
      </w:tr>
      <w:tr>
        <w:trPr>
          <w:trHeight w:val="890" w:hRule="exact"/>
        </w:trPr>
        <w:tc>
          <w:tcPr>
            <w:tcW w:w="5689" w:type="dxa"/>
            <w:tcBorders>
              <w:top w:val="single" w:sz="4" w:space="0" w:color="33339A"/>
              <w:left w:val="nil" w:sz="6" w:space="0" w:color="auto"/>
              <w:bottom w:val="single" w:sz="4" w:space="0" w:color="33339A"/>
              <w:right w:val="nil" w:sz="6" w:space="0" w:color="auto"/>
            </w:tcBorders>
          </w:tcPr>
          <w:p>
            <w:pPr>
              <w:pStyle w:val="TableParagraph"/>
              <w:spacing w:line="240" w:lineRule="auto" w:before="13"/>
              <w:ind w:right="0"/>
              <w:jc w:val="left"/>
              <w:rPr>
                <w:rFonts w:ascii="宋体" w:hAnsi="宋体" w:cs="宋体" w:eastAsia="宋体" w:hint="default"/>
                <w:b/>
                <w:bCs/>
                <w:sz w:val="21"/>
                <w:szCs w:val="21"/>
              </w:rPr>
            </w:pPr>
          </w:p>
          <w:p>
            <w:pPr>
              <w:pStyle w:val="TableParagraph"/>
              <w:tabs>
                <w:tab w:pos="871" w:val="left" w:leader="none"/>
              </w:tabs>
              <w:spacing w:line="240" w:lineRule="auto"/>
              <w:ind w:left="172" w:right="0"/>
              <w:jc w:val="left"/>
              <w:rPr>
                <w:rFonts w:ascii="宋体" w:hAnsi="宋体" w:cs="宋体" w:eastAsia="宋体" w:hint="default"/>
                <w:sz w:val="21"/>
                <w:szCs w:val="21"/>
              </w:rPr>
            </w:pPr>
            <w:r>
              <w:rPr>
                <w:rFonts w:ascii="宋体" w:hAnsi="宋体" w:cs="宋体" w:eastAsia="宋体" w:hint="default"/>
                <w:b/>
                <w:bCs/>
                <w:w w:val="95"/>
                <w:sz w:val="21"/>
                <w:szCs w:val="21"/>
              </w:rPr>
              <w:t>(6).</w:t>
              <w:tab/>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tc>
        <w:tc>
          <w:tcPr>
            <w:tcW w:w="473"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r>
      <w:tr>
        <w:trPr>
          <w:trHeight w:val="772" w:hRule="exact"/>
        </w:trPr>
        <w:tc>
          <w:tcPr>
            <w:tcW w:w="5689" w:type="dxa"/>
            <w:tcBorders>
              <w:top w:val="single" w:sz="4" w:space="0" w:color="33339A"/>
              <w:left w:val="nil" w:sz="6" w:space="0" w:color="auto"/>
              <w:bottom w:val="single" w:sz="4" w:space="0" w:color="33339A"/>
              <w:right w:val="nil" w:sz="6" w:space="0" w:color="auto"/>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其他说明：</w:t>
            </w:r>
          </w:p>
        </w:tc>
        <w:tc>
          <w:tcPr>
            <w:tcW w:w="473"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r>
      <w:tr>
        <w:trPr>
          <w:trHeight w:val="1028" w:hRule="exact"/>
        </w:trPr>
        <w:tc>
          <w:tcPr>
            <w:tcW w:w="5689" w:type="dxa"/>
            <w:tcBorders>
              <w:top w:val="single" w:sz="4" w:space="0" w:color="33339A"/>
              <w:left w:val="nil" w:sz="6" w:space="0" w:color="auto"/>
              <w:bottom w:val="nil" w:sz="6" w:space="0" w:color="auto"/>
              <w:right w:val="nil" w:sz="6" w:space="0" w:color="auto"/>
            </w:tcBorders>
          </w:tcPr>
          <w:p>
            <w:pPr>
              <w:pStyle w:val="TableParagraph"/>
              <w:spacing w:line="240" w:lineRule="auto" w:before="45"/>
              <w:ind w:left="31"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5"/>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TableParagraph"/>
              <w:spacing w:line="240" w:lineRule="auto" w:before="57"/>
              <w:ind w:left="31"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2"/>
                <w:sz w:val="21"/>
                <w:szCs w:val="21"/>
              </w:rPr>
              <w:t> </w:t>
            </w:r>
            <w:r>
              <w:rPr>
                <w:rFonts w:ascii="宋体" w:hAnsi="宋体" w:cs="宋体" w:eastAsia="宋体" w:hint="default"/>
                <w:b/>
                <w:bCs/>
                <w:sz w:val="21"/>
                <w:szCs w:val="21"/>
              </w:rPr>
              <w:t>其他应收款分类披露：</w:t>
            </w:r>
            <w:r>
              <w:rPr>
                <w:rFonts w:ascii="宋体" w:hAnsi="宋体" w:cs="宋体" w:eastAsia="宋体" w:hint="default"/>
                <w:sz w:val="21"/>
                <w:szCs w:val="21"/>
              </w:rPr>
            </w:r>
          </w:p>
        </w:tc>
        <w:tc>
          <w:tcPr>
            <w:tcW w:w="473"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392" w:right="0"/>
              <w:jc w:val="left"/>
              <w:rPr>
                <w:rFonts w:ascii="宋体" w:hAnsi="宋体" w:cs="宋体" w:eastAsia="宋体" w:hint="default"/>
                <w:sz w:val="21"/>
                <w:szCs w:val="21"/>
              </w:rPr>
            </w:pPr>
            <w:r>
              <w:rPr>
                <w:rFonts w:ascii="宋体" w:hAnsi="宋体" w:cs="宋体" w:eastAsia="宋体" w:hint="default"/>
                <w:sz w:val="21"/>
                <w:szCs w:val="21"/>
              </w:rPr>
              <w:t>单位：元</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9"/>
              <w:jc w:val="right"/>
              <w:rPr>
                <w:rFonts w:ascii="宋体" w:hAnsi="宋体" w:cs="宋体" w:eastAsia="宋体" w:hint="default"/>
                <w:sz w:val="21"/>
                <w:szCs w:val="21"/>
              </w:rPr>
            </w:pPr>
            <w:r>
              <w:rPr>
                <w:rFonts w:ascii="宋体" w:hAnsi="宋体" w:cs="宋体" w:eastAsia="宋体" w:hint="default"/>
                <w:sz w:val="21"/>
                <w:szCs w:val="21"/>
              </w:rPr>
              <w:t>币种：人民币</w:t>
            </w:r>
          </w:p>
        </w:tc>
      </w:tr>
      <w:tr>
        <w:trPr>
          <w:trHeight w:val="293" w:hRule="exact"/>
        </w:trPr>
        <w:tc>
          <w:tcPr>
            <w:tcW w:w="5689" w:type="dxa"/>
            <w:tcBorders>
              <w:top w:val="nil" w:sz="6" w:space="0" w:color="auto"/>
              <w:left w:val="nil" w:sz="6" w:space="0" w:color="auto"/>
              <w:bottom w:val="nil" w:sz="6" w:space="0" w:color="auto"/>
              <w:right w:val="nil" w:sz="6" w:space="0" w:color="auto"/>
            </w:tcBorders>
          </w:tcPr>
          <w:p>
            <w:pPr/>
          </w:p>
        </w:tc>
        <w:tc>
          <w:tcPr>
            <w:tcW w:w="473"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r>
      <w:tr>
        <w:trPr>
          <w:trHeight w:val="282" w:hRule="exact"/>
        </w:trPr>
        <w:tc>
          <w:tcPr>
            <w:tcW w:w="5689" w:type="dxa"/>
            <w:tcBorders>
              <w:top w:val="nil" w:sz="6" w:space="0" w:color="auto"/>
              <w:left w:val="nil" w:sz="6" w:space="0" w:color="auto"/>
              <w:bottom w:val="nil" w:sz="6" w:space="0" w:color="auto"/>
              <w:right w:val="nil" w:sz="6" w:space="0" w:color="auto"/>
            </w:tcBorders>
          </w:tcPr>
          <w:p>
            <w:pPr/>
          </w:p>
        </w:tc>
        <w:tc>
          <w:tcPr>
            <w:tcW w:w="473"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r>
      <w:tr>
        <w:trPr>
          <w:trHeight w:val="828" w:hRule="exact"/>
        </w:trPr>
        <w:tc>
          <w:tcPr>
            <w:tcW w:w="5689" w:type="dxa"/>
            <w:tcBorders>
              <w:top w:val="nil" w:sz="6" w:space="0" w:color="auto"/>
              <w:left w:val="nil" w:sz="6" w:space="0" w:color="auto"/>
              <w:bottom w:val="nil" w:sz="6" w:space="0" w:color="auto"/>
              <w:right w:val="nil" w:sz="6" w:space="0" w:color="auto"/>
            </w:tcBorders>
          </w:tcPr>
          <w:p>
            <w:pPr/>
          </w:p>
        </w:tc>
        <w:tc>
          <w:tcPr>
            <w:tcW w:w="473"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82" w:footer="1197" w:top="1120" w:bottom="1380" w:left="156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26"/>
        <w:gridCol w:w="1129"/>
        <w:gridCol w:w="472"/>
        <w:gridCol w:w="1048"/>
        <w:gridCol w:w="556"/>
        <w:gridCol w:w="1129"/>
        <w:gridCol w:w="1130"/>
        <w:gridCol w:w="473"/>
        <w:gridCol w:w="1049"/>
        <w:gridCol w:w="554"/>
        <w:gridCol w:w="1130"/>
      </w:tblGrid>
      <w:tr>
        <w:trPr>
          <w:trHeight w:val="5729" w:hRule="exact"/>
        </w:trPr>
        <w:tc>
          <w:tcPr>
            <w:tcW w:w="2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37" w:lineRule="auto" w:before="1"/>
              <w:ind w:left="26" w:right="-21"/>
              <w:jc w:val="both"/>
              <w:rPr>
                <w:rFonts w:ascii="宋体" w:hAnsi="宋体" w:cs="宋体" w:eastAsia="宋体" w:hint="default"/>
                <w:sz w:val="21"/>
                <w:szCs w:val="21"/>
              </w:rPr>
            </w:pPr>
            <w:r>
              <w:rPr>
                <w:rFonts w:ascii="宋体" w:hAnsi="宋体" w:cs="宋体" w:eastAsia="宋体" w:hint="default"/>
                <w:sz w:val="21"/>
                <w:szCs w:val="21"/>
              </w:rPr>
              <w:t>项 金 额 重 大 并 单 独 计 提 坏 账 准 备 的 其 他 应 收 款</w:t>
            </w:r>
          </w:p>
        </w:tc>
        <w:tc>
          <w:tcPr>
            <w:tcW w:w="1129" w:type="dxa"/>
            <w:tcBorders>
              <w:top w:val="single" w:sz="4" w:space="0" w:color="000000"/>
              <w:left w:val="single" w:sz="4" w:space="0" w:color="000000"/>
              <w:bottom w:val="single" w:sz="4" w:space="0" w:color="000000"/>
              <w:right w:val="single" w:sz="4" w:space="0" w:color="000000"/>
            </w:tcBorders>
          </w:tcPr>
          <w:p>
            <w:pPr/>
          </w:p>
        </w:tc>
        <w:tc>
          <w:tcPr>
            <w:tcW w:w="472"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5730" w:hRule="exact"/>
        </w:trPr>
        <w:tc>
          <w:tcPr>
            <w:tcW w:w="2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按</w:t>
            </w:r>
          </w:p>
          <w:p>
            <w:pPr>
              <w:pStyle w:val="TableParagraph"/>
              <w:spacing w:line="272" w:lineRule="exact" w:before="26"/>
              <w:ind w:left="26" w:right="-21"/>
              <w:jc w:val="both"/>
              <w:rPr>
                <w:rFonts w:ascii="宋体" w:hAnsi="宋体" w:cs="宋体" w:eastAsia="宋体" w:hint="default"/>
                <w:sz w:val="21"/>
                <w:szCs w:val="21"/>
              </w:rPr>
            </w:pPr>
            <w:r>
              <w:rPr>
                <w:rFonts w:ascii="宋体" w:hAnsi="宋体" w:cs="宋体" w:eastAsia="宋体" w:hint="default"/>
                <w:sz w:val="21"/>
                <w:szCs w:val="21"/>
              </w:rPr>
              <w:t>信 用 风 险 特 征 组 合 计 提 坏 账 准 备 的 其 他 应 收 款</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74" w:lineRule="exact"/>
              <w:ind w:right="24"/>
              <w:jc w:val="right"/>
              <w:rPr>
                <w:rFonts w:ascii="宋体" w:hAnsi="宋体" w:cs="宋体" w:eastAsia="宋体" w:hint="default"/>
                <w:sz w:val="21"/>
                <w:szCs w:val="21"/>
              </w:rPr>
            </w:pPr>
            <w:r>
              <w:rPr>
                <w:rFonts w:ascii="宋体"/>
                <w:spacing w:val="-1"/>
                <w:sz w:val="21"/>
              </w:rPr>
              <w:t>32,834,701</w:t>
            </w:r>
          </w:p>
          <w:p>
            <w:pPr>
              <w:pStyle w:val="TableParagraph"/>
              <w:spacing w:line="274" w:lineRule="exact"/>
              <w:ind w:right="25"/>
              <w:jc w:val="right"/>
              <w:rPr>
                <w:rFonts w:ascii="宋体" w:hAnsi="宋体" w:cs="宋体" w:eastAsia="宋体" w:hint="default"/>
                <w:sz w:val="21"/>
                <w:szCs w:val="21"/>
              </w:rPr>
            </w:pPr>
            <w:r>
              <w:rPr>
                <w:rFonts w:ascii="宋体"/>
                <w:spacing w:val="-1"/>
                <w:sz w:val="21"/>
              </w:rPr>
              <w:t>.36</w:t>
            </w:r>
            <w:r>
              <w:rPr>
                <w:rFonts w:ascii="宋体"/>
                <w:sz w:val="21"/>
              </w:rPr>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74" w:lineRule="exact"/>
              <w:ind w:left="95" w:right="0"/>
              <w:jc w:val="center"/>
              <w:rPr>
                <w:rFonts w:ascii="宋体" w:hAnsi="宋体" w:cs="宋体" w:eastAsia="宋体" w:hint="default"/>
                <w:sz w:val="21"/>
                <w:szCs w:val="21"/>
              </w:rPr>
            </w:pPr>
            <w:r>
              <w:rPr>
                <w:rFonts w:ascii="宋体"/>
                <w:sz w:val="21"/>
              </w:rPr>
              <w:t>94.</w:t>
            </w:r>
          </w:p>
          <w:p>
            <w:pPr>
              <w:pStyle w:val="TableParagraph"/>
              <w:spacing w:line="274" w:lineRule="exact"/>
              <w:ind w:left="200" w:right="0"/>
              <w:jc w:val="center"/>
              <w:rPr>
                <w:rFonts w:ascii="宋体" w:hAnsi="宋体" w:cs="宋体" w:eastAsia="宋体" w:hint="default"/>
                <w:sz w:val="21"/>
                <w:szCs w:val="21"/>
              </w:rPr>
            </w:pPr>
            <w:r>
              <w:rPr>
                <w:rFonts w:ascii="宋体"/>
                <w:sz w:val="21"/>
              </w:rPr>
              <w:t>50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74" w:lineRule="exact"/>
              <w:ind w:right="23"/>
              <w:jc w:val="right"/>
              <w:rPr>
                <w:rFonts w:ascii="宋体" w:hAnsi="宋体" w:cs="宋体" w:eastAsia="宋体" w:hint="default"/>
                <w:sz w:val="21"/>
                <w:szCs w:val="21"/>
              </w:rPr>
            </w:pPr>
            <w:r>
              <w:rPr>
                <w:rFonts w:ascii="宋体"/>
                <w:spacing w:val="-1"/>
                <w:sz w:val="21"/>
              </w:rPr>
              <w:t>3,418,772</w:t>
            </w:r>
          </w:p>
          <w:p>
            <w:pPr>
              <w:pStyle w:val="TableParagraph"/>
              <w:spacing w:line="274" w:lineRule="exact"/>
              <w:ind w:right="24"/>
              <w:jc w:val="right"/>
              <w:rPr>
                <w:rFonts w:ascii="宋体" w:hAnsi="宋体" w:cs="宋体" w:eastAsia="宋体" w:hint="default"/>
                <w:sz w:val="21"/>
                <w:szCs w:val="21"/>
              </w:rPr>
            </w:pPr>
            <w:r>
              <w:rPr>
                <w:rFonts w:ascii="宋体"/>
                <w:spacing w:val="-1"/>
                <w:sz w:val="21"/>
              </w:rPr>
              <w:t>.31</w:t>
            </w:r>
            <w:r>
              <w:rPr>
                <w:rFonts w:ascii="宋体"/>
                <w:sz w:val="21"/>
              </w:rPr>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74" w:lineRule="exact"/>
              <w:ind w:right="23"/>
              <w:jc w:val="right"/>
              <w:rPr>
                <w:rFonts w:ascii="宋体" w:hAnsi="宋体" w:cs="宋体" w:eastAsia="宋体" w:hint="default"/>
                <w:sz w:val="21"/>
                <w:szCs w:val="21"/>
              </w:rPr>
            </w:pPr>
            <w:r>
              <w:rPr>
                <w:rFonts w:ascii="宋体"/>
                <w:spacing w:val="-1"/>
                <w:sz w:val="21"/>
              </w:rPr>
              <w:t>10.4</w:t>
            </w:r>
          </w:p>
          <w:p>
            <w:pPr>
              <w:pStyle w:val="TableParagraph"/>
              <w:spacing w:line="274" w:lineRule="exact"/>
              <w:ind w:right="23"/>
              <w:jc w:val="right"/>
              <w:rPr>
                <w:rFonts w:ascii="宋体" w:hAnsi="宋体" w:cs="宋体" w:eastAsia="宋体" w:hint="default"/>
                <w:sz w:val="21"/>
                <w:szCs w:val="21"/>
              </w:rPr>
            </w:pPr>
            <w:r>
              <w:rPr>
                <w:rFonts w:ascii="宋体"/>
                <w:sz w:val="21"/>
              </w:rPr>
              <w:t>1</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74" w:lineRule="exact"/>
              <w:ind w:right="23"/>
              <w:jc w:val="right"/>
              <w:rPr>
                <w:rFonts w:ascii="宋体" w:hAnsi="宋体" w:cs="宋体" w:eastAsia="宋体" w:hint="default"/>
                <w:sz w:val="21"/>
                <w:szCs w:val="21"/>
              </w:rPr>
            </w:pPr>
            <w:r>
              <w:rPr>
                <w:rFonts w:ascii="宋体"/>
                <w:spacing w:val="-1"/>
                <w:sz w:val="21"/>
              </w:rPr>
              <w:t>29,415,929</w:t>
            </w:r>
          </w:p>
          <w:p>
            <w:pPr>
              <w:pStyle w:val="TableParagraph"/>
              <w:spacing w:line="274" w:lineRule="exact"/>
              <w:ind w:right="23"/>
              <w:jc w:val="right"/>
              <w:rPr>
                <w:rFonts w:ascii="宋体" w:hAnsi="宋体" w:cs="宋体" w:eastAsia="宋体" w:hint="default"/>
                <w:sz w:val="21"/>
                <w:szCs w:val="21"/>
              </w:rPr>
            </w:pPr>
            <w:r>
              <w:rPr>
                <w:rFonts w:ascii="宋体"/>
                <w:spacing w:val="-1"/>
                <w:sz w:val="21"/>
              </w:rPr>
              <w:t>.05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74" w:lineRule="exact"/>
              <w:ind w:right="23"/>
              <w:jc w:val="right"/>
              <w:rPr>
                <w:rFonts w:ascii="宋体" w:hAnsi="宋体" w:cs="宋体" w:eastAsia="宋体" w:hint="default"/>
                <w:sz w:val="21"/>
                <w:szCs w:val="21"/>
              </w:rPr>
            </w:pPr>
            <w:r>
              <w:rPr>
                <w:rFonts w:ascii="宋体"/>
                <w:spacing w:val="-1"/>
                <w:sz w:val="21"/>
              </w:rPr>
              <w:t>37,189,580</w:t>
            </w:r>
          </w:p>
          <w:p>
            <w:pPr>
              <w:pStyle w:val="TableParagraph"/>
              <w:spacing w:line="274" w:lineRule="exact"/>
              <w:ind w:right="23"/>
              <w:jc w:val="right"/>
              <w:rPr>
                <w:rFonts w:ascii="宋体" w:hAnsi="宋体" w:cs="宋体" w:eastAsia="宋体" w:hint="default"/>
                <w:sz w:val="21"/>
                <w:szCs w:val="21"/>
              </w:rPr>
            </w:pPr>
            <w:r>
              <w:rPr>
                <w:rFonts w:ascii="宋体"/>
                <w:spacing w:val="-1"/>
                <w:sz w:val="21"/>
              </w:rPr>
              <w:t>.29</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74" w:lineRule="exact"/>
              <w:ind w:left="96" w:right="0"/>
              <w:jc w:val="center"/>
              <w:rPr>
                <w:rFonts w:ascii="宋体" w:hAnsi="宋体" w:cs="宋体" w:eastAsia="宋体" w:hint="default"/>
                <w:sz w:val="21"/>
                <w:szCs w:val="21"/>
              </w:rPr>
            </w:pPr>
            <w:r>
              <w:rPr>
                <w:rFonts w:ascii="宋体"/>
                <w:sz w:val="21"/>
              </w:rPr>
              <w:t>91.</w:t>
            </w:r>
          </w:p>
          <w:p>
            <w:pPr>
              <w:pStyle w:val="TableParagraph"/>
              <w:spacing w:line="274" w:lineRule="exact"/>
              <w:ind w:left="201" w:right="0"/>
              <w:jc w:val="center"/>
              <w:rPr>
                <w:rFonts w:ascii="宋体" w:hAnsi="宋体" w:cs="宋体" w:eastAsia="宋体" w:hint="default"/>
                <w:sz w:val="21"/>
                <w:szCs w:val="21"/>
              </w:rPr>
            </w:pPr>
            <w:r>
              <w:rPr>
                <w:rFonts w:ascii="宋体"/>
                <w:sz w:val="21"/>
              </w:rPr>
              <w:t>31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74" w:lineRule="exact"/>
              <w:ind w:right="23"/>
              <w:jc w:val="right"/>
              <w:rPr>
                <w:rFonts w:ascii="宋体" w:hAnsi="宋体" w:cs="宋体" w:eastAsia="宋体" w:hint="default"/>
                <w:sz w:val="21"/>
                <w:szCs w:val="21"/>
              </w:rPr>
            </w:pPr>
            <w:r>
              <w:rPr>
                <w:rFonts w:ascii="宋体"/>
                <w:spacing w:val="-1"/>
                <w:sz w:val="21"/>
              </w:rPr>
              <w:t>2,908,532</w:t>
            </w:r>
          </w:p>
          <w:p>
            <w:pPr>
              <w:pStyle w:val="TableParagraph"/>
              <w:spacing w:line="274" w:lineRule="exact"/>
              <w:ind w:right="24"/>
              <w:jc w:val="right"/>
              <w:rPr>
                <w:rFonts w:ascii="宋体" w:hAnsi="宋体" w:cs="宋体" w:eastAsia="宋体" w:hint="default"/>
                <w:sz w:val="21"/>
                <w:szCs w:val="21"/>
              </w:rPr>
            </w:pPr>
            <w:r>
              <w:rPr>
                <w:rFonts w:ascii="宋体"/>
                <w:spacing w:val="-1"/>
                <w:sz w:val="21"/>
              </w:rPr>
              <w:t>.57</w:t>
            </w:r>
            <w:r>
              <w:rPr>
                <w:rFonts w:ascii="宋体"/>
                <w:sz w:val="21"/>
              </w:rPr>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left="98" w:right="0"/>
              <w:jc w:val="left"/>
              <w:rPr>
                <w:rFonts w:ascii="宋体" w:hAnsi="宋体" w:cs="宋体" w:eastAsia="宋体" w:hint="default"/>
                <w:sz w:val="21"/>
                <w:szCs w:val="21"/>
              </w:rPr>
            </w:pPr>
            <w:r>
              <w:rPr>
                <w:rFonts w:ascii="宋体"/>
                <w:sz w:val="21"/>
              </w:rPr>
              <w:t>7.82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74" w:lineRule="exact"/>
              <w:ind w:right="24"/>
              <w:jc w:val="right"/>
              <w:rPr>
                <w:rFonts w:ascii="宋体" w:hAnsi="宋体" w:cs="宋体" w:eastAsia="宋体" w:hint="default"/>
                <w:sz w:val="21"/>
                <w:szCs w:val="21"/>
              </w:rPr>
            </w:pPr>
            <w:r>
              <w:rPr>
                <w:rFonts w:ascii="宋体"/>
                <w:spacing w:val="-1"/>
                <w:sz w:val="21"/>
              </w:rPr>
              <w:t>34,281,047</w:t>
            </w:r>
          </w:p>
          <w:p>
            <w:pPr>
              <w:pStyle w:val="TableParagraph"/>
              <w:spacing w:line="274" w:lineRule="exact"/>
              <w:ind w:right="25"/>
              <w:jc w:val="right"/>
              <w:rPr>
                <w:rFonts w:ascii="宋体" w:hAnsi="宋体" w:cs="宋体" w:eastAsia="宋体" w:hint="default"/>
                <w:sz w:val="21"/>
                <w:szCs w:val="21"/>
              </w:rPr>
            </w:pPr>
            <w:r>
              <w:rPr>
                <w:rFonts w:ascii="宋体"/>
                <w:spacing w:val="-1"/>
                <w:sz w:val="21"/>
              </w:rPr>
              <w:t>.72</w:t>
            </w:r>
          </w:p>
        </w:tc>
      </w:tr>
    </w:tbl>
    <w:p>
      <w:pPr>
        <w:spacing w:after="0" w:line="274" w:lineRule="exact"/>
        <w:jc w:val="right"/>
        <w:rPr>
          <w:rFonts w:ascii="宋体" w:hAnsi="宋体" w:cs="宋体" w:eastAsia="宋体" w:hint="default"/>
          <w:sz w:val="21"/>
          <w:szCs w:val="21"/>
        </w:rPr>
        <w:sectPr>
          <w:pgSz w:w="11910" w:h="16840"/>
          <w:pgMar w:header="882" w:footer="1197"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81" w:type="dxa"/>
        <w:tblLayout w:type="fixed"/>
        <w:tblCellMar>
          <w:top w:w="0" w:type="dxa"/>
          <w:left w:w="0" w:type="dxa"/>
          <w:bottom w:w="0" w:type="dxa"/>
          <w:right w:w="0" w:type="dxa"/>
        </w:tblCellMar>
        <w:tblLook w:val="01E0"/>
      </w:tblPr>
      <w:tblGrid>
        <w:gridCol w:w="226"/>
        <w:gridCol w:w="1129"/>
        <w:gridCol w:w="472"/>
        <w:gridCol w:w="1048"/>
        <w:gridCol w:w="556"/>
        <w:gridCol w:w="1129"/>
        <w:gridCol w:w="1130"/>
        <w:gridCol w:w="473"/>
        <w:gridCol w:w="1049"/>
        <w:gridCol w:w="554"/>
        <w:gridCol w:w="1130"/>
      </w:tblGrid>
      <w:tr>
        <w:trPr>
          <w:trHeight w:val="6001" w:hRule="exact"/>
        </w:trPr>
        <w:tc>
          <w:tcPr>
            <w:tcW w:w="2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37" w:lineRule="auto" w:before="1"/>
              <w:ind w:left="26" w:right="-21"/>
              <w:jc w:val="both"/>
              <w:rPr>
                <w:rFonts w:ascii="宋体" w:hAnsi="宋体" w:cs="宋体" w:eastAsia="宋体" w:hint="default"/>
                <w:sz w:val="21"/>
                <w:szCs w:val="21"/>
              </w:rPr>
            </w:pPr>
            <w:r>
              <w:rPr>
                <w:rFonts w:ascii="宋体" w:hAnsi="宋体" w:cs="宋体" w:eastAsia="宋体" w:hint="default"/>
                <w:sz w:val="21"/>
                <w:szCs w:val="21"/>
              </w:rPr>
              <w:t>项 金 额 不 重 大 但 单 独 计 提 坏 账 准 备 的 其 他 应 收 款</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59"/>
              <w:ind w:right="24"/>
              <w:jc w:val="right"/>
              <w:rPr>
                <w:rFonts w:ascii="宋体" w:hAnsi="宋体" w:cs="宋体" w:eastAsia="宋体" w:hint="default"/>
                <w:sz w:val="21"/>
                <w:szCs w:val="21"/>
              </w:rPr>
            </w:pPr>
            <w:r>
              <w:rPr>
                <w:rFonts w:ascii="宋体"/>
                <w:spacing w:val="-1"/>
                <w:sz w:val="21"/>
              </w:rPr>
              <w:t>1,911,914.</w:t>
            </w:r>
          </w:p>
          <w:p>
            <w:pPr>
              <w:pStyle w:val="TableParagraph"/>
              <w:spacing w:line="274" w:lineRule="exact"/>
              <w:ind w:right="24"/>
              <w:jc w:val="right"/>
              <w:rPr>
                <w:rFonts w:ascii="宋体" w:hAnsi="宋体" w:cs="宋体" w:eastAsia="宋体" w:hint="default"/>
                <w:sz w:val="21"/>
                <w:szCs w:val="21"/>
              </w:rPr>
            </w:pPr>
            <w:r>
              <w:rPr>
                <w:rFonts w:ascii="宋体"/>
                <w:sz w:val="21"/>
              </w:rPr>
              <w:t>96</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59"/>
              <w:ind w:right="23"/>
              <w:jc w:val="right"/>
              <w:rPr>
                <w:rFonts w:ascii="宋体" w:hAnsi="宋体" w:cs="宋体" w:eastAsia="宋体" w:hint="default"/>
                <w:sz w:val="21"/>
                <w:szCs w:val="21"/>
              </w:rPr>
            </w:pPr>
            <w:r>
              <w:rPr>
                <w:rFonts w:ascii="宋体"/>
                <w:spacing w:val="-1"/>
                <w:sz w:val="21"/>
              </w:rPr>
              <w:t>5.5</w:t>
            </w:r>
          </w:p>
          <w:p>
            <w:pPr>
              <w:pStyle w:val="TableParagraph"/>
              <w:spacing w:line="274" w:lineRule="exact"/>
              <w:ind w:right="23"/>
              <w:jc w:val="right"/>
              <w:rPr>
                <w:rFonts w:ascii="宋体" w:hAnsi="宋体" w:cs="宋体" w:eastAsia="宋体" w:hint="default"/>
                <w:sz w:val="21"/>
                <w:szCs w:val="21"/>
              </w:rPr>
            </w:pPr>
            <w:r>
              <w:rPr>
                <w:rFonts w:ascii="宋体"/>
                <w:sz w:val="21"/>
              </w:rPr>
              <w:t>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59"/>
              <w:ind w:right="23"/>
              <w:jc w:val="right"/>
              <w:rPr>
                <w:rFonts w:ascii="宋体" w:hAnsi="宋体" w:cs="宋体" w:eastAsia="宋体" w:hint="default"/>
                <w:sz w:val="21"/>
                <w:szCs w:val="21"/>
              </w:rPr>
            </w:pPr>
            <w:r>
              <w:rPr>
                <w:rFonts w:ascii="宋体"/>
                <w:spacing w:val="-1"/>
                <w:sz w:val="21"/>
              </w:rPr>
              <w:t>1,911,914</w:t>
            </w:r>
          </w:p>
          <w:p>
            <w:pPr>
              <w:pStyle w:val="TableParagraph"/>
              <w:spacing w:line="274" w:lineRule="exact"/>
              <w:ind w:right="24"/>
              <w:jc w:val="right"/>
              <w:rPr>
                <w:rFonts w:ascii="宋体" w:hAnsi="宋体" w:cs="宋体" w:eastAsia="宋体" w:hint="default"/>
                <w:sz w:val="21"/>
                <w:szCs w:val="21"/>
              </w:rPr>
            </w:pPr>
            <w:r>
              <w:rPr>
                <w:rFonts w:ascii="宋体"/>
                <w:spacing w:val="-1"/>
                <w:sz w:val="21"/>
              </w:rPr>
              <w:t>.96</w:t>
            </w:r>
            <w:r>
              <w:rPr>
                <w:rFonts w:ascii="宋体"/>
                <w:sz w:val="21"/>
              </w:rPr>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59"/>
              <w:ind w:left="99" w:right="0"/>
              <w:jc w:val="left"/>
              <w:rPr>
                <w:rFonts w:ascii="宋体" w:hAnsi="宋体" w:cs="宋体" w:eastAsia="宋体" w:hint="default"/>
                <w:sz w:val="21"/>
                <w:szCs w:val="21"/>
              </w:rPr>
            </w:pPr>
            <w:r>
              <w:rPr>
                <w:rFonts w:ascii="宋体"/>
                <w:sz w:val="21"/>
              </w:rPr>
              <w:t>100.</w:t>
            </w:r>
          </w:p>
          <w:p>
            <w:pPr>
              <w:pStyle w:val="TableParagraph"/>
              <w:spacing w:line="274" w:lineRule="exact"/>
              <w:ind w:left="309" w:right="0"/>
              <w:jc w:val="left"/>
              <w:rPr>
                <w:rFonts w:ascii="宋体" w:hAnsi="宋体" w:cs="宋体" w:eastAsia="宋体" w:hint="default"/>
                <w:sz w:val="21"/>
                <w:szCs w:val="21"/>
              </w:rPr>
            </w:pPr>
            <w:r>
              <w:rPr>
                <w:rFonts w:ascii="宋体"/>
                <w:sz w:val="21"/>
              </w:rPr>
              <w:t>00</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59"/>
              <w:ind w:right="23"/>
              <w:jc w:val="right"/>
              <w:rPr>
                <w:rFonts w:ascii="宋体" w:hAnsi="宋体" w:cs="宋体" w:eastAsia="宋体" w:hint="default"/>
                <w:sz w:val="21"/>
                <w:szCs w:val="21"/>
              </w:rPr>
            </w:pPr>
            <w:r>
              <w:rPr>
                <w:rFonts w:ascii="宋体"/>
                <w:spacing w:val="-1"/>
                <w:sz w:val="21"/>
              </w:rPr>
              <w:t>3,541,460.</w:t>
            </w:r>
          </w:p>
          <w:p>
            <w:pPr>
              <w:pStyle w:val="TableParagraph"/>
              <w:spacing w:line="274" w:lineRule="exact"/>
              <w:ind w:right="23"/>
              <w:jc w:val="right"/>
              <w:rPr>
                <w:rFonts w:ascii="宋体" w:hAnsi="宋体" w:cs="宋体" w:eastAsia="宋体" w:hint="default"/>
                <w:sz w:val="21"/>
                <w:szCs w:val="21"/>
              </w:rPr>
            </w:pPr>
            <w:r>
              <w:rPr>
                <w:rFonts w:ascii="宋体"/>
                <w:sz w:val="21"/>
              </w:rPr>
              <w:t>33</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59"/>
              <w:ind w:right="23"/>
              <w:jc w:val="right"/>
              <w:rPr>
                <w:rFonts w:ascii="宋体" w:hAnsi="宋体" w:cs="宋体" w:eastAsia="宋体" w:hint="default"/>
                <w:sz w:val="21"/>
                <w:szCs w:val="21"/>
              </w:rPr>
            </w:pPr>
            <w:r>
              <w:rPr>
                <w:rFonts w:ascii="宋体"/>
                <w:spacing w:val="-1"/>
                <w:sz w:val="21"/>
              </w:rPr>
              <w:t>8.6</w:t>
            </w:r>
          </w:p>
          <w:p>
            <w:pPr>
              <w:pStyle w:val="TableParagraph"/>
              <w:spacing w:line="274" w:lineRule="exact"/>
              <w:ind w:right="23"/>
              <w:jc w:val="right"/>
              <w:rPr>
                <w:rFonts w:ascii="宋体" w:hAnsi="宋体" w:cs="宋体" w:eastAsia="宋体" w:hint="default"/>
                <w:sz w:val="21"/>
                <w:szCs w:val="21"/>
              </w:rPr>
            </w:pPr>
            <w:r>
              <w:rPr>
                <w:rFonts w:ascii="宋体"/>
                <w:sz w:val="21"/>
              </w:rPr>
              <w:t>9</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59"/>
              <w:ind w:right="23"/>
              <w:jc w:val="right"/>
              <w:rPr>
                <w:rFonts w:ascii="宋体" w:hAnsi="宋体" w:cs="宋体" w:eastAsia="宋体" w:hint="default"/>
                <w:sz w:val="21"/>
                <w:szCs w:val="21"/>
              </w:rPr>
            </w:pPr>
            <w:r>
              <w:rPr>
                <w:rFonts w:ascii="宋体"/>
                <w:spacing w:val="-1"/>
                <w:sz w:val="21"/>
              </w:rPr>
              <w:t>3,541,460</w:t>
            </w:r>
          </w:p>
          <w:p>
            <w:pPr>
              <w:pStyle w:val="TableParagraph"/>
              <w:spacing w:line="274" w:lineRule="exact"/>
              <w:ind w:right="24"/>
              <w:jc w:val="right"/>
              <w:rPr>
                <w:rFonts w:ascii="宋体" w:hAnsi="宋体" w:cs="宋体" w:eastAsia="宋体" w:hint="default"/>
                <w:sz w:val="21"/>
                <w:szCs w:val="21"/>
              </w:rPr>
            </w:pPr>
            <w:r>
              <w:rPr>
                <w:rFonts w:ascii="宋体"/>
                <w:spacing w:val="-1"/>
                <w:sz w:val="21"/>
              </w:rPr>
              <w:t>.33</w:t>
            </w:r>
            <w:r>
              <w:rPr>
                <w:rFonts w:ascii="宋体"/>
                <w:sz w:val="21"/>
              </w:rPr>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59"/>
              <w:ind w:left="98" w:right="0"/>
              <w:jc w:val="left"/>
              <w:rPr>
                <w:rFonts w:ascii="宋体" w:hAnsi="宋体" w:cs="宋体" w:eastAsia="宋体" w:hint="default"/>
                <w:sz w:val="21"/>
                <w:szCs w:val="21"/>
              </w:rPr>
            </w:pPr>
            <w:r>
              <w:rPr>
                <w:rFonts w:ascii="宋体"/>
                <w:sz w:val="21"/>
              </w:rPr>
              <w:t>100.</w:t>
            </w:r>
          </w:p>
          <w:p>
            <w:pPr>
              <w:pStyle w:val="TableParagraph"/>
              <w:spacing w:line="274" w:lineRule="exact"/>
              <w:ind w:left="308" w:right="0"/>
              <w:jc w:val="left"/>
              <w:rPr>
                <w:rFonts w:ascii="宋体" w:hAnsi="宋体" w:cs="宋体" w:eastAsia="宋体" w:hint="default"/>
                <w:sz w:val="21"/>
                <w:szCs w:val="21"/>
              </w:rPr>
            </w:pPr>
            <w:r>
              <w:rPr>
                <w:rFonts w:ascii="宋体"/>
                <w:sz w:val="21"/>
              </w:rPr>
              <w:t>00</w:t>
            </w: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21"/>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26" w:right="-21"/>
              <w:jc w:val="left"/>
              <w:rPr>
                <w:rFonts w:ascii="宋体" w:hAnsi="宋体" w:cs="宋体" w:eastAsia="宋体" w:hint="default"/>
                <w:sz w:val="21"/>
                <w:szCs w:val="21"/>
              </w:rPr>
            </w:pPr>
            <w:r>
              <w:rPr>
                <w:rFonts w:ascii="宋体" w:hAnsi="宋体" w:cs="宋体" w:eastAsia="宋体" w:hint="default"/>
                <w:sz w:val="21"/>
                <w:szCs w:val="21"/>
              </w:rPr>
              <w:t>计</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宋体" w:hAnsi="宋体" w:cs="宋体" w:eastAsia="宋体" w:hint="default"/>
                <w:sz w:val="21"/>
                <w:szCs w:val="21"/>
              </w:rPr>
            </w:pPr>
            <w:r>
              <w:rPr>
                <w:rFonts w:ascii="宋体"/>
                <w:spacing w:val="-1"/>
                <w:sz w:val="21"/>
              </w:rPr>
              <w:t>34,746,616</w:t>
            </w:r>
          </w:p>
          <w:p>
            <w:pPr>
              <w:pStyle w:val="TableParagraph"/>
              <w:spacing w:line="274" w:lineRule="exact"/>
              <w:ind w:right="26"/>
              <w:jc w:val="right"/>
              <w:rPr>
                <w:rFonts w:ascii="宋体" w:hAnsi="宋体" w:cs="宋体" w:eastAsia="宋体" w:hint="default"/>
                <w:sz w:val="21"/>
                <w:szCs w:val="21"/>
              </w:rPr>
            </w:pPr>
            <w:r>
              <w:rPr>
                <w:rFonts w:ascii="宋体"/>
                <w:spacing w:val="-1"/>
                <w:sz w:val="21"/>
              </w:rPr>
              <w:t>.32</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宋体" w:hAnsi="宋体" w:cs="宋体" w:eastAsia="宋体" w:hint="default"/>
                <w:sz w:val="21"/>
                <w:szCs w:val="21"/>
              </w:rPr>
            </w:pPr>
            <w:r>
              <w:rPr>
                <w:rFonts w:ascii="宋体"/>
                <w:sz w:val="21"/>
              </w:rPr>
              <w:t>/</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3"/>
              <w:jc w:val="right"/>
              <w:rPr>
                <w:rFonts w:ascii="宋体" w:hAnsi="宋体" w:cs="宋体" w:eastAsia="宋体" w:hint="default"/>
                <w:sz w:val="21"/>
                <w:szCs w:val="21"/>
              </w:rPr>
            </w:pPr>
            <w:r>
              <w:rPr>
                <w:rFonts w:ascii="宋体"/>
                <w:spacing w:val="-1"/>
                <w:sz w:val="21"/>
              </w:rPr>
              <w:t>5,330,687</w:t>
            </w:r>
          </w:p>
          <w:p>
            <w:pPr>
              <w:pStyle w:val="TableParagraph"/>
              <w:spacing w:line="274" w:lineRule="exact"/>
              <w:ind w:right="24"/>
              <w:jc w:val="right"/>
              <w:rPr>
                <w:rFonts w:ascii="宋体" w:hAnsi="宋体" w:cs="宋体" w:eastAsia="宋体" w:hint="default"/>
                <w:sz w:val="21"/>
                <w:szCs w:val="21"/>
              </w:rPr>
            </w:pPr>
            <w:r>
              <w:rPr>
                <w:rFonts w:ascii="宋体"/>
                <w:spacing w:val="-1"/>
                <w:sz w:val="21"/>
              </w:rPr>
              <w:t>.27</w:t>
            </w:r>
            <w:r>
              <w:rPr>
                <w:rFonts w:ascii="宋体"/>
                <w:sz w:val="21"/>
              </w:rPr>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宋体" w:hAnsi="宋体" w:cs="宋体" w:eastAsia="宋体" w:hint="default"/>
                <w:sz w:val="21"/>
                <w:szCs w:val="21"/>
              </w:rPr>
            </w:pPr>
            <w:r>
              <w:rPr>
                <w:rFonts w:ascii="宋体"/>
                <w:sz w:val="21"/>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3"/>
              <w:jc w:val="right"/>
              <w:rPr>
                <w:rFonts w:ascii="宋体" w:hAnsi="宋体" w:cs="宋体" w:eastAsia="宋体" w:hint="default"/>
                <w:sz w:val="21"/>
                <w:szCs w:val="21"/>
              </w:rPr>
            </w:pPr>
            <w:r>
              <w:rPr>
                <w:rFonts w:ascii="宋体"/>
                <w:spacing w:val="-1"/>
                <w:sz w:val="21"/>
              </w:rPr>
              <w:t>29,415,929</w:t>
            </w:r>
          </w:p>
          <w:p>
            <w:pPr>
              <w:pStyle w:val="TableParagraph"/>
              <w:spacing w:line="274" w:lineRule="exact"/>
              <w:ind w:right="23"/>
              <w:jc w:val="right"/>
              <w:rPr>
                <w:rFonts w:ascii="宋体" w:hAnsi="宋体" w:cs="宋体" w:eastAsia="宋体" w:hint="default"/>
                <w:sz w:val="21"/>
                <w:szCs w:val="21"/>
              </w:rPr>
            </w:pPr>
            <w:r>
              <w:rPr>
                <w:rFonts w:ascii="宋体"/>
                <w:spacing w:val="-1"/>
                <w:sz w:val="21"/>
              </w:rPr>
              <w:t>.05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3"/>
              <w:jc w:val="right"/>
              <w:rPr>
                <w:rFonts w:ascii="宋体" w:hAnsi="宋体" w:cs="宋体" w:eastAsia="宋体" w:hint="default"/>
                <w:sz w:val="21"/>
                <w:szCs w:val="21"/>
              </w:rPr>
            </w:pPr>
            <w:r>
              <w:rPr>
                <w:rFonts w:ascii="宋体"/>
                <w:spacing w:val="-1"/>
                <w:sz w:val="21"/>
              </w:rPr>
              <w:t>40,731,040</w:t>
            </w:r>
          </w:p>
          <w:p>
            <w:pPr>
              <w:pStyle w:val="TableParagraph"/>
              <w:spacing w:line="274" w:lineRule="exact"/>
              <w:ind w:right="23"/>
              <w:jc w:val="right"/>
              <w:rPr>
                <w:rFonts w:ascii="宋体" w:hAnsi="宋体" w:cs="宋体" w:eastAsia="宋体" w:hint="default"/>
                <w:sz w:val="21"/>
                <w:szCs w:val="21"/>
              </w:rPr>
            </w:pPr>
            <w:r>
              <w:rPr>
                <w:rFonts w:ascii="宋体"/>
                <w:spacing w:val="-1"/>
                <w:sz w:val="21"/>
              </w:rPr>
              <w:t>.62</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宋体" w:hAnsi="宋体" w:cs="宋体" w:eastAsia="宋体" w:hint="default"/>
                <w:sz w:val="21"/>
                <w:szCs w:val="21"/>
              </w:rPr>
            </w:pPr>
            <w:r>
              <w:rPr>
                <w:rFonts w:ascii="宋体"/>
                <w:sz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3"/>
              <w:jc w:val="right"/>
              <w:rPr>
                <w:rFonts w:ascii="宋体" w:hAnsi="宋体" w:cs="宋体" w:eastAsia="宋体" w:hint="default"/>
                <w:sz w:val="21"/>
                <w:szCs w:val="21"/>
              </w:rPr>
            </w:pPr>
            <w:r>
              <w:rPr>
                <w:rFonts w:ascii="宋体"/>
                <w:spacing w:val="-1"/>
                <w:sz w:val="21"/>
              </w:rPr>
              <w:t>6,449,992</w:t>
            </w:r>
          </w:p>
          <w:p>
            <w:pPr>
              <w:pStyle w:val="TableParagraph"/>
              <w:spacing w:line="274" w:lineRule="exact"/>
              <w:ind w:right="24"/>
              <w:jc w:val="right"/>
              <w:rPr>
                <w:rFonts w:ascii="宋体" w:hAnsi="宋体" w:cs="宋体" w:eastAsia="宋体" w:hint="default"/>
                <w:sz w:val="21"/>
                <w:szCs w:val="21"/>
              </w:rPr>
            </w:pPr>
            <w:r>
              <w:rPr>
                <w:rFonts w:ascii="宋体"/>
                <w:spacing w:val="-1"/>
                <w:sz w:val="21"/>
              </w:rPr>
              <w:t>.90</w:t>
            </w:r>
            <w:r>
              <w:rPr>
                <w:rFonts w:ascii="宋体"/>
                <w:sz w:val="21"/>
              </w:rPr>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宋体" w:hAnsi="宋体" w:cs="宋体" w:eastAsia="宋体" w:hint="default"/>
                <w:sz w:val="21"/>
                <w:szCs w:val="21"/>
              </w:rPr>
            </w:pPr>
            <w:r>
              <w:rPr>
                <w:rFonts w:ascii="宋体"/>
                <w:sz w:val="21"/>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宋体" w:hAnsi="宋体" w:cs="宋体" w:eastAsia="宋体" w:hint="default"/>
                <w:sz w:val="21"/>
                <w:szCs w:val="21"/>
              </w:rPr>
            </w:pPr>
            <w:r>
              <w:rPr>
                <w:rFonts w:ascii="宋体"/>
                <w:spacing w:val="-1"/>
                <w:sz w:val="21"/>
              </w:rPr>
              <w:t>34,281,047</w:t>
            </w:r>
          </w:p>
          <w:p>
            <w:pPr>
              <w:pStyle w:val="TableParagraph"/>
              <w:spacing w:line="274" w:lineRule="exact"/>
              <w:ind w:right="24"/>
              <w:jc w:val="right"/>
              <w:rPr>
                <w:rFonts w:ascii="宋体" w:hAnsi="宋体" w:cs="宋体" w:eastAsia="宋体" w:hint="default"/>
                <w:sz w:val="21"/>
                <w:szCs w:val="21"/>
              </w:rPr>
            </w:pPr>
            <w:r>
              <w:rPr>
                <w:rFonts w:ascii="宋体"/>
                <w:spacing w:val="-1"/>
                <w:sz w:val="21"/>
              </w:rPr>
              <w:t>.72</w:t>
            </w:r>
          </w:p>
        </w:tc>
      </w:tr>
    </w:tbl>
    <w:p>
      <w:pPr>
        <w:spacing w:line="240" w:lineRule="auto" w:before="9"/>
        <w:rPr>
          <w:rFonts w:ascii="Times New Roman" w:hAnsi="Times New Roman" w:cs="Times New Roman" w:eastAsia="Times New Roman" w:hint="default"/>
          <w:sz w:val="22"/>
          <w:szCs w:val="22"/>
        </w:rPr>
      </w:pPr>
    </w:p>
    <w:p>
      <w:pPr>
        <w:spacing w:after="0" w:line="240" w:lineRule="auto"/>
        <w:rPr>
          <w:rFonts w:ascii="Times New Roman" w:hAnsi="Times New Roman" w:cs="Times New Roman" w:eastAsia="Times New Roman" w:hint="default"/>
          <w:sz w:val="22"/>
          <w:szCs w:val="22"/>
        </w:rPr>
        <w:sectPr>
          <w:pgSz w:w="11910" w:h="16840"/>
          <w:pgMar w:header="882" w:footer="1197" w:top="1120" w:bottom="1380" w:left="1580" w:right="1040"/>
        </w:sectPr>
      </w:pPr>
    </w:p>
    <w:p>
      <w:pPr>
        <w:pStyle w:val="BodyText"/>
        <w:spacing w:line="240" w:lineRule="auto" w:before="35"/>
        <w:ind w:right="-20"/>
        <w:jc w:val="left"/>
      </w:pPr>
      <w:r>
        <w:rPr/>
        <w:t>期末单项金额重大并单项计提坏账准备的其他应收款：</w:t>
      </w:r>
    </w:p>
    <w:p>
      <w:pPr>
        <w:pStyle w:val="BodyText"/>
        <w:spacing w:line="240" w:lineRule="auto" w:before="57"/>
        <w:ind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right="0"/>
        <w:jc w:val="left"/>
      </w:pPr>
      <w:r>
        <w:rPr/>
        <w:t>单位：元</w:t>
        <w:tab/>
        <w:t>币种：人民币</w:t>
      </w:r>
    </w:p>
    <w:p>
      <w:pPr>
        <w:spacing w:after="0" w:line="240" w:lineRule="auto"/>
        <w:jc w:val="left"/>
        <w:sectPr>
          <w:type w:val="continuous"/>
          <w:pgSz w:w="11910" w:h="16840"/>
          <w:pgMar w:top="1080" w:bottom="1380" w:left="1580" w:right="1040"/>
          <w:cols w:num="2" w:equalWidth="0">
            <w:col w:w="5258" w:space="1265"/>
            <w:col w:w="2767"/>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598"/>
        <w:gridCol w:w="1361"/>
        <w:gridCol w:w="1363"/>
        <w:gridCol w:w="1362"/>
        <w:gridCol w:w="1366"/>
      </w:tblGrid>
      <w:tr>
        <w:trPr>
          <w:trHeight w:val="282" w:hRule="exact"/>
        </w:trPr>
        <w:tc>
          <w:tcPr>
            <w:tcW w:w="3598" w:type="dxa"/>
            <w:vMerge w:val="restart"/>
            <w:tcBorders>
              <w:top w:val="single" w:sz="4" w:space="0" w:color="000000"/>
              <w:left w:val="single" w:sz="4" w:space="0" w:color="000000"/>
              <w:right w:val="single" w:sz="4" w:space="0" w:color="000000"/>
            </w:tcBorders>
          </w:tcPr>
          <w:p>
            <w:pPr>
              <w:pStyle w:val="TableParagraph"/>
              <w:spacing w:line="240" w:lineRule="auto" w:before="105"/>
              <w:ind w:left="744" w:right="0"/>
              <w:jc w:val="left"/>
              <w:rPr>
                <w:rFonts w:ascii="宋体" w:hAnsi="宋体" w:cs="宋体" w:eastAsia="宋体" w:hint="default"/>
                <w:sz w:val="21"/>
                <w:szCs w:val="21"/>
              </w:rPr>
            </w:pPr>
            <w:r>
              <w:rPr>
                <w:rFonts w:ascii="宋体" w:hAnsi="宋体" w:cs="宋体" w:eastAsia="宋体" w:hint="default"/>
                <w:sz w:val="21"/>
                <w:szCs w:val="21"/>
              </w:rPr>
              <w:t>其他应收款（按单位）</w:t>
            </w:r>
          </w:p>
        </w:tc>
        <w:tc>
          <w:tcPr>
            <w:tcW w:w="54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3598" w:type="dxa"/>
            <w:vMerge/>
            <w:tcBorders>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2" w:hRule="exact"/>
        </w:trPr>
        <w:tc>
          <w:tcPr>
            <w:tcW w:w="359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9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1580" w:right="1040"/>
        </w:sectPr>
      </w:pPr>
    </w:p>
    <w:p>
      <w:pPr>
        <w:pStyle w:val="BodyText"/>
        <w:spacing w:line="240" w:lineRule="auto" w:before="35"/>
        <w:ind w:right="-20"/>
        <w:jc w:val="left"/>
      </w:pPr>
      <w:r>
        <w:rPr/>
        <w:t>组合中，按账龄分析法计提坏账准备的其他应收款：</w:t>
      </w:r>
    </w:p>
    <w:p>
      <w:pPr>
        <w:pStyle w:val="BodyText"/>
        <w:spacing w:line="240" w:lineRule="auto" w:before="57"/>
        <w:ind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right="0"/>
        <w:jc w:val="left"/>
      </w:pPr>
      <w:r>
        <w:rPr/>
        <w:t>单位：元</w:t>
        <w:tab/>
        <w:t>币种：人民币</w:t>
      </w:r>
    </w:p>
    <w:p>
      <w:pPr>
        <w:spacing w:after="0" w:line="240" w:lineRule="auto"/>
        <w:jc w:val="left"/>
        <w:sectPr>
          <w:type w:val="continuous"/>
          <w:pgSz w:w="11910" w:h="16840"/>
          <w:pgMar w:top="1080" w:bottom="1380" w:left="1580" w:right="1040"/>
          <w:cols w:num="2" w:equalWidth="0">
            <w:col w:w="5048" w:space="1475"/>
            <w:col w:w="2767"/>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574"/>
        <w:gridCol w:w="1822"/>
        <w:gridCol w:w="1822"/>
        <w:gridCol w:w="1832"/>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4,819,559.86</w:t>
            </w:r>
            <w:r>
              <w:rPr>
                <w:rFonts w:ascii="宋体"/>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240,977.99</w:t>
            </w:r>
            <w:r>
              <w:rPr>
                <w:rFonts w:ascii="宋体"/>
                <w:sz w:val="21"/>
              </w:rPr>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w:t>
            </w:r>
            <w:r>
              <w:rPr>
                <w:rFonts w:ascii="宋体"/>
                <w:sz w:val="21"/>
              </w:rPr>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24,979,543.28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1,998,363.47</w:t>
            </w:r>
            <w:r>
              <w:rPr>
                <w:rFonts w:ascii="宋体"/>
                <w:sz w:val="21"/>
              </w:rPr>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8.00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1,127,894.20</w:t>
            </w:r>
            <w:r>
              <w:rPr>
                <w:rFonts w:ascii="宋体"/>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225,578.84</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20.00</w:t>
            </w:r>
            <w:r>
              <w:rPr>
                <w:rFonts w:ascii="宋体"/>
                <w:sz w:val="21"/>
              </w:rPr>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1,907,704.02</w:t>
            </w:r>
            <w:r>
              <w:rPr>
                <w:rFonts w:ascii="宋体"/>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953,852.01</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w:t>
            </w:r>
            <w:r>
              <w:rPr>
                <w:rFonts w:ascii="宋体"/>
                <w:sz w:val="21"/>
              </w:rPr>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6"/>
                <w:sz w:val="21"/>
                <w:szCs w:val="21"/>
              </w:rPr>
              <w:t>3至</w:t>
            </w:r>
            <w:r>
              <w:rPr>
                <w:rFonts w:ascii="宋体" w:hAnsi="宋体" w:cs="宋体" w:eastAsia="宋体" w:hint="default"/>
                <w:spacing w:val="-52"/>
                <w:sz w:val="21"/>
                <w:szCs w:val="21"/>
              </w:rPr>
              <w:t> </w:t>
            </w:r>
            <w:r>
              <w:rPr>
                <w:rFonts w:ascii="宋体" w:hAnsi="宋体" w:cs="宋体" w:eastAsia="宋体" w:hint="default"/>
                <w:spacing w:val="26"/>
                <w:sz w:val="21"/>
                <w:szCs w:val="21"/>
              </w:rPr>
              <w:t>4年</w:t>
            </w:r>
            <w:r>
              <w:rPr>
                <w:rFonts w:ascii="宋体" w:hAnsi="宋体" w:cs="宋体" w:eastAsia="宋体" w:hint="default"/>
                <w:spacing w:val="-52"/>
                <w:sz w:val="21"/>
                <w:szCs w:val="21"/>
              </w:rPr>
              <w:t> </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6"/>
                <w:sz w:val="21"/>
                <w:szCs w:val="21"/>
              </w:rPr>
              <w:t>4至</w:t>
            </w:r>
            <w:r>
              <w:rPr>
                <w:rFonts w:ascii="宋体" w:hAnsi="宋体" w:cs="宋体" w:eastAsia="宋体" w:hint="default"/>
                <w:spacing w:val="-52"/>
                <w:sz w:val="21"/>
                <w:szCs w:val="21"/>
              </w:rPr>
              <w:t> </w:t>
            </w:r>
            <w:r>
              <w:rPr>
                <w:rFonts w:ascii="宋体" w:hAnsi="宋体" w:cs="宋体" w:eastAsia="宋体" w:hint="default"/>
                <w:spacing w:val="26"/>
                <w:sz w:val="21"/>
                <w:szCs w:val="21"/>
              </w:rPr>
              <w:t>5年</w:t>
            </w:r>
            <w:r>
              <w:rPr>
                <w:rFonts w:ascii="宋体" w:hAnsi="宋体" w:cs="宋体" w:eastAsia="宋体" w:hint="default"/>
                <w:spacing w:val="-52"/>
                <w:sz w:val="21"/>
                <w:szCs w:val="21"/>
              </w:rPr>
              <w:t> </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574"/>
        <w:gridCol w:w="1822"/>
        <w:gridCol w:w="1822"/>
        <w:gridCol w:w="1832"/>
      </w:tblGrid>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2" w:right="0"/>
              <w:jc w:val="left"/>
              <w:rPr>
                <w:rFonts w:ascii="宋体" w:hAnsi="宋体" w:cs="宋体" w:eastAsia="宋体" w:hint="default"/>
                <w:sz w:val="21"/>
                <w:szCs w:val="21"/>
              </w:rPr>
            </w:pPr>
            <w:r>
              <w:rPr>
                <w:rFonts w:ascii="宋体"/>
                <w:sz w:val="21"/>
              </w:rPr>
              <w:t>32,834,701.36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7" w:right="0"/>
              <w:jc w:val="left"/>
              <w:rPr>
                <w:rFonts w:ascii="宋体" w:hAnsi="宋体" w:cs="宋体" w:eastAsia="宋体" w:hint="default"/>
                <w:sz w:val="21"/>
                <w:szCs w:val="21"/>
              </w:rPr>
            </w:pPr>
            <w:r>
              <w:rPr>
                <w:rFonts w:ascii="宋体"/>
                <w:sz w:val="21"/>
              </w:rPr>
              <w:t>3,418,772.31</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5" w:right="0"/>
              <w:jc w:val="left"/>
              <w:rPr>
                <w:rFonts w:ascii="宋体" w:hAnsi="宋体" w:cs="宋体" w:eastAsia="宋体" w:hint="default"/>
                <w:sz w:val="21"/>
                <w:szCs w:val="21"/>
              </w:rPr>
            </w:pPr>
            <w:r>
              <w:rPr>
                <w:rFonts w:ascii="宋体"/>
                <w:sz w:val="21"/>
              </w:rPr>
              <w:t>10.41</w:t>
            </w:r>
          </w:p>
        </w:tc>
      </w:tr>
    </w:tbl>
    <w:p>
      <w:pPr>
        <w:pStyle w:val="BodyText"/>
        <w:spacing w:line="238" w:lineRule="exact"/>
        <w:ind w:right="114"/>
        <w:jc w:val="left"/>
      </w:pPr>
      <w:r>
        <w:rPr/>
        <w:t>确定该组合依据的说明：</w:t>
      </w:r>
    </w:p>
    <w:p>
      <w:pPr>
        <w:pStyle w:val="BodyText"/>
        <w:spacing w:line="272" w:lineRule="exact" w:before="26"/>
        <w:ind w:right="227"/>
        <w:jc w:val="left"/>
      </w:pPr>
      <w:r>
        <w:rPr/>
        <w:t>已单独计提减值准备的其它应收款除外，公司根据以前年度与之具有类似信用风险特征的应收账 款组合的实际损失率为基础，结合现时情况确定坏账准备计提比例。</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7" w:top="1120" w:bottom="1380" w:left="1580" w:right="1040"/>
        </w:sectPr>
      </w:pPr>
    </w:p>
    <w:p>
      <w:pPr>
        <w:pStyle w:val="BodyText"/>
        <w:spacing w:line="240" w:lineRule="auto" w:before="35"/>
        <w:ind w:right="-20"/>
        <w:jc w:val="left"/>
      </w:pPr>
      <w:r>
        <w:rPr/>
        <w:t>组合中，采用余额百分比法计提坏账准备的其他应收款：</w:t>
      </w:r>
    </w:p>
    <w:p>
      <w:pPr>
        <w:pStyle w:val="BodyText"/>
        <w:spacing w:line="240" w:lineRule="auto" w:before="57"/>
        <w:ind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7" w:val="left" w:leader="none"/>
        </w:tabs>
        <w:spacing w:line="240" w:lineRule="auto"/>
        <w:ind w:right="0"/>
        <w:jc w:val="left"/>
      </w:pPr>
      <w:r>
        <w:rPr/>
        <w:t>单位：元</w:t>
        <w:tab/>
        <w:t>币种：人民币</w:t>
      </w:r>
    </w:p>
    <w:p>
      <w:pPr>
        <w:spacing w:after="0" w:line="240" w:lineRule="auto"/>
        <w:jc w:val="left"/>
        <w:sectPr>
          <w:type w:val="continuous"/>
          <w:pgSz w:w="11910" w:h="16840"/>
          <w:pgMar w:top="1080" w:bottom="1380" w:left="1580" w:right="1040"/>
          <w:cols w:num="2" w:equalWidth="0">
            <w:col w:w="5468" w:space="1055"/>
            <w:col w:w="2767"/>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559"/>
        <w:gridCol w:w="1841"/>
        <w:gridCol w:w="1841"/>
        <w:gridCol w:w="1808"/>
      </w:tblGrid>
      <w:tr>
        <w:trPr>
          <w:trHeight w:val="306" w:hRule="exact"/>
        </w:trPr>
        <w:tc>
          <w:tcPr>
            <w:tcW w:w="3559" w:type="dxa"/>
            <w:vMerge w:val="restart"/>
            <w:tcBorders>
              <w:top w:val="single" w:sz="4" w:space="0" w:color="000000"/>
              <w:left w:val="single" w:sz="4" w:space="0" w:color="000000"/>
              <w:right w:val="single" w:sz="4" w:space="0" w:color="000000"/>
            </w:tcBorders>
          </w:tcPr>
          <w:p>
            <w:pPr>
              <w:pStyle w:val="TableParagraph"/>
              <w:spacing w:line="240" w:lineRule="auto" w:before="118"/>
              <w:ind w:right="1"/>
              <w:jc w:val="center"/>
              <w:rPr>
                <w:rFonts w:ascii="宋体" w:hAnsi="宋体" w:cs="宋体" w:eastAsia="宋体" w:hint="default"/>
                <w:sz w:val="21"/>
                <w:szCs w:val="21"/>
              </w:rPr>
            </w:pPr>
            <w:r>
              <w:rPr>
                <w:rFonts w:ascii="宋体" w:hAnsi="宋体" w:cs="宋体" w:eastAsia="宋体" w:hint="default"/>
                <w:sz w:val="21"/>
                <w:szCs w:val="21"/>
              </w:rPr>
              <w:t>余额百分比</w:t>
            </w:r>
          </w:p>
        </w:tc>
        <w:tc>
          <w:tcPr>
            <w:tcW w:w="54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3559"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8"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3559"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59"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4"/>
        <w:ind w:right="114"/>
        <w:jc w:val="left"/>
      </w:pPr>
      <w:r>
        <w:rPr/>
        <w:t>确定该组合依据的说明：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BodyText"/>
        <w:spacing w:line="240" w:lineRule="auto" w:before="35"/>
        <w:ind w:right="114"/>
        <w:jc w:val="left"/>
      </w:pPr>
      <w:r>
        <w:rPr/>
        <w:t>组合中，采用其他方法计提坏账准备的其他应收款：</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114"/>
        <w:jc w:val="left"/>
        <w:rPr>
          <w:b w:val="0"/>
          <w:bCs w:val="0"/>
        </w:rPr>
      </w:pPr>
      <w:r>
        <w:rPr/>
        <w:t>(2).</w:t>
      </w:r>
      <w:r>
        <w:rPr>
          <w:spacing w:val="-3"/>
        </w:rPr>
        <w:t> </w:t>
      </w:r>
      <w:r>
        <w:rPr/>
        <w:t>本期计提、收回或转回的坏账准备情况：</w:t>
      </w:r>
      <w:r>
        <w:rPr>
          <w:b w:val="0"/>
          <w:bCs w:val="0"/>
        </w:rPr>
      </w:r>
    </w:p>
    <w:p>
      <w:pPr>
        <w:spacing w:line="272" w:lineRule="exact" w:before="85"/>
        <w:ind w:left="217" w:right="114" w:firstLine="0"/>
        <w:jc w:val="left"/>
        <w:rPr>
          <w:rFonts w:ascii="宋体" w:hAnsi="宋体" w:cs="宋体" w:eastAsia="宋体" w:hint="default"/>
          <w:sz w:val="21"/>
          <w:szCs w:val="21"/>
        </w:rPr>
      </w:pPr>
      <w:r>
        <w:rPr>
          <w:rFonts w:ascii="宋体" w:hAnsi="宋体" w:cs="宋体" w:eastAsia="宋体" w:hint="default"/>
          <w:sz w:val="21"/>
          <w:szCs w:val="21"/>
        </w:rPr>
        <w:t>本期计提坏账准备金额</w:t>
      </w:r>
      <w:r>
        <w:rPr>
          <w:rFonts w:ascii="宋体" w:hAnsi="宋体" w:cs="宋体" w:eastAsia="宋体" w:hint="default"/>
          <w:spacing w:val="-58"/>
          <w:sz w:val="21"/>
          <w:szCs w:val="21"/>
        </w:rPr>
        <w:t> </w:t>
      </w:r>
      <w:r>
        <w:rPr>
          <w:rFonts w:ascii="宋体" w:hAnsi="宋体" w:cs="宋体" w:eastAsia="宋体" w:hint="default"/>
          <w:b/>
          <w:bCs/>
          <w:sz w:val="21"/>
          <w:szCs w:val="21"/>
        </w:rPr>
        <w:t>510,239.74</w:t>
      </w:r>
      <w:r>
        <w:rPr>
          <w:rFonts w:ascii="宋体" w:hAnsi="宋体" w:cs="宋体" w:eastAsia="宋体" w:hint="default"/>
          <w:b/>
          <w:bCs/>
          <w:spacing w:val="-57"/>
          <w:sz w:val="21"/>
          <w:szCs w:val="21"/>
        </w:rPr>
        <w:t> </w:t>
      </w:r>
      <w:r>
        <w:rPr>
          <w:rFonts w:ascii="宋体" w:hAnsi="宋体" w:cs="宋体" w:eastAsia="宋体" w:hint="default"/>
          <w:sz w:val="21"/>
          <w:szCs w:val="21"/>
        </w:rPr>
        <w:t>元；本期收回或转回坏账准备金额</w:t>
      </w:r>
      <w:r>
        <w:rPr>
          <w:rFonts w:ascii="宋体" w:hAnsi="宋体" w:cs="宋体" w:eastAsia="宋体" w:hint="default"/>
          <w:spacing w:val="-58"/>
          <w:sz w:val="21"/>
          <w:szCs w:val="21"/>
        </w:rPr>
        <w:t> </w:t>
      </w:r>
      <w:r>
        <w:rPr>
          <w:rFonts w:ascii="宋体" w:hAnsi="宋体" w:cs="宋体" w:eastAsia="宋体" w:hint="default"/>
          <w:b/>
          <w:bCs/>
          <w:sz w:val="21"/>
          <w:szCs w:val="21"/>
        </w:rPr>
        <w:t>1,629,545.37</w:t>
      </w:r>
      <w:r>
        <w:rPr>
          <w:rFonts w:ascii="宋体" w:hAnsi="宋体" w:cs="宋体" w:eastAsia="宋体" w:hint="default"/>
          <w:b/>
          <w:bCs/>
          <w:spacing w:val="-57"/>
          <w:sz w:val="21"/>
          <w:szCs w:val="21"/>
        </w:rPr>
        <w:t> </w:t>
      </w:r>
      <w:r>
        <w:rPr>
          <w:rFonts w:ascii="宋体" w:hAnsi="宋体" w:cs="宋体" w:eastAsia="宋体" w:hint="default"/>
          <w:sz w:val="21"/>
          <w:szCs w:val="21"/>
        </w:rPr>
        <w:t>元。</w:t>
      </w:r>
      <w:r>
        <w:rPr>
          <w:rFonts w:ascii="宋体" w:hAnsi="宋体" w:cs="宋体" w:eastAsia="宋体" w:hint="default"/>
          <w:spacing w:val="-2"/>
          <w:sz w:val="21"/>
          <w:szCs w:val="21"/>
        </w:rPr>
        <w:t> </w:t>
      </w:r>
      <w:r>
        <w:rPr>
          <w:rFonts w:ascii="宋体" w:hAnsi="宋体" w:cs="宋体" w:eastAsia="宋体" w:hint="default"/>
          <w:sz w:val="21"/>
          <w:szCs w:val="21"/>
        </w:rPr>
        <w:t>其中本期坏账准备转回或收回金额重要的：</w:t>
      </w:r>
    </w:p>
    <w:p>
      <w:pPr>
        <w:pStyle w:val="BodyText"/>
        <w:tabs>
          <w:tab w:pos="1049" w:val="left" w:leader="none"/>
        </w:tabs>
        <w:spacing w:line="248" w:lineRule="exact"/>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941"/>
        <w:gridCol w:w="3055"/>
        <w:gridCol w:w="3053"/>
      </w:tblGrid>
      <w:tr>
        <w:trPr>
          <w:trHeight w:val="28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86"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28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天一证券有限责任公司</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1,629,545.37</w:t>
            </w:r>
            <w:r>
              <w:rPr>
                <w:rFonts w:ascii="宋体"/>
                <w:sz w:val="21"/>
              </w:rPr>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收到该其他应收款</w:t>
            </w:r>
          </w:p>
        </w:tc>
      </w:tr>
      <w:tr>
        <w:trPr>
          <w:trHeight w:val="282"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1,629,545.37</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pStyle w:val="BodyText"/>
        <w:spacing w:line="238" w:lineRule="exact"/>
        <w:ind w:right="114"/>
        <w:jc w:val="left"/>
      </w:pPr>
      <w:r>
        <w:rPr/>
        <w:t>其他说明</w:t>
      </w:r>
    </w:p>
    <w:p>
      <w:pPr>
        <w:pStyle w:val="Heading3"/>
        <w:spacing w:line="272" w:lineRule="exact" w:before="0"/>
        <w:ind w:right="114"/>
        <w:jc w:val="left"/>
        <w:rPr>
          <w:b w:val="0"/>
          <w:bCs w:val="0"/>
        </w:rPr>
      </w:pPr>
      <w:r>
        <w:rPr/>
        <w:t>2006</w:t>
      </w:r>
      <w:r>
        <w:rPr>
          <w:spacing w:val="-67"/>
        </w:rPr>
        <w:t> </w:t>
      </w:r>
      <w:r>
        <w:rPr/>
        <w:t>年度根据天一证券有限责任公司的经营状况，对其其他应收款</w:t>
      </w:r>
      <w:r>
        <w:rPr>
          <w:spacing w:val="-68"/>
        </w:rPr>
        <w:t> </w:t>
      </w:r>
      <w:r>
        <w:rPr/>
        <w:t>3,541,460.33</w:t>
      </w:r>
      <w:r>
        <w:rPr>
          <w:spacing w:val="-67"/>
        </w:rPr>
        <w:t> </w:t>
      </w:r>
      <w:r>
        <w:rPr/>
        <w:t>元全额计提了</w:t>
      </w:r>
      <w:r>
        <w:rPr>
          <w:b w:val="0"/>
          <w:bCs w:val="0"/>
        </w:rPr>
      </w:r>
    </w:p>
    <w:p>
      <w:pPr>
        <w:pStyle w:val="Heading3"/>
        <w:spacing w:line="274" w:lineRule="exact" w:before="0"/>
        <w:ind w:right="114"/>
        <w:jc w:val="left"/>
        <w:rPr>
          <w:b w:val="0"/>
          <w:bCs w:val="0"/>
        </w:rPr>
      </w:pPr>
      <w:r>
        <w:rPr/>
        <w:t>坏账准备，本期收回</w:t>
      </w:r>
      <w:r>
        <w:rPr>
          <w:spacing w:val="-64"/>
        </w:rPr>
        <w:t> </w:t>
      </w:r>
      <w:r>
        <w:rPr/>
        <w:t>1,629,545.37</w:t>
      </w:r>
      <w:r>
        <w:rPr>
          <w:spacing w:val="-63"/>
        </w:rPr>
        <w:t> </w:t>
      </w:r>
      <w:r>
        <w:rPr/>
        <w:t>元。</w:t>
      </w:r>
      <w:r>
        <w:rPr>
          <w:b w:val="0"/>
          <w:bCs w:val="0"/>
        </w:rPr>
      </w:r>
    </w:p>
    <w:p>
      <w:pPr>
        <w:spacing w:line="240" w:lineRule="auto" w:before="7"/>
        <w:rPr>
          <w:rFonts w:ascii="宋体" w:hAnsi="宋体" w:cs="宋体" w:eastAsia="宋体" w:hint="default"/>
          <w:b/>
          <w:bCs/>
          <w:sz w:val="22"/>
          <w:szCs w:val="22"/>
        </w:rPr>
      </w:pPr>
    </w:p>
    <w:p>
      <w:pPr>
        <w:pStyle w:val="Heading3"/>
        <w:spacing w:line="240" w:lineRule="auto"/>
        <w:ind w:right="114"/>
        <w:jc w:val="left"/>
        <w:rPr>
          <w:b w:val="0"/>
          <w:bCs w:val="0"/>
        </w:rPr>
      </w:pPr>
      <w:r>
        <w:rPr/>
        <w:t>(3).</w:t>
      </w:r>
      <w:r>
        <w:rPr>
          <w:spacing w:val="-1"/>
        </w:rPr>
        <w:t> </w:t>
      </w:r>
      <w:r>
        <w:rPr/>
        <w:t>本期实际核销的其他应收款情况</w:t>
      </w:r>
      <w:r>
        <w:rPr>
          <w:b w:val="0"/>
          <w:bCs w:val="0"/>
        </w:rPr>
      </w:r>
    </w:p>
    <w:p>
      <w:pPr>
        <w:pStyle w:val="BodyText"/>
        <w:tabs>
          <w:tab w:pos="1049" w:val="left" w:leader="none"/>
        </w:tabs>
        <w:spacing w:line="240" w:lineRule="auto" w:before="57"/>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430"/>
        <w:gridCol w:w="4465"/>
      </w:tblGrid>
      <w:tr>
        <w:trPr>
          <w:trHeight w:val="287" w:hRule="exact"/>
        </w:trPr>
        <w:tc>
          <w:tcPr>
            <w:tcW w:w="4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2"/>
              <w:jc w:val="center"/>
              <w:rPr>
                <w:rFonts w:ascii="宋体" w:hAnsi="宋体" w:cs="宋体" w:eastAsia="宋体" w:hint="default"/>
                <w:sz w:val="21"/>
                <w:szCs w:val="21"/>
              </w:rPr>
            </w:pPr>
            <w:r>
              <w:rPr>
                <w:rFonts w:ascii="宋体" w:hAnsi="宋体" w:cs="宋体" w:eastAsia="宋体" w:hint="default"/>
                <w:sz w:val="21"/>
                <w:szCs w:val="21"/>
              </w:rPr>
              <w:t>项目</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3"/>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7" w:hRule="exact"/>
        </w:trPr>
        <w:tc>
          <w:tcPr>
            <w:tcW w:w="4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spacing w:line="274" w:lineRule="exact" w:before="35"/>
        <w:ind w:right="114"/>
        <w:jc w:val="left"/>
      </w:pPr>
      <w:r>
        <w:rPr/>
        <w:t>其中重要的其他应收款核销情况：</w:t>
      </w:r>
    </w:p>
    <w:p>
      <w:pPr>
        <w:pStyle w:val="BodyText"/>
        <w:tabs>
          <w:tab w:pos="945" w:val="left" w:leader="none"/>
        </w:tabs>
        <w:spacing w:line="274" w:lineRule="exact"/>
        <w:ind w:left="0" w:right="229"/>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618"/>
        <w:gridCol w:w="1466"/>
        <w:gridCol w:w="1384"/>
        <w:gridCol w:w="1352"/>
        <w:gridCol w:w="1480"/>
        <w:gridCol w:w="1750"/>
      </w:tblGrid>
      <w:tr>
        <w:trPr>
          <w:trHeight w:val="554"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性质</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6"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履行的核销程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序</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283" w:hRule="exact"/>
        </w:trPr>
        <w:tc>
          <w:tcPr>
            <w:tcW w:w="1618"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18"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right="114"/>
        <w:jc w:val="left"/>
      </w:pPr>
      <w:r>
        <w:rPr/>
        <w:t>其他应收款核销说明：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4"/>
        <w:ind w:right="114"/>
        <w:jc w:val="left"/>
        <w:rPr>
          <w:b w:val="0"/>
          <w:bCs w:val="0"/>
        </w:rPr>
      </w:pPr>
      <w:r>
        <w:rPr/>
        <w:t>(4).</w:t>
      </w:r>
      <w:r>
        <w:rPr>
          <w:spacing w:val="-1"/>
        </w:rPr>
        <w:t> </w:t>
      </w:r>
      <w:r>
        <w:rPr/>
        <w:t>其他应收款按款项性质分类情况</w:t>
      </w:r>
      <w:r>
        <w:rPr>
          <w:b w:val="0"/>
          <w:bCs w:val="0"/>
        </w:rPr>
      </w:r>
    </w:p>
    <w:p>
      <w:pPr>
        <w:spacing w:line="240" w:lineRule="auto" w:before="1"/>
        <w:rPr>
          <w:rFonts w:ascii="宋体" w:hAnsi="宋体" w:cs="宋体" w:eastAsia="宋体" w:hint="default"/>
          <w:b/>
          <w:bCs/>
          <w:sz w:val="7"/>
          <w:szCs w:val="7"/>
        </w:rPr>
      </w:pPr>
    </w:p>
    <w:tbl>
      <w:tblPr>
        <w:tblW w:w="0" w:type="auto"/>
        <w:jc w:val="left"/>
        <w:tblInd w:w="104" w:type="dxa"/>
        <w:tblLayout w:type="fixed"/>
        <w:tblCellMar>
          <w:top w:w="0" w:type="dxa"/>
          <w:left w:w="0" w:type="dxa"/>
          <w:bottom w:w="0" w:type="dxa"/>
          <w:right w:w="0" w:type="dxa"/>
        </w:tblCellMar>
        <w:tblLook w:val="01E0"/>
      </w:tblPr>
      <w:tblGrid>
        <w:gridCol w:w="3076"/>
        <w:gridCol w:w="2982"/>
        <w:gridCol w:w="2992"/>
      </w:tblGrid>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28,636,682.40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33,005,866.32</w:t>
            </w:r>
            <w:r>
              <w:rPr>
                <w:rFonts w:ascii="宋体"/>
                <w:sz w:val="21"/>
              </w:rPr>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1,003,853.72</w:t>
            </w:r>
            <w:r>
              <w:rPr>
                <w:rFonts w:ascii="宋体"/>
                <w:sz w:val="21"/>
              </w:rPr>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1,399,234.55</w:t>
            </w:r>
            <w:r>
              <w:rPr>
                <w:rFonts w:ascii="宋体"/>
                <w:sz w:val="21"/>
              </w:rPr>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代垫运杂费</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387,677.87</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266,956.79</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4,227,380.62</w:t>
            </w:r>
            <w:r>
              <w:rPr>
                <w:rFonts w:ascii="宋体"/>
                <w:sz w:val="21"/>
              </w:rPr>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6,058,982.96</w:t>
            </w:r>
            <w:r>
              <w:rPr>
                <w:rFonts w:ascii="宋体"/>
                <w:sz w:val="21"/>
              </w:rPr>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491,021.71</w:t>
            </w:r>
          </w:p>
        </w:tc>
        <w:tc>
          <w:tcPr>
            <w:tcW w:w="29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34,746,616.32</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40,731,040.62</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3"/>
        <w:spacing w:line="240" w:lineRule="auto"/>
        <w:ind w:right="114"/>
        <w:jc w:val="left"/>
        <w:rPr>
          <w:b w:val="0"/>
          <w:bCs w:val="0"/>
        </w:rPr>
      </w:pPr>
      <w:r>
        <w:rPr/>
        <w:t>(5).</w:t>
      </w:r>
      <w:r>
        <w:rPr>
          <w:spacing w:val="-4"/>
        </w:rPr>
        <w:t> </w:t>
      </w:r>
      <w:r>
        <w:rPr/>
        <w:t>按欠款方归集的期末余额前五名的其他应收款情况：</w:t>
      </w:r>
      <w:r>
        <w:rPr>
          <w:b w:val="0"/>
          <w:bCs w:val="0"/>
        </w:rPr>
      </w:r>
    </w:p>
    <w:p>
      <w:pPr>
        <w:pStyle w:val="BodyText"/>
        <w:tabs>
          <w:tab w:pos="1049" w:val="left" w:leader="none"/>
        </w:tabs>
        <w:spacing w:line="240" w:lineRule="auto" w:before="57"/>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484"/>
        <w:gridCol w:w="1301"/>
        <w:gridCol w:w="1500"/>
        <w:gridCol w:w="1276"/>
        <w:gridCol w:w="1710"/>
        <w:gridCol w:w="1625"/>
      </w:tblGrid>
      <w:tr>
        <w:trPr>
          <w:trHeight w:val="832"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0"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12"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6"/>
              <w:ind w:left="480" w:right="110" w:hanging="368"/>
              <w:jc w:val="left"/>
              <w:rPr>
                <w:rFonts w:ascii="宋体" w:hAnsi="宋体" w:cs="宋体" w:eastAsia="宋体" w:hint="default"/>
                <w:sz w:val="21"/>
                <w:szCs w:val="21"/>
              </w:rPr>
            </w:pPr>
            <w:r>
              <w:rPr>
                <w:rFonts w:ascii="宋体" w:hAnsi="宋体" w:cs="宋体" w:eastAsia="宋体" w:hint="default"/>
                <w:sz w:val="21"/>
                <w:szCs w:val="21"/>
              </w:rPr>
              <w:t>末余额合计数的 比例(%)</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85" w:right="383"/>
              <w:jc w:val="left"/>
              <w:rPr>
                <w:rFonts w:ascii="宋体" w:hAnsi="宋体" w:cs="宋体" w:eastAsia="宋体" w:hint="default"/>
                <w:sz w:val="21"/>
                <w:szCs w:val="21"/>
              </w:rPr>
            </w:pPr>
            <w:r>
              <w:rPr>
                <w:rFonts w:ascii="宋体" w:hAnsi="宋体" w:cs="宋体" w:eastAsia="宋体" w:hint="default"/>
                <w:sz w:val="21"/>
                <w:szCs w:val="21"/>
              </w:rPr>
              <w:t>坏账准备 期末余额</w:t>
            </w:r>
          </w:p>
        </w:tc>
      </w:tr>
      <w:tr>
        <w:trPr>
          <w:trHeight w:val="833"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9"/>
                <w:sz w:val="21"/>
                <w:szCs w:val="21"/>
              </w:rPr>
              <w:t>中国（南京）</w:t>
            </w:r>
          </w:p>
          <w:p>
            <w:pPr>
              <w:pStyle w:val="TableParagraph"/>
              <w:spacing w:line="272" w:lineRule="exact" w:before="26"/>
              <w:ind w:left="24" w:right="127"/>
              <w:jc w:val="left"/>
              <w:rPr>
                <w:rFonts w:ascii="宋体" w:hAnsi="宋体" w:cs="宋体" w:eastAsia="宋体" w:hint="default"/>
                <w:sz w:val="21"/>
                <w:szCs w:val="21"/>
              </w:rPr>
            </w:pPr>
            <w:r>
              <w:rPr>
                <w:rFonts w:ascii="宋体" w:hAnsi="宋体" w:cs="宋体" w:eastAsia="宋体" w:hint="default"/>
                <w:spacing w:val="9"/>
                <w:sz w:val="21"/>
                <w:szCs w:val="21"/>
              </w:rPr>
              <w:t>软件谷管理委</w:t>
            </w:r>
            <w:r>
              <w:rPr>
                <w:rFonts w:ascii="宋体" w:hAnsi="宋体" w:cs="宋体" w:eastAsia="宋体" w:hint="default"/>
                <w:sz w:val="21"/>
                <w:szCs w:val="21"/>
              </w:rPr>
              <w:t> 员会</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20,000,000.00</w:t>
            </w:r>
            <w:r>
              <w:rPr>
                <w:rFonts w:ascii="宋体"/>
                <w:sz w:val="21"/>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w w:val="95"/>
                <w:sz w:val="21"/>
              </w:rPr>
              <w:t>57.56</w:t>
            </w:r>
            <w:r>
              <w:rPr>
                <w:rFonts w:ascii="宋体"/>
                <w:w w:val="95"/>
                <w:sz w:val="21"/>
              </w:rPr>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4,000,000.00</w:t>
            </w:r>
            <w:r>
              <w:rPr>
                <w:rFonts w:ascii="宋体"/>
                <w:sz w:val="21"/>
              </w:rPr>
            </w:r>
          </w:p>
        </w:tc>
      </w:tr>
      <w:tr>
        <w:trPr>
          <w:trHeight w:val="559"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pacing w:val="9"/>
                <w:sz w:val="21"/>
                <w:szCs w:val="21"/>
              </w:rPr>
              <w:t>天一证券有限</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22"/>
                <w:sz w:val="21"/>
                <w:szCs w:val="21"/>
              </w:rPr>
              <w:t>委托理财保</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证金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pacing w:val="-1"/>
                <w:sz w:val="21"/>
              </w:rPr>
              <w:t>1,911,914.96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5.50</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1,911,914.96</w:t>
            </w:r>
          </w:p>
        </w:tc>
      </w:tr>
      <w:tr>
        <w:trPr>
          <w:trHeight w:val="559"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9"/>
                <w:sz w:val="21"/>
                <w:szCs w:val="21"/>
              </w:rPr>
              <w:t>长江海事局信</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息中心</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质量保证金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pacing w:val="-1"/>
                <w:sz w:val="21"/>
              </w:rPr>
              <w:t>1,092,298.94</w:t>
            </w:r>
            <w:r>
              <w:rPr>
                <w:rFonts w:ascii="宋体"/>
                <w:sz w:val="21"/>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3.14</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218,459.79</w:t>
            </w:r>
          </w:p>
        </w:tc>
      </w:tr>
      <w:tr>
        <w:trPr>
          <w:trHeight w:val="833"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9"/>
                <w:sz w:val="21"/>
                <w:szCs w:val="21"/>
              </w:rPr>
              <w:t>深圳市建设工</w:t>
            </w:r>
          </w:p>
          <w:p>
            <w:pPr>
              <w:pStyle w:val="TableParagraph"/>
              <w:spacing w:line="272" w:lineRule="exact" w:before="26"/>
              <w:ind w:left="24" w:right="127"/>
              <w:jc w:val="left"/>
              <w:rPr>
                <w:rFonts w:ascii="宋体" w:hAnsi="宋体" w:cs="宋体" w:eastAsia="宋体" w:hint="default"/>
                <w:sz w:val="21"/>
                <w:szCs w:val="21"/>
              </w:rPr>
            </w:pPr>
            <w:r>
              <w:rPr>
                <w:rFonts w:ascii="宋体" w:hAnsi="宋体" w:cs="宋体" w:eastAsia="宋体" w:hint="default"/>
                <w:spacing w:val="9"/>
                <w:sz w:val="21"/>
                <w:szCs w:val="21"/>
              </w:rPr>
              <w:t>程交易服务中</w:t>
            </w:r>
            <w:r>
              <w:rPr>
                <w:rFonts w:ascii="宋体" w:hAnsi="宋体" w:cs="宋体" w:eastAsia="宋体" w:hint="default"/>
                <w:sz w:val="21"/>
                <w:szCs w:val="21"/>
              </w:rPr>
              <w:t> 心</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4"/>
              <w:jc w:val="right"/>
              <w:rPr>
                <w:rFonts w:ascii="宋体" w:hAnsi="宋体" w:cs="宋体" w:eastAsia="宋体" w:hint="default"/>
                <w:sz w:val="21"/>
                <w:szCs w:val="21"/>
              </w:rPr>
            </w:pPr>
            <w:r>
              <w:rPr>
                <w:rFonts w:ascii="宋体"/>
                <w:sz w:val="21"/>
              </w:rPr>
              <w:t>800,000.00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z w:val="21"/>
              </w:rPr>
              <w:t>2.30</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z w:val="21"/>
              </w:rPr>
              <w:t>400,000.00</w:t>
            </w:r>
          </w:p>
        </w:tc>
      </w:tr>
      <w:tr>
        <w:trPr>
          <w:trHeight w:val="559"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pacing w:val="9"/>
                <w:sz w:val="21"/>
                <w:szCs w:val="21"/>
              </w:rPr>
              <w:t>深圳市地铁集</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4"/>
              <w:jc w:val="right"/>
              <w:rPr>
                <w:rFonts w:ascii="宋体" w:hAnsi="宋体" w:cs="宋体" w:eastAsia="宋体" w:hint="default"/>
                <w:sz w:val="21"/>
                <w:szCs w:val="21"/>
              </w:rPr>
            </w:pPr>
            <w:r>
              <w:rPr>
                <w:rFonts w:ascii="宋体"/>
                <w:sz w:val="21"/>
              </w:rPr>
              <w:t>800,000.00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2.30</w:t>
            </w:r>
            <w:r>
              <w:rPr>
                <w:rFonts w:ascii="宋体"/>
                <w:sz w:val="21"/>
              </w:rPr>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2"/>
              <w:jc w:val="right"/>
              <w:rPr>
                <w:rFonts w:ascii="宋体" w:hAnsi="宋体" w:cs="宋体" w:eastAsia="宋体" w:hint="default"/>
                <w:sz w:val="21"/>
                <w:szCs w:val="21"/>
              </w:rPr>
            </w:pPr>
            <w:r>
              <w:rPr>
                <w:rFonts w:ascii="宋体"/>
                <w:spacing w:val="-1"/>
                <w:sz w:val="21"/>
              </w:rPr>
              <w:t>40,000.00</w:t>
            </w:r>
            <w:r>
              <w:rPr>
                <w:rFonts w:ascii="宋体"/>
                <w:sz w:val="21"/>
              </w:rPr>
            </w:r>
          </w:p>
        </w:tc>
      </w:tr>
      <w:tr>
        <w:trPr>
          <w:trHeight w:val="287"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sz w:val="21"/>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24,604,213.90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sz w:val="21"/>
              </w:rPr>
              <w:t>/</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70.80</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6,570,374.75</w:t>
            </w:r>
          </w:p>
        </w:tc>
      </w:tr>
    </w:tbl>
    <w:p>
      <w:pPr>
        <w:spacing w:line="240" w:lineRule="auto" w:before="1"/>
        <w:rPr>
          <w:rFonts w:ascii="宋体" w:hAnsi="宋体" w:cs="宋体" w:eastAsia="宋体" w:hint="default"/>
          <w:sz w:val="20"/>
          <w:szCs w:val="20"/>
        </w:rPr>
      </w:pPr>
    </w:p>
    <w:p>
      <w:pPr>
        <w:pStyle w:val="Heading3"/>
        <w:spacing w:line="240" w:lineRule="auto"/>
        <w:ind w:right="114"/>
        <w:jc w:val="left"/>
        <w:rPr>
          <w:b w:val="0"/>
          <w:bCs w:val="0"/>
        </w:rPr>
      </w:pPr>
      <w:r>
        <w:rPr/>
        <w:t>(6).</w:t>
      </w:r>
      <w:r>
        <w:rPr>
          <w:spacing w:val="-3"/>
        </w:rPr>
        <w:t> </w:t>
      </w:r>
      <w:r>
        <w:rPr/>
        <w:t>涉及政府补助的应收款项</w:t>
      </w:r>
      <w:r>
        <w:rPr>
          <w:b w:val="0"/>
          <w:bCs w:val="0"/>
        </w:rPr>
      </w:r>
    </w:p>
    <w:p>
      <w:pPr>
        <w:pStyle w:val="BodyText"/>
        <w:tabs>
          <w:tab w:pos="1049" w:val="left" w:leader="none"/>
        </w:tabs>
        <w:spacing w:line="240" w:lineRule="auto" w:before="57"/>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113"/>
        <w:gridCol w:w="1598"/>
        <w:gridCol w:w="1784"/>
        <w:gridCol w:w="1640"/>
        <w:gridCol w:w="1913"/>
      </w:tblGrid>
      <w:tr>
        <w:trPr>
          <w:trHeight w:val="554" w:hRule="exact"/>
        </w:trPr>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630"/>
              <w:jc w:val="right"/>
              <w:rPr>
                <w:rFonts w:ascii="宋体" w:hAnsi="宋体" w:cs="宋体" w:eastAsia="宋体" w:hint="default"/>
                <w:sz w:val="21"/>
                <w:szCs w:val="21"/>
              </w:rPr>
            </w:pPr>
            <w:r>
              <w:rPr>
                <w:rFonts w:ascii="宋体" w:hAnsi="宋体" w:cs="宋体" w:eastAsia="宋体" w:hint="default"/>
                <w:sz w:val="21"/>
                <w:szCs w:val="21"/>
              </w:rPr>
              <w:t>单位名称</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政府补助项目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6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期末账龄</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预计收取的时间、</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金额及依据</w:t>
            </w:r>
          </w:p>
        </w:tc>
      </w:tr>
      <w:tr>
        <w:trPr>
          <w:trHeight w:val="283" w:hRule="exact"/>
        </w:trPr>
        <w:tc>
          <w:tcPr>
            <w:tcW w:w="2113"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13"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82"/>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784"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pStyle w:val="BodyText"/>
        <w:spacing w:line="240" w:lineRule="exact"/>
        <w:ind w:right="114"/>
        <w:jc w:val="left"/>
      </w:pPr>
      <w:r>
        <w:rPr/>
        <w:t>其他说明</w:t>
      </w:r>
    </w:p>
    <w:p>
      <w:pPr>
        <w:spacing w:line="240" w:lineRule="auto" w:before="3"/>
        <w:rPr>
          <w:rFonts w:ascii="宋体" w:hAnsi="宋体" w:cs="宋体" w:eastAsia="宋体" w:hint="default"/>
          <w:sz w:val="25"/>
          <w:szCs w:val="25"/>
        </w:rPr>
      </w:pPr>
    </w:p>
    <w:p>
      <w:pPr>
        <w:pStyle w:val="Heading3"/>
        <w:spacing w:line="240" w:lineRule="auto" w:before="0"/>
        <w:ind w:right="114"/>
        <w:jc w:val="left"/>
        <w:rPr>
          <w:b w:val="0"/>
          <w:bCs w:val="0"/>
        </w:rPr>
      </w:pPr>
      <w:r>
        <w:rPr/>
        <w:t>(7).</w:t>
      </w:r>
      <w:r>
        <w:rPr>
          <w:spacing w:val="-2"/>
        </w:rPr>
        <w:t> </w:t>
      </w:r>
      <w:r>
        <w:rPr/>
        <w:t>因金融资产转移而终止确认的其他应收款：</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40" w:lineRule="auto" w:before="139"/>
        <w:ind w:right="114"/>
        <w:jc w:val="left"/>
        <w:rPr>
          <w:b w:val="0"/>
          <w:bCs w:val="0"/>
        </w:rPr>
      </w:pPr>
      <w:r>
        <w:rPr/>
        <w:t>(8).</w:t>
      </w:r>
      <w:r>
        <w:rPr>
          <w:spacing w:val="-4"/>
        </w:rPr>
        <w:t> </w:t>
      </w:r>
      <w:r>
        <w:rPr/>
        <w:t>转移其他应收款且继续涉入形成的资产、负债金额：</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pStyle w:val="BodyText"/>
        <w:spacing w:line="240" w:lineRule="auto"/>
        <w:ind w:right="114"/>
        <w:jc w:val="left"/>
      </w:pPr>
      <w:r>
        <w:rPr/>
        <w:t>其他说明：</w:t>
      </w:r>
    </w:p>
    <w:p>
      <w:pPr>
        <w:spacing w:after="0" w:line="240" w:lineRule="auto"/>
        <w:jc w:val="left"/>
        <w:sectPr>
          <w:pgSz w:w="11910" w:h="16840"/>
          <w:pgMar w:header="882" w:footer="1197"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4"/>
        <w:ind w:right="114"/>
        <w:jc w:val="left"/>
        <w:rPr>
          <w:b w:val="0"/>
          <w:bCs w:val="0"/>
        </w:rPr>
      </w:pPr>
      <w:r>
        <w:rPr/>
        <w:t>3、</w:t>
      </w:r>
      <w:r>
        <w:rPr>
          <w:spacing w:val="-6"/>
        </w:rPr>
        <w:t> </w:t>
      </w:r>
      <w:r>
        <w:rPr/>
        <w:t>长期股权投资</w:t>
      </w:r>
      <w:r>
        <w:rPr>
          <w:b w:val="0"/>
          <w:bCs w:val="0"/>
        </w:rPr>
      </w:r>
    </w:p>
    <w:p>
      <w:pPr>
        <w:pStyle w:val="BodyText"/>
        <w:tabs>
          <w:tab w:pos="1049" w:val="left" w:leader="none"/>
        </w:tabs>
        <w:spacing w:line="240" w:lineRule="auto" w:before="57"/>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706"/>
        <w:gridCol w:w="1532"/>
        <w:gridCol w:w="523"/>
        <w:gridCol w:w="1532"/>
        <w:gridCol w:w="1532"/>
        <w:gridCol w:w="536"/>
        <w:gridCol w:w="1532"/>
      </w:tblGrid>
      <w:tr>
        <w:trPr>
          <w:trHeight w:val="287" w:hRule="exact"/>
        </w:trPr>
        <w:tc>
          <w:tcPr>
            <w:tcW w:w="1706"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0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60" w:hRule="exact"/>
        </w:trPr>
        <w:tc>
          <w:tcPr>
            <w:tcW w:w="1706" w:type="dxa"/>
            <w:vMerge/>
            <w:tcBorders>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3"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5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3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288,607,371.18</w:t>
            </w:r>
            <w:r>
              <w:rPr>
                <w:rFonts w:ascii="宋体"/>
                <w:sz w:val="21"/>
              </w:rPr>
            </w:r>
          </w:p>
        </w:tc>
        <w:tc>
          <w:tcPr>
            <w:tcW w:w="52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288,607,371.18</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232,607,371.18</w:t>
            </w:r>
            <w:r>
              <w:rPr>
                <w:rFonts w:ascii="宋体"/>
                <w:sz w:val="21"/>
              </w:rPr>
            </w:r>
          </w:p>
        </w:tc>
        <w:tc>
          <w:tcPr>
            <w:tcW w:w="53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232,607,371.18</w:t>
            </w:r>
            <w:r>
              <w:rPr>
                <w:rFonts w:ascii="宋体"/>
                <w:sz w:val="21"/>
              </w:rPr>
            </w:r>
          </w:p>
        </w:tc>
      </w:tr>
      <w:tr>
        <w:trPr>
          <w:trHeight w:val="559"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5"/>
                <w:sz w:val="21"/>
                <w:szCs w:val="21"/>
              </w:rPr>
              <w:t>对联营、合营企业</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2"/>
              <w:jc w:val="right"/>
              <w:rPr>
                <w:rFonts w:ascii="宋体" w:hAnsi="宋体" w:cs="宋体" w:eastAsia="宋体" w:hint="default"/>
                <w:sz w:val="21"/>
                <w:szCs w:val="21"/>
              </w:rPr>
            </w:pPr>
            <w:r>
              <w:rPr>
                <w:rFonts w:ascii="宋体"/>
                <w:spacing w:val="-1"/>
                <w:sz w:val="21"/>
              </w:rPr>
              <w:t>28,099,332.06</w:t>
            </w:r>
          </w:p>
        </w:tc>
        <w:tc>
          <w:tcPr>
            <w:tcW w:w="52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6" w:right="0"/>
              <w:jc w:val="center"/>
              <w:rPr>
                <w:rFonts w:ascii="宋体" w:hAnsi="宋体" w:cs="宋体" w:eastAsia="宋体" w:hint="default"/>
                <w:sz w:val="21"/>
                <w:szCs w:val="21"/>
              </w:rPr>
            </w:pPr>
            <w:r>
              <w:rPr>
                <w:rFonts w:ascii="宋体"/>
                <w:sz w:val="21"/>
              </w:rPr>
              <w:t>28,099,332.06</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2"/>
              <w:jc w:val="right"/>
              <w:rPr>
                <w:rFonts w:ascii="宋体" w:hAnsi="宋体" w:cs="宋体" w:eastAsia="宋体" w:hint="default"/>
                <w:sz w:val="21"/>
                <w:szCs w:val="21"/>
              </w:rPr>
            </w:pPr>
            <w:r>
              <w:rPr>
                <w:rFonts w:ascii="宋体"/>
                <w:spacing w:val="-1"/>
                <w:sz w:val="21"/>
              </w:rPr>
              <w:t>14,930,299.27</w:t>
            </w:r>
          </w:p>
        </w:tc>
        <w:tc>
          <w:tcPr>
            <w:tcW w:w="53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2"/>
              <w:jc w:val="right"/>
              <w:rPr>
                <w:rFonts w:ascii="宋体" w:hAnsi="宋体" w:cs="宋体" w:eastAsia="宋体" w:hint="default"/>
                <w:sz w:val="21"/>
                <w:szCs w:val="21"/>
              </w:rPr>
            </w:pPr>
            <w:r>
              <w:rPr>
                <w:rFonts w:ascii="宋体"/>
                <w:spacing w:val="-1"/>
                <w:sz w:val="21"/>
              </w:rPr>
              <w:t>14,930,299.27</w:t>
            </w:r>
          </w:p>
        </w:tc>
      </w:tr>
      <w:tr>
        <w:trPr>
          <w:trHeight w:val="287"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316,706,703.24</w:t>
            </w:r>
            <w:r>
              <w:rPr>
                <w:rFonts w:ascii="宋体"/>
                <w:sz w:val="21"/>
              </w:rPr>
            </w:r>
          </w:p>
        </w:tc>
        <w:tc>
          <w:tcPr>
            <w:tcW w:w="52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316,706,703.24</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247,537,670.45</w:t>
            </w:r>
            <w:r>
              <w:rPr>
                <w:rFonts w:ascii="宋体"/>
                <w:sz w:val="21"/>
              </w:rPr>
            </w:r>
          </w:p>
        </w:tc>
        <w:tc>
          <w:tcPr>
            <w:tcW w:w="53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247,537,670.45</w:t>
            </w:r>
            <w:r>
              <w:rPr>
                <w:rFonts w:ascii="宋体"/>
                <w:sz w:val="21"/>
              </w:rPr>
            </w:r>
          </w:p>
        </w:tc>
      </w:tr>
    </w:tbl>
    <w:p>
      <w:pPr>
        <w:spacing w:line="240" w:lineRule="auto" w:before="1"/>
        <w:rPr>
          <w:rFonts w:ascii="宋体" w:hAnsi="宋体" w:cs="宋体" w:eastAsia="宋体" w:hint="default"/>
          <w:sz w:val="20"/>
          <w:szCs w:val="20"/>
        </w:rPr>
      </w:pPr>
    </w:p>
    <w:p>
      <w:pPr>
        <w:pStyle w:val="Heading3"/>
        <w:spacing w:line="240" w:lineRule="auto"/>
        <w:ind w:right="114"/>
        <w:jc w:val="left"/>
        <w:rPr>
          <w:b w:val="0"/>
          <w:bCs w:val="0"/>
        </w:rPr>
      </w:pPr>
      <w:r>
        <w:rPr/>
        <w:t>(1)</w:t>
      </w:r>
      <w:r>
        <w:rPr>
          <w:spacing w:val="-8"/>
        </w:rPr>
        <w:t> </w:t>
      </w:r>
      <w:r>
        <w:rPr/>
        <w:t>对子公司投资</w:t>
      </w:r>
      <w:r>
        <w:rPr>
          <w:b w:val="0"/>
          <w:bCs w:val="0"/>
        </w:rPr>
      </w:r>
    </w:p>
    <w:p>
      <w:pPr>
        <w:pStyle w:val="BodyText"/>
        <w:tabs>
          <w:tab w:pos="1049" w:val="left" w:leader="none"/>
        </w:tabs>
        <w:spacing w:line="240" w:lineRule="auto" w:before="57"/>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477"/>
        <w:gridCol w:w="1686"/>
        <w:gridCol w:w="1580"/>
        <w:gridCol w:w="874"/>
        <w:gridCol w:w="1686"/>
        <w:gridCol w:w="872"/>
        <w:gridCol w:w="874"/>
      </w:tblGrid>
      <w:tr>
        <w:trPr>
          <w:trHeight w:val="827" w:hRule="exact"/>
        </w:trPr>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26" w:right="115" w:hanging="210"/>
              <w:jc w:val="left"/>
              <w:rPr>
                <w:rFonts w:ascii="宋体" w:hAnsi="宋体" w:cs="宋体" w:eastAsia="宋体" w:hint="default"/>
                <w:sz w:val="21"/>
                <w:szCs w:val="21"/>
              </w:rPr>
            </w:pPr>
            <w:r>
              <w:rPr>
                <w:rFonts w:ascii="宋体" w:hAnsi="宋体" w:cs="宋体" w:eastAsia="宋体" w:hint="default"/>
                <w:sz w:val="21"/>
                <w:szCs w:val="21"/>
              </w:rPr>
              <w:t>本期减 少</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72" w:lineRule="exact" w:before="26"/>
              <w:ind w:left="220" w:right="115" w:hanging="106"/>
              <w:jc w:val="left"/>
              <w:rPr>
                <w:rFonts w:ascii="宋体" w:hAnsi="宋体" w:cs="宋体" w:eastAsia="宋体" w:hint="default"/>
                <w:sz w:val="21"/>
                <w:szCs w:val="21"/>
              </w:rPr>
            </w:pPr>
            <w:r>
              <w:rPr>
                <w:rFonts w:ascii="宋体" w:hAnsi="宋体" w:cs="宋体" w:eastAsia="宋体" w:hint="default"/>
                <w:sz w:val="21"/>
                <w:szCs w:val="21"/>
              </w:rPr>
              <w:t>提减值 准备</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6" w:right="0"/>
              <w:jc w:val="left"/>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2" w:lineRule="exact" w:before="26"/>
              <w:ind w:left="222" w:right="115" w:hanging="106"/>
              <w:jc w:val="left"/>
              <w:rPr>
                <w:rFonts w:ascii="宋体" w:hAnsi="宋体" w:cs="宋体" w:eastAsia="宋体" w:hint="default"/>
                <w:sz w:val="21"/>
                <w:szCs w:val="21"/>
              </w:rPr>
            </w:pPr>
            <w:r>
              <w:rPr>
                <w:rFonts w:ascii="宋体" w:hAnsi="宋体" w:cs="宋体" w:eastAsia="宋体" w:hint="default"/>
                <w:sz w:val="21"/>
                <w:szCs w:val="21"/>
              </w:rPr>
              <w:t>备期末 余额</w:t>
            </w:r>
          </w:p>
        </w:tc>
      </w:tr>
      <w:tr>
        <w:trPr>
          <w:trHeight w:val="828" w:hRule="exact"/>
        </w:trPr>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深圳市齐普生</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信息科技有限 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26,500,000.00</w:t>
            </w:r>
          </w:p>
        </w:tc>
        <w:tc>
          <w:tcPr>
            <w:tcW w:w="1580"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26,500,000.00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深圳市金证软</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银科技有限公 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3,000,000.00</w:t>
            </w:r>
            <w:r>
              <w:rPr>
                <w:rFonts w:ascii="宋体"/>
                <w:sz w:val="21"/>
              </w:rPr>
            </w:r>
          </w:p>
        </w:tc>
        <w:tc>
          <w:tcPr>
            <w:tcW w:w="1580"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3,000,000.00</w:t>
            </w:r>
            <w:r>
              <w:rPr>
                <w:rFonts w:ascii="宋体"/>
                <w:sz w:val="21"/>
              </w:rPr>
            </w: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上海金证高科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pacing w:val="-1"/>
                <w:sz w:val="21"/>
              </w:rPr>
              <w:t>3,008,665.19</w:t>
            </w:r>
            <w:r>
              <w:rPr>
                <w:rFonts w:ascii="宋体"/>
                <w:sz w:val="21"/>
              </w:rPr>
            </w:r>
          </w:p>
        </w:tc>
        <w:tc>
          <w:tcPr>
            <w:tcW w:w="1580"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pacing w:val="-1"/>
                <w:sz w:val="21"/>
              </w:rPr>
              <w:t>3,008,665.19</w:t>
            </w:r>
            <w:r>
              <w:rPr>
                <w:rFonts w:ascii="宋体"/>
                <w:sz w:val="21"/>
              </w:rPr>
            </w: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北京北方金证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pacing w:val="-1"/>
                <w:sz w:val="21"/>
              </w:rPr>
              <w:t>3,743,140.40</w:t>
            </w:r>
            <w:r>
              <w:rPr>
                <w:rFonts w:ascii="宋体"/>
                <w:sz w:val="21"/>
              </w:rPr>
            </w:r>
          </w:p>
        </w:tc>
        <w:tc>
          <w:tcPr>
            <w:tcW w:w="1580"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pacing w:val="-1"/>
                <w:sz w:val="21"/>
              </w:rPr>
              <w:t>3,743,140.40</w:t>
            </w:r>
            <w:r>
              <w:rPr>
                <w:rFonts w:ascii="宋体"/>
                <w:sz w:val="21"/>
              </w:rPr>
            </w: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成都市金证科</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技有限责任公 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2,855,565.59</w:t>
            </w:r>
            <w:r>
              <w:rPr>
                <w:rFonts w:ascii="宋体"/>
                <w:sz w:val="21"/>
              </w:rPr>
            </w:r>
          </w:p>
        </w:tc>
        <w:tc>
          <w:tcPr>
            <w:tcW w:w="1580"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2,855,565.59</w:t>
            </w:r>
            <w:r>
              <w:rPr>
                <w:rFonts w:ascii="宋体"/>
                <w:sz w:val="21"/>
              </w:rPr>
            </w: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成都金证信息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100,000,000.00</w:t>
            </w:r>
          </w:p>
        </w:tc>
        <w:tc>
          <w:tcPr>
            <w:tcW w:w="1580"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100,000,000.00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深圳市金证博</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泽科技有限公 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50,000,000.00</w:t>
            </w:r>
          </w:p>
        </w:tc>
        <w:tc>
          <w:tcPr>
            <w:tcW w:w="1580"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50,000,000.00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南京金证信息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24,000,000.00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56,000,000.00</w:t>
            </w:r>
          </w:p>
        </w:tc>
        <w:tc>
          <w:tcPr>
            <w:tcW w:w="87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80,000,000.00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金证财富南京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19,500,000.00</w:t>
            </w:r>
          </w:p>
        </w:tc>
        <w:tc>
          <w:tcPr>
            <w:tcW w:w="1580"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19,500,000.00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232,607,371.18</w:t>
            </w:r>
            <w:r>
              <w:rPr>
                <w:rFonts w:ascii="宋体"/>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56,000,000.00</w:t>
            </w:r>
          </w:p>
        </w:tc>
        <w:tc>
          <w:tcPr>
            <w:tcW w:w="87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288,607,371.18</w:t>
            </w:r>
            <w:r>
              <w:rPr>
                <w:rFonts w:ascii="宋体"/>
                <w:sz w:val="21"/>
              </w:rPr>
            </w: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ind w:right="114"/>
        <w:jc w:val="left"/>
        <w:rPr>
          <w:b w:val="0"/>
          <w:bCs w:val="0"/>
        </w:rPr>
      </w:pPr>
      <w:r>
        <w:rPr/>
        <w:t>(2)</w:t>
      </w:r>
      <w:r>
        <w:rPr>
          <w:spacing w:val="-8"/>
        </w:rPr>
        <w:t> </w:t>
      </w:r>
      <w:r>
        <w:rPr/>
        <w:t>对联营、合营企业投资</w:t>
      </w:r>
      <w:r>
        <w:rPr>
          <w:b w:val="0"/>
          <w:bCs w:val="0"/>
        </w:rPr>
      </w:r>
    </w:p>
    <w:p>
      <w:pPr>
        <w:pStyle w:val="BodyText"/>
        <w:tabs>
          <w:tab w:pos="1049" w:val="left" w:leader="none"/>
        </w:tabs>
        <w:spacing w:line="240" w:lineRule="auto" w:before="57"/>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826"/>
        <w:gridCol w:w="756"/>
        <w:gridCol w:w="760"/>
        <w:gridCol w:w="671"/>
        <w:gridCol w:w="786"/>
        <w:gridCol w:w="707"/>
        <w:gridCol w:w="710"/>
        <w:gridCol w:w="784"/>
        <w:gridCol w:w="775"/>
        <w:gridCol w:w="756"/>
        <w:gridCol w:w="770"/>
        <w:gridCol w:w="738"/>
      </w:tblGrid>
      <w:tr>
        <w:trPr>
          <w:trHeight w:val="282" w:hRule="exact"/>
        </w:trPr>
        <w:tc>
          <w:tcPr>
            <w:tcW w:w="8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4"/>
              <w:ind w:left="196" w:right="197"/>
              <w:jc w:val="left"/>
              <w:rPr>
                <w:rFonts w:ascii="宋体" w:hAnsi="宋体" w:cs="宋体" w:eastAsia="宋体" w:hint="default"/>
                <w:sz w:val="21"/>
                <w:szCs w:val="21"/>
              </w:rPr>
            </w:pPr>
            <w:r>
              <w:rPr>
                <w:rFonts w:ascii="宋体" w:hAnsi="宋体" w:cs="宋体" w:eastAsia="宋体" w:hint="default"/>
                <w:sz w:val="21"/>
                <w:szCs w:val="21"/>
              </w:rPr>
              <w:t>投资 单位</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4"/>
              <w:ind w:left="162" w:right="162"/>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59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4"/>
              <w:ind w:left="170" w:right="168"/>
              <w:jc w:val="left"/>
              <w:rPr>
                <w:rFonts w:ascii="宋体" w:hAnsi="宋体" w:cs="宋体" w:eastAsia="宋体" w:hint="default"/>
                <w:sz w:val="21"/>
                <w:szCs w:val="21"/>
              </w:rPr>
            </w:pPr>
            <w:r>
              <w:rPr>
                <w:rFonts w:ascii="宋体" w:hAnsi="宋体" w:cs="宋体" w:eastAsia="宋体" w:hint="default"/>
                <w:sz w:val="21"/>
                <w:szCs w:val="21"/>
              </w:rPr>
              <w:t>期末 余额</w:t>
            </w:r>
          </w:p>
        </w:tc>
        <w:tc>
          <w:tcPr>
            <w:tcW w:w="738" w:type="dxa"/>
            <w:vMerge w:val="restart"/>
            <w:tcBorders>
              <w:top w:val="single" w:sz="4" w:space="0" w:color="000000"/>
              <w:left w:val="single" w:sz="4" w:space="0" w:color="000000"/>
              <w:right w:val="single" w:sz="4" w:space="0" w:color="000000"/>
            </w:tcBorders>
          </w:tcPr>
          <w:p>
            <w:pPr>
              <w:pStyle w:val="TableParagraph"/>
              <w:spacing w:line="272" w:lineRule="exact" w:before="134"/>
              <w:ind w:left="152" w:right="153"/>
              <w:jc w:val="both"/>
              <w:rPr>
                <w:rFonts w:ascii="宋体" w:hAnsi="宋体" w:cs="宋体" w:eastAsia="宋体" w:hint="default"/>
                <w:sz w:val="21"/>
                <w:szCs w:val="21"/>
              </w:rPr>
            </w:pPr>
            <w:r>
              <w:rPr>
                <w:rFonts w:ascii="宋体" w:hAnsi="宋体" w:cs="宋体" w:eastAsia="宋体" w:hint="default"/>
                <w:sz w:val="21"/>
                <w:szCs w:val="21"/>
              </w:rPr>
              <w:t>减值 准备 期末 余额</w:t>
            </w:r>
          </w:p>
        </w:tc>
      </w:tr>
      <w:tr>
        <w:trPr>
          <w:trHeight w:val="1100" w:hRule="exact"/>
        </w:trPr>
        <w:tc>
          <w:tcPr>
            <w:tcW w:w="826"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64" w:right="163"/>
              <w:jc w:val="left"/>
              <w:rPr>
                <w:rFonts w:ascii="宋体" w:hAnsi="宋体" w:cs="宋体" w:eastAsia="宋体" w:hint="default"/>
                <w:sz w:val="21"/>
                <w:szCs w:val="21"/>
              </w:rPr>
            </w:pPr>
            <w:r>
              <w:rPr>
                <w:rFonts w:ascii="宋体" w:hAnsi="宋体" w:cs="宋体" w:eastAsia="宋体" w:hint="default"/>
                <w:sz w:val="21"/>
                <w:szCs w:val="21"/>
              </w:rPr>
              <w:t>追加 投资</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18" w:right="120"/>
              <w:jc w:val="left"/>
              <w:rPr>
                <w:rFonts w:ascii="宋体" w:hAnsi="宋体" w:cs="宋体" w:eastAsia="宋体" w:hint="default"/>
                <w:sz w:val="21"/>
                <w:szCs w:val="21"/>
              </w:rPr>
            </w:pPr>
            <w:r>
              <w:rPr>
                <w:rFonts w:ascii="宋体" w:hAnsi="宋体" w:cs="宋体" w:eastAsia="宋体" w:hint="default"/>
                <w:sz w:val="21"/>
                <w:szCs w:val="21"/>
              </w:rPr>
              <w:t>减少 投资</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6"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72" w:lineRule="exact" w:before="26"/>
              <w:ind w:left="176" w:right="179"/>
              <w:jc w:val="both"/>
              <w:rPr>
                <w:rFonts w:ascii="宋体" w:hAnsi="宋体" w:cs="宋体" w:eastAsia="宋体" w:hint="default"/>
                <w:sz w:val="21"/>
                <w:szCs w:val="21"/>
              </w:rPr>
            </w:pPr>
            <w:r>
              <w:rPr>
                <w:rFonts w:ascii="宋体" w:hAnsi="宋体" w:cs="宋体" w:eastAsia="宋体" w:hint="default"/>
                <w:sz w:val="21"/>
                <w:szCs w:val="21"/>
              </w:rPr>
              <w:t>法下 确认 的投</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8" w:right="0"/>
              <w:jc w:val="both"/>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2" w:lineRule="exact" w:before="26"/>
              <w:ind w:left="138" w:right="137"/>
              <w:jc w:val="both"/>
              <w:rPr>
                <w:rFonts w:ascii="宋体" w:hAnsi="宋体" w:cs="宋体" w:eastAsia="宋体" w:hint="default"/>
                <w:sz w:val="21"/>
                <w:szCs w:val="21"/>
              </w:rPr>
            </w:pPr>
            <w:r>
              <w:rPr>
                <w:rFonts w:ascii="宋体" w:hAnsi="宋体" w:cs="宋体" w:eastAsia="宋体" w:hint="default"/>
                <w:sz w:val="21"/>
                <w:szCs w:val="21"/>
              </w:rPr>
              <w:t>综合 收益 调整</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40" w:right="138"/>
              <w:jc w:val="both"/>
              <w:rPr>
                <w:rFonts w:ascii="宋体" w:hAnsi="宋体" w:cs="宋体" w:eastAsia="宋体" w:hint="default"/>
                <w:sz w:val="21"/>
                <w:szCs w:val="21"/>
              </w:rPr>
            </w:pPr>
            <w:r>
              <w:rPr>
                <w:rFonts w:ascii="宋体" w:hAnsi="宋体" w:cs="宋体" w:eastAsia="宋体" w:hint="default"/>
                <w:sz w:val="21"/>
                <w:szCs w:val="21"/>
              </w:rPr>
              <w:t>其他 权益 变动</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5"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72" w:lineRule="exact" w:before="26"/>
              <w:ind w:left="175" w:right="176"/>
              <w:jc w:val="both"/>
              <w:rPr>
                <w:rFonts w:ascii="宋体" w:hAnsi="宋体" w:cs="宋体" w:eastAsia="宋体" w:hint="default"/>
                <w:sz w:val="21"/>
                <w:szCs w:val="21"/>
              </w:rPr>
            </w:pPr>
            <w:r>
              <w:rPr>
                <w:rFonts w:ascii="宋体" w:hAnsi="宋体" w:cs="宋体" w:eastAsia="宋体" w:hint="default"/>
                <w:sz w:val="21"/>
                <w:szCs w:val="21"/>
              </w:rPr>
              <w:t>发放 现金 股利</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72" w:right="170"/>
              <w:jc w:val="both"/>
              <w:rPr>
                <w:rFonts w:ascii="宋体" w:hAnsi="宋体" w:cs="宋体" w:eastAsia="宋体" w:hint="default"/>
                <w:sz w:val="21"/>
                <w:szCs w:val="21"/>
              </w:rPr>
            </w:pPr>
            <w:r>
              <w:rPr>
                <w:rFonts w:ascii="宋体" w:hAnsi="宋体" w:cs="宋体" w:eastAsia="宋体" w:hint="default"/>
                <w:sz w:val="21"/>
                <w:szCs w:val="21"/>
              </w:rPr>
              <w:t>计提 减值 准备</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70" w:type="dxa"/>
            <w:vMerge/>
            <w:tcBorders>
              <w:left w:val="single" w:sz="4" w:space="0" w:color="000000"/>
              <w:bottom w:val="single" w:sz="4" w:space="0" w:color="000000"/>
              <w:right w:val="single" w:sz="4" w:space="0" w:color="000000"/>
            </w:tcBorders>
          </w:tcPr>
          <w:p>
            <w:pPr/>
          </w:p>
        </w:tc>
        <w:tc>
          <w:tcPr>
            <w:tcW w:w="738" w:type="dxa"/>
            <w:vMerge/>
            <w:tcBorders>
              <w:left w:val="single" w:sz="4" w:space="0" w:color="000000"/>
              <w:bottom w:val="single" w:sz="4" w:space="0" w:color="000000"/>
              <w:right w:val="single" w:sz="4" w:space="0" w:color="000000"/>
            </w:tcBorders>
          </w:tcPr>
          <w:p>
            <w:pPr/>
          </w:p>
        </w:tc>
      </w:tr>
    </w:tbl>
    <w:p>
      <w:pPr>
        <w:spacing w:after="0"/>
        <w:sectPr>
          <w:pgSz w:w="11910" w:h="16840"/>
          <w:pgMar w:header="882" w:footer="1197"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826"/>
        <w:gridCol w:w="756"/>
        <w:gridCol w:w="760"/>
        <w:gridCol w:w="671"/>
        <w:gridCol w:w="786"/>
        <w:gridCol w:w="707"/>
        <w:gridCol w:w="710"/>
        <w:gridCol w:w="784"/>
        <w:gridCol w:w="775"/>
        <w:gridCol w:w="756"/>
        <w:gridCol w:w="770"/>
        <w:gridCol w:w="738"/>
      </w:tblGrid>
      <w:tr>
        <w:trPr>
          <w:trHeight w:val="276" w:hRule="exact"/>
        </w:trPr>
        <w:tc>
          <w:tcPr>
            <w:tcW w:w="826" w:type="dxa"/>
            <w:vMerge w:val="restart"/>
            <w:tcBorders>
              <w:top w:val="single" w:sz="4" w:space="0" w:color="000000"/>
              <w:left w:val="single" w:sz="4" w:space="0" w:color="000000"/>
              <w:right w:val="single" w:sz="4" w:space="0" w:color="000000"/>
            </w:tcBorders>
          </w:tcPr>
          <w:p>
            <w:pPr/>
          </w:p>
        </w:tc>
        <w:tc>
          <w:tcPr>
            <w:tcW w:w="756" w:type="dxa"/>
            <w:vMerge w:val="restart"/>
            <w:tcBorders>
              <w:top w:val="single" w:sz="4" w:space="0" w:color="000000"/>
              <w:left w:val="single" w:sz="4" w:space="0" w:color="000000"/>
              <w:right w:val="single" w:sz="4" w:space="0" w:color="000000"/>
            </w:tcBorders>
          </w:tcPr>
          <w:p>
            <w:pPr/>
          </w:p>
        </w:tc>
        <w:tc>
          <w:tcPr>
            <w:tcW w:w="760" w:type="dxa"/>
            <w:vMerge w:val="restart"/>
            <w:tcBorders>
              <w:top w:val="single" w:sz="4" w:space="0" w:color="000000"/>
              <w:left w:val="single" w:sz="4" w:space="0" w:color="000000"/>
              <w:right w:val="single" w:sz="4" w:space="0" w:color="000000"/>
            </w:tcBorders>
          </w:tcPr>
          <w:p>
            <w:pPr/>
          </w:p>
        </w:tc>
        <w:tc>
          <w:tcPr>
            <w:tcW w:w="671" w:type="dxa"/>
            <w:vMerge w:val="restart"/>
            <w:tcBorders>
              <w:top w:val="single" w:sz="4" w:space="0" w:color="000000"/>
              <w:left w:val="single" w:sz="4" w:space="0" w:color="000000"/>
              <w:right w:val="single" w:sz="4" w:space="0" w:color="000000"/>
            </w:tcBorders>
          </w:tcPr>
          <w:p>
            <w:pPr/>
          </w:p>
        </w:tc>
        <w:tc>
          <w:tcPr>
            <w:tcW w:w="786"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76" w:right="0"/>
              <w:jc w:val="left"/>
              <w:rPr>
                <w:rFonts w:ascii="宋体" w:hAnsi="宋体" w:cs="宋体" w:eastAsia="宋体" w:hint="default"/>
                <w:sz w:val="21"/>
                <w:szCs w:val="21"/>
              </w:rPr>
            </w:pPr>
            <w:r>
              <w:rPr>
                <w:rFonts w:ascii="宋体" w:hAnsi="宋体" w:cs="宋体" w:eastAsia="宋体" w:hint="default"/>
                <w:sz w:val="21"/>
                <w:szCs w:val="21"/>
              </w:rPr>
              <w:t>资损</w:t>
            </w:r>
          </w:p>
        </w:tc>
        <w:tc>
          <w:tcPr>
            <w:tcW w:w="707"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784"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或利</w:t>
            </w:r>
          </w:p>
        </w:tc>
        <w:tc>
          <w:tcPr>
            <w:tcW w:w="775" w:type="dxa"/>
            <w:vMerge w:val="restart"/>
            <w:tcBorders>
              <w:top w:val="single" w:sz="4" w:space="0" w:color="000000"/>
              <w:left w:val="single" w:sz="4" w:space="0" w:color="000000"/>
              <w:right w:val="single" w:sz="4" w:space="0" w:color="000000"/>
            </w:tcBorders>
          </w:tcPr>
          <w:p>
            <w:pPr/>
          </w:p>
        </w:tc>
        <w:tc>
          <w:tcPr>
            <w:tcW w:w="756" w:type="dxa"/>
            <w:vMerge w:val="restart"/>
            <w:tcBorders>
              <w:top w:val="single" w:sz="4" w:space="0" w:color="000000"/>
              <w:left w:val="single" w:sz="4" w:space="0" w:color="000000"/>
              <w:right w:val="single" w:sz="4" w:space="0" w:color="000000"/>
            </w:tcBorders>
          </w:tcPr>
          <w:p>
            <w:pPr/>
          </w:p>
        </w:tc>
        <w:tc>
          <w:tcPr>
            <w:tcW w:w="770" w:type="dxa"/>
            <w:vMerge w:val="restart"/>
            <w:tcBorders>
              <w:top w:val="single" w:sz="4" w:space="0" w:color="000000"/>
              <w:left w:val="single" w:sz="4" w:space="0" w:color="000000"/>
              <w:right w:val="single" w:sz="4" w:space="0" w:color="000000"/>
            </w:tcBorders>
          </w:tcPr>
          <w:p>
            <w:pPr/>
          </w:p>
        </w:tc>
        <w:tc>
          <w:tcPr>
            <w:tcW w:w="738" w:type="dxa"/>
            <w:vMerge w:val="restart"/>
            <w:tcBorders>
              <w:top w:val="single" w:sz="4" w:space="0" w:color="000000"/>
              <w:left w:val="single" w:sz="4" w:space="0" w:color="000000"/>
              <w:right w:val="single" w:sz="4" w:space="0" w:color="000000"/>
            </w:tcBorders>
          </w:tcPr>
          <w:p>
            <w:pPr/>
          </w:p>
        </w:tc>
      </w:tr>
      <w:tr>
        <w:trPr>
          <w:trHeight w:val="279" w:hRule="exact"/>
        </w:trPr>
        <w:tc>
          <w:tcPr>
            <w:tcW w:w="826"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671" w:type="dxa"/>
            <w:vMerge/>
            <w:tcBorders>
              <w:left w:val="single" w:sz="4" w:space="0" w:color="000000"/>
              <w:bottom w:val="single" w:sz="4" w:space="0" w:color="000000"/>
              <w:right w:val="single" w:sz="4" w:space="0" w:color="000000"/>
            </w:tcBorders>
          </w:tcPr>
          <w:p>
            <w:pPr/>
          </w:p>
        </w:tc>
        <w:tc>
          <w:tcPr>
            <w:tcW w:w="78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益</w:t>
            </w:r>
          </w:p>
        </w:tc>
        <w:tc>
          <w:tcPr>
            <w:tcW w:w="707"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784"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润</w:t>
            </w:r>
          </w:p>
        </w:tc>
        <w:tc>
          <w:tcPr>
            <w:tcW w:w="775"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c>
          <w:tcPr>
            <w:tcW w:w="738" w:type="dxa"/>
            <w:vMerge/>
            <w:tcBorders>
              <w:left w:val="single" w:sz="4" w:space="0" w:color="000000"/>
              <w:bottom w:val="single" w:sz="4" w:space="0" w:color="000000"/>
              <w:right w:val="single" w:sz="4" w:space="0" w:color="000000"/>
            </w:tcBorders>
          </w:tcPr>
          <w:p>
            <w:pPr/>
          </w:p>
        </w:tc>
      </w:tr>
      <w:tr>
        <w:trPr>
          <w:trHeight w:val="276" w:hRule="exact"/>
        </w:trPr>
        <w:tc>
          <w:tcPr>
            <w:tcW w:w="826"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一、合</w:t>
            </w:r>
          </w:p>
        </w:tc>
        <w:tc>
          <w:tcPr>
            <w:tcW w:w="756" w:type="dxa"/>
            <w:vMerge w:val="restart"/>
            <w:tcBorders>
              <w:top w:val="single" w:sz="4" w:space="0" w:color="000000"/>
              <w:left w:val="single" w:sz="4" w:space="0" w:color="000000"/>
              <w:right w:val="single" w:sz="4" w:space="0" w:color="000000"/>
            </w:tcBorders>
          </w:tcPr>
          <w:p>
            <w:pPr/>
          </w:p>
        </w:tc>
        <w:tc>
          <w:tcPr>
            <w:tcW w:w="760" w:type="dxa"/>
            <w:vMerge w:val="restart"/>
            <w:tcBorders>
              <w:top w:val="single" w:sz="4" w:space="0" w:color="000000"/>
              <w:left w:val="single" w:sz="4" w:space="0" w:color="000000"/>
              <w:right w:val="single" w:sz="4" w:space="0" w:color="000000"/>
            </w:tcBorders>
          </w:tcPr>
          <w:p>
            <w:pPr/>
          </w:p>
        </w:tc>
        <w:tc>
          <w:tcPr>
            <w:tcW w:w="671" w:type="dxa"/>
            <w:vMerge w:val="restart"/>
            <w:tcBorders>
              <w:top w:val="single" w:sz="4" w:space="0" w:color="000000"/>
              <w:left w:val="single" w:sz="4" w:space="0" w:color="000000"/>
              <w:right w:val="single" w:sz="4" w:space="0" w:color="000000"/>
            </w:tcBorders>
          </w:tcPr>
          <w:p>
            <w:pPr/>
          </w:p>
        </w:tc>
        <w:tc>
          <w:tcPr>
            <w:tcW w:w="786" w:type="dxa"/>
            <w:vMerge w:val="restart"/>
            <w:tcBorders>
              <w:top w:val="single" w:sz="4" w:space="0" w:color="000000"/>
              <w:left w:val="single" w:sz="4" w:space="0" w:color="000000"/>
              <w:right w:val="single" w:sz="4" w:space="0" w:color="000000"/>
            </w:tcBorders>
          </w:tcPr>
          <w:p>
            <w:pPr/>
          </w:p>
        </w:tc>
        <w:tc>
          <w:tcPr>
            <w:tcW w:w="707"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784" w:type="dxa"/>
            <w:vMerge w:val="restart"/>
            <w:tcBorders>
              <w:top w:val="single" w:sz="4" w:space="0" w:color="000000"/>
              <w:left w:val="single" w:sz="4" w:space="0" w:color="000000"/>
              <w:right w:val="single" w:sz="4" w:space="0" w:color="000000"/>
            </w:tcBorders>
          </w:tcPr>
          <w:p>
            <w:pPr/>
          </w:p>
        </w:tc>
        <w:tc>
          <w:tcPr>
            <w:tcW w:w="775" w:type="dxa"/>
            <w:vMerge w:val="restart"/>
            <w:tcBorders>
              <w:top w:val="single" w:sz="4" w:space="0" w:color="000000"/>
              <w:left w:val="single" w:sz="4" w:space="0" w:color="000000"/>
              <w:right w:val="single" w:sz="4" w:space="0" w:color="000000"/>
            </w:tcBorders>
          </w:tcPr>
          <w:p>
            <w:pPr/>
          </w:p>
        </w:tc>
        <w:tc>
          <w:tcPr>
            <w:tcW w:w="756" w:type="dxa"/>
            <w:vMerge w:val="restart"/>
            <w:tcBorders>
              <w:top w:val="single" w:sz="4" w:space="0" w:color="000000"/>
              <w:left w:val="single" w:sz="4" w:space="0" w:color="000000"/>
              <w:right w:val="single" w:sz="4" w:space="0" w:color="000000"/>
            </w:tcBorders>
          </w:tcPr>
          <w:p>
            <w:pPr/>
          </w:p>
        </w:tc>
        <w:tc>
          <w:tcPr>
            <w:tcW w:w="770" w:type="dxa"/>
            <w:vMerge w:val="restart"/>
            <w:tcBorders>
              <w:top w:val="single" w:sz="4" w:space="0" w:color="000000"/>
              <w:left w:val="single" w:sz="4" w:space="0" w:color="000000"/>
              <w:right w:val="single" w:sz="4" w:space="0" w:color="000000"/>
            </w:tcBorders>
          </w:tcPr>
          <w:p>
            <w:pPr/>
          </w:p>
        </w:tc>
        <w:tc>
          <w:tcPr>
            <w:tcW w:w="738" w:type="dxa"/>
            <w:vMerge w:val="restart"/>
            <w:tcBorders>
              <w:top w:val="single" w:sz="4" w:space="0" w:color="000000"/>
              <w:left w:val="single" w:sz="4" w:space="0" w:color="000000"/>
              <w:right w:val="single" w:sz="4" w:space="0" w:color="000000"/>
            </w:tcBorders>
          </w:tcPr>
          <w:p>
            <w:pPr/>
          </w:p>
        </w:tc>
      </w:tr>
      <w:tr>
        <w:trPr>
          <w:trHeight w:val="272" w:hRule="exact"/>
        </w:trPr>
        <w:tc>
          <w:tcPr>
            <w:tcW w:w="8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pacing w:val="83"/>
                <w:sz w:val="21"/>
                <w:szCs w:val="21"/>
              </w:rPr>
              <w:t> </w:t>
            </w:r>
            <w:r>
              <w:rPr>
                <w:rFonts w:ascii="宋体" w:hAnsi="宋体" w:cs="宋体" w:eastAsia="宋体" w:hint="default"/>
                <w:sz w:val="21"/>
                <w:szCs w:val="21"/>
              </w:rPr>
              <w:t>企</w:t>
            </w:r>
          </w:p>
        </w:tc>
        <w:tc>
          <w:tcPr>
            <w:tcW w:w="756" w:type="dxa"/>
            <w:vMerge/>
            <w:tcBorders>
              <w:left w:val="single" w:sz="4" w:space="0" w:color="000000"/>
              <w:right w:val="single" w:sz="4" w:space="0" w:color="000000"/>
            </w:tcBorders>
          </w:tcPr>
          <w:p>
            <w:pPr/>
          </w:p>
        </w:tc>
        <w:tc>
          <w:tcPr>
            <w:tcW w:w="760"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786" w:type="dxa"/>
            <w:vMerge/>
            <w:tcBorders>
              <w:left w:val="single" w:sz="4" w:space="0" w:color="000000"/>
              <w:right w:val="single" w:sz="4" w:space="0" w:color="000000"/>
            </w:tcBorders>
          </w:tcPr>
          <w:p>
            <w:pPr/>
          </w:p>
        </w:tc>
        <w:tc>
          <w:tcPr>
            <w:tcW w:w="70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vMerge/>
            <w:tcBorders>
              <w:left w:val="single" w:sz="4" w:space="0" w:color="000000"/>
              <w:right w:val="single" w:sz="4" w:space="0" w:color="000000"/>
            </w:tcBorders>
          </w:tcPr>
          <w:p>
            <w:pPr/>
          </w:p>
        </w:tc>
        <w:tc>
          <w:tcPr>
            <w:tcW w:w="738" w:type="dxa"/>
            <w:vMerge/>
            <w:tcBorders>
              <w:left w:val="single" w:sz="4" w:space="0" w:color="000000"/>
              <w:right w:val="single" w:sz="4" w:space="0" w:color="000000"/>
            </w:tcBorders>
          </w:tcPr>
          <w:p>
            <w:pPr/>
          </w:p>
        </w:tc>
      </w:tr>
      <w:tr>
        <w:trPr>
          <w:trHeight w:val="279" w:hRule="exact"/>
        </w:trPr>
        <w:tc>
          <w:tcPr>
            <w:tcW w:w="82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w:t>
            </w:r>
          </w:p>
        </w:tc>
        <w:tc>
          <w:tcPr>
            <w:tcW w:w="756" w:type="dxa"/>
            <w:vMerge/>
            <w:tcBorders>
              <w:left w:val="single" w:sz="4" w:space="0" w:color="000000"/>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671" w:type="dxa"/>
            <w:vMerge/>
            <w:tcBorders>
              <w:left w:val="single" w:sz="4" w:space="0" w:color="000000"/>
              <w:bottom w:val="single" w:sz="4" w:space="0" w:color="000000"/>
              <w:right w:val="single" w:sz="4" w:space="0" w:color="000000"/>
            </w:tcBorders>
          </w:tcPr>
          <w:p>
            <w:pPr/>
          </w:p>
        </w:tc>
        <w:tc>
          <w:tcPr>
            <w:tcW w:w="786" w:type="dxa"/>
            <w:vMerge/>
            <w:tcBorders>
              <w:left w:val="single" w:sz="4" w:space="0" w:color="000000"/>
              <w:bottom w:val="single" w:sz="4" w:space="0" w:color="000000"/>
              <w:right w:val="single" w:sz="4" w:space="0" w:color="000000"/>
            </w:tcBorders>
          </w:tcPr>
          <w:p>
            <w:pPr/>
          </w:p>
        </w:tc>
        <w:tc>
          <w:tcPr>
            <w:tcW w:w="707"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c>
          <w:tcPr>
            <w:tcW w:w="738" w:type="dxa"/>
            <w:vMerge/>
            <w:tcBorders>
              <w:left w:val="single" w:sz="4" w:space="0" w:color="000000"/>
              <w:bottom w:val="single" w:sz="4" w:space="0" w:color="000000"/>
              <w:right w:val="single" w:sz="4" w:space="0" w:color="000000"/>
            </w:tcBorders>
          </w:tcPr>
          <w:p>
            <w:pPr/>
          </w:p>
        </w:tc>
      </w:tr>
      <w:tr>
        <w:trPr>
          <w:trHeight w:val="283" w:hRule="exact"/>
        </w:trPr>
        <w:tc>
          <w:tcPr>
            <w:tcW w:w="82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2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276" w:hRule="exact"/>
        </w:trPr>
        <w:tc>
          <w:tcPr>
            <w:tcW w:w="826"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二、联</w:t>
            </w:r>
          </w:p>
        </w:tc>
        <w:tc>
          <w:tcPr>
            <w:tcW w:w="756" w:type="dxa"/>
            <w:vMerge w:val="restart"/>
            <w:tcBorders>
              <w:top w:val="single" w:sz="4" w:space="0" w:color="000000"/>
              <w:left w:val="single" w:sz="4" w:space="0" w:color="000000"/>
              <w:right w:val="single" w:sz="4" w:space="0" w:color="000000"/>
            </w:tcBorders>
          </w:tcPr>
          <w:p>
            <w:pPr/>
          </w:p>
        </w:tc>
        <w:tc>
          <w:tcPr>
            <w:tcW w:w="760" w:type="dxa"/>
            <w:vMerge w:val="restart"/>
            <w:tcBorders>
              <w:top w:val="single" w:sz="4" w:space="0" w:color="000000"/>
              <w:left w:val="single" w:sz="4" w:space="0" w:color="000000"/>
              <w:right w:val="single" w:sz="4" w:space="0" w:color="000000"/>
            </w:tcBorders>
          </w:tcPr>
          <w:p>
            <w:pPr/>
          </w:p>
        </w:tc>
        <w:tc>
          <w:tcPr>
            <w:tcW w:w="671" w:type="dxa"/>
            <w:vMerge w:val="restart"/>
            <w:tcBorders>
              <w:top w:val="single" w:sz="4" w:space="0" w:color="000000"/>
              <w:left w:val="single" w:sz="4" w:space="0" w:color="000000"/>
              <w:right w:val="single" w:sz="4" w:space="0" w:color="000000"/>
            </w:tcBorders>
          </w:tcPr>
          <w:p>
            <w:pPr/>
          </w:p>
        </w:tc>
        <w:tc>
          <w:tcPr>
            <w:tcW w:w="786" w:type="dxa"/>
            <w:vMerge w:val="restart"/>
            <w:tcBorders>
              <w:top w:val="single" w:sz="4" w:space="0" w:color="000000"/>
              <w:left w:val="single" w:sz="4" w:space="0" w:color="000000"/>
              <w:right w:val="single" w:sz="4" w:space="0" w:color="000000"/>
            </w:tcBorders>
          </w:tcPr>
          <w:p>
            <w:pPr/>
          </w:p>
        </w:tc>
        <w:tc>
          <w:tcPr>
            <w:tcW w:w="707"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784" w:type="dxa"/>
            <w:vMerge w:val="restart"/>
            <w:tcBorders>
              <w:top w:val="single" w:sz="4" w:space="0" w:color="000000"/>
              <w:left w:val="single" w:sz="4" w:space="0" w:color="000000"/>
              <w:right w:val="single" w:sz="4" w:space="0" w:color="000000"/>
            </w:tcBorders>
          </w:tcPr>
          <w:p>
            <w:pPr/>
          </w:p>
        </w:tc>
        <w:tc>
          <w:tcPr>
            <w:tcW w:w="775" w:type="dxa"/>
            <w:vMerge w:val="restart"/>
            <w:tcBorders>
              <w:top w:val="single" w:sz="4" w:space="0" w:color="000000"/>
              <w:left w:val="single" w:sz="4" w:space="0" w:color="000000"/>
              <w:right w:val="single" w:sz="4" w:space="0" w:color="000000"/>
            </w:tcBorders>
          </w:tcPr>
          <w:p>
            <w:pPr/>
          </w:p>
        </w:tc>
        <w:tc>
          <w:tcPr>
            <w:tcW w:w="756" w:type="dxa"/>
            <w:vMerge w:val="restart"/>
            <w:tcBorders>
              <w:top w:val="single" w:sz="4" w:space="0" w:color="000000"/>
              <w:left w:val="single" w:sz="4" w:space="0" w:color="000000"/>
              <w:right w:val="single" w:sz="4" w:space="0" w:color="000000"/>
            </w:tcBorders>
          </w:tcPr>
          <w:p>
            <w:pPr/>
          </w:p>
        </w:tc>
        <w:tc>
          <w:tcPr>
            <w:tcW w:w="770" w:type="dxa"/>
            <w:vMerge w:val="restart"/>
            <w:tcBorders>
              <w:top w:val="single" w:sz="4" w:space="0" w:color="000000"/>
              <w:left w:val="single" w:sz="4" w:space="0" w:color="000000"/>
              <w:right w:val="single" w:sz="4" w:space="0" w:color="000000"/>
            </w:tcBorders>
          </w:tcPr>
          <w:p>
            <w:pPr/>
          </w:p>
        </w:tc>
        <w:tc>
          <w:tcPr>
            <w:tcW w:w="738" w:type="dxa"/>
            <w:vMerge w:val="restart"/>
            <w:tcBorders>
              <w:top w:val="single" w:sz="4" w:space="0" w:color="000000"/>
              <w:left w:val="single" w:sz="4" w:space="0" w:color="000000"/>
              <w:right w:val="single" w:sz="4" w:space="0" w:color="000000"/>
            </w:tcBorders>
          </w:tcPr>
          <w:p>
            <w:pPr/>
          </w:p>
        </w:tc>
      </w:tr>
      <w:tr>
        <w:trPr>
          <w:trHeight w:val="272" w:hRule="exact"/>
        </w:trPr>
        <w:tc>
          <w:tcPr>
            <w:tcW w:w="8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pacing w:val="83"/>
                <w:sz w:val="21"/>
                <w:szCs w:val="21"/>
              </w:rPr>
              <w:t> </w:t>
            </w:r>
            <w:r>
              <w:rPr>
                <w:rFonts w:ascii="宋体" w:hAnsi="宋体" w:cs="宋体" w:eastAsia="宋体" w:hint="default"/>
                <w:sz w:val="21"/>
                <w:szCs w:val="21"/>
              </w:rPr>
              <w:t>企</w:t>
            </w:r>
          </w:p>
        </w:tc>
        <w:tc>
          <w:tcPr>
            <w:tcW w:w="756" w:type="dxa"/>
            <w:vMerge/>
            <w:tcBorders>
              <w:left w:val="single" w:sz="4" w:space="0" w:color="000000"/>
              <w:right w:val="single" w:sz="4" w:space="0" w:color="000000"/>
            </w:tcBorders>
          </w:tcPr>
          <w:p>
            <w:pPr/>
          </w:p>
        </w:tc>
        <w:tc>
          <w:tcPr>
            <w:tcW w:w="760"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786" w:type="dxa"/>
            <w:vMerge/>
            <w:tcBorders>
              <w:left w:val="single" w:sz="4" w:space="0" w:color="000000"/>
              <w:right w:val="single" w:sz="4" w:space="0" w:color="000000"/>
            </w:tcBorders>
          </w:tcPr>
          <w:p>
            <w:pPr/>
          </w:p>
        </w:tc>
        <w:tc>
          <w:tcPr>
            <w:tcW w:w="70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vMerge/>
            <w:tcBorders>
              <w:left w:val="single" w:sz="4" w:space="0" w:color="000000"/>
              <w:right w:val="single" w:sz="4" w:space="0" w:color="000000"/>
            </w:tcBorders>
          </w:tcPr>
          <w:p>
            <w:pPr/>
          </w:p>
        </w:tc>
        <w:tc>
          <w:tcPr>
            <w:tcW w:w="738" w:type="dxa"/>
            <w:vMerge/>
            <w:tcBorders>
              <w:left w:val="single" w:sz="4" w:space="0" w:color="000000"/>
              <w:right w:val="single" w:sz="4" w:space="0" w:color="000000"/>
            </w:tcBorders>
          </w:tcPr>
          <w:p>
            <w:pPr/>
          </w:p>
        </w:tc>
      </w:tr>
      <w:tr>
        <w:trPr>
          <w:trHeight w:val="279" w:hRule="exact"/>
        </w:trPr>
        <w:tc>
          <w:tcPr>
            <w:tcW w:w="82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w:t>
            </w:r>
          </w:p>
        </w:tc>
        <w:tc>
          <w:tcPr>
            <w:tcW w:w="756" w:type="dxa"/>
            <w:vMerge/>
            <w:tcBorders>
              <w:left w:val="single" w:sz="4" w:space="0" w:color="000000"/>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671" w:type="dxa"/>
            <w:vMerge/>
            <w:tcBorders>
              <w:left w:val="single" w:sz="4" w:space="0" w:color="000000"/>
              <w:bottom w:val="single" w:sz="4" w:space="0" w:color="000000"/>
              <w:right w:val="single" w:sz="4" w:space="0" w:color="000000"/>
            </w:tcBorders>
          </w:tcPr>
          <w:p>
            <w:pPr/>
          </w:p>
        </w:tc>
        <w:tc>
          <w:tcPr>
            <w:tcW w:w="786" w:type="dxa"/>
            <w:vMerge/>
            <w:tcBorders>
              <w:left w:val="single" w:sz="4" w:space="0" w:color="000000"/>
              <w:bottom w:val="single" w:sz="4" w:space="0" w:color="000000"/>
              <w:right w:val="single" w:sz="4" w:space="0" w:color="000000"/>
            </w:tcBorders>
          </w:tcPr>
          <w:p>
            <w:pPr/>
          </w:p>
        </w:tc>
        <w:tc>
          <w:tcPr>
            <w:tcW w:w="707"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c>
          <w:tcPr>
            <w:tcW w:w="738" w:type="dxa"/>
            <w:vMerge/>
            <w:tcBorders>
              <w:left w:val="single" w:sz="4" w:space="0" w:color="000000"/>
              <w:bottom w:val="single" w:sz="4" w:space="0" w:color="000000"/>
              <w:right w:val="single" w:sz="4" w:space="0" w:color="000000"/>
            </w:tcBorders>
          </w:tcPr>
          <w:p>
            <w:pPr/>
          </w:p>
        </w:tc>
      </w:tr>
      <w:tr>
        <w:trPr>
          <w:trHeight w:val="277" w:hRule="exact"/>
        </w:trPr>
        <w:tc>
          <w:tcPr>
            <w:tcW w:w="826"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83"/>
                <w:sz w:val="21"/>
                <w:szCs w:val="21"/>
              </w:rPr>
              <w:t> </w:t>
            </w:r>
            <w:r>
              <w:rPr>
                <w:rFonts w:ascii="宋体" w:hAnsi="宋体" w:cs="宋体" w:eastAsia="宋体" w:hint="default"/>
                <w:sz w:val="21"/>
                <w:szCs w:val="21"/>
              </w:rPr>
              <w:t>圳</w:t>
            </w:r>
          </w:p>
        </w:tc>
        <w:tc>
          <w:tcPr>
            <w:tcW w:w="756"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8,913</w:t>
            </w:r>
          </w:p>
        </w:tc>
        <w:tc>
          <w:tcPr>
            <w:tcW w:w="760" w:type="dxa"/>
            <w:vMerge w:val="restart"/>
            <w:tcBorders>
              <w:top w:val="single" w:sz="4" w:space="0" w:color="000000"/>
              <w:left w:val="single" w:sz="4" w:space="0" w:color="000000"/>
              <w:right w:val="single" w:sz="4" w:space="0" w:color="000000"/>
            </w:tcBorders>
          </w:tcPr>
          <w:p>
            <w:pPr/>
          </w:p>
        </w:tc>
        <w:tc>
          <w:tcPr>
            <w:tcW w:w="671" w:type="dxa"/>
            <w:vMerge w:val="restart"/>
            <w:tcBorders>
              <w:top w:val="single" w:sz="4" w:space="0" w:color="000000"/>
              <w:left w:val="single" w:sz="4" w:space="0" w:color="000000"/>
              <w:right w:val="single" w:sz="4" w:space="0" w:color="000000"/>
            </w:tcBorders>
          </w:tcPr>
          <w:p>
            <w:pPr/>
          </w:p>
        </w:tc>
        <w:tc>
          <w:tcPr>
            <w:tcW w:w="786"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47" w:right="0"/>
              <w:jc w:val="left"/>
              <w:rPr>
                <w:rFonts w:ascii="宋体" w:hAnsi="宋体" w:cs="宋体" w:eastAsia="宋体" w:hint="default"/>
                <w:sz w:val="21"/>
                <w:szCs w:val="21"/>
              </w:rPr>
            </w:pPr>
            <w:r>
              <w:rPr>
                <w:rFonts w:ascii="宋体"/>
                <w:sz w:val="21"/>
              </w:rPr>
              <w:t>-2,48</w:t>
            </w:r>
          </w:p>
        </w:tc>
        <w:tc>
          <w:tcPr>
            <w:tcW w:w="707"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784" w:type="dxa"/>
            <w:vMerge w:val="restart"/>
            <w:tcBorders>
              <w:top w:val="single" w:sz="4" w:space="0" w:color="000000"/>
              <w:left w:val="single" w:sz="4" w:space="0" w:color="000000"/>
              <w:right w:val="single" w:sz="4" w:space="0" w:color="000000"/>
            </w:tcBorders>
          </w:tcPr>
          <w:p>
            <w:pPr/>
          </w:p>
        </w:tc>
        <w:tc>
          <w:tcPr>
            <w:tcW w:w="775" w:type="dxa"/>
            <w:vMerge w:val="restart"/>
            <w:tcBorders>
              <w:top w:val="single" w:sz="4" w:space="0" w:color="000000"/>
              <w:left w:val="single" w:sz="4" w:space="0" w:color="000000"/>
              <w:right w:val="single" w:sz="4" w:space="0" w:color="000000"/>
            </w:tcBorders>
          </w:tcPr>
          <w:p>
            <w:pPr/>
          </w:p>
        </w:tc>
        <w:tc>
          <w:tcPr>
            <w:tcW w:w="756" w:type="dxa"/>
            <w:vMerge w:val="restart"/>
            <w:tcBorders>
              <w:top w:val="single" w:sz="4" w:space="0" w:color="000000"/>
              <w:left w:val="single" w:sz="4" w:space="0" w:color="000000"/>
              <w:right w:val="single" w:sz="4" w:space="0" w:color="000000"/>
            </w:tcBorders>
          </w:tcPr>
          <w:p>
            <w:pPr/>
          </w:p>
        </w:tc>
        <w:tc>
          <w:tcPr>
            <w:tcW w:w="770"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6,432</w:t>
            </w:r>
            <w:r>
              <w:rPr>
                <w:rFonts w:ascii="宋体"/>
                <w:sz w:val="21"/>
              </w:rPr>
            </w:r>
          </w:p>
        </w:tc>
        <w:tc>
          <w:tcPr>
            <w:tcW w:w="738" w:type="dxa"/>
            <w:vMerge w:val="restart"/>
            <w:tcBorders>
              <w:top w:val="single" w:sz="4" w:space="0" w:color="000000"/>
              <w:left w:val="single" w:sz="4" w:space="0" w:color="000000"/>
              <w:right w:val="single" w:sz="4" w:space="0" w:color="000000"/>
            </w:tcBorders>
          </w:tcPr>
          <w:p>
            <w:pPr/>
          </w:p>
        </w:tc>
      </w:tr>
      <w:tr>
        <w:trPr>
          <w:trHeight w:val="272" w:hRule="exact"/>
        </w:trPr>
        <w:tc>
          <w:tcPr>
            <w:tcW w:w="8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83"/>
                <w:sz w:val="21"/>
                <w:szCs w:val="21"/>
              </w:rPr>
              <w:t> </w:t>
            </w:r>
            <w:r>
              <w:rPr>
                <w:rFonts w:ascii="宋体" w:hAnsi="宋体" w:cs="宋体" w:eastAsia="宋体" w:hint="default"/>
                <w:sz w:val="21"/>
                <w:szCs w:val="21"/>
              </w:rPr>
              <w:t>科</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,133.</w:t>
            </w:r>
          </w:p>
        </w:tc>
        <w:tc>
          <w:tcPr>
            <w:tcW w:w="760"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47" w:right="0"/>
              <w:jc w:val="left"/>
              <w:rPr>
                <w:rFonts w:ascii="宋体" w:hAnsi="宋体" w:cs="宋体" w:eastAsia="宋体" w:hint="default"/>
                <w:sz w:val="21"/>
                <w:szCs w:val="21"/>
              </w:rPr>
            </w:pPr>
            <w:r>
              <w:rPr>
                <w:rFonts w:ascii="宋体"/>
                <w:sz w:val="21"/>
              </w:rPr>
              <w:t>0,660</w:t>
            </w:r>
          </w:p>
        </w:tc>
        <w:tc>
          <w:tcPr>
            <w:tcW w:w="70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,472.</w:t>
            </w:r>
          </w:p>
        </w:tc>
        <w:tc>
          <w:tcPr>
            <w:tcW w:w="738" w:type="dxa"/>
            <w:vMerge/>
            <w:tcBorders>
              <w:left w:val="single" w:sz="4" w:space="0" w:color="000000"/>
              <w:right w:val="single" w:sz="4" w:space="0" w:color="000000"/>
            </w:tcBorders>
          </w:tcPr>
          <w:p>
            <w:pPr/>
          </w:p>
        </w:tc>
      </w:tr>
      <w:tr>
        <w:trPr>
          <w:trHeight w:val="272" w:hRule="exact"/>
        </w:trPr>
        <w:tc>
          <w:tcPr>
            <w:tcW w:w="8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83"/>
                <w:sz w:val="21"/>
                <w:szCs w:val="21"/>
              </w:rPr>
              <w:t> </w:t>
            </w:r>
            <w:r>
              <w:rPr>
                <w:rFonts w:ascii="宋体" w:hAnsi="宋体" w:cs="宋体" w:eastAsia="宋体" w:hint="default"/>
                <w:sz w:val="21"/>
                <w:szCs w:val="21"/>
              </w:rPr>
              <w:t>证</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w:t>
            </w:r>
          </w:p>
        </w:tc>
        <w:tc>
          <w:tcPr>
            <w:tcW w:w="760"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w:t>
            </w:r>
          </w:p>
        </w:tc>
        <w:tc>
          <w:tcPr>
            <w:tcW w:w="70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66</w:t>
            </w:r>
          </w:p>
        </w:tc>
        <w:tc>
          <w:tcPr>
            <w:tcW w:w="738" w:type="dxa"/>
            <w:vMerge/>
            <w:tcBorders>
              <w:left w:val="single" w:sz="4" w:space="0" w:color="000000"/>
              <w:right w:val="single" w:sz="4" w:space="0" w:color="000000"/>
            </w:tcBorders>
          </w:tcPr>
          <w:p>
            <w:pPr/>
          </w:p>
        </w:tc>
      </w:tr>
      <w:tr>
        <w:trPr>
          <w:trHeight w:val="272" w:hRule="exact"/>
        </w:trPr>
        <w:tc>
          <w:tcPr>
            <w:tcW w:w="8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83"/>
                <w:sz w:val="21"/>
                <w:szCs w:val="21"/>
              </w:rPr>
              <w:t> </w:t>
            </w:r>
            <w:r>
              <w:rPr>
                <w:rFonts w:ascii="宋体" w:hAnsi="宋体" w:cs="宋体" w:eastAsia="宋体" w:hint="default"/>
                <w:sz w:val="21"/>
                <w:szCs w:val="21"/>
              </w:rPr>
              <w:t>技</w:t>
            </w:r>
          </w:p>
        </w:tc>
        <w:tc>
          <w:tcPr>
            <w:tcW w:w="756" w:type="dxa"/>
            <w:tcBorders>
              <w:top w:val="nil" w:sz="6" w:space="0" w:color="auto"/>
              <w:left w:val="single" w:sz="4" w:space="0" w:color="000000"/>
              <w:bottom w:val="nil" w:sz="6" w:space="0" w:color="auto"/>
              <w:right w:val="single" w:sz="4" w:space="0" w:color="000000"/>
            </w:tcBorders>
          </w:tcPr>
          <w:p>
            <w:pPr/>
          </w:p>
        </w:tc>
        <w:tc>
          <w:tcPr>
            <w:tcW w:w="760"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
        </w:tc>
        <w:tc>
          <w:tcPr>
            <w:tcW w:w="70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738" w:type="dxa"/>
            <w:vMerge/>
            <w:tcBorders>
              <w:left w:val="single" w:sz="4" w:space="0" w:color="000000"/>
              <w:right w:val="single" w:sz="4" w:space="0" w:color="000000"/>
            </w:tcBorders>
          </w:tcPr>
          <w:p>
            <w:pPr/>
          </w:p>
        </w:tc>
      </w:tr>
      <w:tr>
        <w:trPr>
          <w:trHeight w:val="272" w:hRule="exact"/>
        </w:trPr>
        <w:tc>
          <w:tcPr>
            <w:tcW w:w="8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3"/>
                <w:sz w:val="21"/>
                <w:szCs w:val="21"/>
              </w:rPr>
              <w:t> </w:t>
            </w:r>
            <w:r>
              <w:rPr>
                <w:rFonts w:ascii="宋体" w:hAnsi="宋体" w:cs="宋体" w:eastAsia="宋体" w:hint="default"/>
                <w:sz w:val="21"/>
                <w:szCs w:val="21"/>
              </w:rPr>
              <w:t>限</w:t>
            </w:r>
          </w:p>
        </w:tc>
        <w:tc>
          <w:tcPr>
            <w:tcW w:w="756" w:type="dxa"/>
            <w:tcBorders>
              <w:top w:val="nil" w:sz="6" w:space="0" w:color="auto"/>
              <w:left w:val="single" w:sz="4" w:space="0" w:color="000000"/>
              <w:bottom w:val="nil" w:sz="6" w:space="0" w:color="auto"/>
              <w:right w:val="single" w:sz="4" w:space="0" w:color="000000"/>
            </w:tcBorders>
          </w:tcPr>
          <w:p>
            <w:pPr/>
          </w:p>
        </w:tc>
        <w:tc>
          <w:tcPr>
            <w:tcW w:w="760"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
        </w:tc>
        <w:tc>
          <w:tcPr>
            <w:tcW w:w="70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738" w:type="dxa"/>
            <w:vMerge/>
            <w:tcBorders>
              <w:left w:val="single" w:sz="4" w:space="0" w:color="000000"/>
              <w:right w:val="single" w:sz="4" w:space="0" w:color="000000"/>
            </w:tcBorders>
          </w:tcPr>
          <w:p>
            <w:pPr/>
          </w:p>
        </w:tc>
      </w:tr>
      <w:tr>
        <w:trPr>
          <w:trHeight w:val="279" w:hRule="exact"/>
        </w:trPr>
        <w:tc>
          <w:tcPr>
            <w:tcW w:w="82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56" w:type="dxa"/>
            <w:tcBorders>
              <w:top w:val="nil" w:sz="6" w:space="0" w:color="auto"/>
              <w:left w:val="single" w:sz="4" w:space="0" w:color="000000"/>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671" w:type="dxa"/>
            <w:vMerge/>
            <w:tcBorders>
              <w:left w:val="single" w:sz="4" w:space="0" w:color="000000"/>
              <w:bottom w:val="single" w:sz="4" w:space="0" w:color="000000"/>
              <w:right w:val="single" w:sz="4" w:space="0" w:color="000000"/>
            </w:tcBorders>
          </w:tcPr>
          <w:p>
            <w:pPr/>
          </w:p>
        </w:tc>
        <w:tc>
          <w:tcPr>
            <w:tcW w:w="786" w:type="dxa"/>
            <w:tcBorders>
              <w:top w:val="nil" w:sz="6" w:space="0" w:color="auto"/>
              <w:left w:val="single" w:sz="4" w:space="0" w:color="000000"/>
              <w:bottom w:val="single" w:sz="4" w:space="0" w:color="000000"/>
              <w:right w:val="single" w:sz="4" w:space="0" w:color="000000"/>
            </w:tcBorders>
          </w:tcPr>
          <w:p>
            <w:pPr/>
          </w:p>
        </w:tc>
        <w:tc>
          <w:tcPr>
            <w:tcW w:w="707"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70" w:type="dxa"/>
            <w:tcBorders>
              <w:top w:val="nil" w:sz="6" w:space="0" w:color="auto"/>
              <w:left w:val="single" w:sz="4" w:space="0" w:color="000000"/>
              <w:bottom w:val="single" w:sz="4" w:space="0" w:color="000000"/>
              <w:right w:val="single" w:sz="4" w:space="0" w:color="000000"/>
            </w:tcBorders>
          </w:tcPr>
          <w:p>
            <w:pPr/>
          </w:p>
        </w:tc>
        <w:tc>
          <w:tcPr>
            <w:tcW w:w="738" w:type="dxa"/>
            <w:vMerge/>
            <w:tcBorders>
              <w:left w:val="single" w:sz="4" w:space="0" w:color="000000"/>
              <w:bottom w:val="single" w:sz="4" w:space="0" w:color="000000"/>
              <w:right w:val="single" w:sz="4" w:space="0" w:color="000000"/>
            </w:tcBorders>
          </w:tcPr>
          <w:p>
            <w:pPr/>
          </w:p>
        </w:tc>
      </w:tr>
      <w:tr>
        <w:trPr>
          <w:trHeight w:val="277" w:hRule="exact"/>
        </w:trPr>
        <w:tc>
          <w:tcPr>
            <w:tcW w:w="826"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83"/>
                <w:sz w:val="21"/>
                <w:szCs w:val="21"/>
              </w:rPr>
              <w:t> </w:t>
            </w:r>
            <w:r>
              <w:rPr>
                <w:rFonts w:ascii="宋体" w:hAnsi="宋体" w:cs="宋体" w:eastAsia="宋体" w:hint="default"/>
                <w:sz w:val="21"/>
                <w:szCs w:val="21"/>
              </w:rPr>
              <w:t>圳</w:t>
            </w:r>
          </w:p>
        </w:tc>
        <w:tc>
          <w:tcPr>
            <w:tcW w:w="756"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6,017</w:t>
            </w:r>
          </w:p>
        </w:tc>
        <w:tc>
          <w:tcPr>
            <w:tcW w:w="760" w:type="dxa"/>
            <w:vMerge w:val="restart"/>
            <w:tcBorders>
              <w:top w:val="single" w:sz="4" w:space="0" w:color="000000"/>
              <w:left w:val="single" w:sz="4" w:space="0" w:color="000000"/>
              <w:right w:val="single" w:sz="4" w:space="0" w:color="000000"/>
            </w:tcBorders>
          </w:tcPr>
          <w:p>
            <w:pPr/>
          </w:p>
        </w:tc>
        <w:tc>
          <w:tcPr>
            <w:tcW w:w="671" w:type="dxa"/>
            <w:vMerge w:val="restart"/>
            <w:tcBorders>
              <w:top w:val="single" w:sz="4" w:space="0" w:color="000000"/>
              <w:left w:val="single" w:sz="4" w:space="0" w:color="000000"/>
              <w:right w:val="single" w:sz="4" w:space="0" w:color="000000"/>
            </w:tcBorders>
          </w:tcPr>
          <w:p>
            <w:pPr/>
          </w:p>
        </w:tc>
        <w:tc>
          <w:tcPr>
            <w:tcW w:w="786"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47" w:right="0"/>
              <w:jc w:val="left"/>
              <w:rPr>
                <w:rFonts w:ascii="宋体" w:hAnsi="宋体" w:cs="宋体" w:eastAsia="宋体" w:hint="default"/>
                <w:sz w:val="21"/>
                <w:szCs w:val="21"/>
              </w:rPr>
            </w:pPr>
            <w:r>
              <w:rPr>
                <w:rFonts w:ascii="宋体"/>
                <w:sz w:val="21"/>
              </w:rPr>
              <w:t>-749,</w:t>
            </w:r>
          </w:p>
        </w:tc>
        <w:tc>
          <w:tcPr>
            <w:tcW w:w="707"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784" w:type="dxa"/>
            <w:vMerge w:val="restart"/>
            <w:tcBorders>
              <w:top w:val="single" w:sz="4" w:space="0" w:color="000000"/>
              <w:left w:val="single" w:sz="4" w:space="0" w:color="000000"/>
              <w:right w:val="single" w:sz="4" w:space="0" w:color="000000"/>
            </w:tcBorders>
          </w:tcPr>
          <w:p>
            <w:pPr/>
          </w:p>
        </w:tc>
        <w:tc>
          <w:tcPr>
            <w:tcW w:w="775" w:type="dxa"/>
            <w:vMerge w:val="restart"/>
            <w:tcBorders>
              <w:top w:val="single" w:sz="4" w:space="0" w:color="000000"/>
              <w:left w:val="single" w:sz="4" w:space="0" w:color="000000"/>
              <w:right w:val="single" w:sz="4" w:space="0" w:color="000000"/>
            </w:tcBorders>
          </w:tcPr>
          <w:p>
            <w:pPr/>
          </w:p>
        </w:tc>
        <w:tc>
          <w:tcPr>
            <w:tcW w:w="756" w:type="dxa"/>
            <w:vMerge w:val="restart"/>
            <w:tcBorders>
              <w:top w:val="single" w:sz="4" w:space="0" w:color="000000"/>
              <w:left w:val="single" w:sz="4" w:space="0" w:color="000000"/>
              <w:right w:val="single" w:sz="4" w:space="0" w:color="000000"/>
            </w:tcBorders>
          </w:tcPr>
          <w:p>
            <w:pPr/>
          </w:p>
        </w:tc>
        <w:tc>
          <w:tcPr>
            <w:tcW w:w="770"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5,267</w:t>
            </w:r>
            <w:r>
              <w:rPr>
                <w:rFonts w:ascii="宋体"/>
                <w:sz w:val="21"/>
              </w:rPr>
            </w:r>
          </w:p>
        </w:tc>
        <w:tc>
          <w:tcPr>
            <w:tcW w:w="738" w:type="dxa"/>
            <w:vMerge w:val="restart"/>
            <w:tcBorders>
              <w:top w:val="single" w:sz="4" w:space="0" w:color="000000"/>
              <w:left w:val="single" w:sz="4" w:space="0" w:color="000000"/>
              <w:right w:val="single" w:sz="4" w:space="0" w:color="000000"/>
            </w:tcBorders>
          </w:tcPr>
          <w:p>
            <w:pPr/>
          </w:p>
        </w:tc>
      </w:tr>
      <w:tr>
        <w:trPr>
          <w:trHeight w:val="272" w:hRule="exact"/>
        </w:trPr>
        <w:tc>
          <w:tcPr>
            <w:tcW w:w="8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83"/>
                <w:sz w:val="21"/>
                <w:szCs w:val="21"/>
              </w:rPr>
              <w:t> </w:t>
            </w:r>
            <w:r>
              <w:rPr>
                <w:rFonts w:ascii="宋体" w:hAnsi="宋体" w:cs="宋体" w:eastAsia="宋体" w:hint="default"/>
                <w:sz w:val="21"/>
                <w:szCs w:val="21"/>
              </w:rPr>
              <w:t>金</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,165.</w:t>
            </w:r>
          </w:p>
        </w:tc>
        <w:tc>
          <w:tcPr>
            <w:tcW w:w="760"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47" w:right="0"/>
              <w:jc w:val="left"/>
              <w:rPr>
                <w:rFonts w:ascii="宋体" w:hAnsi="宋体" w:cs="宋体" w:eastAsia="宋体" w:hint="default"/>
                <w:sz w:val="21"/>
                <w:szCs w:val="21"/>
              </w:rPr>
            </w:pPr>
            <w:r>
              <w:rPr>
                <w:rFonts w:ascii="宋体"/>
                <w:sz w:val="21"/>
              </w:rPr>
              <w:t>800.8</w:t>
            </w:r>
          </w:p>
        </w:tc>
        <w:tc>
          <w:tcPr>
            <w:tcW w:w="70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,364.</w:t>
            </w:r>
          </w:p>
        </w:tc>
        <w:tc>
          <w:tcPr>
            <w:tcW w:w="738" w:type="dxa"/>
            <w:vMerge/>
            <w:tcBorders>
              <w:left w:val="single" w:sz="4" w:space="0" w:color="000000"/>
              <w:right w:val="single" w:sz="4" w:space="0" w:color="000000"/>
            </w:tcBorders>
          </w:tcPr>
          <w:p>
            <w:pPr/>
          </w:p>
        </w:tc>
      </w:tr>
      <w:tr>
        <w:trPr>
          <w:trHeight w:val="272" w:hRule="exact"/>
        </w:trPr>
        <w:tc>
          <w:tcPr>
            <w:tcW w:w="8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慧</w:t>
            </w:r>
            <w:r>
              <w:rPr>
                <w:rFonts w:ascii="宋体" w:hAnsi="宋体" w:cs="宋体" w:eastAsia="宋体" w:hint="default"/>
                <w:spacing w:val="83"/>
                <w:sz w:val="21"/>
                <w:szCs w:val="21"/>
              </w:rPr>
              <w:t> </w:t>
            </w:r>
            <w:r>
              <w:rPr>
                <w:rFonts w:ascii="宋体" w:hAnsi="宋体" w:cs="宋体" w:eastAsia="宋体" w:hint="default"/>
                <w:sz w:val="21"/>
                <w:szCs w:val="21"/>
              </w:rPr>
              <w:t>盈</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c>
          <w:tcPr>
            <w:tcW w:w="760"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w:t>
            </w:r>
          </w:p>
        </w:tc>
        <w:tc>
          <w:tcPr>
            <w:tcW w:w="70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38</w:t>
            </w:r>
          </w:p>
        </w:tc>
        <w:tc>
          <w:tcPr>
            <w:tcW w:w="738" w:type="dxa"/>
            <w:vMerge/>
            <w:tcBorders>
              <w:left w:val="single" w:sz="4" w:space="0" w:color="000000"/>
              <w:right w:val="single" w:sz="4" w:space="0" w:color="000000"/>
            </w:tcBorders>
          </w:tcPr>
          <w:p>
            <w:pPr/>
          </w:p>
        </w:tc>
      </w:tr>
      <w:tr>
        <w:trPr>
          <w:trHeight w:val="272" w:hRule="exact"/>
        </w:trPr>
        <w:tc>
          <w:tcPr>
            <w:tcW w:w="8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w:t>
            </w:r>
            <w:r>
              <w:rPr>
                <w:rFonts w:ascii="宋体" w:hAnsi="宋体" w:cs="宋体" w:eastAsia="宋体" w:hint="default"/>
                <w:spacing w:val="83"/>
                <w:sz w:val="21"/>
                <w:szCs w:val="21"/>
              </w:rPr>
              <w:t> </w:t>
            </w:r>
            <w:r>
              <w:rPr>
                <w:rFonts w:ascii="宋体" w:hAnsi="宋体" w:cs="宋体" w:eastAsia="宋体" w:hint="default"/>
                <w:sz w:val="21"/>
                <w:szCs w:val="21"/>
              </w:rPr>
              <w:t>数</w:t>
            </w:r>
          </w:p>
        </w:tc>
        <w:tc>
          <w:tcPr>
            <w:tcW w:w="756" w:type="dxa"/>
            <w:tcBorders>
              <w:top w:val="nil" w:sz="6" w:space="0" w:color="auto"/>
              <w:left w:val="single" w:sz="4" w:space="0" w:color="000000"/>
              <w:bottom w:val="nil" w:sz="6" w:space="0" w:color="auto"/>
              <w:right w:val="single" w:sz="4" w:space="0" w:color="000000"/>
            </w:tcBorders>
          </w:tcPr>
          <w:p>
            <w:pPr/>
          </w:p>
        </w:tc>
        <w:tc>
          <w:tcPr>
            <w:tcW w:w="760"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
        </w:tc>
        <w:tc>
          <w:tcPr>
            <w:tcW w:w="70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738" w:type="dxa"/>
            <w:vMerge/>
            <w:tcBorders>
              <w:left w:val="single" w:sz="4" w:space="0" w:color="000000"/>
              <w:right w:val="single" w:sz="4" w:space="0" w:color="000000"/>
            </w:tcBorders>
          </w:tcPr>
          <w:p>
            <w:pPr/>
          </w:p>
        </w:tc>
      </w:tr>
      <w:tr>
        <w:trPr>
          <w:trHeight w:val="272" w:hRule="exact"/>
        </w:trPr>
        <w:tc>
          <w:tcPr>
            <w:tcW w:w="8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据</w:t>
            </w:r>
            <w:r>
              <w:rPr>
                <w:rFonts w:ascii="宋体" w:hAnsi="宋体" w:cs="宋体" w:eastAsia="宋体" w:hint="default"/>
                <w:spacing w:val="83"/>
                <w:sz w:val="21"/>
                <w:szCs w:val="21"/>
              </w:rPr>
              <w:t> </w:t>
            </w:r>
            <w:r>
              <w:rPr>
                <w:rFonts w:ascii="宋体" w:hAnsi="宋体" w:cs="宋体" w:eastAsia="宋体" w:hint="default"/>
                <w:sz w:val="21"/>
                <w:szCs w:val="21"/>
              </w:rPr>
              <w:t>服</w:t>
            </w:r>
          </w:p>
        </w:tc>
        <w:tc>
          <w:tcPr>
            <w:tcW w:w="756" w:type="dxa"/>
            <w:tcBorders>
              <w:top w:val="nil" w:sz="6" w:space="0" w:color="auto"/>
              <w:left w:val="single" w:sz="4" w:space="0" w:color="000000"/>
              <w:bottom w:val="nil" w:sz="6" w:space="0" w:color="auto"/>
              <w:right w:val="single" w:sz="4" w:space="0" w:color="000000"/>
            </w:tcBorders>
          </w:tcPr>
          <w:p>
            <w:pPr/>
          </w:p>
        </w:tc>
        <w:tc>
          <w:tcPr>
            <w:tcW w:w="760"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
        </w:tc>
        <w:tc>
          <w:tcPr>
            <w:tcW w:w="70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738" w:type="dxa"/>
            <w:vMerge/>
            <w:tcBorders>
              <w:left w:val="single" w:sz="4" w:space="0" w:color="000000"/>
              <w:right w:val="single" w:sz="4" w:space="0" w:color="000000"/>
            </w:tcBorders>
          </w:tcPr>
          <w:p>
            <w:pPr/>
          </w:p>
        </w:tc>
      </w:tr>
      <w:tr>
        <w:trPr>
          <w:trHeight w:val="272" w:hRule="exact"/>
        </w:trPr>
        <w:tc>
          <w:tcPr>
            <w:tcW w:w="8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pacing w:val="83"/>
                <w:sz w:val="21"/>
                <w:szCs w:val="21"/>
              </w:rPr>
              <w:t> </w:t>
            </w:r>
            <w:r>
              <w:rPr>
                <w:rFonts w:ascii="宋体" w:hAnsi="宋体" w:cs="宋体" w:eastAsia="宋体" w:hint="default"/>
                <w:sz w:val="21"/>
                <w:szCs w:val="21"/>
              </w:rPr>
              <w:t>有</w:t>
            </w:r>
          </w:p>
        </w:tc>
        <w:tc>
          <w:tcPr>
            <w:tcW w:w="756" w:type="dxa"/>
            <w:tcBorders>
              <w:top w:val="nil" w:sz="6" w:space="0" w:color="auto"/>
              <w:left w:val="single" w:sz="4" w:space="0" w:color="000000"/>
              <w:bottom w:val="nil" w:sz="6" w:space="0" w:color="auto"/>
              <w:right w:val="single" w:sz="4" w:space="0" w:color="000000"/>
            </w:tcBorders>
          </w:tcPr>
          <w:p>
            <w:pPr/>
          </w:p>
        </w:tc>
        <w:tc>
          <w:tcPr>
            <w:tcW w:w="760"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
        </w:tc>
        <w:tc>
          <w:tcPr>
            <w:tcW w:w="70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738" w:type="dxa"/>
            <w:vMerge/>
            <w:tcBorders>
              <w:left w:val="single" w:sz="4" w:space="0" w:color="000000"/>
              <w:right w:val="single" w:sz="4" w:space="0" w:color="000000"/>
            </w:tcBorders>
          </w:tcPr>
          <w:p>
            <w:pPr/>
          </w:p>
        </w:tc>
      </w:tr>
      <w:tr>
        <w:trPr>
          <w:trHeight w:val="272" w:hRule="exact"/>
        </w:trPr>
        <w:tc>
          <w:tcPr>
            <w:tcW w:w="8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3"/>
                <w:sz w:val="21"/>
                <w:szCs w:val="21"/>
              </w:rPr>
              <w:t> </w:t>
            </w:r>
            <w:r>
              <w:rPr>
                <w:rFonts w:ascii="宋体" w:hAnsi="宋体" w:cs="宋体" w:eastAsia="宋体" w:hint="default"/>
                <w:sz w:val="21"/>
                <w:szCs w:val="21"/>
              </w:rPr>
              <w:t>公</w:t>
            </w:r>
          </w:p>
        </w:tc>
        <w:tc>
          <w:tcPr>
            <w:tcW w:w="756" w:type="dxa"/>
            <w:tcBorders>
              <w:top w:val="nil" w:sz="6" w:space="0" w:color="auto"/>
              <w:left w:val="single" w:sz="4" w:space="0" w:color="000000"/>
              <w:bottom w:val="nil" w:sz="6" w:space="0" w:color="auto"/>
              <w:right w:val="single" w:sz="4" w:space="0" w:color="000000"/>
            </w:tcBorders>
          </w:tcPr>
          <w:p>
            <w:pPr/>
          </w:p>
        </w:tc>
        <w:tc>
          <w:tcPr>
            <w:tcW w:w="760"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
        </w:tc>
        <w:tc>
          <w:tcPr>
            <w:tcW w:w="70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738" w:type="dxa"/>
            <w:vMerge/>
            <w:tcBorders>
              <w:left w:val="single" w:sz="4" w:space="0" w:color="000000"/>
              <w:right w:val="single" w:sz="4" w:space="0" w:color="000000"/>
            </w:tcBorders>
          </w:tcPr>
          <w:p>
            <w:pPr/>
          </w:p>
        </w:tc>
      </w:tr>
      <w:tr>
        <w:trPr>
          <w:trHeight w:val="279" w:hRule="exact"/>
        </w:trPr>
        <w:tc>
          <w:tcPr>
            <w:tcW w:w="82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56" w:type="dxa"/>
            <w:tcBorders>
              <w:top w:val="nil" w:sz="6" w:space="0" w:color="auto"/>
              <w:left w:val="single" w:sz="4" w:space="0" w:color="000000"/>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671" w:type="dxa"/>
            <w:vMerge/>
            <w:tcBorders>
              <w:left w:val="single" w:sz="4" w:space="0" w:color="000000"/>
              <w:bottom w:val="single" w:sz="4" w:space="0" w:color="000000"/>
              <w:right w:val="single" w:sz="4" w:space="0" w:color="000000"/>
            </w:tcBorders>
          </w:tcPr>
          <w:p>
            <w:pPr/>
          </w:p>
        </w:tc>
        <w:tc>
          <w:tcPr>
            <w:tcW w:w="786" w:type="dxa"/>
            <w:tcBorders>
              <w:top w:val="nil" w:sz="6" w:space="0" w:color="auto"/>
              <w:left w:val="single" w:sz="4" w:space="0" w:color="000000"/>
              <w:bottom w:val="single" w:sz="4" w:space="0" w:color="000000"/>
              <w:right w:val="single" w:sz="4" w:space="0" w:color="000000"/>
            </w:tcBorders>
          </w:tcPr>
          <w:p>
            <w:pPr/>
          </w:p>
        </w:tc>
        <w:tc>
          <w:tcPr>
            <w:tcW w:w="707"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70" w:type="dxa"/>
            <w:tcBorders>
              <w:top w:val="nil" w:sz="6" w:space="0" w:color="auto"/>
              <w:left w:val="single" w:sz="4" w:space="0" w:color="000000"/>
              <w:bottom w:val="single" w:sz="4" w:space="0" w:color="000000"/>
              <w:right w:val="single" w:sz="4" w:space="0" w:color="000000"/>
            </w:tcBorders>
          </w:tcPr>
          <w:p>
            <w:pPr/>
          </w:p>
        </w:tc>
        <w:tc>
          <w:tcPr>
            <w:tcW w:w="738" w:type="dxa"/>
            <w:vMerge/>
            <w:tcBorders>
              <w:left w:val="single" w:sz="4" w:space="0" w:color="000000"/>
              <w:bottom w:val="single" w:sz="4" w:space="0" w:color="000000"/>
              <w:right w:val="single" w:sz="4" w:space="0" w:color="000000"/>
            </w:tcBorders>
          </w:tcPr>
          <w:p>
            <w:pPr/>
          </w:p>
        </w:tc>
      </w:tr>
      <w:tr>
        <w:trPr>
          <w:trHeight w:val="277" w:hRule="exact"/>
        </w:trPr>
        <w:tc>
          <w:tcPr>
            <w:tcW w:w="826"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83"/>
                <w:sz w:val="21"/>
                <w:szCs w:val="21"/>
              </w:rPr>
              <w:t> </w:t>
            </w:r>
            <w:r>
              <w:rPr>
                <w:rFonts w:ascii="宋体" w:hAnsi="宋体" w:cs="宋体" w:eastAsia="宋体" w:hint="default"/>
                <w:sz w:val="21"/>
                <w:szCs w:val="21"/>
              </w:rPr>
              <w:t>圳</w:t>
            </w:r>
          </w:p>
        </w:tc>
        <w:tc>
          <w:tcPr>
            <w:tcW w:w="756" w:type="dxa"/>
            <w:vMerge w:val="restart"/>
            <w:tcBorders>
              <w:top w:val="single" w:sz="4" w:space="0" w:color="000000"/>
              <w:left w:val="single" w:sz="4" w:space="0" w:color="000000"/>
              <w:right w:val="single" w:sz="4" w:space="0" w:color="000000"/>
            </w:tcBorders>
          </w:tcPr>
          <w:p>
            <w:pPr/>
          </w:p>
        </w:tc>
        <w:tc>
          <w:tcPr>
            <w:tcW w:w="760"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3,300</w:t>
            </w:r>
            <w:r>
              <w:rPr>
                <w:rFonts w:ascii="宋体"/>
                <w:sz w:val="21"/>
              </w:rPr>
            </w:r>
          </w:p>
        </w:tc>
        <w:tc>
          <w:tcPr>
            <w:tcW w:w="671" w:type="dxa"/>
            <w:vMerge w:val="restart"/>
            <w:tcBorders>
              <w:top w:val="single" w:sz="4" w:space="0" w:color="000000"/>
              <w:left w:val="single" w:sz="4" w:space="0" w:color="000000"/>
              <w:right w:val="single" w:sz="4" w:space="0" w:color="000000"/>
            </w:tcBorders>
          </w:tcPr>
          <w:p>
            <w:pPr/>
          </w:p>
        </w:tc>
        <w:tc>
          <w:tcPr>
            <w:tcW w:w="786"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47" w:right="0"/>
              <w:jc w:val="left"/>
              <w:rPr>
                <w:rFonts w:ascii="宋体" w:hAnsi="宋体" w:cs="宋体" w:eastAsia="宋体" w:hint="default"/>
                <w:sz w:val="21"/>
                <w:szCs w:val="21"/>
              </w:rPr>
            </w:pPr>
            <w:r>
              <w:rPr>
                <w:rFonts w:ascii="宋体"/>
                <w:sz w:val="21"/>
              </w:rPr>
              <w:t>-177,</w:t>
            </w:r>
          </w:p>
        </w:tc>
        <w:tc>
          <w:tcPr>
            <w:tcW w:w="707"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784" w:type="dxa"/>
            <w:vMerge w:val="restart"/>
            <w:tcBorders>
              <w:top w:val="single" w:sz="4" w:space="0" w:color="000000"/>
              <w:left w:val="single" w:sz="4" w:space="0" w:color="000000"/>
              <w:right w:val="single" w:sz="4" w:space="0" w:color="000000"/>
            </w:tcBorders>
          </w:tcPr>
          <w:p>
            <w:pPr/>
          </w:p>
        </w:tc>
        <w:tc>
          <w:tcPr>
            <w:tcW w:w="775" w:type="dxa"/>
            <w:vMerge w:val="restart"/>
            <w:tcBorders>
              <w:top w:val="single" w:sz="4" w:space="0" w:color="000000"/>
              <w:left w:val="single" w:sz="4" w:space="0" w:color="000000"/>
              <w:right w:val="single" w:sz="4" w:space="0" w:color="000000"/>
            </w:tcBorders>
          </w:tcPr>
          <w:p>
            <w:pPr/>
          </w:p>
        </w:tc>
        <w:tc>
          <w:tcPr>
            <w:tcW w:w="756" w:type="dxa"/>
            <w:vMerge w:val="restart"/>
            <w:tcBorders>
              <w:top w:val="single" w:sz="4" w:space="0" w:color="000000"/>
              <w:left w:val="single" w:sz="4" w:space="0" w:color="000000"/>
              <w:right w:val="single" w:sz="4" w:space="0" w:color="000000"/>
            </w:tcBorders>
          </w:tcPr>
          <w:p>
            <w:pPr/>
          </w:p>
        </w:tc>
        <w:tc>
          <w:tcPr>
            <w:tcW w:w="770"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3,122</w:t>
            </w:r>
            <w:r>
              <w:rPr>
                <w:rFonts w:ascii="宋体"/>
                <w:sz w:val="21"/>
              </w:rPr>
            </w:r>
          </w:p>
        </w:tc>
        <w:tc>
          <w:tcPr>
            <w:tcW w:w="738" w:type="dxa"/>
            <w:vMerge w:val="restart"/>
            <w:tcBorders>
              <w:top w:val="single" w:sz="4" w:space="0" w:color="000000"/>
              <w:left w:val="single" w:sz="4" w:space="0" w:color="000000"/>
              <w:right w:val="single" w:sz="4" w:space="0" w:color="000000"/>
            </w:tcBorders>
          </w:tcPr>
          <w:p>
            <w:pPr/>
          </w:p>
        </w:tc>
      </w:tr>
      <w:tr>
        <w:trPr>
          <w:trHeight w:val="272" w:hRule="exact"/>
        </w:trPr>
        <w:tc>
          <w:tcPr>
            <w:tcW w:w="8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83"/>
                <w:sz w:val="21"/>
                <w:szCs w:val="21"/>
              </w:rPr>
              <w:t> </w:t>
            </w:r>
            <w:r>
              <w:rPr>
                <w:rFonts w:ascii="宋体" w:hAnsi="宋体" w:cs="宋体" w:eastAsia="宋体" w:hint="default"/>
                <w:sz w:val="21"/>
                <w:szCs w:val="21"/>
              </w:rPr>
              <w:t>丽</w:t>
            </w:r>
          </w:p>
        </w:tc>
        <w:tc>
          <w:tcPr>
            <w:tcW w:w="756" w:type="dxa"/>
            <w:vMerge/>
            <w:tcBorders>
              <w:left w:val="single" w:sz="4" w:space="0" w:color="000000"/>
              <w:right w:val="single" w:sz="4" w:space="0" w:color="000000"/>
            </w:tcBorders>
          </w:tcPr>
          <w:p>
            <w:pPr/>
          </w:p>
        </w:tc>
        <w:tc>
          <w:tcPr>
            <w:tcW w:w="76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,000.</w:t>
            </w:r>
          </w:p>
        </w:tc>
        <w:tc>
          <w:tcPr>
            <w:tcW w:w="671" w:type="dxa"/>
            <w:vMerge/>
            <w:tcBorders>
              <w:left w:val="single" w:sz="4" w:space="0" w:color="000000"/>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47" w:right="0"/>
              <w:jc w:val="left"/>
              <w:rPr>
                <w:rFonts w:ascii="宋体" w:hAnsi="宋体" w:cs="宋体" w:eastAsia="宋体" w:hint="default"/>
                <w:sz w:val="21"/>
                <w:szCs w:val="21"/>
              </w:rPr>
            </w:pPr>
            <w:r>
              <w:rPr>
                <w:rFonts w:ascii="宋体"/>
                <w:sz w:val="21"/>
              </w:rPr>
              <w:t>604.7</w:t>
            </w:r>
          </w:p>
        </w:tc>
        <w:tc>
          <w:tcPr>
            <w:tcW w:w="70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,395.</w:t>
            </w:r>
          </w:p>
        </w:tc>
        <w:tc>
          <w:tcPr>
            <w:tcW w:w="738" w:type="dxa"/>
            <w:vMerge/>
            <w:tcBorders>
              <w:left w:val="single" w:sz="4" w:space="0" w:color="000000"/>
              <w:right w:val="single" w:sz="4" w:space="0" w:color="000000"/>
            </w:tcBorders>
          </w:tcPr>
          <w:p>
            <w:pPr/>
          </w:p>
        </w:tc>
      </w:tr>
      <w:tr>
        <w:trPr>
          <w:trHeight w:val="272" w:hRule="exact"/>
        </w:trPr>
        <w:tc>
          <w:tcPr>
            <w:tcW w:w="8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pacing w:val="83"/>
                <w:sz w:val="21"/>
                <w:szCs w:val="21"/>
              </w:rPr>
              <w:t> </w:t>
            </w:r>
            <w:r>
              <w:rPr>
                <w:rFonts w:ascii="宋体" w:hAnsi="宋体" w:cs="宋体" w:eastAsia="宋体" w:hint="default"/>
                <w:sz w:val="21"/>
                <w:szCs w:val="21"/>
              </w:rPr>
              <w:t>弘</w:t>
            </w:r>
          </w:p>
        </w:tc>
        <w:tc>
          <w:tcPr>
            <w:tcW w:w="756" w:type="dxa"/>
            <w:vMerge/>
            <w:tcBorders>
              <w:left w:val="single" w:sz="4" w:space="0" w:color="000000"/>
              <w:right w:val="single" w:sz="4" w:space="0" w:color="000000"/>
            </w:tcBorders>
          </w:tcPr>
          <w:p>
            <w:pPr/>
          </w:p>
        </w:tc>
        <w:tc>
          <w:tcPr>
            <w:tcW w:w="76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w:t>
            </w:r>
          </w:p>
        </w:tc>
        <w:tc>
          <w:tcPr>
            <w:tcW w:w="671" w:type="dxa"/>
            <w:vMerge/>
            <w:tcBorders>
              <w:left w:val="single" w:sz="4" w:space="0" w:color="000000"/>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w:t>
            </w:r>
          </w:p>
        </w:tc>
        <w:tc>
          <w:tcPr>
            <w:tcW w:w="70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w:t>
            </w:r>
          </w:p>
        </w:tc>
        <w:tc>
          <w:tcPr>
            <w:tcW w:w="738" w:type="dxa"/>
            <w:vMerge/>
            <w:tcBorders>
              <w:left w:val="single" w:sz="4" w:space="0" w:color="000000"/>
              <w:right w:val="single" w:sz="4" w:space="0" w:color="000000"/>
            </w:tcBorders>
          </w:tcPr>
          <w:p>
            <w:pPr/>
          </w:p>
        </w:tc>
      </w:tr>
      <w:tr>
        <w:trPr>
          <w:trHeight w:val="272" w:hRule="exact"/>
        </w:trPr>
        <w:tc>
          <w:tcPr>
            <w:tcW w:w="8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83"/>
                <w:sz w:val="21"/>
                <w:szCs w:val="21"/>
              </w:rPr>
              <w:t> </w:t>
            </w:r>
            <w:r>
              <w:rPr>
                <w:rFonts w:ascii="宋体" w:hAnsi="宋体" w:cs="宋体" w:eastAsia="宋体" w:hint="default"/>
                <w:sz w:val="21"/>
                <w:szCs w:val="21"/>
              </w:rPr>
              <w:t>科</w:t>
            </w:r>
          </w:p>
        </w:tc>
        <w:tc>
          <w:tcPr>
            <w:tcW w:w="756" w:type="dxa"/>
            <w:vMerge/>
            <w:tcBorders>
              <w:left w:val="single" w:sz="4" w:space="0" w:color="000000"/>
              <w:right w:val="single" w:sz="4" w:space="0" w:color="000000"/>
            </w:tcBorders>
          </w:tcPr>
          <w:p>
            <w:pPr/>
          </w:p>
        </w:tc>
        <w:tc>
          <w:tcPr>
            <w:tcW w:w="760" w:type="dxa"/>
            <w:tcBorders>
              <w:top w:val="nil" w:sz="6" w:space="0" w:color="auto"/>
              <w:left w:val="single" w:sz="4" w:space="0" w:color="000000"/>
              <w:bottom w:val="nil" w:sz="6" w:space="0" w:color="auto"/>
              <w:right w:val="single" w:sz="4" w:space="0" w:color="000000"/>
            </w:tcBorders>
          </w:tcPr>
          <w:p>
            <w:pPr/>
          </w:p>
        </w:tc>
        <w:tc>
          <w:tcPr>
            <w:tcW w:w="671" w:type="dxa"/>
            <w:vMerge/>
            <w:tcBorders>
              <w:left w:val="single" w:sz="4" w:space="0" w:color="000000"/>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
        </w:tc>
        <w:tc>
          <w:tcPr>
            <w:tcW w:w="70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738" w:type="dxa"/>
            <w:vMerge/>
            <w:tcBorders>
              <w:left w:val="single" w:sz="4" w:space="0" w:color="000000"/>
              <w:right w:val="single" w:sz="4" w:space="0" w:color="000000"/>
            </w:tcBorders>
          </w:tcPr>
          <w:p>
            <w:pPr/>
          </w:p>
        </w:tc>
      </w:tr>
      <w:tr>
        <w:trPr>
          <w:trHeight w:val="272" w:hRule="exact"/>
        </w:trPr>
        <w:tc>
          <w:tcPr>
            <w:tcW w:w="8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83"/>
                <w:sz w:val="21"/>
                <w:szCs w:val="21"/>
              </w:rPr>
              <w:t> </w:t>
            </w:r>
            <w:r>
              <w:rPr>
                <w:rFonts w:ascii="宋体" w:hAnsi="宋体" w:cs="宋体" w:eastAsia="宋体" w:hint="default"/>
                <w:sz w:val="21"/>
                <w:szCs w:val="21"/>
              </w:rPr>
              <w:t>有</w:t>
            </w:r>
          </w:p>
        </w:tc>
        <w:tc>
          <w:tcPr>
            <w:tcW w:w="756" w:type="dxa"/>
            <w:vMerge/>
            <w:tcBorders>
              <w:left w:val="single" w:sz="4" w:space="0" w:color="000000"/>
              <w:right w:val="single" w:sz="4" w:space="0" w:color="000000"/>
            </w:tcBorders>
          </w:tcPr>
          <w:p>
            <w:pPr/>
          </w:p>
        </w:tc>
        <w:tc>
          <w:tcPr>
            <w:tcW w:w="760" w:type="dxa"/>
            <w:tcBorders>
              <w:top w:val="nil" w:sz="6" w:space="0" w:color="auto"/>
              <w:left w:val="single" w:sz="4" w:space="0" w:color="000000"/>
              <w:bottom w:val="nil" w:sz="6" w:space="0" w:color="auto"/>
              <w:right w:val="single" w:sz="4" w:space="0" w:color="000000"/>
            </w:tcBorders>
          </w:tcPr>
          <w:p>
            <w:pPr/>
          </w:p>
        </w:tc>
        <w:tc>
          <w:tcPr>
            <w:tcW w:w="671" w:type="dxa"/>
            <w:vMerge/>
            <w:tcBorders>
              <w:left w:val="single" w:sz="4" w:space="0" w:color="000000"/>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
        </w:tc>
        <w:tc>
          <w:tcPr>
            <w:tcW w:w="70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738" w:type="dxa"/>
            <w:vMerge/>
            <w:tcBorders>
              <w:left w:val="single" w:sz="4" w:space="0" w:color="000000"/>
              <w:right w:val="single" w:sz="4" w:space="0" w:color="000000"/>
            </w:tcBorders>
          </w:tcPr>
          <w:p>
            <w:pPr/>
          </w:p>
        </w:tc>
      </w:tr>
      <w:tr>
        <w:trPr>
          <w:trHeight w:val="272" w:hRule="exact"/>
        </w:trPr>
        <w:tc>
          <w:tcPr>
            <w:tcW w:w="8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3"/>
                <w:sz w:val="21"/>
                <w:szCs w:val="21"/>
              </w:rPr>
              <w:t> </w:t>
            </w:r>
            <w:r>
              <w:rPr>
                <w:rFonts w:ascii="宋体" w:hAnsi="宋体" w:cs="宋体" w:eastAsia="宋体" w:hint="default"/>
                <w:sz w:val="21"/>
                <w:szCs w:val="21"/>
              </w:rPr>
              <w:t>公</w:t>
            </w:r>
          </w:p>
        </w:tc>
        <w:tc>
          <w:tcPr>
            <w:tcW w:w="756" w:type="dxa"/>
            <w:vMerge/>
            <w:tcBorders>
              <w:left w:val="single" w:sz="4" w:space="0" w:color="000000"/>
              <w:right w:val="single" w:sz="4" w:space="0" w:color="000000"/>
            </w:tcBorders>
          </w:tcPr>
          <w:p>
            <w:pPr/>
          </w:p>
        </w:tc>
        <w:tc>
          <w:tcPr>
            <w:tcW w:w="760" w:type="dxa"/>
            <w:tcBorders>
              <w:top w:val="nil" w:sz="6" w:space="0" w:color="auto"/>
              <w:left w:val="single" w:sz="4" w:space="0" w:color="000000"/>
              <w:bottom w:val="nil" w:sz="6" w:space="0" w:color="auto"/>
              <w:right w:val="single" w:sz="4" w:space="0" w:color="000000"/>
            </w:tcBorders>
          </w:tcPr>
          <w:p>
            <w:pPr/>
          </w:p>
        </w:tc>
        <w:tc>
          <w:tcPr>
            <w:tcW w:w="671" w:type="dxa"/>
            <w:vMerge/>
            <w:tcBorders>
              <w:left w:val="single" w:sz="4" w:space="0" w:color="000000"/>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
        </w:tc>
        <w:tc>
          <w:tcPr>
            <w:tcW w:w="70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738" w:type="dxa"/>
            <w:vMerge/>
            <w:tcBorders>
              <w:left w:val="single" w:sz="4" w:space="0" w:color="000000"/>
              <w:right w:val="single" w:sz="4" w:space="0" w:color="000000"/>
            </w:tcBorders>
          </w:tcPr>
          <w:p>
            <w:pPr/>
          </w:p>
        </w:tc>
      </w:tr>
      <w:tr>
        <w:trPr>
          <w:trHeight w:val="279" w:hRule="exact"/>
        </w:trPr>
        <w:tc>
          <w:tcPr>
            <w:tcW w:w="82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56" w:type="dxa"/>
            <w:vMerge/>
            <w:tcBorders>
              <w:left w:val="single" w:sz="4" w:space="0" w:color="000000"/>
              <w:bottom w:val="single" w:sz="4" w:space="0" w:color="000000"/>
              <w:right w:val="single" w:sz="4" w:space="0" w:color="000000"/>
            </w:tcBorders>
          </w:tcPr>
          <w:p>
            <w:pPr/>
          </w:p>
        </w:tc>
        <w:tc>
          <w:tcPr>
            <w:tcW w:w="760" w:type="dxa"/>
            <w:tcBorders>
              <w:top w:val="nil" w:sz="6" w:space="0" w:color="auto"/>
              <w:left w:val="single" w:sz="4" w:space="0" w:color="000000"/>
              <w:bottom w:val="single" w:sz="4" w:space="0" w:color="000000"/>
              <w:right w:val="single" w:sz="4" w:space="0" w:color="000000"/>
            </w:tcBorders>
          </w:tcPr>
          <w:p>
            <w:pPr/>
          </w:p>
        </w:tc>
        <w:tc>
          <w:tcPr>
            <w:tcW w:w="671" w:type="dxa"/>
            <w:vMerge/>
            <w:tcBorders>
              <w:left w:val="single" w:sz="4" w:space="0" w:color="000000"/>
              <w:bottom w:val="single" w:sz="4" w:space="0" w:color="000000"/>
              <w:right w:val="single" w:sz="4" w:space="0" w:color="000000"/>
            </w:tcBorders>
          </w:tcPr>
          <w:p>
            <w:pPr/>
          </w:p>
        </w:tc>
        <w:tc>
          <w:tcPr>
            <w:tcW w:w="786" w:type="dxa"/>
            <w:tcBorders>
              <w:top w:val="nil" w:sz="6" w:space="0" w:color="auto"/>
              <w:left w:val="single" w:sz="4" w:space="0" w:color="000000"/>
              <w:bottom w:val="single" w:sz="4" w:space="0" w:color="000000"/>
              <w:right w:val="single" w:sz="4" w:space="0" w:color="000000"/>
            </w:tcBorders>
          </w:tcPr>
          <w:p>
            <w:pPr/>
          </w:p>
        </w:tc>
        <w:tc>
          <w:tcPr>
            <w:tcW w:w="707"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70" w:type="dxa"/>
            <w:tcBorders>
              <w:top w:val="nil" w:sz="6" w:space="0" w:color="auto"/>
              <w:left w:val="single" w:sz="4" w:space="0" w:color="000000"/>
              <w:bottom w:val="single" w:sz="4" w:space="0" w:color="000000"/>
              <w:right w:val="single" w:sz="4" w:space="0" w:color="000000"/>
            </w:tcBorders>
          </w:tcPr>
          <w:p>
            <w:pPr/>
          </w:p>
        </w:tc>
        <w:tc>
          <w:tcPr>
            <w:tcW w:w="738" w:type="dxa"/>
            <w:vMerge/>
            <w:tcBorders>
              <w:left w:val="single" w:sz="4" w:space="0" w:color="000000"/>
              <w:bottom w:val="single" w:sz="4" w:space="0" w:color="000000"/>
              <w:right w:val="single" w:sz="4" w:space="0" w:color="000000"/>
            </w:tcBorders>
          </w:tcPr>
          <w:p>
            <w:pPr/>
          </w:p>
        </w:tc>
      </w:tr>
      <w:tr>
        <w:trPr>
          <w:trHeight w:val="277" w:hRule="exact"/>
        </w:trPr>
        <w:tc>
          <w:tcPr>
            <w:tcW w:w="826"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贵</w:t>
            </w:r>
            <w:r>
              <w:rPr>
                <w:rFonts w:ascii="宋体" w:hAnsi="宋体" w:cs="宋体" w:eastAsia="宋体" w:hint="default"/>
                <w:spacing w:val="83"/>
                <w:sz w:val="21"/>
                <w:szCs w:val="21"/>
              </w:rPr>
              <w:t> </w:t>
            </w:r>
            <w:r>
              <w:rPr>
                <w:rFonts w:ascii="宋体" w:hAnsi="宋体" w:cs="宋体" w:eastAsia="宋体" w:hint="default"/>
                <w:sz w:val="21"/>
                <w:szCs w:val="21"/>
              </w:rPr>
              <w:t>州</w:t>
            </w:r>
          </w:p>
        </w:tc>
        <w:tc>
          <w:tcPr>
            <w:tcW w:w="756" w:type="dxa"/>
            <w:vMerge w:val="restart"/>
            <w:tcBorders>
              <w:top w:val="single" w:sz="4" w:space="0" w:color="000000"/>
              <w:left w:val="single" w:sz="4" w:space="0" w:color="000000"/>
              <w:right w:val="single" w:sz="4" w:space="0" w:color="000000"/>
            </w:tcBorders>
          </w:tcPr>
          <w:p>
            <w:pPr/>
          </w:p>
        </w:tc>
        <w:tc>
          <w:tcPr>
            <w:tcW w:w="760"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340,0</w:t>
            </w:r>
            <w:r>
              <w:rPr>
                <w:rFonts w:ascii="宋体"/>
                <w:sz w:val="21"/>
              </w:rPr>
            </w:r>
          </w:p>
        </w:tc>
        <w:tc>
          <w:tcPr>
            <w:tcW w:w="671" w:type="dxa"/>
            <w:vMerge w:val="restart"/>
            <w:tcBorders>
              <w:top w:val="single" w:sz="4" w:space="0" w:color="000000"/>
              <w:left w:val="single" w:sz="4" w:space="0" w:color="000000"/>
              <w:right w:val="single" w:sz="4" w:space="0" w:color="000000"/>
            </w:tcBorders>
          </w:tcPr>
          <w:p>
            <w:pPr/>
          </w:p>
        </w:tc>
        <w:tc>
          <w:tcPr>
            <w:tcW w:w="786"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47" w:right="0"/>
              <w:jc w:val="left"/>
              <w:rPr>
                <w:rFonts w:ascii="宋体" w:hAnsi="宋体" w:cs="宋体" w:eastAsia="宋体" w:hint="default"/>
                <w:sz w:val="21"/>
                <w:szCs w:val="21"/>
              </w:rPr>
            </w:pPr>
            <w:r>
              <w:rPr>
                <w:rFonts w:ascii="宋体"/>
                <w:sz w:val="21"/>
              </w:rPr>
              <w:t>-398.</w:t>
            </w:r>
          </w:p>
        </w:tc>
        <w:tc>
          <w:tcPr>
            <w:tcW w:w="707"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784" w:type="dxa"/>
            <w:vMerge w:val="restart"/>
            <w:tcBorders>
              <w:top w:val="single" w:sz="4" w:space="0" w:color="000000"/>
              <w:left w:val="single" w:sz="4" w:space="0" w:color="000000"/>
              <w:right w:val="single" w:sz="4" w:space="0" w:color="000000"/>
            </w:tcBorders>
          </w:tcPr>
          <w:p>
            <w:pPr/>
          </w:p>
        </w:tc>
        <w:tc>
          <w:tcPr>
            <w:tcW w:w="775" w:type="dxa"/>
            <w:vMerge w:val="restart"/>
            <w:tcBorders>
              <w:top w:val="single" w:sz="4" w:space="0" w:color="000000"/>
              <w:left w:val="single" w:sz="4" w:space="0" w:color="000000"/>
              <w:right w:val="single" w:sz="4" w:space="0" w:color="000000"/>
            </w:tcBorders>
          </w:tcPr>
          <w:p>
            <w:pPr/>
          </w:p>
        </w:tc>
        <w:tc>
          <w:tcPr>
            <w:tcW w:w="756" w:type="dxa"/>
            <w:vMerge w:val="restart"/>
            <w:tcBorders>
              <w:top w:val="single" w:sz="4" w:space="0" w:color="000000"/>
              <w:left w:val="single" w:sz="4" w:space="0" w:color="000000"/>
              <w:right w:val="single" w:sz="4" w:space="0" w:color="000000"/>
            </w:tcBorders>
          </w:tcPr>
          <w:p>
            <w:pPr/>
          </w:p>
        </w:tc>
        <w:tc>
          <w:tcPr>
            <w:tcW w:w="770"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339,6</w:t>
            </w:r>
            <w:r>
              <w:rPr>
                <w:rFonts w:ascii="宋体"/>
                <w:sz w:val="21"/>
              </w:rPr>
            </w:r>
          </w:p>
        </w:tc>
        <w:tc>
          <w:tcPr>
            <w:tcW w:w="738" w:type="dxa"/>
            <w:vMerge w:val="restart"/>
            <w:tcBorders>
              <w:top w:val="single" w:sz="4" w:space="0" w:color="000000"/>
              <w:left w:val="single" w:sz="4" w:space="0" w:color="000000"/>
              <w:right w:val="single" w:sz="4" w:space="0" w:color="000000"/>
            </w:tcBorders>
          </w:tcPr>
          <w:p>
            <w:pPr/>
          </w:p>
        </w:tc>
      </w:tr>
      <w:tr>
        <w:trPr>
          <w:trHeight w:val="272" w:hRule="exact"/>
        </w:trPr>
        <w:tc>
          <w:tcPr>
            <w:tcW w:w="8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83"/>
                <w:sz w:val="21"/>
                <w:szCs w:val="21"/>
              </w:rPr>
              <w:t> </w:t>
            </w:r>
            <w:r>
              <w:rPr>
                <w:rFonts w:ascii="宋体" w:hAnsi="宋体" w:cs="宋体" w:eastAsia="宋体" w:hint="default"/>
                <w:sz w:val="21"/>
                <w:szCs w:val="21"/>
              </w:rPr>
              <w:t>证</w:t>
            </w:r>
          </w:p>
        </w:tc>
        <w:tc>
          <w:tcPr>
            <w:tcW w:w="756" w:type="dxa"/>
            <w:vMerge/>
            <w:tcBorders>
              <w:left w:val="single" w:sz="4" w:space="0" w:color="000000"/>
              <w:right w:val="single" w:sz="4" w:space="0" w:color="000000"/>
            </w:tcBorders>
          </w:tcPr>
          <w:p>
            <w:pPr/>
          </w:p>
        </w:tc>
        <w:tc>
          <w:tcPr>
            <w:tcW w:w="76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00.00</w:t>
            </w:r>
          </w:p>
        </w:tc>
        <w:tc>
          <w:tcPr>
            <w:tcW w:w="671" w:type="dxa"/>
            <w:vMerge/>
            <w:tcBorders>
              <w:left w:val="single" w:sz="4" w:space="0" w:color="000000"/>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94</w:t>
            </w:r>
          </w:p>
        </w:tc>
        <w:tc>
          <w:tcPr>
            <w:tcW w:w="70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01.06</w:t>
            </w:r>
          </w:p>
        </w:tc>
        <w:tc>
          <w:tcPr>
            <w:tcW w:w="738" w:type="dxa"/>
            <w:vMerge/>
            <w:tcBorders>
              <w:left w:val="single" w:sz="4" w:space="0" w:color="000000"/>
              <w:right w:val="single" w:sz="4" w:space="0" w:color="000000"/>
            </w:tcBorders>
          </w:tcPr>
          <w:p>
            <w:pPr/>
          </w:p>
        </w:tc>
      </w:tr>
      <w:tr>
        <w:trPr>
          <w:trHeight w:val="272" w:hRule="exact"/>
        </w:trPr>
        <w:tc>
          <w:tcPr>
            <w:tcW w:w="8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飞</w:t>
            </w:r>
            <w:r>
              <w:rPr>
                <w:rFonts w:ascii="宋体" w:hAnsi="宋体" w:cs="宋体" w:eastAsia="宋体" w:hint="default"/>
                <w:spacing w:val="83"/>
                <w:sz w:val="21"/>
                <w:szCs w:val="21"/>
              </w:rPr>
              <w:t> </w:t>
            </w:r>
            <w:r>
              <w:rPr>
                <w:rFonts w:ascii="宋体" w:hAnsi="宋体" w:cs="宋体" w:eastAsia="宋体" w:hint="default"/>
                <w:sz w:val="21"/>
                <w:szCs w:val="21"/>
              </w:rPr>
              <w:t>翔</w:t>
            </w:r>
          </w:p>
        </w:tc>
        <w:tc>
          <w:tcPr>
            <w:tcW w:w="756" w:type="dxa"/>
            <w:vMerge/>
            <w:tcBorders>
              <w:left w:val="single" w:sz="4" w:space="0" w:color="000000"/>
              <w:right w:val="single" w:sz="4" w:space="0" w:color="000000"/>
            </w:tcBorders>
          </w:tcPr>
          <w:p>
            <w:pPr/>
          </w:p>
        </w:tc>
        <w:tc>
          <w:tcPr>
            <w:tcW w:w="760" w:type="dxa"/>
            <w:tcBorders>
              <w:top w:val="nil" w:sz="6" w:space="0" w:color="auto"/>
              <w:left w:val="single" w:sz="4" w:space="0" w:color="000000"/>
              <w:bottom w:val="nil" w:sz="6" w:space="0" w:color="auto"/>
              <w:right w:val="single" w:sz="4" w:space="0" w:color="000000"/>
            </w:tcBorders>
          </w:tcPr>
          <w:p>
            <w:pPr/>
          </w:p>
        </w:tc>
        <w:tc>
          <w:tcPr>
            <w:tcW w:w="671" w:type="dxa"/>
            <w:vMerge/>
            <w:tcBorders>
              <w:left w:val="single" w:sz="4" w:space="0" w:color="000000"/>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
        </w:tc>
        <w:tc>
          <w:tcPr>
            <w:tcW w:w="70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738" w:type="dxa"/>
            <w:vMerge/>
            <w:tcBorders>
              <w:left w:val="single" w:sz="4" w:space="0" w:color="000000"/>
              <w:right w:val="single" w:sz="4" w:space="0" w:color="000000"/>
            </w:tcBorders>
          </w:tcPr>
          <w:p>
            <w:pPr/>
          </w:p>
        </w:tc>
      </w:tr>
      <w:tr>
        <w:trPr>
          <w:trHeight w:val="272" w:hRule="exact"/>
        </w:trPr>
        <w:tc>
          <w:tcPr>
            <w:tcW w:w="8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83"/>
                <w:sz w:val="21"/>
                <w:szCs w:val="21"/>
              </w:rPr>
              <w:t> </w:t>
            </w:r>
            <w:r>
              <w:rPr>
                <w:rFonts w:ascii="宋体" w:hAnsi="宋体" w:cs="宋体" w:eastAsia="宋体" w:hint="default"/>
                <w:sz w:val="21"/>
                <w:szCs w:val="21"/>
              </w:rPr>
              <w:t>技</w:t>
            </w:r>
          </w:p>
        </w:tc>
        <w:tc>
          <w:tcPr>
            <w:tcW w:w="756" w:type="dxa"/>
            <w:vMerge/>
            <w:tcBorders>
              <w:left w:val="single" w:sz="4" w:space="0" w:color="000000"/>
              <w:right w:val="single" w:sz="4" w:space="0" w:color="000000"/>
            </w:tcBorders>
          </w:tcPr>
          <w:p>
            <w:pPr/>
          </w:p>
        </w:tc>
        <w:tc>
          <w:tcPr>
            <w:tcW w:w="760" w:type="dxa"/>
            <w:tcBorders>
              <w:top w:val="nil" w:sz="6" w:space="0" w:color="auto"/>
              <w:left w:val="single" w:sz="4" w:space="0" w:color="000000"/>
              <w:bottom w:val="nil" w:sz="6" w:space="0" w:color="auto"/>
              <w:right w:val="single" w:sz="4" w:space="0" w:color="000000"/>
            </w:tcBorders>
          </w:tcPr>
          <w:p>
            <w:pPr/>
          </w:p>
        </w:tc>
        <w:tc>
          <w:tcPr>
            <w:tcW w:w="671" w:type="dxa"/>
            <w:vMerge/>
            <w:tcBorders>
              <w:left w:val="single" w:sz="4" w:space="0" w:color="000000"/>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
        </w:tc>
        <w:tc>
          <w:tcPr>
            <w:tcW w:w="70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738" w:type="dxa"/>
            <w:vMerge/>
            <w:tcBorders>
              <w:left w:val="single" w:sz="4" w:space="0" w:color="000000"/>
              <w:right w:val="single" w:sz="4" w:space="0" w:color="000000"/>
            </w:tcBorders>
          </w:tcPr>
          <w:p>
            <w:pPr/>
          </w:p>
        </w:tc>
      </w:tr>
      <w:tr>
        <w:trPr>
          <w:trHeight w:val="272" w:hRule="exact"/>
        </w:trPr>
        <w:tc>
          <w:tcPr>
            <w:tcW w:w="8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3"/>
                <w:sz w:val="21"/>
                <w:szCs w:val="21"/>
              </w:rPr>
              <w:t> </w:t>
            </w:r>
            <w:r>
              <w:rPr>
                <w:rFonts w:ascii="宋体" w:hAnsi="宋体" w:cs="宋体" w:eastAsia="宋体" w:hint="default"/>
                <w:sz w:val="21"/>
                <w:szCs w:val="21"/>
              </w:rPr>
              <w:t>限</w:t>
            </w:r>
          </w:p>
        </w:tc>
        <w:tc>
          <w:tcPr>
            <w:tcW w:w="756" w:type="dxa"/>
            <w:vMerge/>
            <w:tcBorders>
              <w:left w:val="single" w:sz="4" w:space="0" w:color="000000"/>
              <w:right w:val="single" w:sz="4" w:space="0" w:color="000000"/>
            </w:tcBorders>
          </w:tcPr>
          <w:p>
            <w:pPr/>
          </w:p>
        </w:tc>
        <w:tc>
          <w:tcPr>
            <w:tcW w:w="760" w:type="dxa"/>
            <w:tcBorders>
              <w:top w:val="nil" w:sz="6" w:space="0" w:color="auto"/>
              <w:left w:val="single" w:sz="4" w:space="0" w:color="000000"/>
              <w:bottom w:val="nil" w:sz="6" w:space="0" w:color="auto"/>
              <w:right w:val="single" w:sz="4" w:space="0" w:color="000000"/>
            </w:tcBorders>
          </w:tcPr>
          <w:p>
            <w:pPr/>
          </w:p>
        </w:tc>
        <w:tc>
          <w:tcPr>
            <w:tcW w:w="671" w:type="dxa"/>
            <w:vMerge/>
            <w:tcBorders>
              <w:left w:val="single" w:sz="4" w:space="0" w:color="000000"/>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
        </w:tc>
        <w:tc>
          <w:tcPr>
            <w:tcW w:w="70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738" w:type="dxa"/>
            <w:vMerge/>
            <w:tcBorders>
              <w:left w:val="single" w:sz="4" w:space="0" w:color="000000"/>
              <w:right w:val="single" w:sz="4" w:space="0" w:color="000000"/>
            </w:tcBorders>
          </w:tcPr>
          <w:p>
            <w:pPr/>
          </w:p>
        </w:tc>
      </w:tr>
      <w:tr>
        <w:trPr>
          <w:trHeight w:val="279" w:hRule="exact"/>
        </w:trPr>
        <w:tc>
          <w:tcPr>
            <w:tcW w:w="82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56" w:type="dxa"/>
            <w:vMerge/>
            <w:tcBorders>
              <w:left w:val="single" w:sz="4" w:space="0" w:color="000000"/>
              <w:bottom w:val="single" w:sz="4" w:space="0" w:color="000000"/>
              <w:right w:val="single" w:sz="4" w:space="0" w:color="000000"/>
            </w:tcBorders>
          </w:tcPr>
          <w:p>
            <w:pPr/>
          </w:p>
        </w:tc>
        <w:tc>
          <w:tcPr>
            <w:tcW w:w="760" w:type="dxa"/>
            <w:tcBorders>
              <w:top w:val="nil" w:sz="6" w:space="0" w:color="auto"/>
              <w:left w:val="single" w:sz="4" w:space="0" w:color="000000"/>
              <w:bottom w:val="single" w:sz="4" w:space="0" w:color="000000"/>
              <w:right w:val="single" w:sz="4" w:space="0" w:color="000000"/>
            </w:tcBorders>
          </w:tcPr>
          <w:p>
            <w:pPr/>
          </w:p>
        </w:tc>
        <w:tc>
          <w:tcPr>
            <w:tcW w:w="671" w:type="dxa"/>
            <w:vMerge/>
            <w:tcBorders>
              <w:left w:val="single" w:sz="4" w:space="0" w:color="000000"/>
              <w:bottom w:val="single" w:sz="4" w:space="0" w:color="000000"/>
              <w:right w:val="single" w:sz="4" w:space="0" w:color="000000"/>
            </w:tcBorders>
          </w:tcPr>
          <w:p>
            <w:pPr/>
          </w:p>
        </w:tc>
        <w:tc>
          <w:tcPr>
            <w:tcW w:w="786" w:type="dxa"/>
            <w:tcBorders>
              <w:top w:val="nil" w:sz="6" w:space="0" w:color="auto"/>
              <w:left w:val="single" w:sz="4" w:space="0" w:color="000000"/>
              <w:bottom w:val="single" w:sz="4" w:space="0" w:color="000000"/>
              <w:right w:val="single" w:sz="4" w:space="0" w:color="000000"/>
            </w:tcBorders>
          </w:tcPr>
          <w:p>
            <w:pPr/>
          </w:p>
        </w:tc>
        <w:tc>
          <w:tcPr>
            <w:tcW w:w="707"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70" w:type="dxa"/>
            <w:tcBorders>
              <w:top w:val="nil" w:sz="6" w:space="0" w:color="auto"/>
              <w:left w:val="single" w:sz="4" w:space="0" w:color="000000"/>
              <w:bottom w:val="single" w:sz="4" w:space="0" w:color="000000"/>
              <w:right w:val="single" w:sz="4" w:space="0" w:color="000000"/>
            </w:tcBorders>
          </w:tcPr>
          <w:p>
            <w:pPr/>
          </w:p>
        </w:tc>
        <w:tc>
          <w:tcPr>
            <w:tcW w:w="738" w:type="dxa"/>
            <w:vMerge/>
            <w:tcBorders>
              <w:left w:val="single" w:sz="4" w:space="0" w:color="000000"/>
              <w:bottom w:val="single" w:sz="4" w:space="0" w:color="000000"/>
              <w:right w:val="single" w:sz="4" w:space="0" w:color="000000"/>
            </w:tcBorders>
          </w:tcPr>
          <w:p>
            <w:pPr/>
          </w:p>
        </w:tc>
      </w:tr>
      <w:tr>
        <w:trPr>
          <w:trHeight w:val="277" w:hRule="exact"/>
        </w:trPr>
        <w:tc>
          <w:tcPr>
            <w:tcW w:w="826"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83"/>
                <w:sz w:val="21"/>
                <w:szCs w:val="21"/>
              </w:rPr>
              <w:t> </w:t>
            </w:r>
            <w:r>
              <w:rPr>
                <w:rFonts w:ascii="宋体" w:hAnsi="宋体" w:cs="宋体" w:eastAsia="宋体" w:hint="default"/>
                <w:sz w:val="21"/>
                <w:szCs w:val="21"/>
              </w:rPr>
              <w:t>州</w:t>
            </w:r>
          </w:p>
        </w:tc>
        <w:tc>
          <w:tcPr>
            <w:tcW w:w="756" w:type="dxa"/>
            <w:vMerge w:val="restart"/>
            <w:tcBorders>
              <w:top w:val="single" w:sz="4" w:space="0" w:color="000000"/>
              <w:left w:val="single" w:sz="4" w:space="0" w:color="000000"/>
              <w:right w:val="single" w:sz="4" w:space="0" w:color="000000"/>
            </w:tcBorders>
          </w:tcPr>
          <w:p>
            <w:pPr/>
          </w:p>
        </w:tc>
        <w:tc>
          <w:tcPr>
            <w:tcW w:w="760"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10,00</w:t>
            </w:r>
            <w:r>
              <w:rPr>
                <w:rFonts w:ascii="宋体"/>
                <w:sz w:val="21"/>
              </w:rPr>
            </w:r>
          </w:p>
        </w:tc>
        <w:tc>
          <w:tcPr>
            <w:tcW w:w="671" w:type="dxa"/>
            <w:vMerge w:val="restart"/>
            <w:tcBorders>
              <w:top w:val="single" w:sz="4" w:space="0" w:color="000000"/>
              <w:left w:val="single" w:sz="4" w:space="0" w:color="000000"/>
              <w:right w:val="single" w:sz="4" w:space="0" w:color="000000"/>
            </w:tcBorders>
          </w:tcPr>
          <w:p>
            <w:pPr/>
          </w:p>
        </w:tc>
        <w:tc>
          <w:tcPr>
            <w:tcW w:w="786" w:type="dxa"/>
            <w:vMerge w:val="restart"/>
            <w:tcBorders>
              <w:top w:val="single" w:sz="4" w:space="0" w:color="000000"/>
              <w:left w:val="single" w:sz="4" w:space="0" w:color="000000"/>
              <w:right w:val="single" w:sz="4" w:space="0" w:color="000000"/>
            </w:tcBorders>
          </w:tcPr>
          <w:p>
            <w:pPr/>
          </w:p>
        </w:tc>
        <w:tc>
          <w:tcPr>
            <w:tcW w:w="707"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784" w:type="dxa"/>
            <w:vMerge w:val="restart"/>
            <w:tcBorders>
              <w:top w:val="single" w:sz="4" w:space="0" w:color="000000"/>
              <w:left w:val="single" w:sz="4" w:space="0" w:color="000000"/>
              <w:right w:val="single" w:sz="4" w:space="0" w:color="000000"/>
            </w:tcBorders>
          </w:tcPr>
          <w:p>
            <w:pPr/>
          </w:p>
        </w:tc>
        <w:tc>
          <w:tcPr>
            <w:tcW w:w="775" w:type="dxa"/>
            <w:vMerge w:val="restart"/>
            <w:tcBorders>
              <w:top w:val="single" w:sz="4" w:space="0" w:color="000000"/>
              <w:left w:val="single" w:sz="4" w:space="0" w:color="000000"/>
              <w:right w:val="single" w:sz="4" w:space="0" w:color="000000"/>
            </w:tcBorders>
          </w:tcPr>
          <w:p>
            <w:pPr/>
          </w:p>
        </w:tc>
        <w:tc>
          <w:tcPr>
            <w:tcW w:w="756" w:type="dxa"/>
            <w:vMerge w:val="restart"/>
            <w:tcBorders>
              <w:top w:val="single" w:sz="4" w:space="0" w:color="000000"/>
              <w:left w:val="single" w:sz="4" w:space="0" w:color="000000"/>
              <w:right w:val="single" w:sz="4" w:space="0" w:color="000000"/>
            </w:tcBorders>
          </w:tcPr>
          <w:p>
            <w:pPr/>
          </w:p>
        </w:tc>
        <w:tc>
          <w:tcPr>
            <w:tcW w:w="770"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10,00</w:t>
            </w:r>
          </w:p>
        </w:tc>
        <w:tc>
          <w:tcPr>
            <w:tcW w:w="738" w:type="dxa"/>
            <w:vMerge w:val="restart"/>
            <w:tcBorders>
              <w:top w:val="single" w:sz="4" w:space="0" w:color="000000"/>
              <w:left w:val="single" w:sz="4" w:space="0" w:color="000000"/>
              <w:right w:val="single" w:sz="4" w:space="0" w:color="000000"/>
            </w:tcBorders>
          </w:tcPr>
          <w:p>
            <w:pPr/>
          </w:p>
        </w:tc>
      </w:tr>
      <w:tr>
        <w:trPr>
          <w:trHeight w:val="272" w:hRule="exact"/>
        </w:trPr>
        <w:tc>
          <w:tcPr>
            <w:tcW w:w="8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佳</w:t>
            </w:r>
            <w:r>
              <w:rPr>
                <w:rFonts w:ascii="宋体" w:hAnsi="宋体" w:cs="宋体" w:eastAsia="宋体" w:hint="default"/>
                <w:spacing w:val="83"/>
                <w:sz w:val="21"/>
                <w:szCs w:val="21"/>
              </w:rPr>
              <w:t> </w:t>
            </w:r>
            <w:r>
              <w:rPr>
                <w:rFonts w:ascii="宋体" w:hAnsi="宋体" w:cs="宋体" w:eastAsia="宋体" w:hint="default"/>
                <w:sz w:val="21"/>
                <w:szCs w:val="21"/>
              </w:rPr>
              <w:t>时</w:t>
            </w:r>
          </w:p>
        </w:tc>
        <w:tc>
          <w:tcPr>
            <w:tcW w:w="756" w:type="dxa"/>
            <w:vMerge/>
            <w:tcBorders>
              <w:left w:val="single" w:sz="4" w:space="0" w:color="000000"/>
              <w:right w:val="single" w:sz="4" w:space="0" w:color="000000"/>
            </w:tcBorders>
          </w:tcPr>
          <w:p>
            <w:pPr/>
          </w:p>
        </w:tc>
        <w:tc>
          <w:tcPr>
            <w:tcW w:w="76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0,000</w:t>
            </w:r>
          </w:p>
        </w:tc>
        <w:tc>
          <w:tcPr>
            <w:tcW w:w="671" w:type="dxa"/>
            <w:vMerge/>
            <w:tcBorders>
              <w:left w:val="single" w:sz="4" w:space="0" w:color="000000"/>
              <w:right w:val="single" w:sz="4" w:space="0" w:color="000000"/>
            </w:tcBorders>
          </w:tcPr>
          <w:p>
            <w:pPr/>
          </w:p>
        </w:tc>
        <w:tc>
          <w:tcPr>
            <w:tcW w:w="786" w:type="dxa"/>
            <w:vMerge/>
            <w:tcBorders>
              <w:left w:val="single" w:sz="4" w:space="0" w:color="000000"/>
              <w:right w:val="single" w:sz="4" w:space="0" w:color="000000"/>
            </w:tcBorders>
          </w:tcPr>
          <w:p>
            <w:pPr/>
          </w:p>
        </w:tc>
        <w:tc>
          <w:tcPr>
            <w:tcW w:w="70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0,000</w:t>
            </w:r>
          </w:p>
        </w:tc>
        <w:tc>
          <w:tcPr>
            <w:tcW w:w="738" w:type="dxa"/>
            <w:vMerge/>
            <w:tcBorders>
              <w:left w:val="single" w:sz="4" w:space="0" w:color="000000"/>
              <w:right w:val="single" w:sz="4" w:space="0" w:color="000000"/>
            </w:tcBorders>
          </w:tcPr>
          <w:p>
            <w:pPr/>
          </w:p>
        </w:tc>
      </w:tr>
      <w:tr>
        <w:trPr>
          <w:trHeight w:val="272" w:hRule="exact"/>
        </w:trPr>
        <w:tc>
          <w:tcPr>
            <w:tcW w:w="8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达</w:t>
            </w:r>
            <w:r>
              <w:rPr>
                <w:rFonts w:ascii="宋体" w:hAnsi="宋体" w:cs="宋体" w:eastAsia="宋体" w:hint="default"/>
                <w:spacing w:val="83"/>
                <w:sz w:val="21"/>
                <w:szCs w:val="21"/>
              </w:rPr>
              <w:t> </w:t>
            </w:r>
            <w:r>
              <w:rPr>
                <w:rFonts w:ascii="宋体" w:hAnsi="宋体" w:cs="宋体" w:eastAsia="宋体" w:hint="default"/>
                <w:sz w:val="21"/>
                <w:szCs w:val="21"/>
              </w:rPr>
              <w:t>软</w:t>
            </w:r>
          </w:p>
        </w:tc>
        <w:tc>
          <w:tcPr>
            <w:tcW w:w="756" w:type="dxa"/>
            <w:vMerge/>
            <w:tcBorders>
              <w:left w:val="single" w:sz="4" w:space="0" w:color="000000"/>
              <w:right w:val="single" w:sz="4" w:space="0" w:color="000000"/>
            </w:tcBorders>
          </w:tcPr>
          <w:p>
            <w:pPr/>
          </w:p>
        </w:tc>
        <w:tc>
          <w:tcPr>
            <w:tcW w:w="76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.00</w:t>
            </w:r>
            <w:r>
              <w:rPr>
                <w:rFonts w:ascii="宋体"/>
                <w:sz w:val="21"/>
              </w:rPr>
            </w:r>
          </w:p>
        </w:tc>
        <w:tc>
          <w:tcPr>
            <w:tcW w:w="671" w:type="dxa"/>
            <w:vMerge/>
            <w:tcBorders>
              <w:left w:val="single" w:sz="4" w:space="0" w:color="000000"/>
              <w:right w:val="single" w:sz="4" w:space="0" w:color="000000"/>
            </w:tcBorders>
          </w:tcPr>
          <w:p>
            <w:pPr/>
          </w:p>
        </w:tc>
        <w:tc>
          <w:tcPr>
            <w:tcW w:w="786" w:type="dxa"/>
            <w:vMerge/>
            <w:tcBorders>
              <w:left w:val="single" w:sz="4" w:space="0" w:color="000000"/>
              <w:right w:val="single" w:sz="4" w:space="0" w:color="000000"/>
            </w:tcBorders>
          </w:tcPr>
          <w:p>
            <w:pPr/>
          </w:p>
        </w:tc>
        <w:tc>
          <w:tcPr>
            <w:tcW w:w="70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.00</w:t>
            </w:r>
          </w:p>
        </w:tc>
        <w:tc>
          <w:tcPr>
            <w:tcW w:w="738" w:type="dxa"/>
            <w:vMerge/>
            <w:tcBorders>
              <w:left w:val="single" w:sz="4" w:space="0" w:color="000000"/>
              <w:right w:val="single" w:sz="4" w:space="0" w:color="000000"/>
            </w:tcBorders>
          </w:tcPr>
          <w:p>
            <w:pPr/>
          </w:p>
        </w:tc>
      </w:tr>
      <w:tr>
        <w:trPr>
          <w:trHeight w:val="272" w:hRule="exact"/>
        </w:trPr>
        <w:tc>
          <w:tcPr>
            <w:tcW w:w="8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件</w:t>
            </w:r>
            <w:r>
              <w:rPr>
                <w:rFonts w:ascii="宋体" w:hAnsi="宋体" w:cs="宋体" w:eastAsia="宋体" w:hint="default"/>
                <w:spacing w:val="83"/>
                <w:sz w:val="21"/>
                <w:szCs w:val="21"/>
              </w:rPr>
              <w:t> </w:t>
            </w:r>
            <w:r>
              <w:rPr>
                <w:rFonts w:ascii="宋体" w:hAnsi="宋体" w:cs="宋体" w:eastAsia="宋体" w:hint="default"/>
                <w:sz w:val="21"/>
                <w:szCs w:val="21"/>
              </w:rPr>
              <w:t>股</w:t>
            </w:r>
          </w:p>
        </w:tc>
        <w:tc>
          <w:tcPr>
            <w:tcW w:w="756" w:type="dxa"/>
            <w:vMerge/>
            <w:tcBorders>
              <w:left w:val="single" w:sz="4" w:space="0" w:color="000000"/>
              <w:right w:val="single" w:sz="4" w:space="0" w:color="000000"/>
            </w:tcBorders>
          </w:tcPr>
          <w:p>
            <w:pPr/>
          </w:p>
        </w:tc>
        <w:tc>
          <w:tcPr>
            <w:tcW w:w="760" w:type="dxa"/>
            <w:tcBorders>
              <w:top w:val="nil" w:sz="6" w:space="0" w:color="auto"/>
              <w:left w:val="single" w:sz="4" w:space="0" w:color="000000"/>
              <w:bottom w:val="nil" w:sz="6" w:space="0" w:color="auto"/>
              <w:right w:val="single" w:sz="4" w:space="0" w:color="000000"/>
            </w:tcBorders>
          </w:tcPr>
          <w:p>
            <w:pPr/>
          </w:p>
        </w:tc>
        <w:tc>
          <w:tcPr>
            <w:tcW w:w="671" w:type="dxa"/>
            <w:vMerge/>
            <w:tcBorders>
              <w:left w:val="single" w:sz="4" w:space="0" w:color="000000"/>
              <w:right w:val="single" w:sz="4" w:space="0" w:color="000000"/>
            </w:tcBorders>
          </w:tcPr>
          <w:p>
            <w:pPr/>
          </w:p>
        </w:tc>
        <w:tc>
          <w:tcPr>
            <w:tcW w:w="786" w:type="dxa"/>
            <w:vMerge/>
            <w:tcBorders>
              <w:left w:val="single" w:sz="4" w:space="0" w:color="000000"/>
              <w:right w:val="single" w:sz="4" w:space="0" w:color="000000"/>
            </w:tcBorders>
          </w:tcPr>
          <w:p>
            <w:pPr/>
          </w:p>
        </w:tc>
        <w:tc>
          <w:tcPr>
            <w:tcW w:w="70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738" w:type="dxa"/>
            <w:vMerge/>
            <w:tcBorders>
              <w:left w:val="single" w:sz="4" w:space="0" w:color="000000"/>
              <w:right w:val="single" w:sz="4" w:space="0" w:color="000000"/>
            </w:tcBorders>
          </w:tcPr>
          <w:p>
            <w:pPr/>
          </w:p>
        </w:tc>
      </w:tr>
      <w:tr>
        <w:trPr>
          <w:trHeight w:val="272" w:hRule="exact"/>
        </w:trPr>
        <w:tc>
          <w:tcPr>
            <w:tcW w:w="8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spacing w:val="83"/>
                <w:sz w:val="21"/>
                <w:szCs w:val="21"/>
              </w:rPr>
              <w:t> </w:t>
            </w:r>
            <w:r>
              <w:rPr>
                <w:rFonts w:ascii="宋体" w:hAnsi="宋体" w:cs="宋体" w:eastAsia="宋体" w:hint="default"/>
                <w:sz w:val="21"/>
                <w:szCs w:val="21"/>
              </w:rPr>
              <w:t>有</w:t>
            </w:r>
          </w:p>
        </w:tc>
        <w:tc>
          <w:tcPr>
            <w:tcW w:w="756" w:type="dxa"/>
            <w:vMerge/>
            <w:tcBorders>
              <w:left w:val="single" w:sz="4" w:space="0" w:color="000000"/>
              <w:right w:val="single" w:sz="4" w:space="0" w:color="000000"/>
            </w:tcBorders>
          </w:tcPr>
          <w:p>
            <w:pPr/>
          </w:p>
        </w:tc>
        <w:tc>
          <w:tcPr>
            <w:tcW w:w="760" w:type="dxa"/>
            <w:tcBorders>
              <w:top w:val="nil" w:sz="6" w:space="0" w:color="auto"/>
              <w:left w:val="single" w:sz="4" w:space="0" w:color="000000"/>
              <w:bottom w:val="nil" w:sz="6" w:space="0" w:color="auto"/>
              <w:right w:val="single" w:sz="4" w:space="0" w:color="000000"/>
            </w:tcBorders>
          </w:tcPr>
          <w:p>
            <w:pPr/>
          </w:p>
        </w:tc>
        <w:tc>
          <w:tcPr>
            <w:tcW w:w="671" w:type="dxa"/>
            <w:vMerge/>
            <w:tcBorders>
              <w:left w:val="single" w:sz="4" w:space="0" w:color="000000"/>
              <w:right w:val="single" w:sz="4" w:space="0" w:color="000000"/>
            </w:tcBorders>
          </w:tcPr>
          <w:p>
            <w:pPr/>
          </w:p>
        </w:tc>
        <w:tc>
          <w:tcPr>
            <w:tcW w:w="786" w:type="dxa"/>
            <w:vMerge/>
            <w:tcBorders>
              <w:left w:val="single" w:sz="4" w:space="0" w:color="000000"/>
              <w:right w:val="single" w:sz="4" w:space="0" w:color="000000"/>
            </w:tcBorders>
          </w:tcPr>
          <w:p>
            <w:pPr/>
          </w:p>
        </w:tc>
        <w:tc>
          <w:tcPr>
            <w:tcW w:w="70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738" w:type="dxa"/>
            <w:vMerge/>
            <w:tcBorders>
              <w:left w:val="single" w:sz="4" w:space="0" w:color="000000"/>
              <w:right w:val="single" w:sz="4" w:space="0" w:color="000000"/>
            </w:tcBorders>
          </w:tcPr>
          <w:p>
            <w:pPr/>
          </w:p>
        </w:tc>
      </w:tr>
      <w:tr>
        <w:trPr>
          <w:trHeight w:val="272" w:hRule="exact"/>
        </w:trPr>
        <w:tc>
          <w:tcPr>
            <w:tcW w:w="8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3"/>
                <w:sz w:val="21"/>
                <w:szCs w:val="21"/>
              </w:rPr>
              <w:t> </w:t>
            </w:r>
            <w:r>
              <w:rPr>
                <w:rFonts w:ascii="宋体" w:hAnsi="宋体" w:cs="宋体" w:eastAsia="宋体" w:hint="default"/>
                <w:sz w:val="21"/>
                <w:szCs w:val="21"/>
              </w:rPr>
              <w:t>公</w:t>
            </w:r>
          </w:p>
        </w:tc>
        <w:tc>
          <w:tcPr>
            <w:tcW w:w="756" w:type="dxa"/>
            <w:vMerge/>
            <w:tcBorders>
              <w:left w:val="single" w:sz="4" w:space="0" w:color="000000"/>
              <w:right w:val="single" w:sz="4" w:space="0" w:color="000000"/>
            </w:tcBorders>
          </w:tcPr>
          <w:p>
            <w:pPr/>
          </w:p>
        </w:tc>
        <w:tc>
          <w:tcPr>
            <w:tcW w:w="760" w:type="dxa"/>
            <w:tcBorders>
              <w:top w:val="nil" w:sz="6" w:space="0" w:color="auto"/>
              <w:left w:val="single" w:sz="4" w:space="0" w:color="000000"/>
              <w:bottom w:val="nil" w:sz="6" w:space="0" w:color="auto"/>
              <w:right w:val="single" w:sz="4" w:space="0" w:color="000000"/>
            </w:tcBorders>
          </w:tcPr>
          <w:p>
            <w:pPr/>
          </w:p>
        </w:tc>
        <w:tc>
          <w:tcPr>
            <w:tcW w:w="671" w:type="dxa"/>
            <w:vMerge/>
            <w:tcBorders>
              <w:left w:val="single" w:sz="4" w:space="0" w:color="000000"/>
              <w:right w:val="single" w:sz="4" w:space="0" w:color="000000"/>
            </w:tcBorders>
          </w:tcPr>
          <w:p>
            <w:pPr/>
          </w:p>
        </w:tc>
        <w:tc>
          <w:tcPr>
            <w:tcW w:w="786" w:type="dxa"/>
            <w:vMerge/>
            <w:tcBorders>
              <w:left w:val="single" w:sz="4" w:space="0" w:color="000000"/>
              <w:right w:val="single" w:sz="4" w:space="0" w:color="000000"/>
            </w:tcBorders>
          </w:tcPr>
          <w:p>
            <w:pPr/>
          </w:p>
        </w:tc>
        <w:tc>
          <w:tcPr>
            <w:tcW w:w="70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738" w:type="dxa"/>
            <w:vMerge/>
            <w:tcBorders>
              <w:left w:val="single" w:sz="4" w:space="0" w:color="000000"/>
              <w:right w:val="single" w:sz="4" w:space="0" w:color="000000"/>
            </w:tcBorders>
          </w:tcPr>
          <w:p>
            <w:pPr/>
          </w:p>
        </w:tc>
      </w:tr>
      <w:tr>
        <w:trPr>
          <w:trHeight w:val="279" w:hRule="exact"/>
        </w:trPr>
        <w:tc>
          <w:tcPr>
            <w:tcW w:w="82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56" w:type="dxa"/>
            <w:vMerge/>
            <w:tcBorders>
              <w:left w:val="single" w:sz="4" w:space="0" w:color="000000"/>
              <w:bottom w:val="single" w:sz="4" w:space="0" w:color="000000"/>
              <w:right w:val="single" w:sz="4" w:space="0" w:color="000000"/>
            </w:tcBorders>
          </w:tcPr>
          <w:p>
            <w:pPr/>
          </w:p>
        </w:tc>
        <w:tc>
          <w:tcPr>
            <w:tcW w:w="760" w:type="dxa"/>
            <w:tcBorders>
              <w:top w:val="nil" w:sz="6" w:space="0" w:color="auto"/>
              <w:left w:val="single" w:sz="4" w:space="0" w:color="000000"/>
              <w:bottom w:val="single" w:sz="4" w:space="0" w:color="000000"/>
              <w:right w:val="single" w:sz="4" w:space="0" w:color="000000"/>
            </w:tcBorders>
          </w:tcPr>
          <w:p>
            <w:pPr/>
          </w:p>
        </w:tc>
        <w:tc>
          <w:tcPr>
            <w:tcW w:w="671" w:type="dxa"/>
            <w:vMerge/>
            <w:tcBorders>
              <w:left w:val="single" w:sz="4" w:space="0" w:color="000000"/>
              <w:bottom w:val="single" w:sz="4" w:space="0" w:color="000000"/>
              <w:right w:val="single" w:sz="4" w:space="0" w:color="000000"/>
            </w:tcBorders>
          </w:tcPr>
          <w:p>
            <w:pPr/>
          </w:p>
        </w:tc>
        <w:tc>
          <w:tcPr>
            <w:tcW w:w="786" w:type="dxa"/>
            <w:vMerge/>
            <w:tcBorders>
              <w:left w:val="single" w:sz="4" w:space="0" w:color="000000"/>
              <w:bottom w:val="single" w:sz="4" w:space="0" w:color="000000"/>
              <w:right w:val="single" w:sz="4" w:space="0" w:color="000000"/>
            </w:tcBorders>
          </w:tcPr>
          <w:p>
            <w:pPr/>
          </w:p>
        </w:tc>
        <w:tc>
          <w:tcPr>
            <w:tcW w:w="707"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70" w:type="dxa"/>
            <w:tcBorders>
              <w:top w:val="nil" w:sz="6" w:space="0" w:color="auto"/>
              <w:left w:val="single" w:sz="4" w:space="0" w:color="000000"/>
              <w:bottom w:val="single" w:sz="4" w:space="0" w:color="000000"/>
              <w:right w:val="single" w:sz="4" w:space="0" w:color="000000"/>
            </w:tcBorders>
          </w:tcPr>
          <w:p>
            <w:pPr/>
          </w:p>
        </w:tc>
        <w:tc>
          <w:tcPr>
            <w:tcW w:w="738" w:type="dxa"/>
            <w:vMerge/>
            <w:tcBorders>
              <w:left w:val="single" w:sz="4" w:space="0" w:color="000000"/>
              <w:bottom w:val="single" w:sz="4" w:space="0" w:color="000000"/>
              <w:right w:val="single" w:sz="4" w:space="0" w:color="000000"/>
            </w:tcBorders>
          </w:tcPr>
          <w:p>
            <w:pPr/>
          </w:p>
        </w:tc>
      </w:tr>
      <w:tr>
        <w:trPr>
          <w:trHeight w:val="277" w:hRule="exact"/>
        </w:trPr>
        <w:tc>
          <w:tcPr>
            <w:tcW w:w="826"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83"/>
                <w:sz w:val="21"/>
                <w:szCs w:val="21"/>
              </w:rPr>
              <w:t> </w:t>
            </w:r>
            <w:r>
              <w:rPr>
                <w:rFonts w:ascii="宋体" w:hAnsi="宋体" w:cs="宋体" w:eastAsia="宋体" w:hint="default"/>
                <w:sz w:val="21"/>
                <w:szCs w:val="21"/>
              </w:rPr>
              <w:t>财</w:t>
            </w:r>
          </w:p>
        </w:tc>
        <w:tc>
          <w:tcPr>
            <w:tcW w:w="756" w:type="dxa"/>
            <w:vMerge w:val="restart"/>
            <w:tcBorders>
              <w:top w:val="single" w:sz="4" w:space="0" w:color="000000"/>
              <w:left w:val="single" w:sz="4" w:space="0" w:color="000000"/>
              <w:right w:val="single" w:sz="4" w:space="0" w:color="000000"/>
            </w:tcBorders>
          </w:tcPr>
          <w:p>
            <w:pPr/>
          </w:p>
        </w:tc>
        <w:tc>
          <w:tcPr>
            <w:tcW w:w="760"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2,990</w:t>
            </w:r>
            <w:r>
              <w:rPr>
                <w:rFonts w:ascii="宋体"/>
                <w:sz w:val="21"/>
              </w:rPr>
            </w:r>
          </w:p>
        </w:tc>
        <w:tc>
          <w:tcPr>
            <w:tcW w:w="671" w:type="dxa"/>
            <w:vMerge w:val="restart"/>
            <w:tcBorders>
              <w:top w:val="single" w:sz="4" w:space="0" w:color="000000"/>
              <w:left w:val="single" w:sz="4" w:space="0" w:color="000000"/>
              <w:right w:val="single" w:sz="4" w:space="0" w:color="000000"/>
            </w:tcBorders>
          </w:tcPr>
          <w:p>
            <w:pPr/>
          </w:p>
        </w:tc>
        <w:tc>
          <w:tcPr>
            <w:tcW w:w="786"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47" w:right="0"/>
              <w:jc w:val="left"/>
              <w:rPr>
                <w:rFonts w:ascii="宋体" w:hAnsi="宋体" w:cs="宋体" w:eastAsia="宋体" w:hint="default"/>
                <w:sz w:val="21"/>
                <w:szCs w:val="21"/>
              </w:rPr>
            </w:pPr>
            <w:r>
              <w:rPr>
                <w:rFonts w:ascii="宋体"/>
                <w:sz w:val="21"/>
              </w:rPr>
              <w:t>-52,5</w:t>
            </w:r>
          </w:p>
        </w:tc>
        <w:tc>
          <w:tcPr>
            <w:tcW w:w="707"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784" w:type="dxa"/>
            <w:vMerge w:val="restart"/>
            <w:tcBorders>
              <w:top w:val="single" w:sz="4" w:space="0" w:color="000000"/>
              <w:left w:val="single" w:sz="4" w:space="0" w:color="000000"/>
              <w:right w:val="single" w:sz="4" w:space="0" w:color="000000"/>
            </w:tcBorders>
          </w:tcPr>
          <w:p>
            <w:pPr/>
          </w:p>
        </w:tc>
        <w:tc>
          <w:tcPr>
            <w:tcW w:w="775" w:type="dxa"/>
            <w:vMerge w:val="restart"/>
            <w:tcBorders>
              <w:top w:val="single" w:sz="4" w:space="0" w:color="000000"/>
              <w:left w:val="single" w:sz="4" w:space="0" w:color="000000"/>
              <w:right w:val="single" w:sz="4" w:space="0" w:color="000000"/>
            </w:tcBorders>
          </w:tcPr>
          <w:p>
            <w:pPr/>
          </w:p>
        </w:tc>
        <w:tc>
          <w:tcPr>
            <w:tcW w:w="756" w:type="dxa"/>
            <w:vMerge w:val="restart"/>
            <w:tcBorders>
              <w:top w:val="single" w:sz="4" w:space="0" w:color="000000"/>
              <w:left w:val="single" w:sz="4" w:space="0" w:color="000000"/>
              <w:right w:val="single" w:sz="4" w:space="0" w:color="000000"/>
            </w:tcBorders>
          </w:tcPr>
          <w:p>
            <w:pPr/>
          </w:p>
        </w:tc>
        <w:tc>
          <w:tcPr>
            <w:tcW w:w="770"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2,937</w:t>
            </w:r>
          </w:p>
        </w:tc>
        <w:tc>
          <w:tcPr>
            <w:tcW w:w="738" w:type="dxa"/>
            <w:vMerge w:val="restart"/>
            <w:tcBorders>
              <w:top w:val="single" w:sz="4" w:space="0" w:color="000000"/>
              <w:left w:val="single" w:sz="4" w:space="0" w:color="000000"/>
              <w:right w:val="single" w:sz="4" w:space="0" w:color="000000"/>
            </w:tcBorders>
          </w:tcPr>
          <w:p>
            <w:pPr/>
          </w:p>
        </w:tc>
      </w:tr>
      <w:tr>
        <w:trPr>
          <w:trHeight w:val="272" w:hRule="exact"/>
        </w:trPr>
        <w:tc>
          <w:tcPr>
            <w:tcW w:w="8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83"/>
                <w:sz w:val="21"/>
                <w:szCs w:val="21"/>
              </w:rPr>
              <w:t> </w:t>
            </w:r>
            <w:r>
              <w:rPr>
                <w:rFonts w:ascii="宋体" w:hAnsi="宋体" w:cs="宋体" w:eastAsia="宋体" w:hint="default"/>
                <w:sz w:val="21"/>
                <w:szCs w:val="21"/>
              </w:rPr>
              <w:t>证</w:t>
            </w:r>
          </w:p>
        </w:tc>
        <w:tc>
          <w:tcPr>
            <w:tcW w:w="756" w:type="dxa"/>
            <w:vMerge/>
            <w:tcBorders>
              <w:left w:val="single" w:sz="4" w:space="0" w:color="000000"/>
              <w:right w:val="single" w:sz="4" w:space="0" w:color="000000"/>
            </w:tcBorders>
          </w:tcPr>
          <w:p>
            <w:pPr/>
          </w:p>
        </w:tc>
        <w:tc>
          <w:tcPr>
            <w:tcW w:w="76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,000.</w:t>
            </w:r>
          </w:p>
        </w:tc>
        <w:tc>
          <w:tcPr>
            <w:tcW w:w="671" w:type="dxa"/>
            <w:vMerge/>
            <w:tcBorders>
              <w:left w:val="single" w:sz="4" w:space="0" w:color="000000"/>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47" w:right="0"/>
              <w:jc w:val="left"/>
              <w:rPr>
                <w:rFonts w:ascii="宋体" w:hAnsi="宋体" w:cs="宋体" w:eastAsia="宋体" w:hint="default"/>
                <w:sz w:val="21"/>
                <w:szCs w:val="21"/>
              </w:rPr>
            </w:pPr>
            <w:r>
              <w:rPr>
                <w:rFonts w:ascii="宋体"/>
                <w:sz w:val="21"/>
              </w:rPr>
              <w:t>01.25</w:t>
            </w:r>
          </w:p>
        </w:tc>
        <w:tc>
          <w:tcPr>
            <w:tcW w:w="70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,498.</w:t>
            </w:r>
          </w:p>
        </w:tc>
        <w:tc>
          <w:tcPr>
            <w:tcW w:w="738" w:type="dxa"/>
            <w:vMerge/>
            <w:tcBorders>
              <w:left w:val="single" w:sz="4" w:space="0" w:color="000000"/>
              <w:right w:val="single" w:sz="4" w:space="0" w:color="000000"/>
            </w:tcBorders>
          </w:tcPr>
          <w:p>
            <w:pPr/>
          </w:p>
        </w:tc>
      </w:tr>
      <w:tr>
        <w:trPr>
          <w:trHeight w:val="272" w:hRule="exact"/>
        </w:trPr>
        <w:tc>
          <w:tcPr>
            <w:tcW w:w="8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83"/>
                <w:sz w:val="21"/>
                <w:szCs w:val="21"/>
              </w:rPr>
              <w:t> </w:t>
            </w:r>
            <w:r>
              <w:rPr>
                <w:rFonts w:ascii="宋体" w:hAnsi="宋体" w:cs="宋体" w:eastAsia="宋体" w:hint="default"/>
                <w:sz w:val="21"/>
                <w:szCs w:val="21"/>
              </w:rPr>
              <w:t>技</w:t>
            </w:r>
          </w:p>
        </w:tc>
        <w:tc>
          <w:tcPr>
            <w:tcW w:w="756" w:type="dxa"/>
            <w:vMerge/>
            <w:tcBorders>
              <w:left w:val="single" w:sz="4" w:space="0" w:color="000000"/>
              <w:right w:val="single" w:sz="4" w:space="0" w:color="000000"/>
            </w:tcBorders>
          </w:tcPr>
          <w:p>
            <w:pPr/>
          </w:p>
        </w:tc>
        <w:tc>
          <w:tcPr>
            <w:tcW w:w="76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w:t>
            </w:r>
          </w:p>
        </w:tc>
        <w:tc>
          <w:tcPr>
            <w:tcW w:w="671" w:type="dxa"/>
            <w:vMerge/>
            <w:tcBorders>
              <w:left w:val="single" w:sz="4" w:space="0" w:color="000000"/>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
        </w:tc>
        <w:tc>
          <w:tcPr>
            <w:tcW w:w="70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w:t>
            </w:r>
          </w:p>
        </w:tc>
        <w:tc>
          <w:tcPr>
            <w:tcW w:w="738" w:type="dxa"/>
            <w:vMerge/>
            <w:tcBorders>
              <w:left w:val="single" w:sz="4" w:space="0" w:color="000000"/>
              <w:right w:val="single" w:sz="4" w:space="0" w:color="000000"/>
            </w:tcBorders>
          </w:tcPr>
          <w:p>
            <w:pPr/>
          </w:p>
        </w:tc>
      </w:tr>
      <w:tr>
        <w:trPr>
          <w:trHeight w:val="272" w:hRule="exact"/>
        </w:trPr>
        <w:tc>
          <w:tcPr>
            <w:tcW w:w="8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w:t>
            </w:r>
            <w:r>
              <w:rPr>
                <w:rFonts w:ascii="宋体" w:hAnsi="宋体" w:cs="宋体" w:eastAsia="宋体" w:hint="default"/>
                <w:spacing w:val="83"/>
                <w:sz w:val="21"/>
                <w:szCs w:val="21"/>
              </w:rPr>
              <w:t> </w:t>
            </w:r>
            <w:r>
              <w:rPr>
                <w:rFonts w:ascii="宋体" w:hAnsi="宋体" w:cs="宋体" w:eastAsia="宋体" w:hint="default"/>
                <w:sz w:val="21"/>
                <w:szCs w:val="21"/>
              </w:rPr>
              <w:t>发</w:t>
            </w:r>
          </w:p>
        </w:tc>
        <w:tc>
          <w:tcPr>
            <w:tcW w:w="756" w:type="dxa"/>
            <w:vMerge/>
            <w:tcBorders>
              <w:left w:val="single" w:sz="4" w:space="0" w:color="000000"/>
              <w:right w:val="single" w:sz="4" w:space="0" w:color="000000"/>
            </w:tcBorders>
          </w:tcPr>
          <w:p>
            <w:pPr/>
          </w:p>
        </w:tc>
        <w:tc>
          <w:tcPr>
            <w:tcW w:w="760" w:type="dxa"/>
            <w:tcBorders>
              <w:top w:val="nil" w:sz="6" w:space="0" w:color="auto"/>
              <w:left w:val="single" w:sz="4" w:space="0" w:color="000000"/>
              <w:bottom w:val="nil" w:sz="6" w:space="0" w:color="auto"/>
              <w:right w:val="single" w:sz="4" w:space="0" w:color="000000"/>
            </w:tcBorders>
          </w:tcPr>
          <w:p>
            <w:pPr/>
          </w:p>
        </w:tc>
        <w:tc>
          <w:tcPr>
            <w:tcW w:w="671" w:type="dxa"/>
            <w:vMerge/>
            <w:tcBorders>
              <w:left w:val="single" w:sz="4" w:space="0" w:color="000000"/>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
        </w:tc>
        <w:tc>
          <w:tcPr>
            <w:tcW w:w="70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738" w:type="dxa"/>
            <w:vMerge/>
            <w:tcBorders>
              <w:left w:val="single" w:sz="4" w:space="0" w:color="000000"/>
              <w:right w:val="single" w:sz="4" w:space="0" w:color="000000"/>
            </w:tcBorders>
          </w:tcPr>
          <w:p>
            <w:pPr/>
          </w:p>
        </w:tc>
      </w:tr>
      <w:tr>
        <w:trPr>
          <w:trHeight w:val="279" w:hRule="exact"/>
        </w:trPr>
        <w:tc>
          <w:tcPr>
            <w:tcW w:w="82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83"/>
                <w:sz w:val="21"/>
                <w:szCs w:val="21"/>
              </w:rPr>
              <w:t> </w:t>
            </w:r>
            <w:r>
              <w:rPr>
                <w:rFonts w:ascii="宋体" w:hAnsi="宋体" w:cs="宋体" w:eastAsia="宋体" w:hint="default"/>
                <w:sz w:val="21"/>
                <w:szCs w:val="21"/>
              </w:rPr>
              <w:t>深</w:t>
            </w:r>
          </w:p>
        </w:tc>
        <w:tc>
          <w:tcPr>
            <w:tcW w:w="756" w:type="dxa"/>
            <w:vMerge/>
            <w:tcBorders>
              <w:left w:val="single" w:sz="4" w:space="0" w:color="000000"/>
              <w:bottom w:val="single" w:sz="4" w:space="0" w:color="000000"/>
              <w:right w:val="single" w:sz="4" w:space="0" w:color="000000"/>
            </w:tcBorders>
          </w:tcPr>
          <w:p>
            <w:pPr/>
          </w:p>
        </w:tc>
        <w:tc>
          <w:tcPr>
            <w:tcW w:w="760" w:type="dxa"/>
            <w:tcBorders>
              <w:top w:val="nil" w:sz="6" w:space="0" w:color="auto"/>
              <w:left w:val="single" w:sz="4" w:space="0" w:color="000000"/>
              <w:bottom w:val="single" w:sz="4" w:space="0" w:color="000000"/>
              <w:right w:val="single" w:sz="4" w:space="0" w:color="000000"/>
            </w:tcBorders>
          </w:tcPr>
          <w:p>
            <w:pPr/>
          </w:p>
        </w:tc>
        <w:tc>
          <w:tcPr>
            <w:tcW w:w="671" w:type="dxa"/>
            <w:vMerge/>
            <w:tcBorders>
              <w:left w:val="single" w:sz="4" w:space="0" w:color="000000"/>
              <w:bottom w:val="single" w:sz="4" w:space="0" w:color="000000"/>
              <w:right w:val="single" w:sz="4" w:space="0" w:color="000000"/>
            </w:tcBorders>
          </w:tcPr>
          <w:p>
            <w:pPr/>
          </w:p>
        </w:tc>
        <w:tc>
          <w:tcPr>
            <w:tcW w:w="786" w:type="dxa"/>
            <w:tcBorders>
              <w:top w:val="nil" w:sz="6" w:space="0" w:color="auto"/>
              <w:left w:val="single" w:sz="4" w:space="0" w:color="000000"/>
              <w:bottom w:val="single" w:sz="4" w:space="0" w:color="000000"/>
              <w:right w:val="single" w:sz="4" w:space="0" w:color="000000"/>
            </w:tcBorders>
          </w:tcPr>
          <w:p>
            <w:pPr/>
          </w:p>
        </w:tc>
        <w:tc>
          <w:tcPr>
            <w:tcW w:w="707"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70" w:type="dxa"/>
            <w:tcBorders>
              <w:top w:val="nil" w:sz="6" w:space="0" w:color="auto"/>
              <w:left w:val="single" w:sz="4" w:space="0" w:color="000000"/>
              <w:bottom w:val="single" w:sz="4" w:space="0" w:color="000000"/>
              <w:right w:val="single" w:sz="4" w:space="0" w:color="000000"/>
            </w:tcBorders>
          </w:tcPr>
          <w:p>
            <w:pPr/>
          </w:p>
        </w:tc>
        <w:tc>
          <w:tcPr>
            <w:tcW w:w="738" w:type="dxa"/>
            <w:vMerge/>
            <w:tcBorders>
              <w:left w:val="single" w:sz="4" w:space="0" w:color="000000"/>
              <w:bottom w:val="single" w:sz="4" w:space="0" w:color="000000"/>
              <w:right w:val="single" w:sz="4" w:space="0" w:color="000000"/>
            </w:tcBorders>
          </w:tcPr>
          <w:p>
            <w:pPr/>
          </w:p>
        </w:tc>
      </w:tr>
    </w:tbl>
    <w:p>
      <w:pPr>
        <w:spacing w:after="0"/>
        <w:sectPr>
          <w:footerReference w:type="default" r:id="rId134"/>
          <w:pgSz w:w="11910" w:h="16840"/>
          <w:pgMar w:footer="1197" w:header="882"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826"/>
        <w:gridCol w:w="756"/>
        <w:gridCol w:w="760"/>
        <w:gridCol w:w="671"/>
        <w:gridCol w:w="786"/>
        <w:gridCol w:w="707"/>
        <w:gridCol w:w="710"/>
        <w:gridCol w:w="784"/>
        <w:gridCol w:w="775"/>
        <w:gridCol w:w="756"/>
        <w:gridCol w:w="770"/>
        <w:gridCol w:w="738"/>
      </w:tblGrid>
      <w:tr>
        <w:trPr>
          <w:trHeight w:val="827"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圳）有</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3"/>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75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275" w:hRule="exact"/>
        </w:trPr>
        <w:tc>
          <w:tcPr>
            <w:tcW w:w="826"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6"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14,93</w:t>
            </w:r>
          </w:p>
        </w:tc>
        <w:tc>
          <w:tcPr>
            <w:tcW w:w="76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16,63</w:t>
            </w:r>
          </w:p>
        </w:tc>
        <w:tc>
          <w:tcPr>
            <w:tcW w:w="671" w:type="dxa"/>
            <w:vMerge w:val="restart"/>
            <w:tcBorders>
              <w:top w:val="single" w:sz="4" w:space="0" w:color="000000"/>
              <w:left w:val="single" w:sz="4" w:space="0" w:color="000000"/>
              <w:right w:val="single" w:sz="4" w:space="0" w:color="000000"/>
            </w:tcBorders>
          </w:tcPr>
          <w:p>
            <w:pPr/>
          </w:p>
        </w:tc>
        <w:tc>
          <w:tcPr>
            <w:tcW w:w="786"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right="102"/>
              <w:jc w:val="right"/>
              <w:rPr>
                <w:rFonts w:ascii="宋体" w:hAnsi="宋体" w:cs="宋体" w:eastAsia="宋体" w:hint="default"/>
                <w:sz w:val="21"/>
                <w:szCs w:val="21"/>
              </w:rPr>
            </w:pPr>
            <w:r>
              <w:rPr>
                <w:rFonts w:ascii="宋体"/>
                <w:spacing w:val="-1"/>
                <w:sz w:val="21"/>
              </w:rPr>
              <w:t>-3,46</w:t>
            </w:r>
            <w:r>
              <w:rPr>
                <w:rFonts w:ascii="宋体"/>
                <w:sz w:val="21"/>
              </w:rPr>
            </w:r>
          </w:p>
        </w:tc>
        <w:tc>
          <w:tcPr>
            <w:tcW w:w="707"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784" w:type="dxa"/>
            <w:vMerge w:val="restart"/>
            <w:tcBorders>
              <w:top w:val="single" w:sz="4" w:space="0" w:color="000000"/>
              <w:left w:val="single" w:sz="4" w:space="0" w:color="000000"/>
              <w:right w:val="single" w:sz="4" w:space="0" w:color="000000"/>
            </w:tcBorders>
          </w:tcPr>
          <w:p>
            <w:pPr/>
          </w:p>
        </w:tc>
        <w:tc>
          <w:tcPr>
            <w:tcW w:w="775" w:type="dxa"/>
            <w:vMerge w:val="restart"/>
            <w:tcBorders>
              <w:top w:val="single" w:sz="4" w:space="0" w:color="000000"/>
              <w:left w:val="single" w:sz="4" w:space="0" w:color="000000"/>
              <w:right w:val="single" w:sz="4" w:space="0" w:color="000000"/>
            </w:tcBorders>
          </w:tcPr>
          <w:p>
            <w:pPr/>
          </w:p>
        </w:tc>
        <w:tc>
          <w:tcPr>
            <w:tcW w:w="756" w:type="dxa"/>
            <w:vMerge w:val="restart"/>
            <w:tcBorders>
              <w:top w:val="single" w:sz="4" w:space="0" w:color="000000"/>
              <w:left w:val="single" w:sz="4" w:space="0" w:color="000000"/>
              <w:right w:val="single" w:sz="4" w:space="0" w:color="000000"/>
            </w:tcBorders>
          </w:tcPr>
          <w:p>
            <w:pPr/>
          </w:p>
        </w:tc>
        <w:tc>
          <w:tcPr>
            <w:tcW w:w="770"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right="100"/>
              <w:jc w:val="right"/>
              <w:rPr>
                <w:rFonts w:ascii="宋体" w:hAnsi="宋体" w:cs="宋体" w:eastAsia="宋体" w:hint="default"/>
                <w:sz w:val="21"/>
                <w:szCs w:val="21"/>
              </w:rPr>
            </w:pPr>
            <w:r>
              <w:rPr>
                <w:rFonts w:ascii="宋体"/>
                <w:spacing w:val="-1"/>
                <w:sz w:val="21"/>
              </w:rPr>
              <w:t>28,09</w:t>
            </w:r>
          </w:p>
        </w:tc>
        <w:tc>
          <w:tcPr>
            <w:tcW w:w="738" w:type="dxa"/>
            <w:vMerge w:val="restart"/>
            <w:tcBorders>
              <w:top w:val="single" w:sz="4" w:space="0" w:color="000000"/>
              <w:left w:val="single" w:sz="4" w:space="0" w:color="000000"/>
              <w:right w:val="single" w:sz="4" w:space="0" w:color="000000"/>
            </w:tcBorders>
          </w:tcPr>
          <w:p>
            <w:pPr/>
          </w:p>
        </w:tc>
      </w:tr>
      <w:tr>
        <w:trPr>
          <w:trHeight w:val="272" w:hRule="exact"/>
        </w:trPr>
        <w:tc>
          <w:tcPr>
            <w:tcW w:w="826"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0,298</w:t>
            </w:r>
          </w:p>
        </w:tc>
        <w:tc>
          <w:tcPr>
            <w:tcW w:w="76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0,000</w:t>
            </w:r>
          </w:p>
        </w:tc>
        <w:tc>
          <w:tcPr>
            <w:tcW w:w="671" w:type="dxa"/>
            <w:vMerge/>
            <w:tcBorders>
              <w:left w:val="single" w:sz="4" w:space="0" w:color="000000"/>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0,966</w:t>
            </w:r>
          </w:p>
        </w:tc>
        <w:tc>
          <w:tcPr>
            <w:tcW w:w="70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9,332</w:t>
            </w:r>
          </w:p>
        </w:tc>
        <w:tc>
          <w:tcPr>
            <w:tcW w:w="738" w:type="dxa"/>
            <w:vMerge/>
            <w:tcBorders>
              <w:left w:val="single" w:sz="4" w:space="0" w:color="000000"/>
              <w:right w:val="single" w:sz="4" w:space="0" w:color="000000"/>
            </w:tcBorders>
          </w:tcPr>
          <w:p>
            <w:pPr/>
          </w:p>
        </w:tc>
      </w:tr>
      <w:tr>
        <w:trPr>
          <w:trHeight w:val="279" w:hRule="exact"/>
        </w:trPr>
        <w:tc>
          <w:tcPr>
            <w:tcW w:w="826" w:type="dxa"/>
            <w:tcBorders>
              <w:top w:val="nil" w:sz="6" w:space="0" w:color="auto"/>
              <w:left w:val="single" w:sz="4" w:space="0" w:color="000000"/>
              <w:bottom w:val="single" w:sz="4" w:space="0" w:color="000000"/>
              <w:right w:val="single" w:sz="4" w:space="0" w:color="000000"/>
            </w:tcBorders>
          </w:tcPr>
          <w:p>
            <w:pPr/>
          </w:p>
        </w:tc>
        <w:tc>
          <w:tcPr>
            <w:tcW w:w="75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w:t>
            </w:r>
            <w:r>
              <w:rPr>
                <w:rFonts w:ascii="宋体"/>
                <w:sz w:val="21"/>
              </w:rPr>
            </w:r>
          </w:p>
        </w:tc>
        <w:tc>
          <w:tcPr>
            <w:tcW w:w="76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.00</w:t>
            </w:r>
            <w:r>
              <w:rPr>
                <w:rFonts w:ascii="宋体"/>
                <w:sz w:val="21"/>
              </w:rPr>
            </w:r>
          </w:p>
        </w:tc>
        <w:tc>
          <w:tcPr>
            <w:tcW w:w="671" w:type="dxa"/>
            <w:vMerge/>
            <w:tcBorders>
              <w:left w:val="single" w:sz="4" w:space="0" w:color="000000"/>
              <w:bottom w:val="single" w:sz="4" w:space="0" w:color="000000"/>
              <w:right w:val="single" w:sz="4" w:space="0" w:color="000000"/>
            </w:tcBorders>
          </w:tcPr>
          <w:p>
            <w:pPr/>
          </w:p>
        </w:tc>
        <w:tc>
          <w:tcPr>
            <w:tcW w:w="78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w:t>
            </w:r>
          </w:p>
        </w:tc>
        <w:tc>
          <w:tcPr>
            <w:tcW w:w="707"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7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.06</w:t>
            </w:r>
          </w:p>
        </w:tc>
        <w:tc>
          <w:tcPr>
            <w:tcW w:w="738" w:type="dxa"/>
            <w:vMerge/>
            <w:tcBorders>
              <w:left w:val="single" w:sz="4" w:space="0" w:color="000000"/>
              <w:bottom w:val="single" w:sz="4" w:space="0" w:color="000000"/>
              <w:right w:val="single" w:sz="4" w:space="0" w:color="000000"/>
            </w:tcBorders>
          </w:tcPr>
          <w:p>
            <w:pPr/>
          </w:p>
        </w:tc>
      </w:tr>
      <w:tr>
        <w:trPr>
          <w:trHeight w:val="277" w:hRule="exact"/>
        </w:trPr>
        <w:tc>
          <w:tcPr>
            <w:tcW w:w="826" w:type="dxa"/>
            <w:tcBorders>
              <w:top w:val="single" w:sz="4" w:space="0" w:color="000000"/>
              <w:left w:val="single" w:sz="4" w:space="0" w:color="000000"/>
              <w:bottom w:val="nil" w:sz="6" w:space="0" w:color="auto"/>
              <w:right w:val="single" w:sz="4" w:space="0" w:color="000000"/>
            </w:tcBorders>
          </w:tcPr>
          <w:p>
            <w:pPr/>
          </w:p>
        </w:tc>
        <w:tc>
          <w:tcPr>
            <w:tcW w:w="756"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14,93</w:t>
            </w:r>
          </w:p>
        </w:tc>
        <w:tc>
          <w:tcPr>
            <w:tcW w:w="760"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16,63</w:t>
            </w:r>
          </w:p>
        </w:tc>
        <w:tc>
          <w:tcPr>
            <w:tcW w:w="671" w:type="dxa"/>
            <w:vMerge w:val="restart"/>
            <w:tcBorders>
              <w:top w:val="single" w:sz="4" w:space="0" w:color="000000"/>
              <w:left w:val="single" w:sz="4" w:space="0" w:color="000000"/>
              <w:right w:val="single" w:sz="4" w:space="0" w:color="000000"/>
            </w:tcBorders>
          </w:tcPr>
          <w:p>
            <w:pPr/>
          </w:p>
        </w:tc>
        <w:tc>
          <w:tcPr>
            <w:tcW w:w="786"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-3,46</w:t>
            </w:r>
            <w:r>
              <w:rPr>
                <w:rFonts w:ascii="宋体"/>
                <w:sz w:val="21"/>
              </w:rPr>
            </w:r>
          </w:p>
        </w:tc>
        <w:tc>
          <w:tcPr>
            <w:tcW w:w="707"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784" w:type="dxa"/>
            <w:vMerge w:val="restart"/>
            <w:tcBorders>
              <w:top w:val="single" w:sz="4" w:space="0" w:color="000000"/>
              <w:left w:val="single" w:sz="4" w:space="0" w:color="000000"/>
              <w:right w:val="single" w:sz="4" w:space="0" w:color="000000"/>
            </w:tcBorders>
          </w:tcPr>
          <w:p>
            <w:pPr/>
          </w:p>
        </w:tc>
        <w:tc>
          <w:tcPr>
            <w:tcW w:w="775" w:type="dxa"/>
            <w:vMerge w:val="restart"/>
            <w:tcBorders>
              <w:top w:val="single" w:sz="4" w:space="0" w:color="000000"/>
              <w:left w:val="single" w:sz="4" w:space="0" w:color="000000"/>
              <w:right w:val="single" w:sz="4" w:space="0" w:color="000000"/>
            </w:tcBorders>
          </w:tcPr>
          <w:p>
            <w:pPr/>
          </w:p>
        </w:tc>
        <w:tc>
          <w:tcPr>
            <w:tcW w:w="756" w:type="dxa"/>
            <w:vMerge w:val="restart"/>
            <w:tcBorders>
              <w:top w:val="single" w:sz="4" w:space="0" w:color="000000"/>
              <w:left w:val="single" w:sz="4" w:space="0" w:color="000000"/>
              <w:right w:val="single" w:sz="4" w:space="0" w:color="000000"/>
            </w:tcBorders>
          </w:tcPr>
          <w:p>
            <w:pPr/>
          </w:p>
        </w:tc>
        <w:tc>
          <w:tcPr>
            <w:tcW w:w="770"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28,09</w:t>
            </w:r>
          </w:p>
        </w:tc>
        <w:tc>
          <w:tcPr>
            <w:tcW w:w="738" w:type="dxa"/>
            <w:vMerge w:val="restart"/>
            <w:tcBorders>
              <w:top w:val="single" w:sz="4" w:space="0" w:color="000000"/>
              <w:left w:val="single" w:sz="4" w:space="0" w:color="000000"/>
              <w:right w:val="single" w:sz="4" w:space="0" w:color="000000"/>
            </w:tcBorders>
          </w:tcPr>
          <w:p>
            <w:pPr/>
          </w:p>
        </w:tc>
      </w:tr>
      <w:tr>
        <w:trPr>
          <w:trHeight w:val="272" w:hRule="exact"/>
        </w:trPr>
        <w:tc>
          <w:tcPr>
            <w:tcW w:w="8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0,298</w:t>
            </w:r>
          </w:p>
        </w:tc>
        <w:tc>
          <w:tcPr>
            <w:tcW w:w="76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0,000</w:t>
            </w:r>
          </w:p>
        </w:tc>
        <w:tc>
          <w:tcPr>
            <w:tcW w:w="671" w:type="dxa"/>
            <w:vMerge/>
            <w:tcBorders>
              <w:left w:val="single" w:sz="4" w:space="0" w:color="000000"/>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0,966</w:t>
            </w:r>
          </w:p>
        </w:tc>
        <w:tc>
          <w:tcPr>
            <w:tcW w:w="70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9,332</w:t>
            </w:r>
          </w:p>
        </w:tc>
        <w:tc>
          <w:tcPr>
            <w:tcW w:w="738" w:type="dxa"/>
            <w:vMerge/>
            <w:tcBorders>
              <w:left w:val="single" w:sz="4" w:space="0" w:color="000000"/>
              <w:right w:val="single" w:sz="4" w:space="0" w:color="000000"/>
            </w:tcBorders>
          </w:tcPr>
          <w:p>
            <w:pPr/>
          </w:p>
        </w:tc>
      </w:tr>
      <w:tr>
        <w:trPr>
          <w:trHeight w:val="280" w:hRule="exact"/>
        </w:trPr>
        <w:tc>
          <w:tcPr>
            <w:tcW w:w="826" w:type="dxa"/>
            <w:tcBorders>
              <w:top w:val="nil" w:sz="6" w:space="0" w:color="auto"/>
              <w:left w:val="single" w:sz="4" w:space="0" w:color="000000"/>
              <w:bottom w:val="single" w:sz="4" w:space="0" w:color="000000"/>
              <w:right w:val="single" w:sz="4" w:space="0" w:color="000000"/>
            </w:tcBorders>
          </w:tcPr>
          <w:p>
            <w:pPr/>
          </w:p>
        </w:tc>
        <w:tc>
          <w:tcPr>
            <w:tcW w:w="75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w:t>
            </w:r>
            <w:r>
              <w:rPr>
                <w:rFonts w:ascii="宋体"/>
                <w:sz w:val="21"/>
              </w:rPr>
            </w:r>
          </w:p>
        </w:tc>
        <w:tc>
          <w:tcPr>
            <w:tcW w:w="76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.00</w:t>
            </w:r>
            <w:r>
              <w:rPr>
                <w:rFonts w:ascii="宋体"/>
                <w:sz w:val="21"/>
              </w:rPr>
            </w:r>
          </w:p>
        </w:tc>
        <w:tc>
          <w:tcPr>
            <w:tcW w:w="671" w:type="dxa"/>
            <w:vMerge/>
            <w:tcBorders>
              <w:left w:val="single" w:sz="4" w:space="0" w:color="000000"/>
              <w:bottom w:val="single" w:sz="4" w:space="0" w:color="000000"/>
              <w:right w:val="single" w:sz="4" w:space="0" w:color="000000"/>
            </w:tcBorders>
          </w:tcPr>
          <w:p>
            <w:pPr/>
          </w:p>
        </w:tc>
        <w:tc>
          <w:tcPr>
            <w:tcW w:w="78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w:t>
            </w:r>
          </w:p>
        </w:tc>
        <w:tc>
          <w:tcPr>
            <w:tcW w:w="707"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7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.06</w:t>
            </w:r>
          </w:p>
        </w:tc>
        <w:tc>
          <w:tcPr>
            <w:tcW w:w="738" w:type="dxa"/>
            <w:vMerge/>
            <w:tcBorders>
              <w:left w:val="single" w:sz="4" w:space="0" w:color="000000"/>
              <w:bottom w:val="single" w:sz="4" w:space="0" w:color="000000"/>
              <w:right w:val="single" w:sz="4" w:space="0" w:color="000000"/>
            </w:tcBorders>
          </w:tcPr>
          <w:p>
            <w:pPr/>
          </w:p>
        </w:tc>
      </w:tr>
    </w:tbl>
    <w:p>
      <w:pPr>
        <w:spacing w:line="240" w:lineRule="auto" w:before="6"/>
        <w:rPr>
          <w:rFonts w:ascii="Times New Roman" w:hAnsi="Times New Roman" w:cs="Times New Roman" w:eastAsia="Times New Roman" w:hint="default"/>
          <w:sz w:val="17"/>
          <w:szCs w:val="17"/>
        </w:rPr>
      </w:pPr>
    </w:p>
    <w:p>
      <w:pPr>
        <w:pStyle w:val="BodyText"/>
        <w:spacing w:line="240" w:lineRule="auto" w:before="35"/>
        <w:ind w:right="114"/>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a">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114"/>
        <w:jc w:val="left"/>
        <w:rPr>
          <w:b w:val="0"/>
          <w:bCs w:val="0"/>
        </w:rPr>
      </w:pPr>
      <w:r>
        <w:rPr/>
        <w:t>4、</w:t>
      </w:r>
      <w:r>
        <w:rPr>
          <w:spacing w:val="-6"/>
        </w:rPr>
        <w:t> </w:t>
      </w:r>
      <w:r>
        <w:rPr/>
        <w:t>营业收入和营业成本：</w:t>
      </w:r>
      <w:r>
        <w:rPr>
          <w:b w:val="0"/>
          <w:bCs w:val="0"/>
        </w:rPr>
      </w:r>
    </w:p>
    <w:p>
      <w:pPr>
        <w:pStyle w:val="BodyText"/>
        <w:tabs>
          <w:tab w:pos="1049" w:val="left" w:leader="none"/>
        </w:tabs>
        <w:spacing w:line="240" w:lineRule="auto" w:before="57"/>
        <w:ind w:left="0" w:right="231"/>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305"/>
        <w:gridCol w:w="1686"/>
        <w:gridCol w:w="1686"/>
        <w:gridCol w:w="1686"/>
        <w:gridCol w:w="1686"/>
      </w:tblGrid>
      <w:tr>
        <w:trPr>
          <w:trHeight w:val="283" w:hRule="exact"/>
        </w:trPr>
        <w:tc>
          <w:tcPr>
            <w:tcW w:w="2305" w:type="dxa"/>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2305" w:type="dxa"/>
            <w:vMerge/>
            <w:tcBorders>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2"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572,983,660.25</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279,893,366.26</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536,886,484.91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289,684,581.55</w:t>
            </w:r>
            <w:r>
              <w:rPr>
                <w:rFonts w:ascii="宋体"/>
                <w:sz w:val="21"/>
              </w:rPr>
            </w:r>
          </w:p>
        </w:tc>
      </w:tr>
      <w:tr>
        <w:trPr>
          <w:trHeight w:val="283"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29,033,180.80</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8,351,239.73</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28,086,616.16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8,302,441.88</w:t>
            </w:r>
            <w:r>
              <w:rPr>
                <w:rFonts w:ascii="宋体"/>
                <w:sz w:val="21"/>
              </w:rPr>
            </w:r>
          </w:p>
        </w:tc>
      </w:tr>
      <w:tr>
        <w:trPr>
          <w:trHeight w:val="282"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602,016,841.05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288,244,605.99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564,973,101.07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297,987,023.43</w:t>
            </w:r>
          </w:p>
        </w:tc>
      </w:tr>
    </w:tbl>
    <w:p>
      <w:pPr>
        <w:pStyle w:val="BodyText"/>
        <w:spacing w:line="240" w:lineRule="auto" w:before="24"/>
        <w:ind w:right="114"/>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114"/>
        <w:jc w:val="left"/>
        <w:rPr>
          <w:b w:val="0"/>
          <w:bCs w:val="0"/>
        </w:rPr>
      </w:pPr>
      <w:r>
        <w:rPr/>
        <w:t>5、</w:t>
      </w:r>
      <w:r>
        <w:rPr>
          <w:spacing w:val="-3"/>
        </w:rPr>
        <w:t> </w:t>
      </w:r>
      <w:r>
        <w:rPr/>
        <w:t>投资收益</w:t>
      </w:r>
      <w:r>
        <w:rPr>
          <w:b w:val="0"/>
          <w:bCs w:val="0"/>
        </w:rPr>
      </w:r>
    </w:p>
    <w:p>
      <w:pPr>
        <w:pStyle w:val="BodyText"/>
        <w:tabs>
          <w:tab w:pos="1049" w:val="left" w:leader="none"/>
        </w:tabs>
        <w:spacing w:line="240" w:lineRule="auto" w:before="57"/>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4052"/>
        <w:gridCol w:w="2496"/>
        <w:gridCol w:w="2501"/>
      </w:tblGrid>
      <w:tr>
        <w:trPr>
          <w:trHeight w:val="28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13,943,059.46</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13,595,715.40</w:t>
            </w:r>
            <w:r>
              <w:rPr>
                <w:rFonts w:ascii="宋体"/>
                <w:sz w:val="21"/>
              </w:rPr>
            </w:r>
          </w:p>
        </w:tc>
      </w:tr>
      <w:tr>
        <w:trPr>
          <w:trHeight w:val="28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-3,460,966.21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-3,839,847.00</w:t>
            </w:r>
            <w:r>
              <w:rPr>
                <w:rFonts w:ascii="宋体"/>
                <w:sz w:val="21"/>
              </w:rPr>
            </w:r>
          </w:p>
        </w:tc>
      </w:tr>
      <w:tr>
        <w:trPr>
          <w:trHeight w:val="28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1,014,254.44</w:t>
            </w:r>
            <w:r>
              <w:rPr>
                <w:rFonts w:ascii="宋体"/>
                <w:sz w:val="21"/>
              </w:rPr>
            </w: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以公允价值计量且其变动计入当期损益的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处置以公允价值计量且其变动计入当期损</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丧失控制权后，剩余股权按公允价值重新</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2"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2"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10,482,093.25</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10,770,122.84</w:t>
            </w:r>
          </w:p>
        </w:tc>
      </w:tr>
    </w:tbl>
    <w:p>
      <w:pPr>
        <w:spacing w:line="240" w:lineRule="auto" w:before="0"/>
        <w:rPr>
          <w:rFonts w:ascii="宋体" w:hAnsi="宋体" w:cs="宋体" w:eastAsia="宋体" w:hint="default"/>
          <w:sz w:val="20"/>
          <w:szCs w:val="20"/>
        </w:rPr>
      </w:pPr>
    </w:p>
    <w:p>
      <w:pPr>
        <w:pStyle w:val="Heading3"/>
        <w:spacing w:line="240" w:lineRule="auto"/>
        <w:ind w:right="114"/>
        <w:jc w:val="left"/>
        <w:rPr>
          <w:b w:val="0"/>
          <w:bCs w:val="0"/>
        </w:rPr>
      </w:pPr>
      <w:r>
        <w:rPr/>
        <w:t>6、</w:t>
      </w:r>
      <w:r>
        <w:rPr>
          <w:spacing w:val="-4"/>
        </w:rPr>
        <w:t> </w:t>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135"/>
          <w:pgSz w:w="11910" w:h="16840"/>
          <w:pgMar w:footer="1197" w:header="882" w:top="1120" w:bottom="1380" w:left="1580" w:right="1040"/>
          <w:pgNumType w:start="191"/>
        </w:sectPr>
      </w:pPr>
    </w:p>
    <w:p>
      <w:pPr>
        <w:spacing w:line="240" w:lineRule="auto" w:before="3"/>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82" w:footer="1197" w:top="1120" w:bottom="1380" w:left="1580" w:right="1040"/>
        </w:sectPr>
      </w:pPr>
    </w:p>
    <w:p>
      <w:pPr>
        <w:pStyle w:val="Heading3"/>
        <w:tabs>
          <w:tab w:pos="1057" w:val="left" w:leader="none"/>
        </w:tabs>
        <w:spacing w:line="240" w:lineRule="auto"/>
        <w:ind w:right="-17"/>
        <w:jc w:val="left"/>
        <w:rPr>
          <w:b w:val="0"/>
          <w:bCs w:val="0"/>
        </w:rPr>
      </w:pPr>
      <w:r>
        <w:rPr>
          <w:w w:val="95"/>
        </w:rPr>
        <w:t>十四、</w:t>
        <w:tab/>
      </w:r>
      <w:r>
        <w:rPr/>
        <w:t>补充资料</w:t>
      </w:r>
      <w:r>
        <w:rPr>
          <w:b w:val="0"/>
          <w:bCs w:val="0"/>
        </w:rPr>
      </w:r>
    </w:p>
    <w:p>
      <w:pPr>
        <w:pStyle w:val="Heading3"/>
        <w:spacing w:line="240" w:lineRule="auto" w:before="57"/>
        <w:ind w:right="-17"/>
        <w:jc w:val="left"/>
        <w:rPr>
          <w:b w:val="0"/>
          <w:bCs w:val="0"/>
        </w:rPr>
      </w:pPr>
      <w:r>
        <w:rPr/>
        <w:t>1、</w:t>
      </w:r>
      <w:r>
        <w:rPr>
          <w:spacing w:val="-4"/>
        </w:rPr>
        <w:t> </w:t>
      </w:r>
      <w:r>
        <w:rPr/>
        <w:t>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right="0"/>
        <w:jc w:val="left"/>
      </w:pPr>
      <w:r>
        <w:rPr/>
        <w:t>单位：元</w:t>
        <w:tab/>
        <w:t>币种：人民币</w:t>
      </w:r>
    </w:p>
    <w:p>
      <w:pPr>
        <w:spacing w:after="0" w:line="240" w:lineRule="auto"/>
        <w:jc w:val="left"/>
        <w:sectPr>
          <w:type w:val="continuous"/>
          <w:pgSz w:w="11910" w:h="16840"/>
          <w:pgMar w:top="1080" w:bottom="1380" w:left="1580" w:right="1040"/>
          <w:cols w:num="2" w:equalWidth="0">
            <w:col w:w="2958" w:space="3565"/>
            <w:col w:w="2767"/>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4058"/>
        <w:gridCol w:w="2490"/>
        <w:gridCol w:w="2501"/>
      </w:tblGrid>
      <w:tr>
        <w:trPr>
          <w:trHeight w:val="282"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2"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550,649.35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6"/>
              <w:ind w:left="103" w:right="163"/>
              <w:jc w:val="left"/>
              <w:rPr>
                <w:rFonts w:ascii="宋体" w:hAnsi="宋体" w:cs="宋体" w:eastAsia="宋体" w:hint="default"/>
                <w:sz w:val="21"/>
                <w:szCs w:val="21"/>
              </w:rPr>
            </w:pPr>
            <w:r>
              <w:rPr>
                <w:rFonts w:ascii="宋体" w:hAnsi="宋体" w:cs="宋体" w:eastAsia="宋体" w:hint="default"/>
                <w:sz w:val="21"/>
                <w:szCs w:val="21"/>
              </w:rPr>
              <w:t>切相关，按照国家统一标准定额或定量享 受的政府补助除外）</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4,233,450.50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6"/>
              <w:ind w:left="103" w:right="163"/>
              <w:jc w:val="left"/>
              <w:rPr>
                <w:rFonts w:ascii="宋体" w:hAnsi="宋体" w:cs="宋体" w:eastAsia="宋体" w:hint="default"/>
                <w:sz w:val="21"/>
                <w:szCs w:val="21"/>
              </w:rPr>
            </w:pPr>
            <w:r>
              <w:rPr>
                <w:rFonts w:ascii="宋体" w:hAnsi="宋体" w:cs="宋体" w:eastAsia="宋体" w:hint="default"/>
                <w:sz w:val="21"/>
                <w:szCs w:val="21"/>
              </w:rPr>
              <w:t>投资成本小于取得投资时应享有被投资单 位可辨认净资产公允价值产生的收益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72" w:lineRule="exact" w:before="26"/>
              <w:ind w:left="103" w:right="163"/>
              <w:jc w:val="both"/>
              <w:rPr>
                <w:rFonts w:ascii="宋体" w:hAnsi="宋体" w:cs="宋体" w:eastAsia="宋体" w:hint="default"/>
                <w:sz w:val="21"/>
                <w:szCs w:val="21"/>
              </w:rPr>
            </w:pPr>
            <w:r>
              <w:rPr>
                <w:rFonts w:ascii="宋体" w:hAnsi="宋体" w:cs="宋体" w:eastAsia="宋体" w:hint="default"/>
                <w:sz w:val="21"/>
                <w:szCs w:val="21"/>
              </w:rPr>
              <w:t>值业务外，持有交易性金融资产、交易性 金融负债产生的公允价值变动损益，以及 处置交易性金融资产、交易性金融负债和 可供出售金融资产取得的投资收益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57,052.75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8" w:type="dxa"/>
            <w:tcBorders>
              <w:top w:val="single" w:sz="4" w:space="0" w:color="000000"/>
              <w:left w:val="single" w:sz="4" w:space="0" w:color="000000"/>
              <w:bottom w:val="single" w:sz="4" w:space="0" w:color="000000"/>
              <w:right w:val="single" w:sz="4" w:space="0" w:color="000000"/>
            </w:tcBorders>
          </w:tcPr>
          <w:p>
            <w:pP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8" w:type="dxa"/>
            <w:tcBorders>
              <w:top w:val="single" w:sz="4" w:space="0" w:color="000000"/>
              <w:left w:val="single" w:sz="4" w:space="0" w:color="000000"/>
              <w:bottom w:val="single" w:sz="4" w:space="0" w:color="000000"/>
              <w:right w:val="single" w:sz="4" w:space="0" w:color="000000"/>
            </w:tcBorders>
          </w:tcPr>
          <w:p>
            <w:pP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-701,249.99</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-927,512.23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3,212,390.38</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80" w:bottom="1380" w:left="1580" w:right="1040"/>
        </w:sectPr>
      </w:pPr>
    </w:p>
    <w:p>
      <w:pPr>
        <w:spacing w:line="240" w:lineRule="auto" w:before="3"/>
        <w:rPr>
          <w:rFonts w:ascii="宋体" w:hAnsi="宋体" w:cs="宋体" w:eastAsia="宋体" w:hint="default"/>
          <w:sz w:val="25"/>
          <w:szCs w:val="25"/>
        </w:rPr>
      </w:pPr>
    </w:p>
    <w:p>
      <w:pPr>
        <w:pStyle w:val="BodyText"/>
        <w:spacing w:line="274" w:lineRule="exact" w:before="35"/>
        <w:ind w:right="114"/>
        <w:jc w:val="left"/>
      </w:pPr>
      <w:r>
        <w:rPr/>
        <w:t>对公司根据《公开发行证券的公司信息披露解释性公告第</w:t>
      </w:r>
      <w:r>
        <w:rPr>
          <w:spacing w:val="-54"/>
        </w:rPr>
        <w:t> </w:t>
      </w:r>
      <w:r>
        <w:rPr/>
        <w:t>1</w:t>
      </w:r>
      <w:r>
        <w:rPr>
          <w:spacing w:val="-53"/>
        </w:rPr>
        <w:t> </w:t>
      </w:r>
      <w:r>
        <w:rPr/>
        <w:t>号——非经常性损益》定义界定的非</w:t>
      </w:r>
    </w:p>
    <w:p>
      <w:pPr>
        <w:pStyle w:val="BodyText"/>
        <w:spacing w:line="272" w:lineRule="exact" w:before="26"/>
        <w:ind w:right="229"/>
        <w:jc w:val="left"/>
      </w:pPr>
      <w:r>
        <w:rPr/>
        <w:t>经常性损益项目，以及把《公开发行证券的公司信息披露解释性公告第</w:t>
      </w:r>
      <w:r>
        <w:rPr>
          <w:spacing w:val="-54"/>
        </w:rPr>
        <w:t> </w:t>
      </w:r>
      <w:r>
        <w:rPr/>
        <w:t>1</w:t>
      </w:r>
      <w:r>
        <w:rPr>
          <w:spacing w:val="-53"/>
        </w:rPr>
        <w:t> </w:t>
      </w:r>
      <w:r>
        <w:rPr/>
        <w:t>号——非经常性损益》</w:t>
      </w:r>
      <w:r>
        <w:rPr/>
        <w:t> 中列举的非经常性损益项目界定为经常性损益的项目，应说明原因。</w:t>
      </w:r>
    </w:p>
    <w:p>
      <w:pPr>
        <w:pStyle w:val="BodyText"/>
        <w:tabs>
          <w:tab w:pos="1049" w:val="left" w:leader="none"/>
        </w:tabs>
        <w:spacing w:line="248" w:lineRule="exact"/>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4042"/>
        <w:gridCol w:w="2520"/>
        <w:gridCol w:w="2488"/>
      </w:tblGrid>
      <w:tr>
        <w:trPr>
          <w:trHeight w:val="282"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33" w:right="0"/>
              <w:jc w:val="left"/>
              <w:rPr>
                <w:rFonts w:ascii="宋体" w:hAnsi="宋体" w:cs="宋体" w:eastAsia="宋体" w:hint="default"/>
                <w:sz w:val="21"/>
                <w:szCs w:val="21"/>
              </w:rPr>
            </w:pPr>
            <w:r>
              <w:rPr>
                <w:rFonts w:ascii="宋体" w:hAnsi="宋体" w:cs="宋体" w:eastAsia="宋体" w:hint="default"/>
                <w:sz w:val="21"/>
                <w:szCs w:val="21"/>
              </w:rPr>
              <w:t>涉及金额</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282" w:hRule="exact"/>
        </w:trPr>
        <w:tc>
          <w:tcPr>
            <w:tcW w:w="4042"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4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42"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4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ind w:right="114"/>
        <w:jc w:val="left"/>
        <w:rPr>
          <w:b w:val="0"/>
          <w:bCs w:val="0"/>
        </w:rPr>
      </w:pPr>
      <w:r>
        <w:rPr/>
        <w:t>2、</w:t>
      </w:r>
      <w:r>
        <w:rPr>
          <w:spacing w:val="-4"/>
        </w:rPr>
        <w:t> </w:t>
      </w:r>
      <w:r>
        <w:rPr/>
        <w:t>净资产收益率及每股收益</w:t>
      </w:r>
      <w:r>
        <w:rPr>
          <w:b w:val="0"/>
          <w:bCs w:val="0"/>
        </w:rPr>
      </w:r>
    </w:p>
    <w:p>
      <w:pPr>
        <w:spacing w:line="240" w:lineRule="auto" w:before="1"/>
        <w:rPr>
          <w:rFonts w:ascii="宋体" w:hAnsi="宋体" w:cs="宋体" w:eastAsia="宋体" w:hint="default"/>
          <w:b/>
          <w:bCs/>
          <w:sz w:val="7"/>
          <w:szCs w:val="7"/>
        </w:rPr>
      </w:pPr>
    </w:p>
    <w:tbl>
      <w:tblPr>
        <w:tblW w:w="0" w:type="auto"/>
        <w:jc w:val="left"/>
        <w:tblInd w:w="104" w:type="dxa"/>
        <w:tblLayout w:type="fixed"/>
        <w:tblCellMar>
          <w:top w:w="0" w:type="dxa"/>
          <w:left w:w="0" w:type="dxa"/>
          <w:bottom w:w="0" w:type="dxa"/>
          <w:right w:w="0" w:type="dxa"/>
        </w:tblCellMar>
        <w:tblLook w:val="01E0"/>
      </w:tblPr>
      <w:tblGrid>
        <w:gridCol w:w="2914"/>
        <w:gridCol w:w="1842"/>
        <w:gridCol w:w="2146"/>
        <w:gridCol w:w="2148"/>
      </w:tblGrid>
      <w:tr>
        <w:trPr>
          <w:trHeight w:val="282"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49"/>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2" w:type="dxa"/>
            <w:vMerge w:val="restart"/>
            <w:tcBorders>
              <w:top w:val="single" w:sz="4" w:space="0" w:color="000000"/>
              <w:left w:val="single" w:sz="4" w:space="0" w:color="000000"/>
              <w:right w:val="single" w:sz="4" w:space="0" w:color="000000"/>
            </w:tcBorders>
          </w:tcPr>
          <w:p>
            <w:pPr>
              <w:pStyle w:val="TableParagraph"/>
              <w:spacing w:line="272" w:lineRule="exact" w:before="41"/>
              <w:ind w:left="338" w:right="180" w:hanging="159"/>
              <w:jc w:val="left"/>
              <w:rPr>
                <w:rFonts w:ascii="宋体" w:hAnsi="宋体" w:cs="宋体" w:eastAsia="宋体" w:hint="default"/>
                <w:sz w:val="21"/>
                <w:szCs w:val="21"/>
              </w:rPr>
            </w:pPr>
            <w:r>
              <w:rPr>
                <w:rFonts w:ascii="宋体" w:hAnsi="宋体" w:cs="宋体" w:eastAsia="宋体" w:hint="default"/>
                <w:sz w:val="21"/>
                <w:szCs w:val="21"/>
              </w:rPr>
              <w:t>加权平均净资产 收益率（%）</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2"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8"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6"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20.34</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0.58</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0.58</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19.95</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0.57</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0.57</w:t>
            </w:r>
          </w:p>
        </w:tc>
      </w:tr>
    </w:tbl>
    <w:p>
      <w:pPr>
        <w:spacing w:line="240" w:lineRule="auto" w:before="0"/>
        <w:rPr>
          <w:rFonts w:ascii="宋体" w:hAnsi="宋体" w:cs="宋体" w:eastAsia="宋体" w:hint="default"/>
          <w:b/>
          <w:bCs/>
          <w:sz w:val="20"/>
          <w:szCs w:val="20"/>
        </w:rPr>
      </w:pPr>
    </w:p>
    <w:p>
      <w:pPr>
        <w:pStyle w:val="Heading3"/>
        <w:spacing w:line="240" w:lineRule="auto"/>
        <w:ind w:right="114"/>
        <w:jc w:val="left"/>
        <w:rPr>
          <w:b w:val="0"/>
          <w:bCs w:val="0"/>
        </w:rPr>
      </w:pPr>
      <w:r>
        <w:rPr/>
        <w:t>3、</w:t>
      </w:r>
      <w:r>
        <w:rPr>
          <w:spacing w:val="-3"/>
        </w:rPr>
        <w:t> </w:t>
      </w:r>
      <w:r>
        <w:rPr/>
        <w:t>境内外会计准则下会计数据差异</w:t>
      </w:r>
      <w:r>
        <w:rPr>
          <w:b w:val="0"/>
          <w:bCs w:val="0"/>
        </w:rPr>
      </w:r>
    </w:p>
    <w:p>
      <w:pPr>
        <w:pStyle w:val="Heading3"/>
        <w:tabs>
          <w:tab w:pos="861" w:val="left" w:leader="none"/>
        </w:tabs>
        <w:spacing w:line="240" w:lineRule="auto" w:before="57"/>
        <w:ind w:right="114"/>
        <w:jc w:val="left"/>
        <w:rPr>
          <w:b w:val="0"/>
          <w:bCs w:val="0"/>
        </w:rPr>
      </w:pPr>
      <w:r>
        <w:rPr>
          <w:w w:val="95"/>
        </w:rPr>
        <w:t>(1).</w:t>
        <w:tab/>
      </w:r>
      <w:r>
        <w:rPr/>
        <w:t>同时按照国际会计准则与按中国会计准则披露的财务报告中净利润和净资产差异情况</w:t>
      </w:r>
      <w:r>
        <w:rPr>
          <w:b w:val="0"/>
          <w:bCs w:val="0"/>
        </w:rPr>
      </w:r>
    </w:p>
    <w:p>
      <w:pPr>
        <w:pStyle w:val="BodyText"/>
        <w:spacing w:line="240" w:lineRule="auto" w:before="57"/>
        <w:ind w:right="114"/>
        <w:jc w:val="left"/>
      </w:pPr>
      <w:r>
        <w:rPr/>
        <w:t>□适用□不适用</w:t>
      </w:r>
    </w:p>
    <w:p>
      <w:pPr>
        <w:pStyle w:val="BodyText"/>
        <w:tabs>
          <w:tab w:pos="1049" w:val="left" w:leader="none"/>
        </w:tabs>
        <w:spacing w:line="272" w:lineRule="exact"/>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993"/>
        <w:gridCol w:w="1513"/>
        <w:gridCol w:w="1516"/>
        <w:gridCol w:w="1512"/>
        <w:gridCol w:w="1516"/>
      </w:tblGrid>
      <w:tr>
        <w:trPr>
          <w:trHeight w:val="308" w:hRule="exact"/>
        </w:trPr>
        <w:tc>
          <w:tcPr>
            <w:tcW w:w="2993" w:type="dxa"/>
            <w:vMerge w:val="restart"/>
            <w:tcBorders>
              <w:top w:val="single" w:sz="4" w:space="0" w:color="000000"/>
              <w:left w:val="single" w:sz="4" w:space="0" w:color="000000"/>
              <w:right w:val="single" w:sz="4" w:space="0" w:color="000000"/>
            </w:tcBorders>
          </w:tcPr>
          <w:p>
            <w:pPr/>
          </w:p>
        </w:tc>
        <w:tc>
          <w:tcPr>
            <w:tcW w:w="30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净利润</w:t>
            </w:r>
          </w:p>
        </w:tc>
        <w:tc>
          <w:tcPr>
            <w:tcW w:w="3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净资产</w:t>
            </w:r>
          </w:p>
        </w:tc>
      </w:tr>
      <w:tr>
        <w:trPr>
          <w:trHeight w:val="282" w:hRule="exact"/>
        </w:trPr>
        <w:tc>
          <w:tcPr>
            <w:tcW w:w="2993" w:type="dxa"/>
            <w:vMerge/>
            <w:tcBorders>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5"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2"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按中国会计准则</w:t>
            </w:r>
          </w:p>
        </w:tc>
        <w:tc>
          <w:tcPr>
            <w:tcW w:w="1513"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90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按国际会计准则调整的项目及金额：</w:t>
            </w: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93"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按国际会计准则</w:t>
            </w:r>
          </w:p>
        </w:tc>
        <w:tc>
          <w:tcPr>
            <w:tcW w:w="1513"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tabs>
          <w:tab w:pos="861" w:val="left" w:leader="none"/>
        </w:tabs>
        <w:spacing w:line="240" w:lineRule="auto"/>
        <w:ind w:right="114"/>
        <w:jc w:val="left"/>
        <w:rPr>
          <w:b w:val="0"/>
          <w:bCs w:val="0"/>
        </w:rPr>
      </w:pPr>
      <w:r>
        <w:rPr>
          <w:w w:val="95"/>
        </w:rPr>
        <w:t>(2).</w:t>
        <w:tab/>
      </w:r>
      <w:r>
        <w:rPr/>
        <w:t>同时按照境外会计准则与按中国会计准则披露的财务报告中净利润和净资产差异情况</w:t>
      </w:r>
      <w:r>
        <w:rPr>
          <w:b w:val="0"/>
          <w:bCs w:val="0"/>
        </w:rPr>
      </w:r>
    </w:p>
    <w:p>
      <w:pPr>
        <w:pStyle w:val="BodyText"/>
        <w:spacing w:line="240" w:lineRule="auto" w:before="57"/>
        <w:ind w:right="114"/>
        <w:jc w:val="left"/>
      </w:pPr>
      <w:r>
        <w:rPr/>
        <w:t>□适用</w:t>
      </w:r>
      <w:r>
        <w:rPr>
          <w:spacing w:val="-2"/>
        </w:rPr>
        <w:t> </w:t>
      </w:r>
      <w:r>
        <w:rPr/>
        <w:t>□不适用</w:t>
      </w:r>
    </w:p>
    <w:p>
      <w:pPr>
        <w:pStyle w:val="BodyText"/>
        <w:tabs>
          <w:tab w:pos="1049" w:val="left" w:leader="none"/>
        </w:tabs>
        <w:spacing w:line="272" w:lineRule="exact"/>
        <w:ind w:left="0" w:right="231"/>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993"/>
        <w:gridCol w:w="1513"/>
        <w:gridCol w:w="1516"/>
        <w:gridCol w:w="1512"/>
        <w:gridCol w:w="1516"/>
      </w:tblGrid>
      <w:tr>
        <w:trPr>
          <w:trHeight w:val="283" w:hRule="exact"/>
        </w:trPr>
        <w:tc>
          <w:tcPr>
            <w:tcW w:w="2993" w:type="dxa"/>
            <w:vMerge w:val="restart"/>
            <w:tcBorders>
              <w:top w:val="single" w:sz="4" w:space="0" w:color="000000"/>
              <w:left w:val="single" w:sz="4" w:space="0" w:color="000000"/>
              <w:right w:val="single" w:sz="4" w:space="0" w:color="000000"/>
            </w:tcBorders>
          </w:tcPr>
          <w:p>
            <w:pPr/>
          </w:p>
        </w:tc>
        <w:tc>
          <w:tcPr>
            <w:tcW w:w="30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净利润</w:t>
            </w:r>
          </w:p>
        </w:tc>
        <w:tc>
          <w:tcPr>
            <w:tcW w:w="3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净资产</w:t>
            </w:r>
          </w:p>
        </w:tc>
      </w:tr>
      <w:tr>
        <w:trPr>
          <w:trHeight w:val="282" w:hRule="exact"/>
        </w:trPr>
        <w:tc>
          <w:tcPr>
            <w:tcW w:w="2993" w:type="dxa"/>
            <w:vMerge/>
            <w:tcBorders>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5"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2"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按中国会计准则</w:t>
            </w:r>
          </w:p>
        </w:tc>
        <w:tc>
          <w:tcPr>
            <w:tcW w:w="1513"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按境外会计准则调整的项目及金额：</w:t>
            </w:r>
          </w:p>
        </w:tc>
      </w:tr>
      <w:tr>
        <w:trPr>
          <w:trHeight w:val="282" w:hRule="exact"/>
        </w:trPr>
        <w:tc>
          <w:tcPr>
            <w:tcW w:w="2993"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按境外会计准则</w:t>
            </w:r>
          </w:p>
        </w:tc>
        <w:tc>
          <w:tcPr>
            <w:tcW w:w="1513"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3"/>
        <w:tabs>
          <w:tab w:pos="861" w:val="left" w:leader="none"/>
        </w:tabs>
        <w:spacing w:line="272" w:lineRule="exact" w:before="63"/>
        <w:ind w:left="637" w:right="200" w:hanging="420"/>
        <w:jc w:val="left"/>
        <w:rPr>
          <w:b w:val="0"/>
          <w:bCs w:val="0"/>
        </w:rPr>
      </w:pPr>
      <w:r>
        <w:rPr>
          <w:w w:val="95"/>
        </w:rPr>
        <w:t>(3).</w:t>
        <w:tab/>
      </w:r>
      <w:r>
        <w:rPr/>
        <w:t>境内外会计准则下会计数据差异说明，对已经境外审计机构审计的数据进行差异调节的，</w:t>
      </w:r>
      <w:r>
        <w:rPr>
          <w:w w:val="99"/>
        </w:rPr>
        <w:t> </w:t>
      </w:r>
      <w:r>
        <w:rPr/>
        <w:t>应注明该境外机构的名称。</w:t>
      </w:r>
      <w:r>
        <w:rPr>
          <w:b w:val="0"/>
          <w:bCs w:val="0"/>
        </w:rPr>
      </w:r>
    </w:p>
    <w:p>
      <w:pPr>
        <w:spacing w:line="240" w:lineRule="auto" w:before="8"/>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3"/>
        <w:spacing w:line="240" w:lineRule="auto"/>
        <w:ind w:right="114"/>
        <w:jc w:val="left"/>
        <w:rPr>
          <w:b w:val="0"/>
          <w:bCs w:val="0"/>
        </w:rPr>
      </w:pPr>
      <w:r>
        <w:rPr/>
        <w:t>4、</w:t>
      </w:r>
      <w:r>
        <w:rPr>
          <w:spacing w:val="-4"/>
        </w:rPr>
        <w:t> </w:t>
      </w:r>
      <w:r>
        <w:rPr/>
        <w:t>会计政策变更相关补充资料</w:t>
      </w:r>
      <w:r>
        <w:rPr>
          <w:b w:val="0"/>
          <w:bCs w:val="0"/>
        </w:rPr>
      </w:r>
    </w:p>
    <w:p>
      <w:pPr>
        <w:pStyle w:val="BodyText"/>
        <w:spacing w:line="274" w:lineRule="exact" w:before="57"/>
        <w:ind w:right="114"/>
        <w:jc w:val="left"/>
      </w:pPr>
      <w:r>
        <w:rPr/>
        <w:t>√适用</w:t>
      </w:r>
      <w:r>
        <w:rPr>
          <w:spacing w:val="-2"/>
        </w:rPr>
        <w:t> </w:t>
      </w:r>
      <w:r>
        <w:rPr/>
        <w:t>□不适用</w:t>
      </w:r>
    </w:p>
    <w:p>
      <w:pPr>
        <w:pStyle w:val="BodyText"/>
        <w:spacing w:line="272" w:lineRule="exact"/>
        <w:ind w:right="114"/>
        <w:jc w:val="left"/>
      </w:pPr>
      <w:r>
        <w:rPr/>
        <w:t>公司根据财政部</w:t>
      </w:r>
      <w:r>
        <w:rPr>
          <w:spacing w:val="-51"/>
        </w:rPr>
        <w:t> </w:t>
      </w:r>
      <w:r>
        <w:rPr/>
        <w:t>2014</w:t>
      </w:r>
      <w:r>
        <w:rPr>
          <w:spacing w:val="-50"/>
        </w:rPr>
        <w:t> </w:t>
      </w:r>
      <w:r>
        <w:rPr>
          <w:spacing w:val="-5"/>
        </w:rPr>
        <w:t>年发布的《企业会计准则第</w:t>
      </w:r>
      <w:r>
        <w:rPr>
          <w:spacing w:val="-51"/>
        </w:rPr>
        <w:t> </w:t>
      </w:r>
      <w:r>
        <w:rPr/>
        <w:t>2</w:t>
      </w:r>
      <w:r>
        <w:rPr>
          <w:spacing w:val="-50"/>
        </w:rPr>
        <w:t> </w:t>
      </w:r>
      <w:r>
        <w:rPr>
          <w:spacing w:val="-4"/>
        </w:rPr>
        <w:t>号——长期股权投资》等八项会计准则变更了</w:t>
      </w:r>
      <w:r>
        <w:rPr/>
      </w:r>
    </w:p>
    <w:p>
      <w:pPr>
        <w:pStyle w:val="BodyText"/>
        <w:spacing w:line="272" w:lineRule="exact" w:before="26"/>
        <w:ind w:right="114"/>
        <w:jc w:val="left"/>
      </w:pPr>
      <w:r>
        <w:rPr/>
        <w:t>相关会计政策并对比较财务报表进行了追溯重述，重述后的</w:t>
      </w:r>
      <w:r>
        <w:rPr>
          <w:spacing w:val="-57"/>
        </w:rPr>
        <w:t> </w:t>
      </w:r>
      <w:r>
        <w:rPr/>
        <w:t>2013</w:t>
      </w:r>
      <w:r>
        <w:rPr>
          <w:spacing w:val="-56"/>
        </w:rPr>
        <w:t> </w:t>
      </w:r>
      <w:r>
        <w:rPr/>
        <w:t>年</w:t>
      </w:r>
      <w:r>
        <w:rPr>
          <w:spacing w:val="-58"/>
        </w:rPr>
        <w:t> </w:t>
      </w:r>
      <w:r>
        <w:rPr/>
        <w:t>1</w:t>
      </w:r>
      <w:r>
        <w:rPr>
          <w:spacing w:val="-57"/>
        </w:rPr>
        <w:t> </w:t>
      </w:r>
      <w:r>
        <w:rPr/>
        <w:t>月</w:t>
      </w:r>
      <w:r>
        <w:rPr>
          <w:spacing w:val="-57"/>
        </w:rPr>
        <w:t> </w:t>
      </w:r>
      <w:r>
        <w:rPr/>
        <w:t>1</w:t>
      </w:r>
      <w:r>
        <w:rPr>
          <w:spacing w:val="-56"/>
        </w:rPr>
        <w:t> </w:t>
      </w:r>
      <w:r>
        <w:rPr/>
        <w:t>日、2013</w:t>
      </w:r>
      <w:r>
        <w:rPr>
          <w:spacing w:val="-56"/>
        </w:rPr>
        <w:t> </w:t>
      </w:r>
      <w:r>
        <w:rPr/>
        <w:t>年</w:t>
      </w:r>
      <w:r>
        <w:rPr>
          <w:spacing w:val="-58"/>
        </w:rPr>
        <w:t> </w:t>
      </w:r>
      <w:r>
        <w:rPr/>
        <w:t>12</w:t>
      </w:r>
      <w:r>
        <w:rPr>
          <w:spacing w:val="-57"/>
        </w:rPr>
        <w:t> </w:t>
      </w:r>
      <w:r>
        <w:rPr/>
        <w:t>月</w:t>
      </w:r>
      <w:r>
        <w:rPr>
          <w:spacing w:val="-57"/>
        </w:rPr>
        <w:t> </w:t>
      </w:r>
      <w:r>
        <w:rPr/>
        <w:t>31</w:t>
      </w:r>
      <w:r>
        <w:rPr>
          <w:spacing w:val="-1"/>
        </w:rPr>
        <w:t> </w:t>
      </w:r>
      <w:r>
        <w:rPr/>
        <w:t>日合并资产负债表如下：</w:t>
      </w:r>
    </w:p>
    <w:p>
      <w:pPr>
        <w:spacing w:after="0" w:line="272" w:lineRule="exact"/>
        <w:jc w:val="left"/>
        <w:sectPr>
          <w:pgSz w:w="11910" w:h="16840"/>
          <w:pgMar w:header="882" w:footer="1197" w:top="1120" w:bottom="1380" w:left="1580" w:right="1040"/>
        </w:sectPr>
      </w:pPr>
    </w:p>
    <w:p>
      <w:pPr>
        <w:spacing w:line="240" w:lineRule="auto" w:before="3"/>
        <w:rPr>
          <w:rFonts w:ascii="宋体" w:hAnsi="宋体" w:cs="宋体" w:eastAsia="宋体" w:hint="default"/>
          <w:sz w:val="25"/>
          <w:szCs w:val="25"/>
        </w:rPr>
      </w:pPr>
    </w:p>
    <w:p>
      <w:pPr>
        <w:pStyle w:val="BodyText"/>
        <w:tabs>
          <w:tab w:pos="945" w:val="left" w:leader="none"/>
        </w:tabs>
        <w:spacing w:line="240" w:lineRule="auto" w:before="35"/>
        <w:ind w:left="0" w:right="229"/>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794"/>
        <w:gridCol w:w="2086"/>
        <w:gridCol w:w="2084"/>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1"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9"/>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239,696,959.35</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306,279,412.25</w:t>
            </w:r>
            <w:r>
              <w:rPr>
                <w:rFonts w:ascii="宋体"/>
                <w:sz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252,015,410.81</w:t>
            </w:r>
            <w:r>
              <w:rPr>
                <w:rFonts w:ascii="宋体"/>
                <w:sz w:val="21"/>
              </w:rPr>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动计入当期损益的金融资产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600,680.12</w:t>
            </w: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24,885,630.10</w:t>
            </w:r>
            <w:r>
              <w:rPr>
                <w:rFonts w:ascii="宋体"/>
                <w:sz w:val="21"/>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27,360,977.28</w:t>
            </w:r>
            <w:r>
              <w:rPr>
                <w:rFonts w:ascii="宋体"/>
                <w:sz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45,883,593.32</w:t>
            </w:r>
            <w:r>
              <w:rPr>
                <w:rFonts w:ascii="宋体"/>
                <w:sz w:val="21"/>
              </w:rPr>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209,519,881.57</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219,299,313.03</w:t>
            </w:r>
            <w:r>
              <w:rPr>
                <w:rFonts w:ascii="宋体"/>
                <w:sz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203,811,616.66</w:t>
            </w:r>
            <w:r>
              <w:rPr>
                <w:rFonts w:ascii="宋体"/>
                <w:sz w:val="21"/>
              </w:rPr>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49,450,677.08</w:t>
            </w:r>
            <w:r>
              <w:rPr>
                <w:rFonts w:ascii="宋体"/>
                <w:sz w:val="21"/>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42,253,821.98</w:t>
            </w:r>
            <w:r>
              <w:rPr>
                <w:rFonts w:ascii="宋体"/>
                <w:sz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30,599,219.69</w:t>
            </w:r>
            <w:r>
              <w:rPr>
                <w:rFonts w:ascii="宋体"/>
                <w:sz w:val="21"/>
              </w:rPr>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62,666,883.35</w:t>
            </w:r>
            <w:r>
              <w:rPr>
                <w:rFonts w:ascii="宋体"/>
                <w:sz w:val="21"/>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38,910,929.61</w:t>
            </w:r>
            <w:r>
              <w:rPr>
                <w:rFonts w:ascii="宋体"/>
                <w:sz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33,062,546.04</w:t>
            </w:r>
            <w:r>
              <w:rPr>
                <w:rFonts w:ascii="宋体"/>
                <w:sz w:val="21"/>
              </w:rPr>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357,828,565.34</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461,168,501.20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520,710,390.11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一年内到期的非流动资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38,663,012.59</w:t>
            </w:r>
            <w:r>
              <w:rPr>
                <w:rFonts w:ascii="宋体"/>
                <w:sz w:val="21"/>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61,006,477.96</w:t>
            </w:r>
            <w:r>
              <w:rPr>
                <w:rFonts w:ascii="宋体"/>
                <w:sz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41,520,877.70</w:t>
            </w:r>
            <w:r>
              <w:rPr>
                <w:rFonts w:ascii="宋体"/>
                <w:sz w:val="21"/>
              </w:rPr>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983,312,289.50</w:t>
            </w:r>
            <w:r>
              <w:rPr>
                <w:rFonts w:ascii="宋体"/>
                <w:sz w:val="21"/>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1,156,279,433.31</w:t>
            </w:r>
            <w:r>
              <w:rPr>
                <w:rFonts w:ascii="宋体"/>
                <w:sz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1,127,603,654.33</w:t>
            </w:r>
            <w:r>
              <w:rPr>
                <w:rFonts w:ascii="宋体"/>
                <w:sz w:val="21"/>
              </w:rPr>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23"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5,000,000.00</w:t>
            </w:r>
            <w:r>
              <w:rPr>
                <w:rFonts w:ascii="宋体"/>
                <w:sz w:val="21"/>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10,400,000.00</w:t>
            </w:r>
            <w:r>
              <w:rPr>
                <w:rFonts w:ascii="宋体"/>
                <w:sz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35,600,000.00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77,069,801.59</w:t>
            </w:r>
            <w:r>
              <w:rPr>
                <w:rFonts w:ascii="宋体"/>
                <w:sz w:val="21"/>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462,781,544.49</w:t>
            </w:r>
            <w:r>
              <w:rPr>
                <w:rFonts w:ascii="宋体"/>
                <w:sz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506,346,464.60</w:t>
            </w:r>
            <w:r>
              <w:rPr>
                <w:rFonts w:ascii="宋体"/>
                <w:sz w:val="21"/>
              </w:rPr>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24,064,551.84</w:t>
            </w:r>
            <w:r>
              <w:rPr>
                <w:rFonts w:ascii="宋体"/>
                <w:sz w:val="21"/>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14,911,959.28</w:t>
            </w:r>
            <w:r>
              <w:rPr>
                <w:rFonts w:ascii="宋体"/>
                <w:sz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28,080,992.07</w:t>
            </w:r>
            <w:r>
              <w:rPr>
                <w:rFonts w:ascii="宋体"/>
                <w:sz w:val="21"/>
              </w:rPr>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81,209,930.13</w:t>
            </w:r>
            <w:r>
              <w:rPr>
                <w:rFonts w:ascii="宋体"/>
                <w:sz w:val="21"/>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77,866,803.51</w:t>
            </w:r>
            <w:r>
              <w:rPr>
                <w:rFonts w:ascii="宋体"/>
                <w:sz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73,245,693.68</w:t>
            </w:r>
            <w:r>
              <w:rPr>
                <w:rFonts w:ascii="宋体"/>
                <w:sz w:val="21"/>
              </w:rPr>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3,874,704.13</w:t>
            </w:r>
            <w:r>
              <w:rPr>
                <w:rFonts w:ascii="宋体"/>
                <w:sz w:val="21"/>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51,199,440.84</w:t>
            </w:r>
            <w:r>
              <w:rPr>
                <w:rFonts w:ascii="宋体"/>
                <w:sz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77,171,939.66</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14,239,972.85</w:t>
            </w:r>
            <w:r>
              <w:rPr>
                <w:rFonts w:ascii="宋体"/>
                <w:sz w:val="21"/>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21,889,180.78</w:t>
            </w:r>
            <w:r>
              <w:rPr>
                <w:rFonts w:ascii="宋体"/>
                <w:sz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63,034,317.12</w:t>
            </w:r>
            <w:r>
              <w:rPr>
                <w:rFonts w:ascii="宋体"/>
                <w:sz w:val="21"/>
              </w:rPr>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8,676,008.62</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5,852,484.25</w:t>
            </w:r>
            <w:r>
              <w:rPr>
                <w:rFonts w:ascii="宋体"/>
                <w:sz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3,472,820.52</w:t>
            </w:r>
            <w:r>
              <w:rPr>
                <w:rFonts w:ascii="宋体"/>
                <w:sz w:val="21"/>
              </w:rPr>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4,651,941.56</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4,103,147.27</w:t>
            </w:r>
            <w:r>
              <w:rPr>
                <w:rFonts w:ascii="宋体"/>
                <w:sz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4,269,099.96</w:t>
            </w:r>
            <w:r>
              <w:rPr>
                <w:rFonts w:ascii="宋体"/>
                <w:sz w:val="21"/>
              </w:rPr>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218,786,910.72</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649,004,560.42</w:t>
            </w:r>
            <w:r>
              <w:rPr>
                <w:rFonts w:ascii="宋体"/>
                <w:sz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791,221,327.61</w:t>
            </w:r>
            <w:r>
              <w:rPr>
                <w:rFonts w:ascii="宋体"/>
                <w:sz w:val="21"/>
              </w:rPr>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1,202,099,200.22</w:t>
            </w:r>
            <w:r>
              <w:rPr>
                <w:rFonts w:ascii="宋体"/>
                <w:sz w:val="21"/>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1,805,283,993.73</w:t>
            </w:r>
            <w:r>
              <w:rPr>
                <w:rFonts w:ascii="宋体"/>
                <w:sz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1,918,824,981.94</w:t>
            </w:r>
            <w:r>
              <w:rPr>
                <w:rFonts w:ascii="宋体"/>
                <w:sz w:val="21"/>
              </w:rPr>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230,090,433.93</w:t>
            </w:r>
            <w:r>
              <w:rPr>
                <w:rFonts w:ascii="宋体"/>
                <w:sz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155,370,000.00</w:t>
            </w:r>
            <w:r>
              <w:rPr>
                <w:rFonts w:ascii="宋体"/>
                <w:sz w:val="21"/>
              </w:rPr>
            </w:r>
          </w:p>
        </w:tc>
      </w:tr>
    </w:tbl>
    <w:p>
      <w:pPr>
        <w:spacing w:after="0" w:line="240" w:lineRule="exact"/>
        <w:jc w:val="right"/>
        <w:rPr>
          <w:rFonts w:ascii="宋体" w:hAnsi="宋体" w:cs="宋体" w:eastAsia="宋体" w:hint="default"/>
          <w:sz w:val="21"/>
          <w:szCs w:val="21"/>
        </w:rPr>
        <w:sectPr>
          <w:pgSz w:w="11910" w:h="16840"/>
          <w:pgMar w:header="882" w:footer="1197"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2794"/>
        <w:gridCol w:w="2086"/>
        <w:gridCol w:w="2084"/>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动计入当期损益的金融负债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12,009,726.00</w:t>
            </w:r>
            <w:r>
              <w:rPr>
                <w:rFonts w:ascii="宋体"/>
                <w:sz w:val="21"/>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10,106,598.00</w:t>
            </w:r>
            <w:r>
              <w:rPr>
                <w:rFonts w:ascii="宋体"/>
                <w:sz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11,800,929.00</w:t>
            </w:r>
            <w:r>
              <w:rPr>
                <w:rFonts w:ascii="宋体"/>
                <w:sz w:val="21"/>
              </w:rPr>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218,055,693.37</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253,112,377.07</w:t>
            </w:r>
            <w:r>
              <w:rPr>
                <w:rFonts w:ascii="宋体"/>
                <w:sz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336,612,097.22</w:t>
            </w:r>
            <w:r>
              <w:rPr>
                <w:rFonts w:ascii="宋体"/>
                <w:sz w:val="21"/>
              </w:rPr>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232,571,451.40</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267,933,988.72</w:t>
            </w:r>
            <w:r>
              <w:rPr>
                <w:rFonts w:ascii="宋体"/>
                <w:sz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198,732,838.26</w:t>
            </w:r>
            <w:r>
              <w:rPr>
                <w:rFonts w:ascii="宋体"/>
                <w:sz w:val="21"/>
              </w:rPr>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46,054,853.99</w:t>
            </w:r>
            <w:r>
              <w:rPr>
                <w:rFonts w:ascii="宋体"/>
                <w:sz w:val="21"/>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77,496,017.15</w:t>
            </w:r>
            <w:r>
              <w:rPr>
                <w:rFonts w:ascii="宋体"/>
                <w:sz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106,114,070.11</w:t>
            </w:r>
            <w:r>
              <w:rPr>
                <w:rFonts w:ascii="宋体"/>
                <w:sz w:val="21"/>
              </w:rPr>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13,606,587.08</w:t>
            </w:r>
            <w:r>
              <w:rPr>
                <w:rFonts w:ascii="宋体"/>
                <w:sz w:val="21"/>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16,661,567.00</w:t>
            </w:r>
            <w:r>
              <w:rPr>
                <w:rFonts w:ascii="宋体"/>
                <w:sz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34,618,492.20</w:t>
            </w:r>
            <w:r>
              <w:rPr>
                <w:rFonts w:ascii="宋体"/>
                <w:sz w:val="21"/>
              </w:rPr>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57,500.00</w:t>
            </w:r>
            <w:r>
              <w:rPr>
                <w:rFonts w:ascii="宋体"/>
                <w:sz w:val="21"/>
              </w:rPr>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23,875,926.07</w:t>
            </w:r>
            <w:r>
              <w:rPr>
                <w:rFonts w:ascii="宋体"/>
                <w:sz w:val="21"/>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103,054,701.42</w:t>
            </w:r>
            <w:r>
              <w:rPr>
                <w:rFonts w:ascii="宋体"/>
                <w:sz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67,001,990.99</w:t>
            </w:r>
            <w:r>
              <w:rPr>
                <w:rFonts w:ascii="宋体"/>
                <w:sz w:val="21"/>
              </w:rPr>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一年内到期的非流动负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546,174,237.91</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958,455,683.29</w:t>
            </w:r>
            <w:r>
              <w:rPr>
                <w:rFonts w:ascii="宋体"/>
                <w:sz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910,307,917.78</w:t>
            </w:r>
            <w:r>
              <w:rPr>
                <w:rFonts w:ascii="宋体"/>
                <w:sz w:val="21"/>
              </w:rPr>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40,000,000.00</w:t>
            </w:r>
            <w:r>
              <w:rPr>
                <w:rFonts w:ascii="宋体"/>
                <w:sz w:val="21"/>
              </w:rPr>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15,794,133.34</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54,575,551.11</w:t>
            </w:r>
            <w:r>
              <w:rPr>
                <w:rFonts w:ascii="宋体"/>
                <w:sz w:val="21"/>
              </w:rPr>
            </w: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14,650,827.06</w:t>
            </w:r>
            <w:r>
              <w:rPr>
                <w:rFonts w:ascii="宋体"/>
                <w:sz w:val="21"/>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13,600,000.00</w:t>
            </w:r>
            <w:r>
              <w:rPr>
                <w:rFonts w:ascii="宋体"/>
                <w:sz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12,366,666.28</w:t>
            </w:r>
            <w:r>
              <w:rPr>
                <w:rFonts w:ascii="宋体"/>
                <w:sz w:val="21"/>
              </w:rPr>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14,634,375.45</w:t>
            </w:r>
            <w:r>
              <w:rPr>
                <w:rFonts w:ascii="宋体"/>
                <w:sz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18,191,397.30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30,444,960.40</w:t>
            </w:r>
            <w:r>
              <w:rPr>
                <w:rFonts w:ascii="宋体"/>
                <w:sz w:val="21"/>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82,809,926.56</w:t>
            </w:r>
            <w:r>
              <w:rPr>
                <w:rFonts w:ascii="宋体"/>
                <w:sz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70,558,063.58</w:t>
            </w:r>
            <w:r>
              <w:rPr>
                <w:rFonts w:ascii="宋体"/>
                <w:sz w:val="21"/>
              </w:rPr>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5"/>
              <w:jc w:val="center"/>
              <w:rPr>
                <w:rFonts w:ascii="宋体" w:hAnsi="宋体" w:cs="宋体" w:eastAsia="宋体" w:hint="default"/>
                <w:sz w:val="21"/>
                <w:szCs w:val="21"/>
              </w:rPr>
            </w:pPr>
            <w:r>
              <w:rPr>
                <w:rFonts w:ascii="宋体" w:hAnsi="宋体" w:cs="宋体" w:eastAsia="宋体" w:hint="default"/>
                <w:sz w:val="21"/>
                <w:szCs w:val="21"/>
              </w:rPr>
              <w:t>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576,619,198.31</w:t>
            </w:r>
            <w:r>
              <w:rPr>
                <w:rFonts w:ascii="宋体"/>
                <w:sz w:val="21"/>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1,041,265,609.85</w:t>
            </w:r>
            <w:r>
              <w:rPr>
                <w:rFonts w:ascii="宋体"/>
                <w:sz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980,865,981.36</w:t>
            </w:r>
            <w:r>
              <w:rPr>
                <w:rFonts w:ascii="宋体"/>
                <w:sz w:val="21"/>
              </w:rPr>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261,136,000.00</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262,605,000.00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265,635,500.00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2"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17,796,859.80</w:t>
            </w:r>
            <w:r>
              <w:rPr>
                <w:rFonts w:ascii="宋体"/>
                <w:sz w:val="21"/>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30,393,764.14</w:t>
            </w:r>
            <w:r>
              <w:rPr>
                <w:rFonts w:ascii="宋体"/>
                <w:sz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50,984,909.98</w:t>
            </w:r>
            <w:r>
              <w:rPr>
                <w:rFonts w:ascii="宋体"/>
                <w:sz w:val="21"/>
              </w:rPr>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47,837,289.29</w:t>
            </w:r>
            <w:r>
              <w:rPr>
                <w:rFonts w:ascii="宋体"/>
                <w:sz w:val="21"/>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57,777,943.59</w:t>
            </w:r>
            <w:r>
              <w:rPr>
                <w:rFonts w:ascii="宋体"/>
                <w:sz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71,681,632.56</w:t>
            </w:r>
            <w:r>
              <w:rPr>
                <w:rFonts w:ascii="宋体"/>
                <w:sz w:val="21"/>
              </w:rPr>
            </w:r>
          </w:p>
        </w:tc>
      </w:tr>
    </w:tbl>
    <w:p>
      <w:pPr>
        <w:spacing w:after="0" w:line="240" w:lineRule="exact"/>
        <w:jc w:val="right"/>
        <w:rPr>
          <w:rFonts w:ascii="宋体" w:hAnsi="宋体" w:cs="宋体" w:eastAsia="宋体" w:hint="default"/>
          <w:sz w:val="21"/>
          <w:szCs w:val="21"/>
        </w:rPr>
        <w:sectPr>
          <w:pgSz w:w="11910" w:h="16840"/>
          <w:pgMar w:header="882" w:footer="1197"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2794"/>
        <w:gridCol w:w="2086"/>
        <w:gridCol w:w="2084"/>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240,308,987.26</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332,264,489.55</w:t>
            </w:r>
            <w:r>
              <w:rPr>
                <w:rFonts w:ascii="宋体"/>
                <w:sz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449,654,957.00</w:t>
            </w:r>
            <w:r>
              <w:rPr>
                <w:rFonts w:ascii="宋体"/>
                <w:sz w:val="21"/>
              </w:rPr>
            </w:r>
          </w:p>
        </w:tc>
      </w:tr>
      <w:tr>
        <w:trPr>
          <w:trHeight w:val="556"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567,079,136.35</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683,041,197.28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837,956,999.54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58,400,865.56</w:t>
            </w:r>
            <w:r>
              <w:rPr>
                <w:rFonts w:ascii="宋体"/>
                <w:sz w:val="21"/>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80,977,186.60</w:t>
            </w:r>
            <w:r>
              <w:rPr>
                <w:rFonts w:ascii="宋体"/>
                <w:sz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100,002,001.04</w:t>
            </w:r>
            <w:r>
              <w:rPr>
                <w:rFonts w:ascii="宋体"/>
                <w:sz w:val="21"/>
              </w:rPr>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625,480,001.91</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764,018,383.88</w:t>
            </w:r>
            <w:r>
              <w:rPr>
                <w:rFonts w:ascii="宋体"/>
                <w:sz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937,959,000.58</w:t>
            </w:r>
            <w:r>
              <w:rPr>
                <w:rFonts w:ascii="宋体"/>
                <w:sz w:val="21"/>
              </w:rPr>
            </w:r>
          </w:p>
        </w:tc>
      </w:tr>
      <w:tr>
        <w:trPr>
          <w:trHeight w:val="556"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3"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1,202,099,200.22</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1,805,283,993.73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1,918,824,981.94</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6"/>
          <w:szCs w:val="26"/>
        </w:rPr>
      </w:pPr>
    </w:p>
    <w:p>
      <w:pPr>
        <w:pStyle w:val="Heading3"/>
        <w:spacing w:line="240" w:lineRule="auto"/>
        <w:ind w:right="114"/>
        <w:jc w:val="left"/>
        <w:rPr>
          <w:b w:val="0"/>
          <w:bCs w:val="0"/>
        </w:rPr>
      </w:pPr>
      <w:r>
        <w:rPr/>
        <w:t>5、</w:t>
      </w:r>
      <w:r>
        <w:rPr>
          <w:spacing w:val="-3"/>
        </w:rPr>
        <w:t> </w:t>
      </w:r>
      <w:r>
        <w:rPr/>
        <w:t>其他</w:t>
      </w:r>
      <w:r>
        <w:rPr>
          <w:b w:val="0"/>
          <w:bCs w:val="0"/>
        </w:rPr>
      </w:r>
    </w:p>
    <w:p>
      <w:pPr>
        <w:spacing w:line="240" w:lineRule="auto" w:before="3"/>
        <w:rPr>
          <w:rFonts w:ascii="宋体" w:hAnsi="宋体" w:cs="宋体" w:eastAsia="宋体" w:hint="default"/>
          <w:b/>
          <w:bCs/>
          <w:sz w:val="18"/>
          <w:szCs w:val="18"/>
        </w:rPr>
      </w:pPr>
    </w:p>
    <w:p>
      <w:pPr>
        <w:pStyle w:val="Heading3"/>
        <w:tabs>
          <w:tab w:pos="1477" w:val="left" w:leader="none"/>
        </w:tabs>
        <w:spacing w:line="240" w:lineRule="auto" w:before="0"/>
        <w:ind w:left="639" w:right="114"/>
        <w:jc w:val="left"/>
        <w:rPr>
          <w:b w:val="0"/>
          <w:bCs w:val="0"/>
        </w:rPr>
      </w:pPr>
      <w:r>
        <w:rPr>
          <w:w w:val="95"/>
        </w:rPr>
        <w:t>（一）</w:t>
        <w:tab/>
      </w:r>
      <w:r>
        <w:rPr/>
        <w:t>公司主要会计报表项目的变动情况及原因说明</w:t>
      </w:r>
      <w:r>
        <w:rPr>
          <w:b w:val="0"/>
          <w:bCs w:val="0"/>
        </w:rPr>
      </w:r>
    </w:p>
    <w:p>
      <w:pPr>
        <w:spacing w:line="240" w:lineRule="auto" w:before="5"/>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882" w:footer="1197" w:top="1120" w:bottom="1380" w:left="1580" w:right="1040"/>
        </w:sectPr>
      </w:pPr>
    </w:p>
    <w:p>
      <w:pPr>
        <w:tabs>
          <w:tab w:pos="2115" w:val="left" w:leader="none"/>
        </w:tabs>
        <w:spacing w:line="295" w:lineRule="exact" w:before="44"/>
        <w:ind w:left="217" w:right="-20" w:firstLine="0"/>
        <w:jc w:val="left"/>
        <w:rPr>
          <w:rFonts w:ascii="宋体" w:hAnsi="宋体" w:cs="宋体" w:eastAsia="宋体" w:hint="default"/>
          <w:sz w:val="18"/>
          <w:szCs w:val="18"/>
        </w:rPr>
      </w:pPr>
      <w:r>
        <w:rPr/>
        <w:pict>
          <v:group style="position:absolute;margin-left:87.029999pt;margin-top:2.212307pt;width:447.35pt;height:481.7pt;mso-position-horizontal-relative:page;mso-position-vertical-relative:paragraph;z-index:-1223224" coordorigin="1741,44" coordsize="8947,9634">
            <v:group style="position:absolute;left:1770;top:59;width:8889;height:2" coordorigin="1770,59" coordsize="8889,2">
              <v:shape style="position:absolute;left:1770;top:59;width:8889;height:2" coordorigin="1770,59" coordsize="8889,0" path="m1770,59l10658,59e" filled="false" stroked="true" strokeweight="1.5pt" strokecolor="#000000">
                <v:path arrowok="t"/>
              </v:shape>
              <v:shape style="position:absolute;left:3272;top:45;width:4132;height:524" type="#_x0000_t75" stroked="false">
                <v:imagedata r:id="rId136" o:title=""/>
              </v:shape>
            </v:group>
            <v:group style="position:absolute;left:1756;top:9663;width:1546;height:2" coordorigin="1756,9663" coordsize="1546,2">
              <v:shape style="position:absolute;left:1756;top:9663;width:1546;height:2" coordorigin="1756,9663" coordsize="1546,0" path="m1756,9663l3301,9663e" filled="false" stroked="true" strokeweight="1.5pt" strokecolor="#000000">
                <v:path arrowok="t"/>
              </v:shape>
            </v:group>
            <v:group style="position:absolute;left:3301;top:9663;width:1505;height:2" coordorigin="3301,9663" coordsize="1505,2">
              <v:shape style="position:absolute;left:3301;top:9663;width:1505;height:2" coordorigin="3301,9663" coordsize="1505,0" path="m3301,9663l4806,9663e" filled="false" stroked="true" strokeweight="1.5pt" strokecolor="#000000">
                <v:path arrowok="t"/>
              </v:shape>
            </v:group>
            <v:group style="position:absolute;left:4806;top:9663;width:1506;height:2" coordorigin="4806,9663" coordsize="1506,2">
              <v:shape style="position:absolute;left:4806;top:9663;width:1506;height:2" coordorigin="4806,9663" coordsize="1506,0" path="m4806,9663l6312,9663e" filled="false" stroked="true" strokeweight="1.5pt" strokecolor="#000000">
                <v:path arrowok="t"/>
              </v:shape>
            </v:group>
            <v:group style="position:absolute;left:6312;top:9663;width:1054;height:2" coordorigin="6312,9663" coordsize="1054,2">
              <v:shape style="position:absolute;left:6312;top:9663;width:1054;height:2" coordorigin="6312,9663" coordsize="1054,0" path="m6312,9663l7366,9663e" filled="false" stroked="true" strokeweight="1.5pt" strokecolor="#000000">
                <v:path arrowok="t"/>
              </v:shape>
              <v:shape style="position:absolute;left:1741;top:512;width:8946;height:9136" type="#_x0000_t75" stroked="false">
                <v:imagedata r:id="rId137" o:title=""/>
              </v:shape>
            </v:group>
            <v:group style="position:absolute;left:7366;top:9663;width:3293;height:2" coordorigin="7366,9663" coordsize="3293,2">
              <v:shape style="position:absolute;left:7366;top:9663;width:3293;height:2" coordorigin="7366,9663" coordsize="3293,0" path="m7366,9663l10658,9663e" filled="false" stroked="true" strokeweight="1.5pt" strokecolor="#000000">
                <v:path arrowok="t"/>
              </v:shape>
            </v:group>
            <w10:wrap type="none"/>
          </v:group>
        </w:pict>
      </w:r>
      <w:r>
        <w:rPr>
          <w:rFonts w:ascii="宋体" w:hAnsi="宋体" w:cs="宋体" w:eastAsia="宋体" w:hint="default"/>
          <w:position w:val="-11"/>
          <w:sz w:val="18"/>
          <w:szCs w:val="18"/>
        </w:rPr>
        <w:t>报表项目</w:t>
        <w:tab/>
      </w:r>
      <w:r>
        <w:rPr>
          <w:rFonts w:ascii="宋体" w:hAnsi="宋体" w:cs="宋体" w:eastAsia="宋体" w:hint="default"/>
          <w:sz w:val="18"/>
          <w:szCs w:val="18"/>
        </w:rPr>
        <w:t>期末余额</w:t>
      </w:r>
    </w:p>
    <w:p>
      <w:pPr>
        <w:spacing w:line="175" w:lineRule="exact" w:before="0"/>
        <w:ind w:left="1846" w:right="-20" w:firstLine="0"/>
        <w:jc w:val="left"/>
        <w:rPr>
          <w:rFonts w:ascii="宋体" w:hAnsi="宋体" w:cs="宋体" w:eastAsia="宋体" w:hint="default"/>
          <w:sz w:val="18"/>
          <w:szCs w:val="18"/>
        </w:rPr>
      </w:pPr>
      <w:r>
        <w:rPr>
          <w:rFonts w:ascii="宋体" w:hAnsi="宋体" w:cs="宋体" w:eastAsia="宋体" w:hint="default"/>
          <w:sz w:val="18"/>
          <w:szCs w:val="18"/>
        </w:rPr>
        <w:t>（或本期金额）</w:t>
      </w:r>
    </w:p>
    <w:p>
      <w:pPr>
        <w:spacing w:line="176" w:lineRule="exact" w:before="44"/>
        <w:ind w:left="477" w:right="216" w:firstLine="0"/>
        <w:jc w:val="left"/>
        <w:rPr>
          <w:rFonts w:ascii="宋体" w:hAnsi="宋体" w:cs="宋体" w:eastAsia="宋体" w:hint="default"/>
          <w:sz w:val="18"/>
          <w:szCs w:val="18"/>
        </w:rPr>
      </w:pPr>
      <w:r>
        <w:rPr/>
        <w:br w:type="column"/>
      </w:r>
      <w:r>
        <w:rPr>
          <w:rFonts w:ascii="宋体" w:hAnsi="宋体" w:cs="宋体" w:eastAsia="宋体" w:hint="default"/>
          <w:sz w:val="18"/>
          <w:szCs w:val="18"/>
        </w:rPr>
        <w:t>期初余额</w:t>
      </w:r>
    </w:p>
    <w:p>
      <w:pPr>
        <w:tabs>
          <w:tab w:pos="1757" w:val="left" w:leader="none"/>
          <w:tab w:pos="3927" w:val="left" w:leader="none"/>
        </w:tabs>
        <w:spacing w:line="296" w:lineRule="exact" w:before="0"/>
        <w:ind w:left="207" w:right="216" w:firstLine="0"/>
        <w:jc w:val="left"/>
        <w:rPr>
          <w:rFonts w:ascii="宋体" w:hAnsi="宋体" w:cs="宋体" w:eastAsia="宋体" w:hint="default"/>
          <w:sz w:val="18"/>
          <w:szCs w:val="18"/>
        </w:rPr>
      </w:pPr>
      <w:r>
        <w:rPr>
          <w:rFonts w:ascii="宋体" w:hAnsi="宋体" w:cs="宋体" w:eastAsia="宋体" w:hint="default"/>
          <w:position w:val="-11"/>
          <w:sz w:val="18"/>
          <w:szCs w:val="18"/>
        </w:rPr>
        <w:t>（或上期金额）</w:t>
        <w:tab/>
      </w:r>
      <w:r>
        <w:rPr>
          <w:rFonts w:ascii="宋体" w:hAnsi="宋体" w:cs="宋体" w:eastAsia="宋体" w:hint="default"/>
          <w:sz w:val="18"/>
          <w:szCs w:val="18"/>
        </w:rPr>
        <w:t>变动比率</w:t>
        <w:tab/>
        <w:t>变动原因</w:t>
      </w:r>
    </w:p>
    <w:p>
      <w:pPr>
        <w:spacing w:line="158" w:lineRule="auto" w:before="76"/>
        <w:ind w:left="2671" w:right="216" w:hanging="416"/>
        <w:jc w:val="left"/>
        <w:rPr>
          <w:rFonts w:ascii="宋体" w:hAnsi="宋体" w:cs="宋体" w:eastAsia="宋体" w:hint="default"/>
          <w:sz w:val="18"/>
          <w:szCs w:val="18"/>
        </w:rPr>
      </w:pPr>
      <w:r>
        <w:rPr/>
        <w:pict>
          <v:shape style="position:absolute;margin-left:88.129997pt;margin-top:8.88303pt;width:228.05pt;height:308.6pt;mso-position-horizontal-relative:page;mso-position-vertical-relative:paragraph;z-index:7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37"/>
                    <w:gridCol w:w="1705"/>
                    <w:gridCol w:w="1419"/>
                  </w:tblGrid>
                  <w:tr>
                    <w:trPr>
                      <w:trHeight w:val="296" w:hRule="exact"/>
                    </w:trPr>
                    <w:tc>
                      <w:tcPr>
                        <w:tcW w:w="143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05" w:type="dxa"/>
                        <w:tcBorders>
                          <w:top w:val="nil" w:sz="6" w:space="0" w:color="auto"/>
                          <w:left w:val="nil" w:sz="6" w:space="0" w:color="auto"/>
                          <w:bottom w:val="nil" w:sz="6" w:space="0" w:color="auto"/>
                          <w:right w:val="nil" w:sz="6" w:space="0" w:color="auto"/>
                        </w:tcBorders>
                      </w:tcPr>
                      <w:p>
                        <w:pPr>
                          <w:pStyle w:val="TableParagraph"/>
                          <w:spacing w:line="180" w:lineRule="exact"/>
                          <w:ind w:right="121"/>
                          <w:jc w:val="right"/>
                          <w:rPr>
                            <w:rFonts w:ascii="宋体" w:hAnsi="宋体" w:cs="宋体" w:eastAsia="宋体" w:hint="default"/>
                            <w:sz w:val="18"/>
                            <w:szCs w:val="18"/>
                          </w:rPr>
                        </w:pPr>
                        <w:r>
                          <w:rPr>
                            <w:rFonts w:ascii="宋体"/>
                            <w:sz w:val="18"/>
                          </w:rPr>
                          <w:t>252,015,410.81</w:t>
                        </w:r>
                      </w:p>
                    </w:tc>
                    <w:tc>
                      <w:tcPr>
                        <w:tcW w:w="1419"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sz w:val="18"/>
                          </w:rPr>
                          <w:t>306,279,412.25</w:t>
                        </w:r>
                      </w:p>
                    </w:tc>
                  </w:tr>
                  <w:tr>
                    <w:trPr>
                      <w:trHeight w:val="382" w:hRule="exact"/>
                    </w:trPr>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21"/>
                          <w:jc w:val="right"/>
                          <w:rPr>
                            <w:rFonts w:ascii="宋体" w:hAnsi="宋体" w:cs="宋体" w:eastAsia="宋体" w:hint="default"/>
                            <w:sz w:val="18"/>
                            <w:szCs w:val="18"/>
                          </w:rPr>
                        </w:pPr>
                        <w:r>
                          <w:rPr>
                            <w:rFonts w:ascii="宋体"/>
                            <w:sz w:val="18"/>
                          </w:rPr>
                          <w:t>45,883,593.32</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宋体" w:hAnsi="宋体" w:cs="宋体" w:eastAsia="宋体" w:hint="default"/>
                            <w:sz w:val="18"/>
                            <w:szCs w:val="18"/>
                          </w:rPr>
                        </w:pPr>
                        <w:r>
                          <w:rPr>
                            <w:rFonts w:ascii="宋体"/>
                            <w:sz w:val="18"/>
                          </w:rPr>
                          <w:t>27,360,977.28</w:t>
                        </w:r>
                      </w:p>
                    </w:tc>
                  </w:tr>
                  <w:tr>
                    <w:trPr>
                      <w:trHeight w:val="440" w:hRule="exact"/>
                    </w:trPr>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21"/>
                          <w:jc w:val="right"/>
                          <w:rPr>
                            <w:rFonts w:ascii="宋体" w:hAnsi="宋体" w:cs="宋体" w:eastAsia="宋体" w:hint="default"/>
                            <w:sz w:val="18"/>
                            <w:szCs w:val="18"/>
                          </w:rPr>
                        </w:pPr>
                        <w:r>
                          <w:rPr>
                            <w:rFonts w:ascii="宋体"/>
                            <w:sz w:val="18"/>
                          </w:rPr>
                          <w:t>41,520,877.70</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61,006,477.96</w:t>
                        </w:r>
                      </w:p>
                    </w:tc>
                  </w:tr>
                  <w:tr>
                    <w:trPr>
                      <w:trHeight w:val="562" w:hRule="exact"/>
                    </w:trPr>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3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21"/>
                          <w:jc w:val="right"/>
                          <w:rPr>
                            <w:rFonts w:ascii="宋体" w:hAnsi="宋体" w:cs="宋体" w:eastAsia="宋体" w:hint="default"/>
                            <w:sz w:val="18"/>
                            <w:szCs w:val="18"/>
                          </w:rPr>
                        </w:pPr>
                        <w:r>
                          <w:rPr>
                            <w:rFonts w:ascii="宋体"/>
                            <w:sz w:val="18"/>
                          </w:rPr>
                          <w:t>77,171,939.66</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宋体" w:hAnsi="宋体" w:cs="宋体" w:eastAsia="宋体" w:hint="default"/>
                            <w:sz w:val="18"/>
                            <w:szCs w:val="18"/>
                          </w:rPr>
                        </w:pPr>
                        <w:r>
                          <w:rPr>
                            <w:rFonts w:ascii="宋体"/>
                            <w:sz w:val="18"/>
                          </w:rPr>
                          <w:t>51,199,440.84</w:t>
                        </w:r>
                      </w:p>
                    </w:tc>
                  </w:tr>
                  <w:tr>
                    <w:trPr>
                      <w:trHeight w:val="503" w:hRule="exact"/>
                    </w:trPr>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3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21"/>
                          <w:jc w:val="right"/>
                          <w:rPr>
                            <w:rFonts w:ascii="宋体" w:hAnsi="宋体" w:cs="宋体" w:eastAsia="宋体" w:hint="default"/>
                            <w:sz w:val="18"/>
                            <w:szCs w:val="18"/>
                          </w:rPr>
                        </w:pPr>
                        <w:r>
                          <w:rPr>
                            <w:rFonts w:ascii="宋体"/>
                            <w:sz w:val="18"/>
                          </w:rPr>
                          <w:t>63,034,317.12</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33"/>
                          <w:jc w:val="right"/>
                          <w:rPr>
                            <w:rFonts w:ascii="宋体" w:hAnsi="宋体" w:cs="宋体" w:eastAsia="宋体" w:hint="default"/>
                            <w:sz w:val="18"/>
                            <w:szCs w:val="18"/>
                          </w:rPr>
                        </w:pPr>
                        <w:r>
                          <w:rPr>
                            <w:rFonts w:ascii="宋体"/>
                            <w:sz w:val="18"/>
                          </w:rPr>
                          <w:t>21,889,180.78</w:t>
                        </w:r>
                      </w:p>
                    </w:tc>
                  </w:tr>
                  <w:tr>
                    <w:trPr>
                      <w:trHeight w:val="472" w:hRule="exact"/>
                    </w:trPr>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21"/>
                          <w:jc w:val="right"/>
                          <w:rPr>
                            <w:rFonts w:ascii="宋体" w:hAnsi="宋体" w:cs="宋体" w:eastAsia="宋体" w:hint="default"/>
                            <w:sz w:val="18"/>
                            <w:szCs w:val="18"/>
                          </w:rPr>
                        </w:pPr>
                        <w:r>
                          <w:rPr>
                            <w:rFonts w:ascii="宋体"/>
                            <w:sz w:val="18"/>
                          </w:rPr>
                          <w:t>155,370,000.00</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宋体" w:hAnsi="宋体" w:cs="宋体" w:eastAsia="宋体" w:hint="default"/>
                            <w:sz w:val="18"/>
                            <w:szCs w:val="18"/>
                          </w:rPr>
                        </w:pPr>
                        <w:r>
                          <w:rPr>
                            <w:rFonts w:ascii="宋体"/>
                            <w:sz w:val="18"/>
                          </w:rPr>
                          <w:t>230,090,433.93</w:t>
                        </w:r>
                      </w:p>
                    </w:tc>
                  </w:tr>
                  <w:tr>
                    <w:trPr>
                      <w:trHeight w:val="562" w:hRule="exact"/>
                    </w:trPr>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3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21"/>
                          <w:jc w:val="right"/>
                          <w:rPr>
                            <w:rFonts w:ascii="宋体" w:hAnsi="宋体" w:cs="宋体" w:eastAsia="宋体" w:hint="default"/>
                            <w:sz w:val="18"/>
                            <w:szCs w:val="18"/>
                          </w:rPr>
                        </w:pPr>
                        <w:r>
                          <w:rPr>
                            <w:rFonts w:ascii="宋体"/>
                            <w:sz w:val="18"/>
                          </w:rPr>
                          <w:t>336,612,097.22</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宋体" w:hAnsi="宋体" w:cs="宋体" w:eastAsia="宋体" w:hint="default"/>
                            <w:sz w:val="18"/>
                            <w:szCs w:val="18"/>
                          </w:rPr>
                        </w:pPr>
                        <w:r>
                          <w:rPr>
                            <w:rFonts w:ascii="宋体"/>
                            <w:sz w:val="18"/>
                          </w:rPr>
                          <w:t>253,112,377.07</w:t>
                        </w:r>
                      </w:p>
                    </w:tc>
                  </w:tr>
                  <w:tr>
                    <w:trPr>
                      <w:trHeight w:val="535" w:hRule="exact"/>
                    </w:trPr>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3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21"/>
                          <w:jc w:val="right"/>
                          <w:rPr>
                            <w:rFonts w:ascii="宋体" w:hAnsi="宋体" w:cs="宋体" w:eastAsia="宋体" w:hint="default"/>
                            <w:sz w:val="18"/>
                            <w:szCs w:val="18"/>
                          </w:rPr>
                        </w:pPr>
                        <w:r>
                          <w:rPr>
                            <w:rFonts w:ascii="宋体"/>
                            <w:sz w:val="18"/>
                          </w:rPr>
                          <w:t>198,732,838.26</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33"/>
                          <w:jc w:val="right"/>
                          <w:rPr>
                            <w:rFonts w:ascii="宋体" w:hAnsi="宋体" w:cs="宋体" w:eastAsia="宋体" w:hint="default"/>
                            <w:sz w:val="18"/>
                            <w:szCs w:val="18"/>
                          </w:rPr>
                        </w:pPr>
                        <w:r>
                          <w:rPr>
                            <w:rFonts w:ascii="宋体"/>
                            <w:sz w:val="18"/>
                          </w:rPr>
                          <w:t>267,933,988.72</w:t>
                        </w:r>
                      </w:p>
                    </w:tc>
                  </w:tr>
                  <w:tr>
                    <w:trPr>
                      <w:trHeight w:val="535" w:hRule="exact"/>
                    </w:trPr>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21"/>
                          <w:jc w:val="right"/>
                          <w:rPr>
                            <w:rFonts w:ascii="宋体" w:hAnsi="宋体" w:cs="宋体" w:eastAsia="宋体" w:hint="default"/>
                            <w:sz w:val="18"/>
                            <w:szCs w:val="18"/>
                          </w:rPr>
                        </w:pPr>
                        <w:r>
                          <w:rPr>
                            <w:rFonts w:ascii="宋体"/>
                            <w:sz w:val="18"/>
                          </w:rPr>
                          <w:t>106,114,070.11</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宋体" w:hAnsi="宋体" w:cs="宋体" w:eastAsia="宋体" w:hint="default"/>
                            <w:sz w:val="18"/>
                            <w:szCs w:val="18"/>
                          </w:rPr>
                        </w:pPr>
                        <w:r>
                          <w:rPr>
                            <w:rFonts w:ascii="宋体"/>
                            <w:sz w:val="18"/>
                          </w:rPr>
                          <w:t>77,496,017.15</w:t>
                        </w:r>
                      </w:p>
                    </w:tc>
                  </w:tr>
                  <w:tr>
                    <w:trPr>
                      <w:trHeight w:val="593" w:hRule="exact"/>
                    </w:trPr>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3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21"/>
                          <w:jc w:val="right"/>
                          <w:rPr>
                            <w:rFonts w:ascii="宋体" w:hAnsi="宋体" w:cs="宋体" w:eastAsia="宋体" w:hint="default"/>
                            <w:sz w:val="18"/>
                            <w:szCs w:val="18"/>
                          </w:rPr>
                        </w:pPr>
                        <w:r>
                          <w:rPr>
                            <w:rFonts w:ascii="宋体"/>
                            <w:sz w:val="18"/>
                          </w:rPr>
                          <w:t>34,618,492.20</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33"/>
                          <w:jc w:val="right"/>
                          <w:rPr>
                            <w:rFonts w:ascii="宋体" w:hAnsi="宋体" w:cs="宋体" w:eastAsia="宋体" w:hint="default"/>
                            <w:sz w:val="18"/>
                            <w:szCs w:val="18"/>
                          </w:rPr>
                        </w:pPr>
                        <w:r>
                          <w:rPr>
                            <w:rFonts w:ascii="宋体"/>
                            <w:sz w:val="18"/>
                          </w:rPr>
                          <w:t>16,661,567.00</w:t>
                        </w:r>
                      </w:p>
                    </w:tc>
                  </w:tr>
                  <w:tr>
                    <w:trPr>
                      <w:trHeight w:val="504" w:hRule="exact"/>
                    </w:trPr>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3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21"/>
                          <w:jc w:val="right"/>
                          <w:rPr>
                            <w:rFonts w:ascii="宋体" w:hAnsi="宋体" w:cs="宋体" w:eastAsia="宋体" w:hint="default"/>
                            <w:sz w:val="18"/>
                            <w:szCs w:val="18"/>
                          </w:rPr>
                        </w:pPr>
                        <w:r>
                          <w:rPr>
                            <w:rFonts w:ascii="宋体"/>
                            <w:sz w:val="18"/>
                          </w:rPr>
                          <w:t>67,001,990.99</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33"/>
                          <w:jc w:val="right"/>
                          <w:rPr>
                            <w:rFonts w:ascii="宋体" w:hAnsi="宋体" w:cs="宋体" w:eastAsia="宋体" w:hint="default"/>
                            <w:sz w:val="18"/>
                            <w:szCs w:val="18"/>
                          </w:rPr>
                        </w:pPr>
                        <w:r>
                          <w:rPr>
                            <w:rFonts w:ascii="宋体"/>
                            <w:sz w:val="18"/>
                          </w:rPr>
                          <w:t>103,054,701.42</w:t>
                        </w:r>
                      </w:p>
                    </w:tc>
                  </w:tr>
                  <w:tr>
                    <w:trPr>
                      <w:trHeight w:val="413" w:hRule="exact"/>
                    </w:trPr>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21"/>
                          <w:jc w:val="right"/>
                          <w:rPr>
                            <w:rFonts w:ascii="宋体" w:hAnsi="宋体" w:cs="宋体" w:eastAsia="宋体" w:hint="default"/>
                            <w:sz w:val="18"/>
                            <w:szCs w:val="18"/>
                          </w:rPr>
                        </w:pPr>
                        <w:r>
                          <w:rPr>
                            <w:rFonts w:ascii="宋体"/>
                            <w:sz w:val="18"/>
                          </w:rPr>
                          <w:t>-</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宋体" w:hAnsi="宋体" w:cs="宋体" w:eastAsia="宋体" w:hint="default"/>
                            <w:sz w:val="18"/>
                            <w:szCs w:val="18"/>
                          </w:rPr>
                        </w:pPr>
                        <w:r>
                          <w:rPr>
                            <w:rFonts w:ascii="宋体"/>
                            <w:sz w:val="18"/>
                          </w:rPr>
                          <w:t>54,575,551.11</w:t>
                        </w:r>
                      </w:p>
                    </w:tc>
                  </w:tr>
                  <w:tr>
                    <w:trPr>
                      <w:trHeight w:val="373" w:hRule="exact"/>
                    </w:trPr>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21"/>
                          <w:jc w:val="right"/>
                          <w:rPr>
                            <w:rFonts w:ascii="宋体" w:hAnsi="宋体" w:cs="宋体" w:eastAsia="宋体" w:hint="default"/>
                            <w:sz w:val="18"/>
                            <w:szCs w:val="18"/>
                          </w:rPr>
                        </w:pPr>
                        <w:r>
                          <w:rPr>
                            <w:rFonts w:ascii="宋体"/>
                            <w:sz w:val="18"/>
                          </w:rPr>
                          <w:t>50,984,909.98</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宋体" w:hAnsi="宋体" w:cs="宋体" w:eastAsia="宋体" w:hint="default"/>
                            <w:sz w:val="18"/>
                            <w:szCs w:val="18"/>
                          </w:rPr>
                        </w:pPr>
                        <w:r>
                          <w:rPr>
                            <w:rFonts w:ascii="宋体"/>
                            <w:sz w:val="18"/>
                          </w:rPr>
                          <w:t>30,393,764.14</w:t>
                        </w:r>
                      </w:p>
                    </w:tc>
                  </w:tr>
                </w:tbl>
                <w:p>
                  <w:pPr/>
                </w:p>
              </w:txbxContent>
            </v:textbox>
            <w10:wrap type="none"/>
          </v:shape>
        </w:pict>
      </w:r>
      <w:r>
        <w:rPr>
          <w:rFonts w:ascii="宋体" w:hAnsi="宋体" w:cs="宋体" w:eastAsia="宋体" w:hint="default"/>
          <w:position w:val="-11"/>
          <w:sz w:val="18"/>
          <w:szCs w:val="18"/>
        </w:rPr>
        <w:t>-18%</w:t>
      </w:r>
      <w:r>
        <w:rPr>
          <w:rFonts w:ascii="宋体" w:hAnsi="宋体" w:cs="宋体" w:eastAsia="宋体" w:hint="default"/>
          <w:spacing w:val="-43"/>
          <w:position w:val="-11"/>
          <w:sz w:val="18"/>
          <w:szCs w:val="18"/>
        </w:rPr>
        <w:t> </w:t>
      </w:r>
      <w:r>
        <w:rPr>
          <w:rFonts w:ascii="宋体" w:hAnsi="宋体" w:cs="宋体" w:eastAsia="宋体" w:hint="default"/>
          <w:sz w:val="18"/>
          <w:szCs w:val="18"/>
        </w:rPr>
        <w:t>主要系母公司偿还债务，导致筹资活动现</w:t>
      </w:r>
      <w:r>
        <w:rPr>
          <w:rFonts w:ascii="宋体" w:hAnsi="宋体" w:cs="宋体" w:eastAsia="宋体" w:hint="default"/>
          <w:sz w:val="18"/>
          <w:szCs w:val="18"/>
        </w:rPr>
        <w:t> 金净流出增加</w:t>
      </w:r>
    </w:p>
    <w:p>
      <w:pPr>
        <w:spacing w:before="69"/>
        <w:ind w:left="2346" w:right="216" w:firstLine="0"/>
        <w:jc w:val="left"/>
        <w:rPr>
          <w:rFonts w:ascii="宋体" w:hAnsi="宋体" w:cs="宋体" w:eastAsia="宋体" w:hint="default"/>
          <w:sz w:val="18"/>
          <w:szCs w:val="18"/>
        </w:rPr>
      </w:pPr>
      <w:r>
        <w:rPr>
          <w:rFonts w:ascii="宋体" w:hAnsi="宋体" w:cs="宋体" w:eastAsia="宋体" w:hint="default"/>
          <w:sz w:val="18"/>
          <w:szCs w:val="18"/>
        </w:rPr>
        <w:t>68%</w:t>
      </w:r>
      <w:r>
        <w:rPr>
          <w:rFonts w:ascii="宋体" w:hAnsi="宋体" w:cs="宋体" w:eastAsia="宋体" w:hint="default"/>
          <w:spacing w:val="-35"/>
          <w:sz w:val="18"/>
          <w:szCs w:val="18"/>
        </w:rPr>
        <w:t> </w:t>
      </w:r>
      <w:r>
        <w:rPr>
          <w:rFonts w:ascii="宋体" w:hAnsi="宋体" w:cs="宋体" w:eastAsia="宋体" w:hint="default"/>
          <w:sz w:val="18"/>
          <w:szCs w:val="18"/>
        </w:rPr>
        <w:t>主要系以票据结算的货款增加所致</w:t>
      </w:r>
    </w:p>
    <w:p>
      <w:pPr>
        <w:spacing w:line="302" w:lineRule="auto" w:before="115"/>
        <w:ind w:left="2671" w:right="387" w:hanging="416"/>
        <w:jc w:val="left"/>
        <w:rPr>
          <w:rFonts w:ascii="宋体" w:hAnsi="宋体" w:cs="宋体" w:eastAsia="宋体" w:hint="default"/>
          <w:sz w:val="18"/>
          <w:szCs w:val="18"/>
        </w:rPr>
      </w:pPr>
      <w:r>
        <w:rPr>
          <w:rFonts w:ascii="宋体" w:hAnsi="宋体" w:cs="宋体" w:eastAsia="宋体" w:hint="default"/>
          <w:sz w:val="18"/>
          <w:szCs w:val="18"/>
        </w:rPr>
        <w:t>-32%</w:t>
      </w:r>
      <w:r>
        <w:rPr>
          <w:rFonts w:ascii="宋体" w:hAnsi="宋体" w:cs="宋体" w:eastAsia="宋体" w:hint="default"/>
          <w:spacing w:val="-35"/>
          <w:sz w:val="18"/>
          <w:szCs w:val="18"/>
        </w:rPr>
        <w:t> </w:t>
      </w:r>
      <w:r>
        <w:rPr>
          <w:rFonts w:ascii="宋体" w:hAnsi="宋体" w:cs="宋体" w:eastAsia="宋体" w:hint="default"/>
          <w:sz w:val="18"/>
          <w:szCs w:val="18"/>
        </w:rPr>
        <w:t>主要系购买的短期理财产品减少所致</w:t>
      </w:r>
      <w:r>
        <w:rPr>
          <w:rFonts w:ascii="宋体" w:hAnsi="宋体" w:cs="宋体" w:eastAsia="宋体" w:hint="default"/>
          <w:sz w:val="18"/>
          <w:szCs w:val="18"/>
        </w:rPr>
        <w:t> 主要系全资子公司—成都金证信息在建</w:t>
      </w:r>
    </w:p>
    <w:p>
      <w:pPr>
        <w:spacing w:line="186" w:lineRule="exact" w:before="0"/>
        <w:ind w:left="2346" w:right="216" w:firstLine="0"/>
        <w:jc w:val="left"/>
        <w:rPr>
          <w:rFonts w:ascii="宋体" w:hAnsi="宋体" w:cs="宋体" w:eastAsia="宋体" w:hint="default"/>
          <w:sz w:val="18"/>
          <w:szCs w:val="18"/>
        </w:rPr>
      </w:pPr>
      <w:r>
        <w:rPr>
          <w:rFonts w:ascii="宋体" w:hAnsi="宋体" w:cs="宋体" w:eastAsia="宋体" w:hint="default"/>
          <w:sz w:val="18"/>
          <w:szCs w:val="18"/>
        </w:rPr>
        <w:t>51%</w:t>
      </w:r>
      <w:r>
        <w:rPr>
          <w:rFonts w:ascii="宋体" w:hAnsi="宋体" w:cs="宋体" w:eastAsia="宋体" w:hint="default"/>
          <w:spacing w:val="-35"/>
          <w:sz w:val="18"/>
          <w:szCs w:val="18"/>
        </w:rPr>
        <w:t> </w:t>
      </w:r>
      <w:r>
        <w:rPr>
          <w:rFonts w:ascii="宋体" w:hAnsi="宋体" w:cs="宋体" w:eastAsia="宋体" w:hint="default"/>
          <w:sz w:val="18"/>
          <w:szCs w:val="18"/>
        </w:rPr>
        <w:t>服务外包及金融后台服务基地在建项目</w:t>
      </w:r>
    </w:p>
    <w:p>
      <w:pPr>
        <w:spacing w:line="234" w:lineRule="exact" w:before="0"/>
        <w:ind w:left="2653" w:right="2725" w:firstLine="0"/>
        <w:jc w:val="center"/>
        <w:rPr>
          <w:rFonts w:ascii="宋体" w:hAnsi="宋体" w:cs="宋体" w:eastAsia="宋体" w:hint="default"/>
          <w:sz w:val="18"/>
          <w:szCs w:val="18"/>
        </w:rPr>
      </w:pPr>
      <w:r>
        <w:rPr>
          <w:rFonts w:ascii="宋体" w:hAnsi="宋体" w:cs="宋体" w:eastAsia="宋体" w:hint="default"/>
          <w:sz w:val="18"/>
          <w:szCs w:val="18"/>
        </w:rPr>
        <w:t>投资增加</w:t>
      </w:r>
    </w:p>
    <w:p>
      <w:pPr>
        <w:spacing w:line="158" w:lineRule="auto" w:before="79"/>
        <w:ind w:left="2671" w:right="388" w:hanging="416"/>
        <w:jc w:val="left"/>
        <w:rPr>
          <w:rFonts w:ascii="宋体" w:hAnsi="宋体" w:cs="宋体" w:eastAsia="宋体" w:hint="default"/>
          <w:sz w:val="18"/>
          <w:szCs w:val="18"/>
        </w:rPr>
      </w:pPr>
      <w:r>
        <w:rPr>
          <w:rFonts w:ascii="宋体" w:hAnsi="宋体" w:cs="宋体" w:eastAsia="宋体" w:hint="default"/>
          <w:position w:val="-11"/>
          <w:sz w:val="18"/>
          <w:szCs w:val="18"/>
        </w:rPr>
        <w:t>188%</w:t>
      </w:r>
      <w:r>
        <w:rPr>
          <w:rFonts w:ascii="宋体" w:hAnsi="宋体" w:cs="宋体" w:eastAsia="宋体" w:hint="default"/>
          <w:spacing w:val="-35"/>
          <w:position w:val="-11"/>
          <w:sz w:val="18"/>
          <w:szCs w:val="18"/>
        </w:rPr>
        <w:t> </w:t>
      </w:r>
      <w:r>
        <w:rPr>
          <w:rFonts w:ascii="宋体" w:hAnsi="宋体" w:cs="宋体" w:eastAsia="宋体" w:hint="default"/>
          <w:sz w:val="18"/>
          <w:szCs w:val="18"/>
        </w:rPr>
        <w:t>主要系全资子公司—南京金证信息购买</w:t>
      </w:r>
      <w:r>
        <w:rPr>
          <w:rFonts w:ascii="宋体" w:hAnsi="宋体" w:cs="宋体" w:eastAsia="宋体" w:hint="default"/>
          <w:sz w:val="18"/>
          <w:szCs w:val="18"/>
        </w:rPr>
        <w:t> 土地支出增加</w:t>
      </w:r>
    </w:p>
    <w:p>
      <w:pPr>
        <w:spacing w:line="302" w:lineRule="auto" w:before="69"/>
        <w:ind w:left="2671" w:right="387" w:hanging="416"/>
        <w:jc w:val="left"/>
        <w:rPr>
          <w:rFonts w:ascii="宋体" w:hAnsi="宋体" w:cs="宋体" w:eastAsia="宋体" w:hint="default"/>
          <w:sz w:val="18"/>
          <w:szCs w:val="18"/>
        </w:rPr>
      </w:pPr>
      <w:r>
        <w:rPr>
          <w:rFonts w:ascii="宋体" w:hAnsi="宋体" w:cs="宋体" w:eastAsia="宋体" w:hint="default"/>
          <w:sz w:val="18"/>
          <w:szCs w:val="18"/>
        </w:rPr>
        <w:t>-32%</w:t>
      </w:r>
      <w:r>
        <w:rPr>
          <w:rFonts w:ascii="宋体" w:hAnsi="宋体" w:cs="宋体" w:eastAsia="宋体" w:hint="default"/>
          <w:spacing w:val="-35"/>
          <w:sz w:val="18"/>
          <w:szCs w:val="18"/>
        </w:rPr>
        <w:t> </w:t>
      </w:r>
      <w:r>
        <w:rPr>
          <w:rFonts w:ascii="宋体" w:hAnsi="宋体" w:cs="宋体" w:eastAsia="宋体" w:hint="default"/>
          <w:sz w:val="18"/>
          <w:szCs w:val="18"/>
        </w:rPr>
        <w:t>主要系偿还银行借款所致</w:t>
      </w:r>
      <w:r>
        <w:rPr>
          <w:rFonts w:ascii="宋体" w:hAnsi="宋体" w:cs="宋体" w:eastAsia="宋体" w:hint="default"/>
          <w:sz w:val="18"/>
          <w:szCs w:val="18"/>
        </w:rPr>
        <w:t> 主要系子公司—齐普生信息科技有限公</w:t>
      </w:r>
    </w:p>
    <w:p>
      <w:pPr>
        <w:spacing w:line="186" w:lineRule="exact" w:before="0"/>
        <w:ind w:left="2346" w:right="0" w:firstLine="0"/>
        <w:jc w:val="left"/>
        <w:rPr>
          <w:rFonts w:ascii="宋体" w:hAnsi="宋体" w:cs="宋体" w:eastAsia="宋体" w:hint="default"/>
          <w:sz w:val="18"/>
          <w:szCs w:val="18"/>
        </w:rPr>
      </w:pPr>
      <w:r>
        <w:rPr>
          <w:rFonts w:ascii="宋体" w:hAnsi="宋体" w:cs="宋体" w:eastAsia="宋体" w:hint="default"/>
          <w:sz w:val="18"/>
          <w:szCs w:val="18"/>
        </w:rPr>
        <w:t>33%</w:t>
      </w:r>
      <w:r>
        <w:rPr>
          <w:rFonts w:ascii="宋体" w:hAnsi="宋体" w:cs="宋体" w:eastAsia="宋体" w:hint="default"/>
          <w:spacing w:val="-44"/>
          <w:sz w:val="18"/>
          <w:szCs w:val="18"/>
        </w:rPr>
        <w:t> </w:t>
      </w:r>
      <w:r>
        <w:rPr>
          <w:rFonts w:ascii="宋体" w:hAnsi="宋体" w:cs="宋体" w:eastAsia="宋体" w:hint="default"/>
          <w:sz w:val="18"/>
          <w:szCs w:val="18"/>
        </w:rPr>
        <w:t>司总代业务量增加，存货增加导致应付账</w:t>
      </w:r>
    </w:p>
    <w:p>
      <w:pPr>
        <w:spacing w:line="234" w:lineRule="exact" w:before="0"/>
        <w:ind w:left="2473" w:right="2725" w:firstLine="0"/>
        <w:jc w:val="center"/>
        <w:rPr>
          <w:rFonts w:ascii="宋体" w:hAnsi="宋体" w:cs="宋体" w:eastAsia="宋体" w:hint="default"/>
          <w:sz w:val="18"/>
          <w:szCs w:val="18"/>
        </w:rPr>
      </w:pPr>
      <w:r>
        <w:rPr>
          <w:rFonts w:ascii="宋体" w:hAnsi="宋体" w:cs="宋体" w:eastAsia="宋体" w:hint="default"/>
          <w:sz w:val="18"/>
          <w:szCs w:val="18"/>
        </w:rPr>
        <w:t>款增长</w:t>
      </w:r>
    </w:p>
    <w:p>
      <w:pPr>
        <w:spacing w:line="295" w:lineRule="exact" w:before="8"/>
        <w:ind w:left="2256" w:right="216" w:firstLine="0"/>
        <w:jc w:val="left"/>
        <w:rPr>
          <w:rFonts w:ascii="宋体" w:hAnsi="宋体" w:cs="宋体" w:eastAsia="宋体" w:hint="default"/>
          <w:sz w:val="18"/>
          <w:szCs w:val="18"/>
        </w:rPr>
      </w:pPr>
      <w:r>
        <w:rPr>
          <w:rFonts w:ascii="宋体" w:hAnsi="宋体" w:cs="宋体" w:eastAsia="宋体" w:hint="default"/>
          <w:position w:val="-11"/>
          <w:sz w:val="18"/>
          <w:szCs w:val="18"/>
        </w:rPr>
        <w:t>-26%</w:t>
      </w:r>
      <w:r>
        <w:rPr>
          <w:rFonts w:ascii="宋体" w:hAnsi="宋体" w:cs="宋体" w:eastAsia="宋体" w:hint="default"/>
          <w:spacing w:val="-35"/>
          <w:position w:val="-11"/>
          <w:sz w:val="18"/>
          <w:szCs w:val="18"/>
        </w:rPr>
        <w:t> </w:t>
      </w:r>
      <w:r>
        <w:rPr>
          <w:rFonts w:ascii="宋体" w:hAnsi="宋体" w:cs="宋体" w:eastAsia="宋体" w:hint="default"/>
          <w:sz w:val="18"/>
          <w:szCs w:val="18"/>
        </w:rPr>
        <w:t>主要系母公司</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年末预收账款大的项</w:t>
      </w:r>
    </w:p>
    <w:p>
      <w:pPr>
        <w:spacing w:line="175" w:lineRule="exact" w:before="0"/>
        <w:ind w:left="2671" w:right="216" w:firstLine="0"/>
        <w:jc w:val="left"/>
        <w:rPr>
          <w:rFonts w:ascii="宋体" w:hAnsi="宋体" w:cs="宋体" w:eastAsia="宋体" w:hint="default"/>
          <w:sz w:val="18"/>
          <w:szCs w:val="18"/>
        </w:rPr>
      </w:pPr>
      <w:r>
        <w:rPr>
          <w:rFonts w:ascii="宋体" w:hAnsi="宋体" w:cs="宋体" w:eastAsia="宋体" w:hint="default"/>
          <w:sz w:val="18"/>
          <w:szCs w:val="18"/>
        </w:rPr>
        <w:t>目</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年度完工确认收入所致</w:t>
      </w:r>
    </w:p>
    <w:p>
      <w:pPr>
        <w:spacing w:line="156" w:lineRule="auto" w:before="81"/>
        <w:ind w:left="2671" w:right="388" w:hanging="326"/>
        <w:jc w:val="left"/>
        <w:rPr>
          <w:rFonts w:ascii="宋体" w:hAnsi="宋体" w:cs="宋体" w:eastAsia="宋体" w:hint="default"/>
          <w:sz w:val="18"/>
          <w:szCs w:val="18"/>
        </w:rPr>
      </w:pPr>
      <w:r>
        <w:rPr>
          <w:rFonts w:ascii="宋体" w:hAnsi="宋体" w:cs="宋体" w:eastAsia="宋体" w:hint="default"/>
          <w:position w:val="-11"/>
          <w:sz w:val="18"/>
          <w:szCs w:val="18"/>
        </w:rPr>
        <w:t>37%</w:t>
      </w:r>
      <w:r>
        <w:rPr>
          <w:rFonts w:ascii="宋体" w:hAnsi="宋体" w:cs="宋体" w:eastAsia="宋体" w:hint="default"/>
          <w:spacing w:val="-35"/>
          <w:position w:val="-11"/>
          <w:sz w:val="18"/>
          <w:szCs w:val="18"/>
        </w:rPr>
        <w:t> </w:t>
      </w:r>
      <w:r>
        <w:rPr>
          <w:rFonts w:ascii="宋体" w:hAnsi="宋体" w:cs="宋体" w:eastAsia="宋体" w:hint="default"/>
          <w:sz w:val="18"/>
          <w:szCs w:val="18"/>
        </w:rPr>
        <w:t>主要系人员增长工资增加及利润增长年</w:t>
      </w:r>
      <w:r>
        <w:rPr>
          <w:rFonts w:ascii="宋体" w:hAnsi="宋体" w:cs="宋体" w:eastAsia="宋体" w:hint="default"/>
          <w:sz w:val="18"/>
          <w:szCs w:val="18"/>
        </w:rPr>
        <w:t> 终奖增加所致</w:t>
      </w:r>
    </w:p>
    <w:p>
      <w:pPr>
        <w:spacing w:line="232" w:lineRule="exact" w:before="41"/>
        <w:ind w:left="2256" w:right="299" w:firstLine="415"/>
        <w:jc w:val="left"/>
        <w:rPr>
          <w:rFonts w:ascii="宋体" w:hAnsi="宋体" w:cs="宋体" w:eastAsia="宋体" w:hint="default"/>
          <w:sz w:val="18"/>
          <w:szCs w:val="18"/>
        </w:rPr>
      </w:pPr>
      <w:r>
        <w:rPr>
          <w:rFonts w:ascii="宋体" w:hAnsi="宋体" w:cs="宋体" w:eastAsia="宋体" w:hint="default"/>
          <w:sz w:val="18"/>
          <w:szCs w:val="18"/>
        </w:rPr>
        <w:t>主要系</w:t>
      </w:r>
      <w:r>
        <w:rPr>
          <w:rFonts w:ascii="宋体" w:hAnsi="宋体" w:cs="宋体" w:eastAsia="宋体" w:hint="default"/>
          <w:spacing w:val="-46"/>
          <w:sz w:val="18"/>
          <w:szCs w:val="18"/>
        </w:rPr>
        <w:t> </w:t>
      </w:r>
      <w:r>
        <w:rPr>
          <w:rFonts w:ascii="宋体" w:hAnsi="宋体" w:cs="宋体" w:eastAsia="宋体" w:hint="default"/>
          <w:sz w:val="18"/>
          <w:szCs w:val="18"/>
        </w:rPr>
        <w:t>BT</w:t>
      </w:r>
      <w:r>
        <w:rPr>
          <w:rFonts w:ascii="宋体" w:hAnsi="宋体" w:cs="宋体" w:eastAsia="宋体" w:hint="default"/>
          <w:spacing w:val="-46"/>
          <w:sz w:val="18"/>
          <w:szCs w:val="18"/>
        </w:rPr>
        <w:t> </w:t>
      </w:r>
      <w:r>
        <w:rPr>
          <w:rFonts w:ascii="宋体" w:hAnsi="宋体" w:cs="宋体" w:eastAsia="宋体" w:hint="default"/>
          <w:sz w:val="18"/>
          <w:szCs w:val="18"/>
        </w:rPr>
        <w:t>项目确认利息收入增长导致应</w:t>
      </w:r>
      <w:r>
        <w:rPr>
          <w:rFonts w:ascii="宋体" w:hAnsi="宋体" w:cs="宋体" w:eastAsia="宋体" w:hint="default"/>
          <w:sz w:val="18"/>
          <w:szCs w:val="18"/>
        </w:rPr>
        <w:t> 108%</w:t>
      </w:r>
      <w:r>
        <w:rPr>
          <w:rFonts w:ascii="宋体" w:hAnsi="宋体" w:cs="宋体" w:eastAsia="宋体" w:hint="default"/>
          <w:spacing w:val="-35"/>
          <w:sz w:val="18"/>
          <w:szCs w:val="18"/>
        </w:rPr>
        <w:t> </w:t>
      </w:r>
      <w:r>
        <w:rPr>
          <w:rFonts w:ascii="宋体" w:hAnsi="宋体" w:cs="宋体" w:eastAsia="宋体" w:hint="default"/>
          <w:sz w:val="18"/>
          <w:szCs w:val="18"/>
        </w:rPr>
        <w:t>交营业税增加及利润增长应交所得税增</w:t>
      </w:r>
    </w:p>
    <w:p>
      <w:pPr>
        <w:spacing w:line="213" w:lineRule="exact" w:before="0"/>
        <w:ind w:left="2653" w:right="2725" w:firstLine="0"/>
        <w:jc w:val="center"/>
        <w:rPr>
          <w:rFonts w:ascii="宋体" w:hAnsi="宋体" w:cs="宋体" w:eastAsia="宋体" w:hint="default"/>
          <w:sz w:val="18"/>
          <w:szCs w:val="18"/>
        </w:rPr>
      </w:pPr>
      <w:r>
        <w:rPr>
          <w:rFonts w:ascii="宋体" w:hAnsi="宋体" w:cs="宋体" w:eastAsia="宋体" w:hint="default"/>
          <w:sz w:val="18"/>
          <w:szCs w:val="18"/>
        </w:rPr>
        <w:t>加所致。</w:t>
      </w:r>
    </w:p>
    <w:p>
      <w:pPr>
        <w:spacing w:line="156" w:lineRule="auto" w:before="81"/>
        <w:ind w:left="2671" w:right="300" w:hanging="416"/>
        <w:jc w:val="left"/>
        <w:rPr>
          <w:rFonts w:ascii="宋体" w:hAnsi="宋体" w:cs="宋体" w:eastAsia="宋体" w:hint="default"/>
          <w:sz w:val="18"/>
          <w:szCs w:val="18"/>
        </w:rPr>
      </w:pPr>
      <w:r>
        <w:rPr>
          <w:rFonts w:ascii="宋体" w:hAnsi="宋体" w:cs="宋体" w:eastAsia="宋体" w:hint="default"/>
          <w:position w:val="-11"/>
          <w:sz w:val="18"/>
          <w:szCs w:val="18"/>
        </w:rPr>
        <w:t>-35%</w:t>
      </w:r>
      <w:r>
        <w:rPr>
          <w:rFonts w:ascii="宋体" w:hAnsi="宋体" w:cs="宋体" w:eastAsia="宋体" w:hint="default"/>
          <w:spacing w:val="-35"/>
          <w:position w:val="-11"/>
          <w:sz w:val="18"/>
          <w:szCs w:val="18"/>
        </w:rPr>
        <w:t> </w:t>
      </w:r>
      <w:r>
        <w:rPr>
          <w:rFonts w:ascii="宋体" w:hAnsi="宋体" w:cs="宋体" w:eastAsia="宋体" w:hint="default"/>
          <w:sz w:val="18"/>
          <w:szCs w:val="18"/>
        </w:rPr>
        <w:t>主要系母公司退还</w:t>
      </w:r>
      <w:r>
        <w:rPr>
          <w:rFonts w:ascii="宋体" w:hAnsi="宋体" w:cs="宋体" w:eastAsia="宋体" w:hint="default"/>
          <w:spacing w:val="-46"/>
          <w:sz w:val="18"/>
          <w:szCs w:val="18"/>
        </w:rPr>
        <w:t> </w:t>
      </w:r>
      <w:r>
        <w:rPr>
          <w:rFonts w:ascii="宋体" w:hAnsi="宋体" w:cs="宋体" w:eastAsia="宋体" w:hint="default"/>
          <w:sz w:val="18"/>
          <w:szCs w:val="18"/>
        </w:rPr>
        <w:t>BT</w:t>
      </w:r>
      <w:r>
        <w:rPr>
          <w:rFonts w:ascii="宋体" w:hAnsi="宋体" w:cs="宋体" w:eastAsia="宋体" w:hint="default"/>
          <w:spacing w:val="-46"/>
          <w:sz w:val="18"/>
          <w:szCs w:val="18"/>
        </w:rPr>
        <w:t> </w:t>
      </w:r>
      <w:r>
        <w:rPr>
          <w:rFonts w:ascii="宋体" w:hAnsi="宋体" w:cs="宋体" w:eastAsia="宋体" w:hint="default"/>
          <w:sz w:val="18"/>
          <w:szCs w:val="18"/>
        </w:rPr>
        <w:t>项目管理保证金所</w:t>
      </w:r>
      <w:r>
        <w:rPr>
          <w:rFonts w:ascii="宋体" w:hAnsi="宋体" w:cs="宋体" w:eastAsia="宋体" w:hint="default"/>
          <w:sz w:val="18"/>
          <w:szCs w:val="18"/>
        </w:rPr>
        <w:t> 致</w:t>
      </w:r>
    </w:p>
    <w:p>
      <w:pPr>
        <w:spacing w:before="71"/>
        <w:ind w:left="2166" w:right="216" w:firstLine="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35"/>
          <w:sz w:val="18"/>
          <w:szCs w:val="18"/>
        </w:rPr>
        <w:t> </w:t>
      </w:r>
      <w:r>
        <w:rPr>
          <w:rFonts w:ascii="宋体" w:hAnsi="宋体" w:cs="宋体" w:eastAsia="宋体" w:hint="default"/>
          <w:sz w:val="18"/>
          <w:szCs w:val="18"/>
        </w:rPr>
        <w:t>主要系偿还个人借款所致</w:t>
      </w:r>
    </w:p>
    <w:p>
      <w:pPr>
        <w:spacing w:line="156" w:lineRule="auto" w:before="134"/>
        <w:ind w:left="2671" w:right="216" w:hanging="326"/>
        <w:jc w:val="left"/>
        <w:rPr>
          <w:rFonts w:ascii="宋体" w:hAnsi="宋体" w:cs="宋体" w:eastAsia="宋体" w:hint="default"/>
          <w:sz w:val="18"/>
          <w:szCs w:val="18"/>
        </w:rPr>
      </w:pPr>
      <w:r>
        <w:rPr>
          <w:rFonts w:ascii="宋体" w:hAnsi="宋体" w:cs="宋体" w:eastAsia="宋体" w:hint="default"/>
          <w:position w:val="-11"/>
          <w:sz w:val="18"/>
          <w:szCs w:val="18"/>
        </w:rPr>
        <w:t>68%</w:t>
      </w:r>
      <w:r>
        <w:rPr>
          <w:rFonts w:ascii="宋体" w:hAnsi="宋体" w:cs="宋体" w:eastAsia="宋体" w:hint="default"/>
          <w:spacing w:val="-43"/>
          <w:position w:val="-11"/>
          <w:sz w:val="18"/>
          <w:szCs w:val="18"/>
        </w:rPr>
        <w:t> </w:t>
      </w:r>
      <w:r>
        <w:rPr>
          <w:rFonts w:ascii="宋体" w:hAnsi="宋体" w:cs="宋体" w:eastAsia="宋体" w:hint="default"/>
          <w:sz w:val="18"/>
          <w:szCs w:val="18"/>
        </w:rPr>
        <w:t>主要系股权激励行权，导致资本公积增加</w:t>
      </w:r>
      <w:r>
        <w:rPr>
          <w:rFonts w:ascii="宋体" w:hAnsi="宋体" w:cs="宋体" w:eastAsia="宋体" w:hint="default"/>
          <w:sz w:val="18"/>
          <w:szCs w:val="18"/>
        </w:rPr>
        <w:t> 所致</w:t>
      </w:r>
    </w:p>
    <w:p>
      <w:pPr>
        <w:spacing w:before="17"/>
        <w:ind w:left="2671" w:right="0" w:firstLine="0"/>
        <w:jc w:val="left"/>
        <w:rPr>
          <w:rFonts w:ascii="宋体" w:hAnsi="宋体" w:cs="宋体" w:eastAsia="宋体" w:hint="default"/>
          <w:sz w:val="18"/>
          <w:szCs w:val="18"/>
        </w:rPr>
      </w:pPr>
      <w:r>
        <w:rPr>
          <w:rFonts w:ascii="宋体" w:hAnsi="宋体" w:cs="宋体" w:eastAsia="宋体" w:hint="default"/>
          <w:sz w:val="18"/>
          <w:szCs w:val="18"/>
        </w:rPr>
        <w:t>主要系母公司面向证券、基金行业定制软</w:t>
      </w:r>
    </w:p>
    <w:p>
      <w:pPr>
        <w:spacing w:after="0"/>
        <w:jc w:val="left"/>
        <w:rPr>
          <w:rFonts w:ascii="宋体" w:hAnsi="宋体" w:cs="宋体" w:eastAsia="宋体" w:hint="default"/>
          <w:sz w:val="18"/>
          <w:szCs w:val="18"/>
        </w:rPr>
        <w:sectPr>
          <w:type w:val="continuous"/>
          <w:pgSz w:w="11910" w:h="16840"/>
          <w:pgMar w:top="1080" w:bottom="1380" w:left="1580" w:right="1040"/>
          <w:cols w:num="2" w:equalWidth="0">
            <w:col w:w="3107" w:space="40"/>
            <w:col w:w="6143"/>
          </w:cols>
        </w:sectPr>
      </w:pPr>
    </w:p>
    <w:p>
      <w:pPr>
        <w:tabs>
          <w:tab w:pos="1760" w:val="left" w:leader="none"/>
          <w:tab w:pos="5222" w:val="left" w:leader="none"/>
        </w:tabs>
        <w:spacing w:line="233" w:lineRule="exact" w:before="0"/>
        <w:ind w:left="217" w:right="114" w:firstLine="0"/>
        <w:jc w:val="left"/>
        <w:rPr>
          <w:rFonts w:ascii="宋体" w:hAnsi="宋体" w:cs="宋体" w:eastAsia="宋体" w:hint="default"/>
          <w:sz w:val="18"/>
          <w:szCs w:val="18"/>
        </w:rPr>
      </w:pPr>
      <w:r>
        <w:rPr>
          <w:rFonts w:ascii="宋体" w:hAnsi="宋体" w:cs="宋体" w:eastAsia="宋体" w:hint="default"/>
          <w:sz w:val="18"/>
          <w:szCs w:val="18"/>
        </w:rPr>
        <w:t>营业总收入</w:t>
        <w:tab/>
        <w:t>2,368,042,840.46</w:t>
      </w:r>
      <w:r>
        <w:rPr>
          <w:rFonts w:ascii="宋体" w:hAnsi="宋体" w:cs="宋体" w:eastAsia="宋体" w:hint="default"/>
          <w:spacing w:val="-23"/>
          <w:sz w:val="18"/>
          <w:szCs w:val="18"/>
        </w:rPr>
        <w:t> </w:t>
      </w:r>
      <w:r>
        <w:rPr>
          <w:rFonts w:ascii="宋体" w:hAnsi="宋体" w:cs="宋体" w:eastAsia="宋体" w:hint="default"/>
          <w:sz w:val="18"/>
          <w:szCs w:val="18"/>
        </w:rPr>
        <w:t>2,031,613,437.82</w:t>
        <w:tab/>
        <w:t>16.56%</w:t>
      </w:r>
      <w:r>
        <w:rPr>
          <w:rFonts w:ascii="宋体" w:hAnsi="宋体" w:cs="宋体" w:eastAsia="宋体" w:hint="default"/>
          <w:spacing w:val="-35"/>
          <w:sz w:val="18"/>
          <w:szCs w:val="18"/>
        </w:rPr>
        <w:t> </w:t>
      </w:r>
      <w:r>
        <w:rPr>
          <w:rFonts w:ascii="宋体" w:hAnsi="宋体" w:cs="宋体" w:eastAsia="宋体" w:hint="default"/>
          <w:sz w:val="18"/>
          <w:szCs w:val="18"/>
        </w:rPr>
        <w:t>件业务收入及子公司—齐普生信息科技</w:t>
      </w:r>
    </w:p>
    <w:p>
      <w:pPr>
        <w:spacing w:line="234" w:lineRule="exact" w:before="0"/>
        <w:ind w:left="5817" w:right="114" w:firstLine="0"/>
        <w:jc w:val="left"/>
        <w:rPr>
          <w:rFonts w:ascii="宋体" w:hAnsi="宋体" w:cs="宋体" w:eastAsia="宋体" w:hint="default"/>
          <w:sz w:val="18"/>
          <w:szCs w:val="18"/>
        </w:rPr>
      </w:pPr>
      <w:r>
        <w:rPr>
          <w:rFonts w:ascii="宋体" w:hAnsi="宋体" w:cs="宋体" w:eastAsia="宋体" w:hint="default"/>
          <w:sz w:val="18"/>
          <w:szCs w:val="18"/>
        </w:rPr>
        <w:t>有限公司商品销售收入增加所致</w:t>
      </w:r>
    </w:p>
    <w:p>
      <w:pPr>
        <w:tabs>
          <w:tab w:pos="2030" w:val="left" w:leader="none"/>
          <w:tab w:pos="3627" w:val="left" w:leader="none"/>
          <w:tab w:pos="5132" w:val="left" w:leader="none"/>
        </w:tabs>
        <w:spacing w:line="297" w:lineRule="exact" w:before="4"/>
        <w:ind w:left="217" w:right="114" w:firstLine="0"/>
        <w:jc w:val="left"/>
        <w:rPr>
          <w:rFonts w:ascii="宋体" w:hAnsi="宋体" w:cs="宋体" w:eastAsia="宋体" w:hint="default"/>
          <w:sz w:val="18"/>
          <w:szCs w:val="18"/>
        </w:rPr>
      </w:pPr>
      <w:r>
        <w:rPr>
          <w:rFonts w:ascii="宋体" w:hAnsi="宋体" w:cs="宋体" w:eastAsia="宋体" w:hint="default"/>
          <w:sz w:val="18"/>
          <w:szCs w:val="18"/>
        </w:rPr>
        <w:t>营业税金及附加</w:t>
        <w:tab/>
        <w:t>18,717,097.44</w:t>
        <w:tab/>
        <w:t>8,183,235.94</w:t>
        <w:tab/>
        <w:t>128.72%</w:t>
      </w:r>
      <w:r>
        <w:rPr>
          <w:rFonts w:ascii="宋体" w:hAnsi="宋体" w:cs="宋体" w:eastAsia="宋体" w:hint="default"/>
          <w:spacing w:val="-35"/>
          <w:sz w:val="18"/>
          <w:szCs w:val="18"/>
        </w:rPr>
        <w:t> </w:t>
      </w:r>
      <w:r>
        <w:rPr>
          <w:rFonts w:ascii="宋体" w:hAnsi="宋体" w:cs="宋体" w:eastAsia="宋体" w:hint="default"/>
          <w:position w:val="12"/>
          <w:sz w:val="18"/>
          <w:szCs w:val="18"/>
        </w:rPr>
        <w:t>主要系</w:t>
      </w:r>
      <w:r>
        <w:rPr>
          <w:rFonts w:ascii="宋体" w:hAnsi="宋体" w:cs="宋体" w:eastAsia="宋体" w:hint="default"/>
          <w:spacing w:val="-46"/>
          <w:position w:val="12"/>
          <w:sz w:val="18"/>
          <w:szCs w:val="18"/>
        </w:rPr>
        <w:t> </w:t>
      </w:r>
      <w:r>
        <w:rPr>
          <w:rFonts w:ascii="宋体" w:hAnsi="宋体" w:cs="宋体" w:eastAsia="宋体" w:hint="default"/>
          <w:position w:val="12"/>
          <w:sz w:val="18"/>
          <w:szCs w:val="18"/>
        </w:rPr>
        <w:t>BT</w:t>
      </w:r>
      <w:r>
        <w:rPr>
          <w:rFonts w:ascii="宋体" w:hAnsi="宋体" w:cs="宋体" w:eastAsia="宋体" w:hint="default"/>
          <w:spacing w:val="-46"/>
          <w:position w:val="12"/>
          <w:sz w:val="18"/>
          <w:szCs w:val="18"/>
        </w:rPr>
        <w:t> </w:t>
      </w:r>
      <w:r>
        <w:rPr>
          <w:rFonts w:ascii="宋体" w:hAnsi="宋体" w:cs="宋体" w:eastAsia="宋体" w:hint="default"/>
          <w:position w:val="12"/>
          <w:sz w:val="18"/>
          <w:szCs w:val="18"/>
        </w:rPr>
        <w:t>项目确认利息收入增长导致应</w:t>
      </w:r>
      <w:r>
        <w:rPr>
          <w:rFonts w:ascii="宋体" w:hAnsi="宋体" w:cs="宋体" w:eastAsia="宋体" w:hint="default"/>
          <w:sz w:val="18"/>
          <w:szCs w:val="18"/>
        </w:rPr>
      </w:r>
    </w:p>
    <w:p>
      <w:pPr>
        <w:spacing w:line="177" w:lineRule="exact" w:before="0"/>
        <w:ind w:left="5817" w:right="114" w:firstLine="0"/>
        <w:jc w:val="left"/>
        <w:rPr>
          <w:rFonts w:ascii="宋体" w:hAnsi="宋体" w:cs="宋体" w:eastAsia="宋体" w:hint="default"/>
          <w:sz w:val="18"/>
          <w:szCs w:val="18"/>
        </w:rPr>
      </w:pPr>
      <w:r>
        <w:rPr>
          <w:rFonts w:ascii="宋体" w:hAnsi="宋体" w:cs="宋体" w:eastAsia="宋体" w:hint="default"/>
          <w:sz w:val="18"/>
          <w:szCs w:val="18"/>
        </w:rPr>
        <w:t>交营业税增加</w:t>
      </w:r>
    </w:p>
    <w:p>
      <w:pPr>
        <w:spacing w:line="240" w:lineRule="auto" w:before="1"/>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1212"/>
        <w:gridCol w:w="1930"/>
        <w:gridCol w:w="1641"/>
        <w:gridCol w:w="3858"/>
      </w:tblGrid>
      <w:tr>
        <w:trPr>
          <w:trHeight w:val="342" w:hRule="exact"/>
        </w:trPr>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1"/>
              <w:jc w:val="right"/>
              <w:rPr>
                <w:rFonts w:ascii="宋体" w:hAnsi="宋体" w:cs="宋体" w:eastAsia="宋体" w:hint="default"/>
                <w:sz w:val="18"/>
                <w:szCs w:val="18"/>
              </w:rPr>
            </w:pPr>
            <w:r>
              <w:rPr>
                <w:rFonts w:ascii="宋体"/>
                <w:sz w:val="18"/>
              </w:rPr>
              <w:t>338,716,324.85</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23" w:right="0"/>
              <w:jc w:val="left"/>
              <w:rPr>
                <w:rFonts w:ascii="宋体" w:hAnsi="宋体" w:cs="宋体" w:eastAsia="宋体" w:hint="default"/>
                <w:sz w:val="18"/>
                <w:szCs w:val="18"/>
              </w:rPr>
            </w:pPr>
            <w:r>
              <w:rPr>
                <w:rFonts w:ascii="宋体"/>
                <w:sz w:val="18"/>
              </w:rPr>
              <w:t>293,903,956.87</w:t>
            </w:r>
          </w:p>
        </w:tc>
        <w:tc>
          <w:tcPr>
            <w:tcW w:w="385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57" w:right="0"/>
              <w:jc w:val="left"/>
              <w:rPr>
                <w:rFonts w:ascii="宋体" w:hAnsi="宋体" w:cs="宋体" w:eastAsia="宋体" w:hint="default"/>
                <w:sz w:val="18"/>
                <w:szCs w:val="18"/>
              </w:rPr>
            </w:pPr>
            <w:r>
              <w:rPr>
                <w:rFonts w:ascii="宋体" w:hAnsi="宋体" w:cs="宋体" w:eastAsia="宋体" w:hint="default"/>
                <w:sz w:val="18"/>
                <w:szCs w:val="18"/>
              </w:rPr>
              <w:t>15.25%</w:t>
            </w:r>
            <w:r>
              <w:rPr>
                <w:rFonts w:ascii="宋体" w:hAnsi="宋体" w:cs="宋体" w:eastAsia="宋体" w:hint="default"/>
                <w:spacing w:val="-35"/>
                <w:sz w:val="18"/>
                <w:szCs w:val="18"/>
              </w:rPr>
              <w:t> </w:t>
            </w:r>
            <w:r>
              <w:rPr>
                <w:rFonts w:ascii="宋体" w:hAnsi="宋体" w:cs="宋体" w:eastAsia="宋体" w:hint="default"/>
                <w:sz w:val="18"/>
                <w:szCs w:val="18"/>
              </w:rPr>
              <w:t>主要系职工薪酬增加所致</w:t>
            </w:r>
          </w:p>
        </w:tc>
      </w:tr>
      <w:tr>
        <w:trPr>
          <w:trHeight w:val="342" w:hRule="exact"/>
        </w:trPr>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21"/>
              <w:jc w:val="right"/>
              <w:rPr>
                <w:rFonts w:ascii="宋体" w:hAnsi="宋体" w:cs="宋体" w:eastAsia="宋体" w:hint="default"/>
                <w:sz w:val="18"/>
                <w:szCs w:val="18"/>
              </w:rPr>
            </w:pPr>
            <w:r>
              <w:rPr>
                <w:rFonts w:ascii="宋体"/>
                <w:sz w:val="18"/>
              </w:rPr>
              <w:t>-123,616,234.98</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23" w:right="0"/>
              <w:jc w:val="left"/>
              <w:rPr>
                <w:rFonts w:ascii="宋体" w:hAnsi="宋体" w:cs="宋体" w:eastAsia="宋体" w:hint="default"/>
                <w:sz w:val="18"/>
                <w:szCs w:val="18"/>
              </w:rPr>
            </w:pPr>
            <w:r>
              <w:rPr>
                <w:rFonts w:ascii="宋体"/>
                <w:sz w:val="18"/>
              </w:rPr>
              <w:t>-90,102,698.71</w:t>
            </w:r>
          </w:p>
        </w:tc>
        <w:tc>
          <w:tcPr>
            <w:tcW w:w="385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57" w:right="0"/>
              <w:jc w:val="left"/>
              <w:rPr>
                <w:rFonts w:ascii="宋体" w:hAnsi="宋体" w:cs="宋体" w:eastAsia="宋体" w:hint="default"/>
                <w:sz w:val="18"/>
                <w:szCs w:val="18"/>
              </w:rPr>
            </w:pPr>
            <w:r>
              <w:rPr>
                <w:rFonts w:ascii="宋体" w:hAnsi="宋体" w:cs="宋体" w:eastAsia="宋体" w:hint="default"/>
                <w:sz w:val="18"/>
                <w:szCs w:val="18"/>
              </w:rPr>
              <w:t>37.19%</w:t>
            </w:r>
            <w:r>
              <w:rPr>
                <w:rFonts w:ascii="宋体" w:hAnsi="宋体" w:cs="宋体" w:eastAsia="宋体" w:hint="default"/>
                <w:spacing w:val="-35"/>
                <w:sz w:val="18"/>
                <w:szCs w:val="18"/>
              </w:rPr>
              <w:t> </w:t>
            </w:r>
            <w:r>
              <w:rPr>
                <w:rFonts w:ascii="宋体" w:hAnsi="宋体" w:cs="宋体" w:eastAsia="宋体" w:hint="default"/>
                <w:sz w:val="18"/>
                <w:szCs w:val="18"/>
              </w:rPr>
              <w:t>主要系</w:t>
            </w:r>
            <w:r>
              <w:rPr>
                <w:rFonts w:ascii="宋体" w:hAnsi="宋体" w:cs="宋体" w:eastAsia="宋体" w:hint="default"/>
                <w:spacing w:val="-46"/>
                <w:sz w:val="18"/>
                <w:szCs w:val="18"/>
              </w:rPr>
              <w:t> </w:t>
            </w:r>
            <w:r>
              <w:rPr>
                <w:rFonts w:ascii="宋体" w:hAnsi="宋体" w:cs="宋体" w:eastAsia="宋体" w:hint="default"/>
                <w:sz w:val="18"/>
                <w:szCs w:val="18"/>
              </w:rPr>
              <w:t>BT</w:t>
            </w:r>
            <w:r>
              <w:rPr>
                <w:rFonts w:ascii="宋体" w:hAnsi="宋体" w:cs="宋体" w:eastAsia="宋体" w:hint="default"/>
                <w:spacing w:val="-46"/>
                <w:sz w:val="18"/>
                <w:szCs w:val="18"/>
              </w:rPr>
              <w:t> </w:t>
            </w:r>
            <w:r>
              <w:rPr>
                <w:rFonts w:ascii="宋体" w:hAnsi="宋体" w:cs="宋体" w:eastAsia="宋体" w:hint="default"/>
                <w:sz w:val="18"/>
                <w:szCs w:val="18"/>
              </w:rPr>
              <w:t>项目确认利息收入增加所致</w:t>
            </w:r>
          </w:p>
        </w:tc>
      </w:tr>
    </w:tbl>
    <w:p>
      <w:pPr>
        <w:tabs>
          <w:tab w:pos="2120" w:val="left" w:leader="none"/>
          <w:tab w:pos="3627" w:val="left" w:leader="none"/>
          <w:tab w:pos="5132" w:val="left" w:leader="none"/>
        </w:tabs>
        <w:spacing w:line="277" w:lineRule="exact" w:before="0"/>
        <w:ind w:left="217" w:right="114" w:firstLine="0"/>
        <w:jc w:val="left"/>
        <w:rPr>
          <w:rFonts w:ascii="宋体" w:hAnsi="宋体" w:cs="宋体" w:eastAsia="宋体" w:hint="default"/>
          <w:sz w:val="18"/>
          <w:szCs w:val="18"/>
        </w:rPr>
      </w:pPr>
      <w:r>
        <w:rPr>
          <w:rFonts w:ascii="宋体" w:hAnsi="宋体" w:cs="宋体" w:eastAsia="宋体" w:hint="default"/>
          <w:sz w:val="18"/>
          <w:szCs w:val="18"/>
        </w:rPr>
        <w:t>资产减值损失</w:t>
        <w:tab/>
        <w:t>7,933,330.63</w:t>
        <w:tab/>
        <w:t>2,837,592.68</w:t>
        <w:tab/>
        <w:t>179.58%</w:t>
      </w:r>
      <w:r>
        <w:rPr>
          <w:rFonts w:ascii="宋体" w:hAnsi="宋体" w:cs="宋体" w:eastAsia="宋体" w:hint="default"/>
          <w:spacing w:val="-35"/>
          <w:sz w:val="18"/>
          <w:szCs w:val="18"/>
        </w:rPr>
        <w:t> </w:t>
      </w:r>
      <w:r>
        <w:rPr>
          <w:rFonts w:ascii="宋体" w:hAnsi="宋体" w:cs="宋体" w:eastAsia="宋体" w:hint="default"/>
          <w:position w:val="12"/>
          <w:sz w:val="18"/>
          <w:szCs w:val="18"/>
        </w:rPr>
        <w:t>主要系可供出售金融资产计提减值准备</w:t>
      </w:r>
      <w:r>
        <w:rPr>
          <w:rFonts w:ascii="宋体" w:hAnsi="宋体" w:cs="宋体" w:eastAsia="宋体" w:hint="default"/>
          <w:sz w:val="18"/>
          <w:szCs w:val="18"/>
        </w:rPr>
      </w:r>
    </w:p>
    <w:p>
      <w:pPr>
        <w:spacing w:line="176" w:lineRule="exact" w:before="0"/>
        <w:ind w:left="5817" w:right="114" w:firstLine="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480</w:t>
      </w:r>
      <w:r>
        <w:rPr>
          <w:rFonts w:ascii="宋体" w:hAnsi="宋体" w:cs="宋体" w:eastAsia="宋体" w:hint="default"/>
          <w:spacing w:val="-46"/>
          <w:sz w:val="18"/>
          <w:szCs w:val="18"/>
        </w:rPr>
        <w:t> </w:t>
      </w:r>
      <w:r>
        <w:rPr>
          <w:rFonts w:ascii="宋体" w:hAnsi="宋体" w:cs="宋体" w:eastAsia="宋体" w:hint="default"/>
          <w:sz w:val="18"/>
          <w:szCs w:val="18"/>
        </w:rPr>
        <w:t>万元所致</w:t>
      </w:r>
    </w:p>
    <w:p>
      <w:pPr>
        <w:tabs>
          <w:tab w:pos="2030" w:val="left" w:leader="none"/>
          <w:tab w:pos="3537" w:val="left" w:leader="none"/>
          <w:tab w:pos="5222" w:val="left" w:leader="none"/>
        </w:tabs>
        <w:spacing w:before="62"/>
        <w:ind w:left="217" w:right="114" w:firstLine="0"/>
        <w:jc w:val="left"/>
        <w:rPr>
          <w:rFonts w:ascii="宋体" w:hAnsi="宋体" w:cs="宋体" w:eastAsia="宋体" w:hint="default"/>
          <w:sz w:val="18"/>
          <w:szCs w:val="18"/>
        </w:rPr>
      </w:pPr>
      <w:r>
        <w:rPr>
          <w:rFonts w:ascii="宋体" w:hAnsi="宋体" w:cs="宋体" w:eastAsia="宋体" w:hint="default"/>
          <w:sz w:val="18"/>
          <w:szCs w:val="18"/>
        </w:rPr>
        <w:t>所得税费用</w:t>
        <w:tab/>
        <w:t>21,499,959.00</w:t>
        <w:tab/>
        <w:t>13,841,416.36</w:t>
        <w:tab/>
        <w:t>55.33%</w:t>
      </w:r>
      <w:r>
        <w:rPr>
          <w:rFonts w:ascii="宋体" w:hAnsi="宋体" w:cs="宋体" w:eastAsia="宋体" w:hint="default"/>
          <w:spacing w:val="-35"/>
          <w:sz w:val="18"/>
          <w:szCs w:val="18"/>
        </w:rPr>
        <w:t> </w:t>
      </w:r>
      <w:r>
        <w:rPr>
          <w:rFonts w:ascii="宋体" w:hAnsi="宋体" w:cs="宋体" w:eastAsia="宋体" w:hint="default"/>
          <w:sz w:val="18"/>
          <w:szCs w:val="18"/>
        </w:rPr>
        <w:t>利润增长应交所得税增加。</w:t>
      </w:r>
    </w:p>
    <w:p>
      <w:pPr>
        <w:spacing w:after="0"/>
        <w:jc w:val="left"/>
        <w:rPr>
          <w:rFonts w:ascii="宋体" w:hAnsi="宋体" w:cs="宋体" w:eastAsia="宋体" w:hint="default"/>
          <w:sz w:val="18"/>
          <w:szCs w:val="18"/>
        </w:rPr>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3"/>
        <w:ind w:left="3064" w:right="3078"/>
        <w:jc w:val="center"/>
        <w:rPr>
          <w:rFonts w:ascii="宋体" w:hAnsi="宋体" w:cs="宋体" w:eastAsia="宋体" w:hint="default"/>
          <w:b w:val="0"/>
          <w:bCs w:val="0"/>
        </w:rPr>
      </w:pPr>
      <w:bookmarkStart w:name="_TOC_250000" w:id="9"/>
      <w:r>
        <w:rPr>
          <w:rFonts w:ascii="宋体" w:hAnsi="宋体" w:cs="宋体" w:eastAsia="宋体" w:hint="default"/>
        </w:rPr>
        <w:t>第十一节</w:t>
      </w:r>
      <w:r>
        <w:rPr>
          <w:rFonts w:ascii="宋体" w:hAnsi="宋体" w:cs="宋体" w:eastAsia="宋体" w:hint="default"/>
          <w:spacing w:val="-11"/>
        </w:rPr>
        <w:t> </w:t>
      </w:r>
      <w:r>
        <w:rPr>
          <w:rFonts w:ascii="宋体" w:hAnsi="宋体" w:cs="宋体" w:eastAsia="宋体" w:hint="default"/>
        </w:rPr>
        <w:t>备查文件目录</w:t>
      </w:r>
      <w:bookmarkEnd w:id="9"/>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4"/>
        <w:gridCol w:w="6599"/>
      </w:tblGrid>
      <w:tr>
        <w:trPr>
          <w:trHeight w:val="827"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载有法定代表人、主管会计负责人、会计机构负责人签名并盖章的会计</w:t>
            </w:r>
          </w:p>
          <w:p>
            <w:pPr>
              <w:pStyle w:val="TableParagraph"/>
              <w:spacing w:line="240" w:lineRule="auto" w:before="133"/>
              <w:ind w:left="23" w:right="0"/>
              <w:jc w:val="left"/>
              <w:rPr>
                <w:rFonts w:ascii="宋体" w:hAnsi="宋体" w:cs="宋体" w:eastAsia="宋体" w:hint="default"/>
                <w:sz w:val="21"/>
                <w:szCs w:val="21"/>
              </w:rPr>
            </w:pPr>
            <w:r>
              <w:rPr>
                <w:rFonts w:ascii="宋体" w:hAnsi="宋体" w:cs="宋体" w:eastAsia="宋体" w:hint="default"/>
                <w:sz w:val="21"/>
                <w:szCs w:val="21"/>
              </w:rPr>
              <w:t>报表</w:t>
            </w:r>
          </w:p>
        </w:tc>
      </w:tr>
      <w:tr>
        <w:trPr>
          <w:trHeight w:val="28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5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82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5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49" w:right="0"/>
              <w:jc w:val="left"/>
              <w:rPr>
                <w:rFonts w:ascii="宋体" w:hAnsi="宋体" w:cs="宋体" w:eastAsia="宋体" w:hint="default"/>
                <w:sz w:val="21"/>
                <w:szCs w:val="21"/>
              </w:rPr>
            </w:pPr>
            <w:r>
              <w:rPr>
                <w:rFonts w:ascii="宋体" w:hAnsi="宋体" w:cs="宋体" w:eastAsia="宋体" w:hint="default"/>
                <w:spacing w:val="-3"/>
                <w:sz w:val="21"/>
                <w:szCs w:val="21"/>
              </w:rPr>
              <w:t>报告期内在中国证监会指定报纸《证券时报》、《中国证券报》上</w:t>
            </w:r>
          </w:p>
          <w:p>
            <w:pPr>
              <w:pStyle w:val="TableParagraph"/>
              <w:spacing w:line="240" w:lineRule="auto" w:before="133"/>
              <w:ind w:left="23" w:right="0"/>
              <w:jc w:val="left"/>
              <w:rPr>
                <w:rFonts w:ascii="宋体" w:hAnsi="宋体" w:cs="宋体" w:eastAsia="宋体" w:hint="default"/>
                <w:sz w:val="21"/>
                <w:szCs w:val="21"/>
              </w:rPr>
            </w:pPr>
            <w:r>
              <w:rPr>
                <w:rFonts w:ascii="宋体" w:hAnsi="宋体" w:cs="宋体" w:eastAsia="宋体" w:hint="default"/>
                <w:sz w:val="21"/>
                <w:szCs w:val="21"/>
              </w:rPr>
              <w:t>公开披露过的所有公司文件的正本及公告的原稿</w:t>
            </w:r>
          </w:p>
        </w:tc>
      </w:tr>
    </w:tbl>
    <w:p>
      <w:pPr>
        <w:pStyle w:val="BodyText"/>
        <w:spacing w:line="314" w:lineRule="auto" w:before="42"/>
        <w:ind w:left="5921" w:right="156" w:firstLine="1784"/>
        <w:jc w:val="left"/>
      </w:pPr>
      <w:r>
        <w:rPr/>
        <w:t>董事长：赵剑 董事会批准报送日期：2015-3-18</w:t>
      </w:r>
    </w:p>
    <w:sectPr>
      <w:pgSz w:w="11910" w:h="16840"/>
      <w:pgMar w:header="882" w:footer="1197"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w:altName w:val="Cambria"/>
    <w:charset w:val="0"/>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720001pt;margin-top:771.169678pt;width:28.65pt;height:11pt;mso-position-horizontal-relative:page;mso-position-vertical-relative:page;z-index:-1229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19995pt;margin-top:771.169678pt;width:33.2pt;height:11pt;mso-position-horizontal-relative:page;mso-position-vertical-relative:page;z-index:-1229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30</w:t>
                </w:r>
                <w:r>
                  <w:rPr/>
                  <w:fldChar w:fldCharType="end"/>
                </w:r>
                <w:r>
                  <w:rPr>
                    <w:rFonts w:ascii="Calibri"/>
                    <w:b/>
                    <w:sz w:val="18"/>
                  </w:rPr>
                  <w:t>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730499pt;margin-top:524.569885pt;width:33.2pt;height:11pt;mso-position-horizontal-relative:page;mso-position-vertical-relative:page;z-index:-1229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38</w:t>
                </w:r>
                <w:r>
                  <w:rPr/>
                  <w:fldChar w:fldCharType="end"/>
                </w:r>
                <w:r>
                  <w:rPr>
                    <w:rFonts w:ascii="Calibri"/>
                    <w:b/>
                    <w:sz w:val="18"/>
                  </w:rPr>
                  <w:t>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730499pt;margin-top:524.569885pt;width:32.2pt;height:11pt;mso-position-horizontal-relative:page;mso-position-vertical-relative:page;z-index:-12295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730499pt;margin-top:524.569885pt;width:33.2pt;height:11pt;mso-position-horizontal-relative:page;mso-position-vertical-relative:page;z-index:-1229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59998pt;margin-top:771.169678pt;width:33.25pt;height:11pt;mso-position-horizontal-relative:page;mso-position-vertical-relative:page;z-index:-12294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44</w:t>
                </w:r>
                <w:r>
                  <w:rPr/>
                  <w:fldChar w:fldCharType="end"/>
                </w:r>
                <w:r>
                  <w:rPr>
                    <w:rFonts w:ascii="Calibri"/>
                    <w:b/>
                    <w:sz w:val="18"/>
                  </w:rPr>
                  <w:t>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19995pt;margin-top:771.169678pt;width:32.2pt;height:11pt;mso-position-horizontal-relative:page;mso-position-vertical-relative:page;z-index:-12294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19995pt;margin-top:771.169678pt;width:33.2pt;height:11pt;mso-position-horizontal-relative:page;mso-position-vertical-relative:page;z-index:-12294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54</w:t>
                </w:r>
                <w:r>
                  <w:rPr/>
                  <w:fldChar w:fldCharType="end"/>
                </w:r>
                <w:r>
                  <w:rPr>
                    <w:rFonts w:ascii="Calibri"/>
                    <w:b/>
                    <w:sz w:val="18"/>
                  </w:rPr>
                  <w:t>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19995pt;margin-top:771.169678pt;width:32.15pt;height:11pt;mso-position-horizontal-relative:page;mso-position-vertical-relative:page;z-index:-12293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6"/>
                    <w:sz w:val="18"/>
                  </w:rPr>
                  <w:t> </w:t>
                </w:r>
                <w:r>
                  <w:rPr>
                    <w:rFonts w:ascii="Calibri"/>
                    <w:b/>
                    <w:sz w:val="18"/>
                  </w:rPr>
                  <w:t>197</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19995pt;margin-top:771.169678pt;width:32.15pt;height:11pt;mso-position-horizontal-relative:page;mso-position-vertical-relative:page;z-index:-12293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61 </w:t>
                </w:r>
                <w:r>
                  <w:rPr>
                    <w:rFonts w:ascii="Calibri"/>
                    <w:sz w:val="18"/>
                  </w:rPr>
                  <w:t>/</w:t>
                </w:r>
                <w:r>
                  <w:rPr>
                    <w:rFonts w:ascii="Calibri"/>
                    <w:spacing w:val="-6"/>
                    <w:sz w:val="18"/>
                  </w:rPr>
                  <w:t> </w:t>
                </w:r>
                <w:r>
                  <w:rPr>
                    <w:rFonts w:ascii="Calibri"/>
                    <w:b/>
                    <w:sz w:val="18"/>
                  </w:rPr>
                  <w:t>197</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730499pt;margin-top:524.569885pt;width:33.2pt;height:11pt;mso-position-horizontal-relative:page;mso-position-vertical-relative:page;z-index:-12292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63</w:t>
                </w:r>
                <w:r>
                  <w:rPr/>
                  <w:fldChar w:fldCharType="end"/>
                </w:r>
                <w:r>
                  <w:rPr>
                    <w:rFonts w:ascii="Calibri"/>
                    <w:b/>
                    <w:sz w:val="18"/>
                  </w:rPr>
                  <w:t>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19995pt;margin-top:771.169678pt;width:33.2pt;height:11pt;mso-position-horizontal-relative:page;mso-position-vertical-relative:page;z-index:-12292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68</w:t>
                </w:r>
                <w:r>
                  <w:rPr/>
                  <w:fldChar w:fldCharType="end"/>
                </w:r>
                <w:r>
                  <w:rPr>
                    <w:rFonts w:ascii="Calibri"/>
                    <w:b/>
                    <w:sz w:val="18"/>
                  </w:rPr>
                  <w:t>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79993pt;margin-top:771.169678pt;width:32.1pt;height:11pt;mso-position-horizontal-relative:page;mso-position-vertical-relative:page;z-index:-12292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7"/>
                    <w:sz w:val="18"/>
                  </w:rPr>
                  <w:t> </w:t>
                </w:r>
                <w:r>
                  <w:rPr>
                    <w:rFonts w:ascii="Calibri"/>
                    <w:b/>
                    <w:sz w:val="18"/>
                  </w:rPr>
                  <w:t>197</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59998pt;margin-top:771.169678pt;width:33.35pt;height:11pt;mso-position-horizontal-relative:page;mso-position-vertical-relative:page;z-index:-12291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19995pt;margin-top:771.169678pt;width:33.15pt;height:11pt;mso-position-horizontal-relative:page;mso-position-vertical-relative:page;z-index:-1229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73</w:t>
                </w:r>
                <w:r>
                  <w:rPr/>
                  <w:fldChar w:fldCharType="end"/>
                </w:r>
                <w:r>
                  <w:rPr>
                    <w:rFonts w:ascii="Calibri"/>
                    <w:b/>
                    <w:sz w:val="18"/>
                  </w:rPr>
                  <w:t>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79993pt;margin-top:771.169678pt;width:32.950pt;height:11pt;mso-position-horizontal-relative:page;mso-position-vertical-relative:page;z-index:-12291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74</w:t>
                </w:r>
                <w:r>
                  <w:rPr/>
                  <w:fldChar w:fldCharType="end"/>
                </w:r>
                <w:r>
                  <w:rPr>
                    <w:rFonts w:ascii="Calibri"/>
                    <w:b/>
                    <w:sz w:val="18"/>
                  </w:rPr>
                  <w:t>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59998pt;margin-top:771.169678pt;width:33.25pt;height:11pt;mso-position-horizontal-relative:page;mso-position-vertical-relative:page;z-index:-12291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77</w:t>
                </w:r>
                <w:r>
                  <w:rPr/>
                  <w:fldChar w:fldCharType="end"/>
                </w:r>
                <w:r>
                  <w:rPr>
                    <w:rFonts w:ascii="Calibri"/>
                    <w:b/>
                    <w:sz w:val="18"/>
                  </w:rPr>
                  <w:t>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19995pt;margin-top:771.169678pt;width:33.15pt;height:11pt;mso-position-horizontal-relative:page;mso-position-vertical-relative:page;z-index:-1229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79</w:t>
                </w:r>
                <w:r>
                  <w:rPr/>
                  <w:fldChar w:fldCharType="end"/>
                </w:r>
                <w:r>
                  <w:rPr>
                    <w:rFonts w:ascii="Calibri"/>
                    <w:b/>
                    <w:sz w:val="18"/>
                  </w:rPr>
                  <w:t>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19995pt;margin-top:771.169678pt;width:32.2pt;height:11pt;mso-position-horizontal-relative:page;mso-position-vertical-relative:page;z-index:-12290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19995pt;margin-top:771.169678pt;width:33.2pt;height:11pt;mso-position-horizontal-relative:page;mso-position-vertical-relative:page;z-index:-1229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59998pt;margin-top:771.169678pt;width:33.25pt;height:11pt;mso-position-horizontal-relative:page;mso-position-vertical-relative:page;z-index:-1229008" type="#_x0000_t202" filled="false" stroked="false">
          <v:textbox inset="0,0,0,0">
            <w:txbxContent>
              <w:p>
                <w:pPr>
                  <w:spacing w:line="203" w:lineRule="exact" w:before="0"/>
                  <w:ind w:left="41"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83</w:t>
                </w:r>
                <w:r>
                  <w:rPr/>
                  <w:fldChar w:fldCharType="end"/>
                </w:r>
                <w:r>
                  <w:rPr>
                    <w:rFonts w:ascii="Calibri"/>
                    <w:b/>
                    <w:sz w:val="18"/>
                  </w:rPr>
                  <w:t>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720001pt;margin-top:771.169678pt;width:28.65pt;height:11pt;mso-position-horizontal-relative:page;mso-position-vertical-relative:page;z-index:-1229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w:t>
                </w:r>
                <w:r>
                  <w:rPr/>
                  <w:fldChar w:fldCharType="end"/>
                </w:r>
                <w:r>
                  <w:rPr>
                    <w:rFonts w:ascii="Calibri"/>
                    <w:b/>
                    <w:sz w:val="18"/>
                  </w:rPr>
                  <w:t>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19995pt;margin-top:771.169678pt;width:33.2pt;height:11pt;mso-position-horizontal-relative:page;mso-position-vertical-relative:page;z-index:-1228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90</w:t>
                </w:r>
                <w:r>
                  <w:rPr/>
                  <w:fldChar w:fldCharType="end"/>
                </w:r>
                <w:r>
                  <w:rPr>
                    <w:rFonts w:ascii="Calibri"/>
                    <w:b/>
                    <w:sz w:val="18"/>
                  </w:rPr>
                  <w:t>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19995pt;margin-top:771.169678pt;width:33.15pt;height:11pt;mso-position-horizontal-relative:page;mso-position-vertical-relative:page;z-index:-1228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92</w:t>
                </w:r>
                <w:r>
                  <w:rPr/>
                  <w:fldChar w:fldCharType="end"/>
                </w:r>
                <w:r>
                  <w:rPr>
                    <w:rFonts w:ascii="Calibri"/>
                    <w:b/>
                    <w:sz w:val="18"/>
                  </w:rPr>
                  <w:t>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19995pt;margin-top:771.169678pt;width:33.2pt;height:11pt;mso-position-horizontal-relative:page;mso-position-vertical-relative:page;z-index:-12289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93</w:t>
                </w:r>
                <w:r>
                  <w:rPr/>
                  <w:fldChar w:fldCharType="end"/>
                </w:r>
                <w:r>
                  <w:rPr>
                    <w:rFonts w:ascii="Calibri"/>
                    <w:b/>
                    <w:sz w:val="18"/>
                  </w:rPr>
                  <w:t>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39996pt;margin-top:771.169678pt;width:36.75pt;height:11pt;mso-position-horizontal-relative:page;mso-position-vertical-relative:page;z-index:-12289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39996pt;margin-top:771.169678pt;width:36.75pt;height:11pt;mso-position-horizontal-relative:page;mso-position-vertical-relative:page;z-index:-12288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101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39996pt;margin-top:771.169678pt;width:37.75pt;height:11pt;mso-position-horizontal-relative:page;mso-position-vertical-relative:page;z-index:-1228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103</w:t>
                </w:r>
                <w:r>
                  <w:rPr/>
                  <w:fldChar w:fldCharType="end"/>
                </w:r>
                <w:r>
                  <w:rPr>
                    <w:rFonts w:ascii="Calibri"/>
                    <w:b/>
                    <w:sz w:val="18"/>
                  </w:rPr>
                  <w:t>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39996pt;margin-top:771.169678pt;width:37.75pt;height:11pt;mso-position-horizontal-relative:page;mso-position-vertical-relative:page;z-index:-12288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106</w:t>
                </w:r>
                <w:r>
                  <w:rPr/>
                  <w:fldChar w:fldCharType="end"/>
                </w:r>
                <w:r>
                  <w:rPr>
                    <w:rFonts w:ascii="Calibri"/>
                    <w:b/>
                    <w:sz w:val="18"/>
                  </w:rPr>
                  <w:t>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39996pt;margin-top:771.169678pt;width:37.75pt;height:11pt;mso-position-horizontal-relative:page;mso-position-vertical-relative:page;z-index:-12288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110</w:t>
                </w:r>
                <w:r>
                  <w:rPr/>
                  <w:fldChar w:fldCharType="end"/>
                </w:r>
                <w:r>
                  <w:rPr>
                    <w:rFonts w:ascii="Calibri"/>
                    <w:b/>
                    <w:sz w:val="18"/>
                  </w:rPr>
                  <w:t>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39996pt;margin-top:771.169678pt;width:36.7pt;height:11pt;mso-position-horizontal-relative:page;mso-position-vertical-relative:page;z-index:-12287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6"/>
                    <w:sz w:val="18"/>
                  </w:rPr>
                  <w:t> </w:t>
                </w:r>
                <w:r>
                  <w:rPr>
                    <w:rFonts w:ascii="Calibri"/>
                    <w:b/>
                    <w:sz w:val="18"/>
                  </w:rPr>
                  <w:t>197</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440002pt;margin-top:771.169678pt;width:32.2pt;height:11pt;mso-position-horizontal-relative:page;mso-position-vertical-relative:page;z-index:-12298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39996pt;margin-top:771.169678pt;width:37.75pt;height:11pt;mso-position-horizontal-relative:page;mso-position-vertical-relative:page;z-index:-1228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122</w:t>
                </w:r>
                <w:r>
                  <w:rPr/>
                  <w:fldChar w:fldCharType="end"/>
                </w:r>
                <w:r>
                  <w:rPr>
                    <w:rFonts w:ascii="Calibri"/>
                    <w:b/>
                    <w:sz w:val="18"/>
                  </w:rPr>
                  <w:t>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39996pt;margin-top:771.169678pt;width:36.75pt;height:11pt;mso-position-horizontal-relative:page;mso-position-vertical-relative:page;z-index:-12287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39996pt;margin-top:771.169678pt;width:37.75pt;height:11pt;mso-position-horizontal-relative:page;mso-position-vertical-relative:page;z-index:-1228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39996pt;margin-top:771.169678pt;width:36.75pt;height:11pt;mso-position-horizontal-relative:page;mso-position-vertical-relative:page;z-index:-12286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79999pt;margin-top:771.169678pt;width:37.85pt;height:11pt;mso-position-horizontal-relative:page;mso-position-vertical-relative:page;z-index:-1228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144</w:t>
                </w:r>
                <w:r>
                  <w:rPr/>
                  <w:fldChar w:fldCharType="end"/>
                </w:r>
                <w:r>
                  <w:rPr>
                    <w:rFonts w:ascii="Calibri"/>
                    <w:b/>
                    <w:sz w:val="18"/>
                  </w:rPr>
                  <w:t>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39996pt;margin-top:771.169678pt;width:36.75pt;height:11pt;mso-position-horizontal-relative:page;mso-position-vertical-relative:page;z-index:-12286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39996pt;margin-top:771.169678pt;width:37.75pt;height:11pt;mso-position-horizontal-relative:page;mso-position-vertical-relative:page;z-index:-1228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154</w:t>
                </w:r>
                <w:r>
                  <w:rPr/>
                  <w:fldChar w:fldCharType="end"/>
                </w:r>
                <w:r>
                  <w:rPr>
                    <w:rFonts w:ascii="Calibri"/>
                    <w:b/>
                    <w:sz w:val="18"/>
                  </w:rPr>
                  <w:t>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4505pt;margin-top:524.569885pt;width:37.7pt;height:11pt;mso-position-horizontal-relative:page;mso-position-vertical-relative:page;z-index:-1228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160</w:t>
                </w:r>
                <w:r>
                  <w:rPr/>
                  <w:fldChar w:fldCharType="end"/>
                </w:r>
                <w:r>
                  <w:rPr>
                    <w:rFonts w:ascii="Calibri"/>
                    <w:b/>
                    <w:sz w:val="18"/>
                  </w:rPr>
                  <w:t>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39996pt;margin-top:771.169678pt;width:37.75pt;height:11pt;mso-position-horizontal-relative:page;mso-position-vertical-relative:page;z-index:-12284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163</w:t>
                </w:r>
                <w:r>
                  <w:rPr/>
                  <w:fldChar w:fldCharType="end"/>
                </w:r>
                <w:r>
                  <w:rPr>
                    <w:rFonts w:ascii="Calibri"/>
                    <w:b/>
                    <w:sz w:val="18"/>
                  </w:rPr>
                  <w:t>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440002pt;margin-top:771.169678pt;width:33.2pt;height:11pt;mso-position-horizontal-relative:page;mso-position-vertical-relative:page;z-index:-1229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99994pt;margin-top:771.169678pt;width:36.6pt;height:11pt;mso-position-horizontal-relative:page;mso-position-vertical-relative:page;z-index:-12284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9"/>
                    <w:sz w:val="18"/>
                  </w:rPr>
                  <w:t> </w:t>
                </w:r>
                <w:r>
                  <w:rPr>
                    <w:rFonts w:ascii="Calibri"/>
                    <w:b/>
                    <w:sz w:val="18"/>
                  </w:rPr>
                  <w:t>197</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79999pt;margin-top:771.169678pt;width:37.85pt;height:11pt;mso-position-horizontal-relative:page;mso-position-vertical-relative:page;z-index:-1228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879997pt;margin-top:743.640198pt;width:442.9pt;height:12.5pt;mso-position-horizontal-relative:page;mso-position-vertical-relative:page;z-index:-1228408" type="#_x0000_t202" filled="false" stroked="false">
          <v:textbox inset="0,0,0,0">
            <w:txbxContent>
              <w:p>
                <w:pPr>
                  <w:pStyle w:val="BodyText"/>
                  <w:spacing w:line="230" w:lineRule="exact"/>
                  <w:ind w:left="20" w:right="0"/>
                  <w:jc w:val="left"/>
                </w:pPr>
                <w:r>
                  <w:rPr/>
                  <w:t>发展投资控股有限责任公司（本节中简称“甲方”或“洪雅投资控股”）于</w:t>
                </w:r>
                <w:r>
                  <w:rPr>
                    <w:spacing w:val="-60"/>
                  </w:rPr>
                  <w:t> </w:t>
                </w:r>
                <w:r>
                  <w:rPr/>
                  <w:t>2010</w:t>
                </w:r>
                <w:r>
                  <w:rPr>
                    <w:spacing w:val="-60"/>
                  </w:rPr>
                  <w:t> </w:t>
                </w:r>
                <w:r>
                  <w:rPr/>
                  <w:t>年</w:t>
                </w:r>
                <w:r>
                  <w:rPr>
                    <w:spacing w:val="-60"/>
                  </w:rPr>
                  <w:t> </w:t>
                </w:r>
                <w:r>
                  <w:rPr/>
                  <w:t>11</w:t>
                </w:r>
                <w:r>
                  <w:rPr>
                    <w:spacing w:val="-59"/>
                  </w:rPr>
                  <w:t> </w:t>
                </w:r>
                <w:r>
                  <w:rPr/>
                  <w:t>月</w:t>
                </w:r>
                <w:r>
                  <w:rPr>
                    <w:spacing w:val="-61"/>
                  </w:rPr>
                  <w:t> </w:t>
                </w:r>
                <w:r>
                  <w:rPr/>
                  <w:t>3</w:t>
                </w:r>
                <w:r>
                  <w:rPr>
                    <w:spacing w:val="-59"/>
                  </w:rPr>
                  <w:t> </w:t>
                </w:r>
                <w:r>
                  <w:rPr/>
                  <w:t>日签</w:t>
                </w:r>
              </w:p>
            </w:txbxContent>
          </v:textbox>
          <w10:wrap type="none"/>
        </v:shape>
      </w:pict>
    </w:r>
    <w:r>
      <w:rPr/>
      <w:pict>
        <v:shape style="position:absolute;margin-left:291.399994pt;margin-top:771.169678pt;width:37.6pt;height:11pt;mso-position-horizontal-relative:page;mso-position-vertical-relative:page;z-index:-1228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178</w:t>
                </w:r>
                <w:r>
                  <w:rPr/>
                  <w:fldChar w:fldCharType="end"/>
                </w:r>
                <w:r>
                  <w:rPr>
                    <w:rFonts w:ascii="Calibri"/>
                    <w:b/>
                    <w:sz w:val="18"/>
                  </w:rPr>
                  <w:t>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39996pt;margin-top:771.169678pt;width:37.75pt;height:11pt;mso-position-horizontal-relative:page;mso-position-vertical-relative:page;z-index:-1228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w:t>
                </w:r>
                <w:r>
                  <w:rPr/>
                  <w:fldChar w:fldCharType="end"/>
                </w:r>
                <w:r>
                  <w:rPr>
                    <w:rFonts w:ascii="Calibri"/>
                    <w:b/>
                    <w:sz w:val="18"/>
                  </w:rPr>
                  <w:t>0 </w:t>
                </w:r>
                <w:r>
                  <w:rPr>
                    <w:rFonts w:ascii="Calibri"/>
                    <w:sz w:val="18"/>
                  </w:rPr>
                  <w:t>/</w:t>
                </w:r>
                <w:r>
                  <w:rPr>
                    <w:rFonts w:ascii="Calibri"/>
                    <w:spacing w:val="-5"/>
                    <w:sz w:val="18"/>
                  </w:rPr>
                  <w:t> </w:t>
                </w:r>
                <w:r>
                  <w:rPr>
                    <w:rFonts w:ascii="Calibri"/>
                    <w:b/>
                    <w:sz w:val="18"/>
                  </w:rPr>
                  <w:t>197</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79999pt;margin-top:771.169678pt;width:37.85pt;height:11pt;mso-position-horizontal-relative:page;mso-position-vertical-relative:page;z-index:-1228336" type="#_x0000_t202" filled="false" stroked="false">
          <v:textbox inset="0,0,0,0">
            <w:txbxContent>
              <w:p>
                <w:pPr>
                  <w:spacing w:line="203" w:lineRule="exact" w:before="0"/>
                  <w:ind w:left="41"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39996pt;margin-top:771.169678pt;width:36.75pt;height:11pt;mso-position-horizontal-relative:page;mso-position-vertical-relative:page;z-index:-12283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39996pt;margin-top:771.169678pt;width:37.75pt;height:11pt;mso-position-horizontal-relative:page;mso-position-vertical-relative:page;z-index:-1228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440002pt;margin-top:771.169678pt;width:33.2pt;height:11pt;mso-position-horizontal-relative:page;mso-position-vertical-relative:page;z-index:-1229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w:t>
                </w:r>
                <w:r>
                  <w:rPr/>
                  <w:fldChar w:fldCharType="end"/>
                </w:r>
                <w:r>
                  <w:rPr>
                    <w:rFonts w:ascii="Calibri"/>
                    <w:b/>
                    <w:sz w:val="18"/>
                  </w:rPr>
                  <w:t>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440002pt;margin-top:771.169678pt;width:32.15pt;height:11pt;mso-position-horizontal-relative:page;mso-position-vertical-relative:page;z-index:-12298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6"/>
                    <w:sz w:val="18"/>
                  </w:rPr>
                  <w:t> </w:t>
                </w:r>
                <w:r>
                  <w:rPr>
                    <w:rFonts w:ascii="Calibri"/>
                    <w:b/>
                    <w:sz w:val="18"/>
                  </w:rPr>
                  <w:t>197</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19995pt;margin-top:771.169678pt;width:33.2pt;height:11pt;mso-position-horizontal-relative:page;mso-position-vertical-relative:page;z-index:-1229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910492pt;margin-top:524.569885pt;width:33.2pt;height:11pt;mso-position-horizontal-relative:page;mso-position-vertical-relative:page;z-index:-1229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28</w:t>
                </w:r>
                <w:r>
                  <w:rPr/>
                  <w:fldChar w:fldCharType="end"/>
                </w:r>
                <w:r>
                  <w:rPr>
                    <w:rFonts w:ascii="Calibri"/>
                    <w:b/>
                    <w:sz w:val="18"/>
                  </w:rPr>
                  <w:t> </w:t>
                </w:r>
                <w:r>
                  <w:rPr>
                    <w:rFonts w:ascii="Calibri"/>
                    <w:sz w:val="18"/>
                  </w:rPr>
                  <w:t>/</w:t>
                </w:r>
                <w:r>
                  <w:rPr>
                    <w:rFonts w:ascii="Calibri"/>
                    <w:spacing w:val="-4"/>
                    <w:sz w:val="18"/>
                  </w:rPr>
                  <w:t> </w:t>
                </w:r>
                <w:r>
                  <w:rPr>
                    <w:rFonts w:ascii="Calibri"/>
                    <w:b/>
                    <w:sz w:val="18"/>
                  </w:rPr>
                  <w:t>197</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00014pt;width:449pt;height:.1pt;mso-position-horizontal-relative:page;mso-position-vertical-relative:page;z-index:-1229992" coordorigin="1410,1116" coordsize="8980,2">
          <v:shape style="position:absolute;left:1410;top:1116;width:8980;height:2" coordorigin="1410,1116" coordsize="8980,0" path="m1410,1116l10390,1116e" filled="false" stroked="true" strokeweight=".71997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40002pt;margin-top:43.105324pt;width:67.5pt;height:12pt;mso-position-horizontal-relative:page;mso-position-vertical-relative:page;z-index:-12299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5.860001pt;width:695.6pt;height:.1pt;mso-position-horizontal-relative:page;mso-position-vertical-relative:page;z-index:-1228600" coordorigin="1410,1117" coordsize="13912,2">
          <v:shape style="position:absolute;left:1410;top:1117;width:13912;height:2" coordorigin="1410,1117" coordsize="13912,0" path="m1410,1117l15321,1117e" filled="false" stroked="true" strokeweight=".72pt" strokecolor="#000000">
            <v:path arrowok="t"/>
          </v:shape>
          <w10:wrap type="none"/>
        </v:group>
      </w:pict>
    </w:r>
    <w:r>
      <w:rPr/>
      <w:pict>
        <v:shape style="position:absolute;margin-left:384.550507pt;margin-top:43.105625pt;width:67.5pt;height:12pt;mso-position-horizontal-relative:page;mso-position-vertical-relative:page;z-index:-12285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859985pt;width:443.6pt;height:.1pt;mso-position-horizontal-relative:page;mso-position-vertical-relative:page;z-index:-1228528" coordorigin="1768,1117" coordsize="8872,2">
          <v:shape style="position:absolute;left:1768;top:1117;width:8872;height:2" coordorigin="1768,1117" coordsize="8872,0" path="m1768,1117l10639,1117e" filled="false" stroked="true" strokeweight=".72003pt" strokecolor="#000000">
            <v:path arrowok="t"/>
          </v:shape>
          <w10:wrap type="none"/>
        </v:group>
      </w:pict>
    </w:r>
    <w:r>
      <w:rPr/>
      <w:pict>
        <v:shape style="position:absolute;margin-left:276.440002pt;margin-top:43.105324pt;width:67.5pt;height:12pt;mso-position-horizontal-relative:page;mso-position-vertical-relative:page;z-index:-12285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1002pt;margin-top:55.799999pt;width:690.2pt;height:.1pt;mso-position-horizontal-relative:page;mso-position-vertical-relative:page;z-index:-1229776" coordorigin="1767,1116" coordsize="13804,2">
          <v:shape style="position:absolute;left:1767;top:1116;width:13804;height:2" coordorigin="1767,1116" coordsize="13804,0" path="m1767,1116l15571,1116e" filled="false" stroked="true" strokeweight=".72pt" strokecolor="#000000">
            <v:path arrowok="t"/>
          </v:shape>
          <w10:wrap type="none"/>
        </v:group>
      </w:pict>
    </w:r>
    <w:r>
      <w:rPr/>
      <w:pict>
        <v:shape style="position:absolute;margin-left:399.730499pt;margin-top:43.105625pt;width:67.5pt;height:12pt;mso-position-horizontal-relative:page;mso-position-vertical-relative:page;z-index:-12297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800014pt;width:443.6pt;height:.1pt;mso-position-horizontal-relative:page;mso-position-vertical-relative:page;z-index:-1229704" coordorigin="1768,1116" coordsize="8872,2">
          <v:shape style="position:absolute;left:1768;top:1116;width:8872;height:2" coordorigin="1768,1116" coordsize="8872,0" path="m1768,1116l10639,1116e" filled="false" stroked="true" strokeweight=".71997pt" strokecolor="#000000">
            <v:path arrowok="t"/>
          </v:shape>
          <w10:wrap type="none"/>
        </v:group>
      </w:pict>
    </w:r>
    <w:r>
      <w:rPr/>
      <w:pict>
        <v:shape style="position:absolute;margin-left:276.440002pt;margin-top:43.105324pt;width:67.5pt;height:12pt;mso-position-horizontal-relative:page;mso-position-vertical-relative:page;z-index:-12296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5.799999pt;width:695.6pt;height:.1pt;mso-position-horizontal-relative:page;mso-position-vertical-relative:page;z-index:-1229632" coordorigin="1410,1116" coordsize="13912,2">
          <v:shape style="position:absolute;left:1410;top:1116;width:13912;height:2" coordorigin="1410,1116" coordsize="13912,0" path="m1410,1116l15321,1116e" filled="false" stroked="true" strokeweight=".72pt" strokecolor="#000000">
            <v:path arrowok="t"/>
          </v:shape>
          <w10:wrap type="none"/>
        </v:group>
      </w:pict>
    </w:r>
    <w:r>
      <w:rPr/>
      <w:pict>
        <v:shape style="position:absolute;margin-left:384.550507pt;margin-top:43.105625pt;width:67.5pt;height:12pt;mso-position-horizontal-relative:page;mso-position-vertical-relative:page;z-index:-12296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800014pt;width:443.6pt;height:.1pt;mso-position-horizontal-relative:page;mso-position-vertical-relative:page;z-index:-1229512" coordorigin="1768,1116" coordsize="8872,2">
          <v:shape style="position:absolute;left:1768;top:1116;width:8872;height:2" coordorigin="1768,1116" coordsize="8872,0" path="m1768,1116l10639,1116e" filled="false" stroked="true" strokeweight=".71997pt" strokecolor="#000000">
            <v:path arrowok="t"/>
          </v:shape>
          <w10:wrap type="none"/>
        </v:group>
      </w:pict>
    </w:r>
    <w:r>
      <w:rPr/>
      <w:pict>
        <v:shape style="position:absolute;margin-left:276.440002pt;margin-top:42.865326pt;width:67.5pt;height:12pt;mso-position-horizontal-relative:page;mso-position-vertical-relative:page;z-index:-12294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5.619999pt;width:695.6pt;height:.1pt;mso-position-horizontal-relative:page;mso-position-vertical-relative:page;z-index:-1229344" coordorigin="1410,1112" coordsize="13912,2">
          <v:shape style="position:absolute;left:1410;top:1112;width:13912;height:2" coordorigin="1410,1112" coordsize="13912,0" path="m1410,1112l15321,1112e" filled="false" stroked="true" strokeweight=".72pt" strokecolor="#000000">
            <v:path arrowok="t"/>
          </v:shape>
          <w10:wrap type="none"/>
        </v:group>
      </w:pict>
    </w:r>
    <w:r>
      <w:rPr/>
      <w:pict>
        <v:shape style="position:absolute;margin-left:384.550507pt;margin-top:42.865623pt;width:67.5pt;height:12pt;mso-position-horizontal-relative:page;mso-position-vertical-relative:page;z-index:-12293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859985pt;width:443.6pt;height:.1pt;mso-position-horizontal-relative:page;mso-position-vertical-relative:page;z-index:-1229272" coordorigin="1768,1117" coordsize="8872,2">
          <v:shape style="position:absolute;left:1768;top:1117;width:8872;height:2" coordorigin="1768,1117" coordsize="8872,0" path="m1768,1117l10639,1117e" filled="false" stroked="true" strokeweight=".72003pt" strokecolor="#000000">
            <v:path arrowok="t"/>
          </v:shape>
          <w10:wrap type="none"/>
        </v:group>
      </w:pict>
    </w:r>
    <w:r>
      <w:rPr/>
      <w:pict>
        <v:shape style="position:absolute;margin-left:276.440002pt;margin-top:43.105324pt;width:67.5pt;height:12pt;mso-position-horizontal-relative:page;mso-position-vertical-relative:page;z-index:-12292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40"/>
    </w:pPr>
    <w:rPr>
      <w:rFonts w:ascii="宋体" w:hAnsi="宋体" w:eastAsia="宋体"/>
      <w:sz w:val="21"/>
      <w:szCs w:val="21"/>
    </w:rPr>
  </w:style>
  <w:style w:styleId="BodyText" w:type="paragraph">
    <w:name w:val="Body Text"/>
    <w:basedOn w:val="Normal"/>
    <w:uiPriority w:val="1"/>
    <w:qFormat/>
    <w:pPr>
      <w:ind w:left="217"/>
    </w:pPr>
    <w:rPr>
      <w:rFonts w:ascii="宋体" w:hAnsi="宋体" w:eastAsia="宋体"/>
      <w:sz w:val="21"/>
      <w:szCs w:val="21"/>
    </w:rPr>
  </w:style>
  <w:style w:styleId="Heading1" w:type="paragraph">
    <w:name w:val="Heading 1"/>
    <w:basedOn w:val="Normal"/>
    <w:uiPriority w:val="1"/>
    <w:qFormat/>
    <w:pPr>
      <w:spacing w:before="13"/>
      <w:outlineLvl w:val="1"/>
    </w:pPr>
    <w:rPr>
      <w:rFonts w:ascii="黑体" w:hAnsi="黑体" w:eastAsia="黑体"/>
      <w:b/>
      <w:bCs/>
      <w:sz w:val="28"/>
      <w:szCs w:val="28"/>
    </w:rPr>
  </w:style>
  <w:style w:styleId="Heading2" w:type="paragraph">
    <w:name w:val="Heading 2"/>
    <w:basedOn w:val="Normal"/>
    <w:uiPriority w:val="1"/>
    <w:qFormat/>
    <w:pPr>
      <w:spacing w:before="35"/>
      <w:ind w:hanging="142"/>
      <w:outlineLvl w:val="2"/>
    </w:pPr>
    <w:rPr>
      <w:rFonts w:ascii="宋体" w:hAnsi="宋体" w:eastAsia="宋体"/>
      <w:sz w:val="22"/>
      <w:szCs w:val="22"/>
    </w:rPr>
  </w:style>
  <w:style w:styleId="Heading3" w:type="paragraph">
    <w:name w:val="Heading 3"/>
    <w:basedOn w:val="Normal"/>
    <w:uiPriority w:val="1"/>
    <w:qFormat/>
    <w:pPr>
      <w:spacing w:before="35"/>
      <w:ind w:left="217"/>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wangkai@szkingdom.com" TargetMode="External"/><Relationship Id="rId8" Type="http://schemas.openxmlformats.org/officeDocument/2006/relationships/hyperlink" Target="http://www.szkingdom.com/" TargetMode="External"/><Relationship Id="rId9" Type="http://schemas.openxmlformats.org/officeDocument/2006/relationships/hyperlink" Target="mailto:jzkj@mail.szkingdom.com" TargetMode="External"/><Relationship Id="rId10" Type="http://schemas.openxmlformats.org/officeDocument/2006/relationships/hyperlink" Target="http://www.sse.com.cn/"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image" Target="media/image1.png"/><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image" Target="media/image14.png"/><Relationship Id="rId33" Type="http://schemas.openxmlformats.org/officeDocument/2006/relationships/image" Target="media/image15.png"/><Relationship Id="rId34" Type="http://schemas.openxmlformats.org/officeDocument/2006/relationships/image" Target="media/image16.png"/><Relationship Id="rId35" Type="http://schemas.openxmlformats.org/officeDocument/2006/relationships/image" Target="media/image17.png"/><Relationship Id="rId36" Type="http://schemas.openxmlformats.org/officeDocument/2006/relationships/image" Target="media/image18.png"/><Relationship Id="rId37" Type="http://schemas.openxmlformats.org/officeDocument/2006/relationships/image" Target="media/image19.png"/><Relationship Id="rId38" Type="http://schemas.openxmlformats.org/officeDocument/2006/relationships/image" Target="media/image20.png"/><Relationship Id="rId39" Type="http://schemas.openxmlformats.org/officeDocument/2006/relationships/image" Target="media/image21.png"/><Relationship Id="rId40" Type="http://schemas.openxmlformats.org/officeDocument/2006/relationships/image" Target="media/image22.png"/><Relationship Id="rId41" Type="http://schemas.openxmlformats.org/officeDocument/2006/relationships/image" Target="media/image23.png"/><Relationship Id="rId42" Type="http://schemas.openxmlformats.org/officeDocument/2006/relationships/image" Target="media/image24.png"/><Relationship Id="rId43" Type="http://schemas.openxmlformats.org/officeDocument/2006/relationships/image" Target="media/image25.png"/><Relationship Id="rId44" Type="http://schemas.openxmlformats.org/officeDocument/2006/relationships/image" Target="media/image26.png"/><Relationship Id="rId45" Type="http://schemas.openxmlformats.org/officeDocument/2006/relationships/image" Target="media/image27.png"/><Relationship Id="rId46" Type="http://schemas.openxmlformats.org/officeDocument/2006/relationships/image" Target="media/image28.png"/><Relationship Id="rId47" Type="http://schemas.openxmlformats.org/officeDocument/2006/relationships/image" Target="media/image29.png"/><Relationship Id="rId48" Type="http://schemas.openxmlformats.org/officeDocument/2006/relationships/header" Target="header3.xml"/><Relationship Id="rId49" Type="http://schemas.openxmlformats.org/officeDocument/2006/relationships/footer" Target="footer9.xml"/><Relationship Id="rId50" Type="http://schemas.openxmlformats.org/officeDocument/2006/relationships/header" Target="header4.xml"/><Relationship Id="rId51" Type="http://schemas.openxmlformats.org/officeDocument/2006/relationships/footer" Target="footer10.xml"/><Relationship Id="rId52" Type="http://schemas.openxmlformats.org/officeDocument/2006/relationships/image" Target="media/image30.png"/><Relationship Id="rId53" Type="http://schemas.openxmlformats.org/officeDocument/2006/relationships/image" Target="media/image31.png"/><Relationship Id="rId54" Type="http://schemas.openxmlformats.org/officeDocument/2006/relationships/image" Target="media/image32.png"/><Relationship Id="rId55" Type="http://schemas.openxmlformats.org/officeDocument/2006/relationships/image" Target="media/image33.png"/><Relationship Id="rId56" Type="http://schemas.openxmlformats.org/officeDocument/2006/relationships/header" Target="header5.xml"/><Relationship Id="rId57" Type="http://schemas.openxmlformats.org/officeDocument/2006/relationships/footer" Target="footer11.xml"/><Relationship Id="rId58" Type="http://schemas.openxmlformats.org/officeDocument/2006/relationships/footer" Target="footer12.xml"/><Relationship Id="rId59" Type="http://schemas.openxmlformats.org/officeDocument/2006/relationships/footer" Target="footer13.xml"/><Relationship Id="rId60" Type="http://schemas.openxmlformats.org/officeDocument/2006/relationships/header" Target="header6.xml"/><Relationship Id="rId61" Type="http://schemas.openxmlformats.org/officeDocument/2006/relationships/footer" Target="footer14.xml"/><Relationship Id="rId62" Type="http://schemas.openxmlformats.org/officeDocument/2006/relationships/image" Target="media/image34.png"/><Relationship Id="rId63" Type="http://schemas.openxmlformats.org/officeDocument/2006/relationships/image" Target="media/image35.png"/><Relationship Id="rId64" Type="http://schemas.openxmlformats.org/officeDocument/2006/relationships/footer" Target="footer15.xml"/><Relationship Id="rId65" Type="http://schemas.openxmlformats.org/officeDocument/2006/relationships/footer" Target="footer16.xml"/><Relationship Id="rId66" Type="http://schemas.openxmlformats.org/officeDocument/2006/relationships/footer" Target="footer17.xml"/><Relationship Id="rId67" Type="http://schemas.openxmlformats.org/officeDocument/2006/relationships/footer" Target="footer18.xml"/><Relationship Id="rId68" Type="http://schemas.openxmlformats.org/officeDocument/2006/relationships/header" Target="header7.xml"/><Relationship Id="rId69" Type="http://schemas.openxmlformats.org/officeDocument/2006/relationships/footer" Target="footer19.xml"/><Relationship Id="rId70" Type="http://schemas.openxmlformats.org/officeDocument/2006/relationships/header" Target="header8.xml"/><Relationship Id="rId71" Type="http://schemas.openxmlformats.org/officeDocument/2006/relationships/footer" Target="footer20.xml"/><Relationship Id="rId72" Type="http://schemas.openxmlformats.org/officeDocument/2006/relationships/image" Target="media/image36.png"/><Relationship Id="rId73" Type="http://schemas.openxmlformats.org/officeDocument/2006/relationships/image" Target="media/image37.png"/><Relationship Id="rId74" Type="http://schemas.openxmlformats.org/officeDocument/2006/relationships/image" Target="media/image38.png"/><Relationship Id="rId75" Type="http://schemas.openxmlformats.org/officeDocument/2006/relationships/image" Target="media/image39.png"/><Relationship Id="rId76" Type="http://schemas.openxmlformats.org/officeDocument/2006/relationships/footer" Target="footer21.xml"/><Relationship Id="rId77" Type="http://schemas.openxmlformats.org/officeDocument/2006/relationships/footer" Target="footer22.xml"/><Relationship Id="rId78" Type="http://schemas.openxmlformats.org/officeDocument/2006/relationships/footer" Target="footer23.xml"/><Relationship Id="rId79" Type="http://schemas.openxmlformats.org/officeDocument/2006/relationships/footer" Target="footer24.xml"/><Relationship Id="rId80" Type="http://schemas.openxmlformats.org/officeDocument/2006/relationships/footer" Target="footer25.xml"/><Relationship Id="rId81" Type="http://schemas.openxmlformats.org/officeDocument/2006/relationships/footer" Target="footer26.xml"/><Relationship Id="rId82" Type="http://schemas.openxmlformats.org/officeDocument/2006/relationships/footer" Target="footer27.xml"/><Relationship Id="rId83" Type="http://schemas.openxmlformats.org/officeDocument/2006/relationships/footer" Target="footer28.xml"/><Relationship Id="rId84" Type="http://schemas.openxmlformats.org/officeDocument/2006/relationships/footer" Target="footer29.xml"/><Relationship Id="rId85" Type="http://schemas.openxmlformats.org/officeDocument/2006/relationships/image" Target="media/image40.png"/><Relationship Id="rId86" Type="http://schemas.openxmlformats.org/officeDocument/2006/relationships/image" Target="media/image41.png"/><Relationship Id="rId87" Type="http://schemas.openxmlformats.org/officeDocument/2006/relationships/footer" Target="footer30.xml"/><Relationship Id="rId88" Type="http://schemas.openxmlformats.org/officeDocument/2006/relationships/footer" Target="footer31.xml"/><Relationship Id="rId89" Type="http://schemas.openxmlformats.org/officeDocument/2006/relationships/footer" Target="footer32.xml"/><Relationship Id="rId90" Type="http://schemas.openxmlformats.org/officeDocument/2006/relationships/image" Target="media/image42.png"/><Relationship Id="rId91" Type="http://schemas.openxmlformats.org/officeDocument/2006/relationships/image" Target="media/image43.png"/><Relationship Id="rId92" Type="http://schemas.openxmlformats.org/officeDocument/2006/relationships/image" Target="media/image44.png"/><Relationship Id="rId93" Type="http://schemas.openxmlformats.org/officeDocument/2006/relationships/image" Target="media/image45.png"/><Relationship Id="rId94" Type="http://schemas.openxmlformats.org/officeDocument/2006/relationships/image" Target="media/image46.png"/><Relationship Id="rId95" Type="http://schemas.openxmlformats.org/officeDocument/2006/relationships/image" Target="media/image47.png"/><Relationship Id="rId96" Type="http://schemas.openxmlformats.org/officeDocument/2006/relationships/image" Target="media/image48.png"/><Relationship Id="rId97" Type="http://schemas.openxmlformats.org/officeDocument/2006/relationships/image" Target="media/image49.png"/><Relationship Id="rId98" Type="http://schemas.openxmlformats.org/officeDocument/2006/relationships/image" Target="media/image50.png"/><Relationship Id="rId99" Type="http://schemas.openxmlformats.org/officeDocument/2006/relationships/footer" Target="footer33.xml"/><Relationship Id="rId100" Type="http://schemas.openxmlformats.org/officeDocument/2006/relationships/footer" Target="footer34.xml"/><Relationship Id="rId101" Type="http://schemas.openxmlformats.org/officeDocument/2006/relationships/footer" Target="footer35.xml"/><Relationship Id="rId102" Type="http://schemas.openxmlformats.org/officeDocument/2006/relationships/image" Target="media/image51.png"/><Relationship Id="rId103" Type="http://schemas.openxmlformats.org/officeDocument/2006/relationships/image" Target="media/image52.png"/><Relationship Id="rId104" Type="http://schemas.openxmlformats.org/officeDocument/2006/relationships/image" Target="media/image53.png"/><Relationship Id="rId105" Type="http://schemas.openxmlformats.org/officeDocument/2006/relationships/image" Target="media/image54.png"/><Relationship Id="rId106" Type="http://schemas.openxmlformats.org/officeDocument/2006/relationships/header" Target="header9.xml"/><Relationship Id="rId107" Type="http://schemas.openxmlformats.org/officeDocument/2006/relationships/footer" Target="footer36.xml"/><Relationship Id="rId108" Type="http://schemas.openxmlformats.org/officeDocument/2006/relationships/footer" Target="footer37.xml"/><Relationship Id="rId109" Type="http://schemas.openxmlformats.org/officeDocument/2006/relationships/footer" Target="footer38.xml"/><Relationship Id="rId110" Type="http://schemas.openxmlformats.org/officeDocument/2006/relationships/footer" Target="footer39.xml"/><Relationship Id="rId111" Type="http://schemas.openxmlformats.org/officeDocument/2006/relationships/header" Target="header10.xml"/><Relationship Id="rId112" Type="http://schemas.openxmlformats.org/officeDocument/2006/relationships/footer" Target="footer40.xml"/><Relationship Id="rId113" Type="http://schemas.openxmlformats.org/officeDocument/2006/relationships/footer" Target="footer41.xml"/><Relationship Id="rId114" Type="http://schemas.openxmlformats.org/officeDocument/2006/relationships/footer" Target="footer42.xml"/><Relationship Id="rId115" Type="http://schemas.openxmlformats.org/officeDocument/2006/relationships/footer" Target="footer43.xml"/><Relationship Id="rId116" Type="http://schemas.openxmlformats.org/officeDocument/2006/relationships/footer" Target="footer44.xml"/><Relationship Id="rId117" Type="http://schemas.openxmlformats.org/officeDocument/2006/relationships/footer" Target="footer45.xml"/><Relationship Id="rId118" Type="http://schemas.openxmlformats.org/officeDocument/2006/relationships/footer" Target="footer46.xml"/><Relationship Id="rId119" Type="http://schemas.openxmlformats.org/officeDocument/2006/relationships/footer" Target="footer47.xml"/><Relationship Id="rId120" Type="http://schemas.openxmlformats.org/officeDocument/2006/relationships/header" Target="header11.xml"/><Relationship Id="rId121" Type="http://schemas.openxmlformats.org/officeDocument/2006/relationships/footer" Target="footer48.xml"/><Relationship Id="rId122" Type="http://schemas.openxmlformats.org/officeDocument/2006/relationships/header" Target="header12.xml"/><Relationship Id="rId123" Type="http://schemas.openxmlformats.org/officeDocument/2006/relationships/footer" Target="footer49.xml"/><Relationship Id="rId124" Type="http://schemas.openxmlformats.org/officeDocument/2006/relationships/footer" Target="footer50.xml"/><Relationship Id="rId125" Type="http://schemas.openxmlformats.org/officeDocument/2006/relationships/footer" Target="footer51.xml"/><Relationship Id="rId126" Type="http://schemas.openxmlformats.org/officeDocument/2006/relationships/image" Target="media/image55.png"/><Relationship Id="rId127" Type="http://schemas.openxmlformats.org/officeDocument/2006/relationships/image" Target="media/image56.png"/><Relationship Id="rId128" Type="http://schemas.openxmlformats.org/officeDocument/2006/relationships/image" Target="media/image57.png"/><Relationship Id="rId129" Type="http://schemas.openxmlformats.org/officeDocument/2006/relationships/image" Target="media/image58.png"/><Relationship Id="rId130" Type="http://schemas.openxmlformats.org/officeDocument/2006/relationships/footer" Target="footer52.xml"/><Relationship Id="rId131" Type="http://schemas.openxmlformats.org/officeDocument/2006/relationships/footer" Target="footer53.xml"/><Relationship Id="rId132" Type="http://schemas.openxmlformats.org/officeDocument/2006/relationships/footer" Target="footer54.xml"/><Relationship Id="rId133" Type="http://schemas.openxmlformats.org/officeDocument/2006/relationships/image" Target="media/image59.png"/><Relationship Id="rId134" Type="http://schemas.openxmlformats.org/officeDocument/2006/relationships/footer" Target="footer55.xml"/><Relationship Id="rId135" Type="http://schemas.openxmlformats.org/officeDocument/2006/relationships/footer" Target="footer56.xml"/><Relationship Id="rId136" Type="http://schemas.openxmlformats.org/officeDocument/2006/relationships/image" Target="media/image60.png"/><Relationship Id="rId137" Type="http://schemas.openxmlformats.org/officeDocument/2006/relationships/image" Target="media/image6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- 600446_20150320_5_600446_2014年_年度报告1_2015-03-11T130137--1.doc</dc:title>
  <dcterms:created xsi:type="dcterms:W3CDTF">2020-05-06T21:48:26Z</dcterms:created>
  <dcterms:modified xsi:type="dcterms:W3CDTF">2020-05-06T21:48:26Z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2015-03-19T00:00:00Z</vt:filetime>
  </property>
  <property fmtid="{D5CDD505-2E9C-101B-9397-08002B2CF9AE}" pid="3" name="Creator">
    <vt:lpwstr>PScript5.dll Version 5.2.2</vt:lpwstr>
  </property>
  <property fmtid="{D5CDD505-2E9C-101B-9397-08002B2CF9AE}" pid="4" name="LastSaved">
    <vt:filetime>2020-05-06T00:00:00Z</vt:filetime>
  </property>
</Properties>
</file>